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4D25" w:rsidRDefault="00804D25" w:rsidP="00804D25">
      <w:pPr>
        <w:tabs>
          <w:tab w:val="left" w:pos="567"/>
          <w:tab w:val="left" w:pos="1134"/>
        </w:tabs>
        <w:ind w:right="29"/>
        <w:jc w:val="left"/>
        <w:rPr>
          <w:snapToGrid w:val="0"/>
          <w:szCs w:val="20"/>
        </w:rPr>
      </w:pPr>
    </w:p>
    <w:p w:rsidR="006E3730" w:rsidRDefault="006E3730" w:rsidP="00804D25">
      <w:pPr>
        <w:tabs>
          <w:tab w:val="left" w:pos="567"/>
          <w:tab w:val="left" w:pos="1134"/>
        </w:tabs>
        <w:ind w:right="29"/>
        <w:jc w:val="left"/>
        <w:rPr>
          <w:snapToGrid w:val="0"/>
          <w:szCs w:val="20"/>
        </w:rPr>
      </w:pPr>
    </w:p>
    <w:p w:rsidR="006E3730" w:rsidRDefault="006E3730" w:rsidP="00804D25">
      <w:pPr>
        <w:tabs>
          <w:tab w:val="left" w:pos="567"/>
          <w:tab w:val="left" w:pos="1134"/>
        </w:tabs>
        <w:ind w:right="29"/>
        <w:jc w:val="left"/>
        <w:rPr>
          <w:snapToGrid w:val="0"/>
          <w:szCs w:val="20"/>
        </w:rPr>
      </w:pPr>
    </w:p>
    <w:p w:rsidR="006E3730" w:rsidRDefault="006E3730" w:rsidP="00804D25">
      <w:pPr>
        <w:tabs>
          <w:tab w:val="left" w:pos="567"/>
          <w:tab w:val="left" w:pos="1134"/>
        </w:tabs>
        <w:ind w:right="29"/>
        <w:jc w:val="left"/>
        <w:rPr>
          <w:snapToGrid w:val="0"/>
          <w:szCs w:val="20"/>
        </w:rPr>
      </w:pPr>
    </w:p>
    <w:p w:rsidR="006E3730" w:rsidRDefault="006E3730" w:rsidP="00804D25">
      <w:pPr>
        <w:tabs>
          <w:tab w:val="left" w:pos="567"/>
          <w:tab w:val="left" w:pos="1134"/>
        </w:tabs>
        <w:ind w:right="29"/>
        <w:jc w:val="left"/>
        <w:rPr>
          <w:snapToGrid w:val="0"/>
          <w:szCs w:val="20"/>
        </w:rPr>
      </w:pPr>
    </w:p>
    <w:p w:rsidR="006E3730" w:rsidRDefault="006E3730" w:rsidP="00804D25">
      <w:pPr>
        <w:tabs>
          <w:tab w:val="left" w:pos="567"/>
          <w:tab w:val="left" w:pos="1134"/>
        </w:tabs>
        <w:ind w:right="29"/>
        <w:jc w:val="left"/>
        <w:rPr>
          <w:snapToGrid w:val="0"/>
          <w:szCs w:val="20"/>
        </w:rPr>
      </w:pPr>
    </w:p>
    <w:p w:rsidR="006E3730" w:rsidRDefault="006E3730" w:rsidP="00804D25">
      <w:pPr>
        <w:tabs>
          <w:tab w:val="left" w:pos="567"/>
          <w:tab w:val="left" w:pos="1134"/>
        </w:tabs>
        <w:ind w:right="29"/>
        <w:jc w:val="left"/>
        <w:rPr>
          <w:snapToGrid w:val="0"/>
          <w:szCs w:val="20"/>
        </w:rPr>
      </w:pPr>
    </w:p>
    <w:p w:rsidR="006E3730" w:rsidRDefault="006E3730" w:rsidP="00804D25">
      <w:pPr>
        <w:tabs>
          <w:tab w:val="left" w:pos="567"/>
          <w:tab w:val="left" w:pos="1134"/>
        </w:tabs>
        <w:ind w:right="29"/>
        <w:jc w:val="left"/>
        <w:rPr>
          <w:snapToGrid w:val="0"/>
          <w:szCs w:val="20"/>
        </w:rPr>
      </w:pPr>
    </w:p>
    <w:p w:rsidR="006E3730" w:rsidRPr="00FA11AC" w:rsidRDefault="006E3730" w:rsidP="00804D25">
      <w:pPr>
        <w:tabs>
          <w:tab w:val="left" w:pos="567"/>
          <w:tab w:val="left" w:pos="1134"/>
        </w:tabs>
        <w:ind w:right="29"/>
        <w:jc w:val="left"/>
        <w:rPr>
          <w:snapToGrid w:val="0"/>
          <w:szCs w:val="20"/>
        </w:rPr>
      </w:pPr>
    </w:p>
    <w:p w:rsidR="00804D25" w:rsidRPr="00FA11AC" w:rsidRDefault="00804D25" w:rsidP="00804D25">
      <w:pPr>
        <w:tabs>
          <w:tab w:val="left" w:pos="567"/>
          <w:tab w:val="left" w:pos="1134"/>
        </w:tabs>
        <w:ind w:right="29"/>
        <w:jc w:val="center"/>
        <w:rPr>
          <w:b/>
          <w:snapToGrid w:val="0"/>
          <w:szCs w:val="20"/>
        </w:rPr>
      </w:pPr>
      <w:r w:rsidRPr="00FA11AC">
        <w:rPr>
          <w:b/>
          <w:snapToGrid w:val="0"/>
          <w:szCs w:val="20"/>
        </w:rPr>
        <w:t>CORTE INTERAMERICANA DE DERECHOS HUMANOS</w:t>
      </w:r>
      <w:bookmarkStart w:id="0" w:name="_GoBack"/>
      <w:bookmarkEnd w:id="0"/>
    </w:p>
    <w:p w:rsidR="00804D25" w:rsidRPr="00FA11AC" w:rsidRDefault="009648DE" w:rsidP="009648DE">
      <w:pPr>
        <w:tabs>
          <w:tab w:val="left" w:pos="567"/>
          <w:tab w:val="left" w:pos="968"/>
          <w:tab w:val="left" w:pos="1134"/>
        </w:tabs>
        <w:ind w:right="29"/>
        <w:rPr>
          <w:b/>
          <w:snapToGrid w:val="0"/>
          <w:szCs w:val="20"/>
        </w:rPr>
      </w:pPr>
      <w:r>
        <w:rPr>
          <w:b/>
          <w:snapToGrid w:val="0"/>
          <w:szCs w:val="20"/>
        </w:rPr>
        <w:tab/>
      </w:r>
      <w:r>
        <w:rPr>
          <w:b/>
          <w:snapToGrid w:val="0"/>
          <w:szCs w:val="20"/>
        </w:rPr>
        <w:tab/>
      </w:r>
      <w:r>
        <w:rPr>
          <w:b/>
          <w:snapToGrid w:val="0"/>
          <w:szCs w:val="20"/>
        </w:rPr>
        <w:tab/>
      </w:r>
    </w:p>
    <w:p w:rsidR="00804D25" w:rsidRDefault="00804D25" w:rsidP="00804D25">
      <w:pPr>
        <w:tabs>
          <w:tab w:val="left" w:pos="567"/>
          <w:tab w:val="left" w:pos="1134"/>
        </w:tabs>
        <w:ind w:right="29"/>
        <w:jc w:val="center"/>
        <w:rPr>
          <w:b/>
          <w:szCs w:val="20"/>
        </w:rPr>
      </w:pPr>
      <w:r w:rsidRPr="00FA11AC">
        <w:rPr>
          <w:b/>
          <w:szCs w:val="20"/>
        </w:rPr>
        <w:t xml:space="preserve">CASO </w:t>
      </w:r>
      <w:r>
        <w:rPr>
          <w:b/>
          <w:szCs w:val="20"/>
          <w:lang w:val="es-CO"/>
        </w:rPr>
        <w:t xml:space="preserve">GALINDO CÁRDENAS </w:t>
      </w:r>
      <w:r w:rsidR="00593F0C">
        <w:rPr>
          <w:b/>
          <w:szCs w:val="20"/>
          <w:lang w:val="es-CO"/>
        </w:rPr>
        <w:t xml:space="preserve">Y </w:t>
      </w:r>
      <w:r w:rsidR="0078413A">
        <w:rPr>
          <w:b/>
          <w:szCs w:val="20"/>
          <w:lang w:val="es-CO"/>
        </w:rPr>
        <w:t xml:space="preserve">OTROS </w:t>
      </w:r>
      <w:r>
        <w:rPr>
          <w:b/>
          <w:szCs w:val="20"/>
          <w:lang w:val="es-CO"/>
        </w:rPr>
        <w:t>VS. PERÚ</w:t>
      </w:r>
      <w:r w:rsidRPr="00FA11AC">
        <w:rPr>
          <w:b/>
          <w:szCs w:val="20"/>
        </w:rPr>
        <w:t xml:space="preserve"> </w:t>
      </w:r>
    </w:p>
    <w:p w:rsidR="00804D25" w:rsidRPr="00FA11AC" w:rsidRDefault="00804D25" w:rsidP="00804D25">
      <w:pPr>
        <w:tabs>
          <w:tab w:val="left" w:pos="567"/>
          <w:tab w:val="left" w:pos="1134"/>
        </w:tabs>
        <w:ind w:right="29"/>
        <w:jc w:val="center"/>
        <w:rPr>
          <w:rFonts w:cs="Verdana"/>
          <w:bCs/>
          <w:caps/>
          <w:snapToGrid w:val="0"/>
          <w:sz w:val="16"/>
          <w:szCs w:val="16"/>
        </w:rPr>
      </w:pPr>
    </w:p>
    <w:p w:rsidR="00804D25" w:rsidRPr="00FA11AC" w:rsidRDefault="00804D25" w:rsidP="00804D25">
      <w:pPr>
        <w:tabs>
          <w:tab w:val="left" w:pos="567"/>
          <w:tab w:val="left" w:pos="1134"/>
          <w:tab w:val="center" w:pos="4680"/>
          <w:tab w:val="left" w:pos="8328"/>
        </w:tabs>
        <w:ind w:right="29"/>
        <w:jc w:val="center"/>
        <w:rPr>
          <w:b/>
          <w:snapToGrid w:val="0"/>
          <w:szCs w:val="20"/>
        </w:rPr>
      </w:pPr>
      <w:r w:rsidRPr="00FA11AC">
        <w:rPr>
          <w:b/>
          <w:snapToGrid w:val="0"/>
          <w:szCs w:val="20"/>
        </w:rPr>
        <w:t xml:space="preserve">SENTENCIA </w:t>
      </w:r>
      <w:r w:rsidR="009A0D9D">
        <w:rPr>
          <w:b/>
          <w:snapToGrid w:val="0"/>
          <w:szCs w:val="20"/>
        </w:rPr>
        <w:t>DE 2</w:t>
      </w:r>
      <w:r>
        <w:rPr>
          <w:b/>
          <w:snapToGrid w:val="0"/>
          <w:szCs w:val="20"/>
        </w:rPr>
        <w:t xml:space="preserve"> DE </w:t>
      </w:r>
      <w:r w:rsidR="009368B6">
        <w:rPr>
          <w:b/>
          <w:snapToGrid w:val="0"/>
          <w:szCs w:val="20"/>
        </w:rPr>
        <w:t xml:space="preserve">OCTUBRE </w:t>
      </w:r>
      <w:r>
        <w:rPr>
          <w:b/>
          <w:snapToGrid w:val="0"/>
          <w:szCs w:val="20"/>
        </w:rPr>
        <w:t>DE 2015</w:t>
      </w:r>
    </w:p>
    <w:p w:rsidR="00804D25" w:rsidRPr="00FA11AC" w:rsidRDefault="00804D25" w:rsidP="00804D25">
      <w:pPr>
        <w:tabs>
          <w:tab w:val="left" w:pos="567"/>
          <w:tab w:val="left" w:pos="1134"/>
        </w:tabs>
        <w:ind w:right="29"/>
        <w:jc w:val="center"/>
        <w:rPr>
          <w:b/>
          <w:caps/>
          <w:snapToGrid w:val="0"/>
          <w:szCs w:val="20"/>
        </w:rPr>
      </w:pPr>
      <w:r w:rsidRPr="00A33895">
        <w:rPr>
          <w:b/>
          <w:snapToGrid w:val="0"/>
          <w:szCs w:val="20"/>
        </w:rPr>
        <w:t>(</w:t>
      </w:r>
      <w:r w:rsidR="009A0D9D" w:rsidRPr="009A0D9D">
        <w:rPr>
          <w:b/>
          <w:i/>
          <w:snapToGrid w:val="0"/>
          <w:szCs w:val="20"/>
        </w:rPr>
        <w:t>Excepciones Preliminares</w:t>
      </w:r>
      <w:r w:rsidR="009A0D9D">
        <w:rPr>
          <w:b/>
          <w:snapToGrid w:val="0"/>
          <w:szCs w:val="20"/>
        </w:rPr>
        <w:t xml:space="preserve">, </w:t>
      </w:r>
      <w:r w:rsidR="009368B6">
        <w:rPr>
          <w:b/>
          <w:i/>
          <w:snapToGrid w:val="0"/>
          <w:szCs w:val="20"/>
        </w:rPr>
        <w:t>Fondo, Reparaciones y costas</w:t>
      </w:r>
      <w:r w:rsidR="00755EBF">
        <w:rPr>
          <w:b/>
          <w:i/>
          <w:snapToGrid w:val="0"/>
          <w:szCs w:val="20"/>
        </w:rPr>
        <w:t>)</w:t>
      </w:r>
    </w:p>
    <w:p w:rsidR="00804D25" w:rsidRPr="00FA11AC" w:rsidRDefault="00804D25" w:rsidP="00804D25">
      <w:pPr>
        <w:tabs>
          <w:tab w:val="left" w:pos="567"/>
          <w:tab w:val="left" w:pos="1134"/>
        </w:tabs>
        <w:ind w:right="29"/>
        <w:rPr>
          <w:smallCaps/>
          <w:szCs w:val="20"/>
        </w:rPr>
      </w:pPr>
    </w:p>
    <w:p w:rsidR="00804D25" w:rsidRPr="00FA11AC" w:rsidRDefault="00804D25" w:rsidP="00804D25">
      <w:pPr>
        <w:tabs>
          <w:tab w:val="left" w:pos="567"/>
          <w:tab w:val="left" w:pos="1134"/>
        </w:tabs>
        <w:ind w:right="29"/>
        <w:rPr>
          <w:szCs w:val="20"/>
        </w:rPr>
      </w:pPr>
    </w:p>
    <w:p w:rsidR="00804D25" w:rsidRPr="00FA11AC" w:rsidRDefault="00804D25" w:rsidP="00804D25">
      <w:pPr>
        <w:tabs>
          <w:tab w:val="left" w:pos="567"/>
          <w:tab w:val="left" w:pos="1134"/>
        </w:tabs>
        <w:ind w:right="29"/>
        <w:rPr>
          <w:szCs w:val="20"/>
        </w:rPr>
      </w:pPr>
    </w:p>
    <w:p w:rsidR="00804D25" w:rsidRPr="00FA11AC" w:rsidRDefault="00804D25" w:rsidP="00804D25">
      <w:pPr>
        <w:tabs>
          <w:tab w:val="left" w:pos="567"/>
          <w:tab w:val="left" w:pos="1134"/>
        </w:tabs>
        <w:ind w:right="29"/>
        <w:rPr>
          <w:szCs w:val="20"/>
        </w:rPr>
      </w:pPr>
      <w:r w:rsidRPr="00FA11AC">
        <w:rPr>
          <w:szCs w:val="20"/>
        </w:rPr>
        <w:t xml:space="preserve">En el caso </w:t>
      </w:r>
      <w:r>
        <w:rPr>
          <w:szCs w:val="20"/>
        </w:rPr>
        <w:t xml:space="preserve">de </w:t>
      </w:r>
      <w:r>
        <w:rPr>
          <w:i/>
          <w:szCs w:val="20"/>
        </w:rPr>
        <w:t xml:space="preserve">Galindo Cárdenas y </w:t>
      </w:r>
      <w:r w:rsidR="0078413A">
        <w:rPr>
          <w:i/>
          <w:szCs w:val="20"/>
        </w:rPr>
        <w:t>otros</w:t>
      </w:r>
      <w:r w:rsidRPr="00593F0C">
        <w:rPr>
          <w:szCs w:val="20"/>
        </w:rPr>
        <w:t>,</w:t>
      </w:r>
    </w:p>
    <w:p w:rsidR="00177AEF" w:rsidRPr="00FA11AC" w:rsidRDefault="00177AEF" w:rsidP="00804D25">
      <w:pPr>
        <w:tabs>
          <w:tab w:val="left" w:pos="567"/>
          <w:tab w:val="left" w:pos="1134"/>
        </w:tabs>
        <w:ind w:right="29"/>
        <w:rPr>
          <w:szCs w:val="20"/>
        </w:rPr>
      </w:pPr>
    </w:p>
    <w:p w:rsidR="00804D25" w:rsidRDefault="00804D25" w:rsidP="00804D25">
      <w:pPr>
        <w:tabs>
          <w:tab w:val="left" w:pos="567"/>
          <w:tab w:val="left" w:pos="1134"/>
        </w:tabs>
        <w:ind w:right="29"/>
        <w:rPr>
          <w:szCs w:val="20"/>
        </w:rPr>
      </w:pPr>
    </w:p>
    <w:p w:rsidR="00804D25" w:rsidRPr="00FA11AC" w:rsidRDefault="00804D25" w:rsidP="00804D25">
      <w:pPr>
        <w:tabs>
          <w:tab w:val="left" w:pos="567"/>
          <w:tab w:val="left" w:pos="1134"/>
        </w:tabs>
        <w:ind w:right="29"/>
        <w:rPr>
          <w:szCs w:val="20"/>
        </w:rPr>
      </w:pPr>
      <w:proofErr w:type="gramStart"/>
      <w:r w:rsidRPr="00FA11AC">
        <w:rPr>
          <w:szCs w:val="20"/>
        </w:rPr>
        <w:t>la</w:t>
      </w:r>
      <w:proofErr w:type="gramEnd"/>
      <w:r w:rsidRPr="00FA11AC">
        <w:rPr>
          <w:szCs w:val="20"/>
        </w:rPr>
        <w:t xml:space="preserve"> Corte Interamericana de Derechos Humanos (en adelante </w:t>
      </w:r>
      <w:r>
        <w:rPr>
          <w:szCs w:val="20"/>
        </w:rPr>
        <w:t xml:space="preserve">también </w:t>
      </w:r>
      <w:r w:rsidRPr="00FA11AC">
        <w:rPr>
          <w:szCs w:val="20"/>
        </w:rPr>
        <w:t xml:space="preserve">“la Corte Interamericana”, “la </w:t>
      </w:r>
      <w:r w:rsidRPr="005E29D4">
        <w:rPr>
          <w:szCs w:val="20"/>
        </w:rPr>
        <w:t>Corte” o “el Tribunal”),</w:t>
      </w:r>
      <w:r w:rsidRPr="00FA11AC">
        <w:rPr>
          <w:szCs w:val="20"/>
        </w:rPr>
        <w:t xml:space="preserve"> integrada por los siguientes jueces</w:t>
      </w:r>
      <w:r w:rsidRPr="00D615AB">
        <w:rPr>
          <w:rStyle w:val="FootnoteReference"/>
          <w:szCs w:val="20"/>
        </w:rPr>
        <w:footnoteReference w:customMarkFollows="1" w:id="1"/>
        <w:sym w:font="Symbol" w:char="F02A"/>
      </w:r>
      <w:r w:rsidRPr="00FA11AC">
        <w:rPr>
          <w:szCs w:val="20"/>
        </w:rPr>
        <w:t>:</w:t>
      </w:r>
    </w:p>
    <w:p w:rsidR="00804D25" w:rsidRPr="00FA11AC" w:rsidRDefault="00804D25" w:rsidP="00804D25">
      <w:pPr>
        <w:tabs>
          <w:tab w:val="left" w:pos="567"/>
          <w:tab w:val="left" w:pos="1134"/>
        </w:tabs>
        <w:ind w:right="29"/>
        <w:rPr>
          <w:szCs w:val="20"/>
        </w:rPr>
      </w:pPr>
    </w:p>
    <w:p w:rsidR="00804D25" w:rsidRPr="00FA11AC" w:rsidRDefault="00804D25" w:rsidP="00804D25">
      <w:pPr>
        <w:pStyle w:val="citaindirecta"/>
        <w:tabs>
          <w:tab w:val="left" w:pos="567"/>
          <w:tab w:val="left" w:pos="1134"/>
        </w:tabs>
        <w:ind w:left="709" w:right="29"/>
        <w:rPr>
          <w:lang w:val="es-ES"/>
        </w:rPr>
      </w:pPr>
      <w:r w:rsidRPr="00FA11AC">
        <w:rPr>
          <w:lang w:val="es-ES"/>
        </w:rPr>
        <w:t>Humberto Antonio Sierra Porto, Presidente;</w:t>
      </w:r>
    </w:p>
    <w:p w:rsidR="00804D25" w:rsidRPr="00FA11AC" w:rsidRDefault="00804D25" w:rsidP="00804D25">
      <w:pPr>
        <w:pStyle w:val="citaindirecta"/>
        <w:tabs>
          <w:tab w:val="left" w:pos="567"/>
          <w:tab w:val="left" w:pos="1134"/>
        </w:tabs>
        <w:ind w:left="709" w:right="29"/>
        <w:rPr>
          <w:lang w:val="es-ES"/>
        </w:rPr>
      </w:pPr>
      <w:r w:rsidRPr="00FA11AC">
        <w:rPr>
          <w:lang w:val="es-ES"/>
        </w:rPr>
        <w:t>Roberto F. Caldas, Vicepresidente;</w:t>
      </w:r>
    </w:p>
    <w:p w:rsidR="00825ED9" w:rsidRDefault="00804D25" w:rsidP="00DC06A0">
      <w:pPr>
        <w:pStyle w:val="citaindirecta"/>
        <w:tabs>
          <w:tab w:val="left" w:pos="567"/>
          <w:tab w:val="left" w:pos="1134"/>
          <w:tab w:val="left" w:pos="8381"/>
        </w:tabs>
        <w:ind w:right="29"/>
        <w:rPr>
          <w:lang w:val="es-ES"/>
        </w:rPr>
      </w:pPr>
      <w:r w:rsidRPr="00FA11AC">
        <w:rPr>
          <w:lang w:val="es-ES"/>
        </w:rPr>
        <w:t>Manuel E. Ventura Robles, Juez;</w:t>
      </w:r>
      <w:r w:rsidR="00825ED9" w:rsidRPr="00825ED9">
        <w:rPr>
          <w:lang w:val="es-ES"/>
        </w:rPr>
        <w:t xml:space="preserve"> </w:t>
      </w:r>
      <w:r w:rsidR="00DC06A0">
        <w:rPr>
          <w:lang w:val="es-ES"/>
        </w:rPr>
        <w:tab/>
      </w:r>
    </w:p>
    <w:p w:rsidR="00804D25" w:rsidRPr="00FA11AC" w:rsidRDefault="00825ED9" w:rsidP="00825ED9">
      <w:pPr>
        <w:pStyle w:val="citaindirecta"/>
        <w:tabs>
          <w:tab w:val="left" w:pos="567"/>
          <w:tab w:val="left" w:pos="1134"/>
        </w:tabs>
        <w:ind w:right="29"/>
        <w:rPr>
          <w:lang w:val="es-ES"/>
        </w:rPr>
      </w:pPr>
      <w:r>
        <w:rPr>
          <w:lang w:val="es-ES"/>
        </w:rPr>
        <w:t xml:space="preserve">Alberto Pérez </w:t>
      </w:r>
      <w:proofErr w:type="spellStart"/>
      <w:r>
        <w:rPr>
          <w:lang w:val="es-ES"/>
        </w:rPr>
        <w:t>Pérez</w:t>
      </w:r>
      <w:proofErr w:type="spellEnd"/>
      <w:r>
        <w:rPr>
          <w:lang w:val="es-ES"/>
        </w:rPr>
        <w:t>, Juez</w:t>
      </w:r>
      <w:r w:rsidR="009B7FFA">
        <w:rPr>
          <w:lang w:val="es-ES"/>
        </w:rPr>
        <w:t>;</w:t>
      </w:r>
    </w:p>
    <w:p w:rsidR="00804D25" w:rsidRPr="00FA11AC" w:rsidRDefault="00804D25" w:rsidP="00804D25">
      <w:pPr>
        <w:pStyle w:val="citaindirecta"/>
        <w:tabs>
          <w:tab w:val="left" w:pos="567"/>
          <w:tab w:val="left" w:pos="1134"/>
        </w:tabs>
        <w:ind w:right="29"/>
        <w:rPr>
          <w:lang w:val="es-ES"/>
        </w:rPr>
      </w:pPr>
      <w:r w:rsidRPr="00FA11AC">
        <w:rPr>
          <w:lang w:val="es-ES"/>
        </w:rPr>
        <w:t>Eduardo Vio Grossi, Juez, y</w:t>
      </w:r>
    </w:p>
    <w:p w:rsidR="00804D25" w:rsidRDefault="00804D25" w:rsidP="00804D25">
      <w:pPr>
        <w:pStyle w:val="citaindirecta"/>
        <w:tabs>
          <w:tab w:val="left" w:pos="567"/>
          <w:tab w:val="left" w:pos="1134"/>
        </w:tabs>
        <w:ind w:right="29"/>
        <w:rPr>
          <w:lang w:val="es-ES"/>
        </w:rPr>
      </w:pPr>
      <w:r w:rsidRPr="00FA11AC">
        <w:rPr>
          <w:lang w:val="es-ES"/>
        </w:rPr>
        <w:t>Eduardo Ferrer Mac-Gregor Poisot, Juez</w:t>
      </w:r>
      <w:r>
        <w:rPr>
          <w:lang w:val="es-ES"/>
        </w:rPr>
        <w:t>, y</w:t>
      </w:r>
    </w:p>
    <w:p w:rsidR="00804D25" w:rsidRDefault="00804D25" w:rsidP="00804D25">
      <w:pPr>
        <w:tabs>
          <w:tab w:val="left" w:pos="567"/>
          <w:tab w:val="left" w:pos="1134"/>
        </w:tabs>
        <w:ind w:right="29"/>
        <w:rPr>
          <w:szCs w:val="20"/>
        </w:rPr>
      </w:pPr>
    </w:p>
    <w:p w:rsidR="00804D25" w:rsidRPr="00FA11AC" w:rsidRDefault="00804D25" w:rsidP="00804D25">
      <w:pPr>
        <w:tabs>
          <w:tab w:val="left" w:pos="567"/>
          <w:tab w:val="left" w:pos="1134"/>
        </w:tabs>
        <w:ind w:right="29"/>
        <w:rPr>
          <w:szCs w:val="20"/>
        </w:rPr>
      </w:pPr>
    </w:p>
    <w:p w:rsidR="00804D25" w:rsidRPr="00FA11AC" w:rsidRDefault="00804D25" w:rsidP="00804D25">
      <w:pPr>
        <w:tabs>
          <w:tab w:val="left" w:pos="567"/>
          <w:tab w:val="left" w:pos="1134"/>
        </w:tabs>
        <w:ind w:right="29"/>
        <w:rPr>
          <w:szCs w:val="20"/>
        </w:rPr>
      </w:pPr>
      <w:proofErr w:type="gramStart"/>
      <w:r w:rsidRPr="00FA11AC">
        <w:rPr>
          <w:szCs w:val="20"/>
        </w:rPr>
        <w:t>presentes</w:t>
      </w:r>
      <w:proofErr w:type="gramEnd"/>
      <w:r w:rsidRPr="00FA11AC">
        <w:rPr>
          <w:szCs w:val="20"/>
        </w:rPr>
        <w:t xml:space="preserve"> además,</w:t>
      </w:r>
    </w:p>
    <w:p w:rsidR="00804D25" w:rsidRPr="00FA11AC" w:rsidRDefault="00804D25" w:rsidP="00804D25">
      <w:pPr>
        <w:tabs>
          <w:tab w:val="left" w:pos="567"/>
          <w:tab w:val="left" w:pos="1134"/>
        </w:tabs>
        <w:ind w:right="29"/>
        <w:rPr>
          <w:szCs w:val="20"/>
        </w:rPr>
      </w:pPr>
    </w:p>
    <w:p w:rsidR="00804D25" w:rsidRPr="00FA11AC" w:rsidRDefault="00804D25" w:rsidP="00804D25">
      <w:pPr>
        <w:tabs>
          <w:tab w:val="left" w:pos="567"/>
          <w:tab w:val="left" w:pos="720"/>
          <w:tab w:val="left" w:pos="1134"/>
        </w:tabs>
        <w:ind w:left="720" w:right="29"/>
        <w:rPr>
          <w:szCs w:val="20"/>
        </w:rPr>
      </w:pPr>
      <w:r w:rsidRPr="00FA11AC">
        <w:rPr>
          <w:szCs w:val="20"/>
        </w:rPr>
        <w:t>Pablo Saavedra Alessandri, Secretario, y</w:t>
      </w:r>
    </w:p>
    <w:p w:rsidR="00804D25" w:rsidRPr="00FA11AC" w:rsidRDefault="00804D25" w:rsidP="00804D25">
      <w:pPr>
        <w:tabs>
          <w:tab w:val="left" w:pos="567"/>
          <w:tab w:val="left" w:pos="720"/>
          <w:tab w:val="left" w:pos="1134"/>
        </w:tabs>
        <w:ind w:left="720" w:right="29"/>
        <w:rPr>
          <w:szCs w:val="20"/>
        </w:rPr>
      </w:pPr>
      <w:r w:rsidRPr="00FA11AC">
        <w:rPr>
          <w:szCs w:val="20"/>
        </w:rPr>
        <w:t>Emilia Segares Rodríguez, Secretaria Adjunta;</w:t>
      </w:r>
    </w:p>
    <w:p w:rsidR="00804D25" w:rsidRDefault="00804D25" w:rsidP="00804D25">
      <w:pPr>
        <w:tabs>
          <w:tab w:val="left" w:pos="567"/>
          <w:tab w:val="left" w:pos="1134"/>
        </w:tabs>
        <w:ind w:right="29"/>
        <w:rPr>
          <w:szCs w:val="20"/>
        </w:rPr>
      </w:pPr>
    </w:p>
    <w:p w:rsidR="00804D25" w:rsidRPr="00FA11AC" w:rsidRDefault="00804D25" w:rsidP="00804D25">
      <w:pPr>
        <w:tabs>
          <w:tab w:val="left" w:pos="567"/>
          <w:tab w:val="left" w:pos="1134"/>
        </w:tabs>
        <w:ind w:right="29"/>
        <w:rPr>
          <w:szCs w:val="20"/>
        </w:rPr>
      </w:pPr>
    </w:p>
    <w:p w:rsidR="00804D25" w:rsidRDefault="00C837D6" w:rsidP="00804D25">
      <w:pPr>
        <w:tabs>
          <w:tab w:val="left" w:pos="567"/>
          <w:tab w:val="left" w:pos="1134"/>
        </w:tabs>
        <w:ind w:right="29"/>
        <w:rPr>
          <w:rFonts w:cs="Verdana"/>
          <w:szCs w:val="20"/>
        </w:rPr>
      </w:pPr>
      <w:proofErr w:type="gramStart"/>
      <w:r w:rsidRPr="005A23DE">
        <w:rPr>
          <w:rFonts w:cs="Verdana"/>
        </w:rPr>
        <w:t>de</w:t>
      </w:r>
      <w:proofErr w:type="gramEnd"/>
      <w:r w:rsidRPr="005A23DE">
        <w:rPr>
          <w:rFonts w:cs="Verdana"/>
        </w:rPr>
        <w:t xml:space="preserve"> conformidad con </w:t>
      </w:r>
      <w:r w:rsidR="008F28A5">
        <w:rPr>
          <w:rFonts w:cs="Verdana"/>
        </w:rPr>
        <w:t>los</w:t>
      </w:r>
      <w:r>
        <w:rPr>
          <w:rFonts w:cs="Verdana"/>
        </w:rPr>
        <w:t xml:space="preserve"> </w:t>
      </w:r>
      <w:r w:rsidRPr="00A33895">
        <w:rPr>
          <w:rFonts w:cs="Verdana"/>
        </w:rPr>
        <w:t>artículo</w:t>
      </w:r>
      <w:r w:rsidR="008F28A5">
        <w:rPr>
          <w:rFonts w:cs="Verdana"/>
        </w:rPr>
        <w:t>s</w:t>
      </w:r>
      <w:r w:rsidRPr="00A33895">
        <w:rPr>
          <w:rFonts w:cs="Verdana"/>
        </w:rPr>
        <w:t xml:space="preserve"> 62.3 </w:t>
      </w:r>
      <w:r w:rsidR="008F28A5">
        <w:rPr>
          <w:rFonts w:cs="Verdana"/>
        </w:rPr>
        <w:t xml:space="preserve">y 63.1 </w:t>
      </w:r>
      <w:r w:rsidRPr="00A33895">
        <w:rPr>
          <w:rFonts w:cs="Verdana"/>
        </w:rPr>
        <w:t xml:space="preserve">de la Convención Americana sobre Derechos Humanos (en adelante también “la Convención Americana” o “la Convención”) </w:t>
      </w:r>
      <w:r w:rsidR="009368B6">
        <w:rPr>
          <w:rFonts w:cs="Verdana"/>
        </w:rPr>
        <w:t xml:space="preserve">y con los artículos 31, 32, </w:t>
      </w:r>
      <w:r w:rsidR="008F28A5">
        <w:rPr>
          <w:rFonts w:cs="Verdana"/>
        </w:rPr>
        <w:t xml:space="preserve">42, </w:t>
      </w:r>
      <w:r w:rsidRPr="00A33895">
        <w:rPr>
          <w:rFonts w:cs="Verdana"/>
        </w:rPr>
        <w:t>65 y 67 del Reglamento de la Corte (en adelante “el Reglamento”)</w:t>
      </w:r>
      <w:r w:rsidR="00804D25" w:rsidRPr="00A33895">
        <w:rPr>
          <w:rFonts w:cs="Verdana"/>
          <w:szCs w:val="20"/>
        </w:rPr>
        <w:t>, dicta la presente Sentencia que se estructura en el siguiente orden:</w:t>
      </w:r>
    </w:p>
    <w:p w:rsidR="00804D25" w:rsidRDefault="00804D25" w:rsidP="00804D25">
      <w:pPr>
        <w:tabs>
          <w:tab w:val="left" w:pos="567"/>
          <w:tab w:val="left" w:pos="1134"/>
        </w:tabs>
        <w:ind w:right="29"/>
        <w:rPr>
          <w:rFonts w:cs="Verdana"/>
          <w:szCs w:val="20"/>
        </w:rPr>
      </w:pPr>
    </w:p>
    <w:p w:rsidR="00804D25" w:rsidRDefault="00804D25" w:rsidP="00804D25">
      <w:pPr>
        <w:tabs>
          <w:tab w:val="left" w:pos="567"/>
          <w:tab w:val="left" w:pos="1134"/>
        </w:tabs>
        <w:ind w:right="29"/>
        <w:rPr>
          <w:rFonts w:cs="Verdana"/>
          <w:szCs w:val="20"/>
        </w:rPr>
      </w:pPr>
    </w:p>
    <w:p w:rsidR="00804D25" w:rsidRDefault="00804D25" w:rsidP="00804D25">
      <w:pPr>
        <w:tabs>
          <w:tab w:val="left" w:pos="567"/>
          <w:tab w:val="left" w:pos="1134"/>
        </w:tabs>
        <w:ind w:right="29"/>
        <w:rPr>
          <w:rFonts w:cs="Verdana"/>
          <w:szCs w:val="20"/>
        </w:rPr>
      </w:pPr>
    </w:p>
    <w:p w:rsidR="00804D25" w:rsidRDefault="00804D25" w:rsidP="00804D25">
      <w:pPr>
        <w:tabs>
          <w:tab w:val="left" w:pos="567"/>
          <w:tab w:val="left" w:pos="1134"/>
        </w:tabs>
        <w:ind w:right="29"/>
        <w:rPr>
          <w:rFonts w:cs="Verdana"/>
          <w:szCs w:val="20"/>
        </w:rPr>
      </w:pPr>
    </w:p>
    <w:p w:rsidR="00804D25" w:rsidRDefault="00804D25" w:rsidP="00804D25">
      <w:pPr>
        <w:tabs>
          <w:tab w:val="left" w:pos="567"/>
          <w:tab w:val="left" w:pos="1134"/>
        </w:tabs>
        <w:ind w:right="29"/>
        <w:rPr>
          <w:rFonts w:cs="Verdana"/>
          <w:szCs w:val="20"/>
        </w:rPr>
      </w:pPr>
    </w:p>
    <w:p w:rsidR="00804D25" w:rsidRDefault="00804D25" w:rsidP="00804D25">
      <w:pPr>
        <w:tabs>
          <w:tab w:val="left" w:pos="567"/>
          <w:tab w:val="left" w:pos="1134"/>
        </w:tabs>
        <w:ind w:right="29"/>
        <w:rPr>
          <w:rFonts w:cs="Verdana"/>
          <w:szCs w:val="20"/>
        </w:rPr>
      </w:pPr>
    </w:p>
    <w:p w:rsidR="00804D25" w:rsidRDefault="00804D25" w:rsidP="00804D25">
      <w:pPr>
        <w:tabs>
          <w:tab w:val="left" w:pos="567"/>
          <w:tab w:val="left" w:pos="1134"/>
        </w:tabs>
        <w:ind w:right="29"/>
        <w:rPr>
          <w:rFonts w:cs="Verdana"/>
          <w:szCs w:val="20"/>
        </w:rPr>
      </w:pPr>
    </w:p>
    <w:p w:rsidR="00804D25" w:rsidRDefault="00804D25" w:rsidP="00804D25">
      <w:pPr>
        <w:tabs>
          <w:tab w:val="left" w:pos="567"/>
          <w:tab w:val="left" w:pos="1134"/>
        </w:tabs>
        <w:ind w:right="29"/>
        <w:rPr>
          <w:rFonts w:cs="Verdana"/>
          <w:szCs w:val="20"/>
        </w:rPr>
      </w:pPr>
    </w:p>
    <w:p w:rsidR="00804D25" w:rsidRPr="0017537A" w:rsidRDefault="00CC7210" w:rsidP="0017537A">
      <w:pPr>
        <w:tabs>
          <w:tab w:val="left" w:pos="567"/>
          <w:tab w:val="left" w:pos="1134"/>
        </w:tabs>
        <w:ind w:right="29"/>
        <w:jc w:val="center"/>
        <w:rPr>
          <w:rFonts w:cs="Verdana"/>
          <w:b/>
          <w:szCs w:val="20"/>
        </w:rPr>
      </w:pPr>
      <w:r w:rsidRPr="0017537A">
        <w:rPr>
          <w:rFonts w:cs="Verdana"/>
          <w:b/>
          <w:szCs w:val="20"/>
        </w:rPr>
        <w:lastRenderedPageBreak/>
        <w:t>TABLA DE CONTENIDO</w:t>
      </w:r>
    </w:p>
    <w:p w:rsidR="00804D25" w:rsidRPr="0017537A" w:rsidRDefault="00804D25" w:rsidP="0017537A">
      <w:pPr>
        <w:pStyle w:val="Heading1"/>
        <w:ind w:right="29"/>
        <w:jc w:val="both"/>
        <w:rPr>
          <w:rFonts w:eastAsia="Calibri"/>
          <w:caps/>
          <w:kern w:val="0"/>
          <w:szCs w:val="20"/>
          <w:u w:val="single"/>
          <w:lang w:val="es-CR"/>
        </w:rPr>
      </w:pPr>
      <w:bookmarkStart w:id="1" w:name="_Toc315133574"/>
      <w:bookmarkStart w:id="2" w:name="_Toc319619449"/>
      <w:bookmarkStart w:id="3" w:name="_Toc324426932"/>
      <w:bookmarkStart w:id="4" w:name="_Toc338072186"/>
      <w:bookmarkStart w:id="5" w:name="_Toc393212527"/>
      <w:bookmarkStart w:id="6" w:name="_Toc393227752"/>
      <w:bookmarkStart w:id="7" w:name="_Toc393232756"/>
      <w:bookmarkStart w:id="8" w:name="_Toc400724987"/>
      <w:bookmarkStart w:id="9" w:name="_Toc415503947"/>
      <w:bookmarkStart w:id="10" w:name="_Toc415507350"/>
      <w:bookmarkStart w:id="11" w:name="_Toc418530440"/>
      <w:bookmarkStart w:id="12" w:name="_Toc420941702"/>
    </w:p>
    <w:p w:rsidR="0074580F" w:rsidRPr="00922586" w:rsidRDefault="00BB4744" w:rsidP="00922586">
      <w:pPr>
        <w:pStyle w:val="TOC1"/>
        <w:spacing w:before="0" w:after="0"/>
        <w:rPr>
          <w:rFonts w:eastAsiaTheme="minorEastAsia" w:cstheme="minorBidi"/>
          <w:u w:val="none"/>
          <w:lang w:val="es-CR" w:eastAsia="es-CR"/>
        </w:rPr>
      </w:pPr>
      <w:r w:rsidRPr="000A2D66">
        <w:rPr>
          <w:sz w:val="20"/>
          <w:szCs w:val="20"/>
          <w:lang w:val="es-CR"/>
        </w:rPr>
        <w:fldChar w:fldCharType="begin"/>
      </w:r>
      <w:r w:rsidR="00CE68AB" w:rsidRPr="000A2D66">
        <w:rPr>
          <w:sz w:val="20"/>
          <w:szCs w:val="20"/>
          <w:lang w:val="es-CR"/>
        </w:rPr>
        <w:instrText xml:space="preserve"> TOC \o \h \z \u </w:instrText>
      </w:r>
      <w:r w:rsidRPr="000A2D66">
        <w:rPr>
          <w:sz w:val="20"/>
          <w:szCs w:val="20"/>
          <w:lang w:val="es-CR"/>
        </w:rPr>
        <w:fldChar w:fldCharType="separate"/>
      </w:r>
      <w:hyperlink w:anchor="_Toc438129678" w:history="1">
        <w:r w:rsidR="0074580F" w:rsidRPr="00922586">
          <w:rPr>
            <w:rStyle w:val="Hyperlink"/>
          </w:rPr>
          <w:t>I INTRODUCCIÓN DE LA CAUSA Y OBJETO DE LA CONTROVERSIA</w:t>
        </w:r>
        <w:r w:rsidR="0074580F" w:rsidRPr="00922586">
          <w:rPr>
            <w:webHidden/>
          </w:rPr>
          <w:tab/>
        </w:r>
        <w:r w:rsidR="0074580F" w:rsidRPr="00922586">
          <w:rPr>
            <w:webHidden/>
          </w:rPr>
          <w:fldChar w:fldCharType="begin"/>
        </w:r>
        <w:r w:rsidR="0074580F" w:rsidRPr="00922586">
          <w:rPr>
            <w:webHidden/>
          </w:rPr>
          <w:instrText xml:space="preserve"> PAGEREF _Toc438129678 \h </w:instrText>
        </w:r>
        <w:r w:rsidR="0074580F" w:rsidRPr="00922586">
          <w:rPr>
            <w:webHidden/>
          </w:rPr>
        </w:r>
        <w:r w:rsidR="0074580F" w:rsidRPr="00922586">
          <w:rPr>
            <w:webHidden/>
          </w:rPr>
          <w:fldChar w:fldCharType="separate"/>
        </w:r>
        <w:r w:rsidR="00DC5A67">
          <w:rPr>
            <w:webHidden/>
          </w:rPr>
          <w:t>4</w:t>
        </w:r>
        <w:r w:rsidR="0074580F" w:rsidRPr="00922586">
          <w:rPr>
            <w:webHidden/>
          </w:rPr>
          <w:fldChar w:fldCharType="end"/>
        </w:r>
      </w:hyperlink>
    </w:p>
    <w:p w:rsidR="0074580F" w:rsidRPr="00922586" w:rsidRDefault="00AD4925" w:rsidP="00922586">
      <w:pPr>
        <w:pStyle w:val="TOC1"/>
        <w:spacing w:before="0" w:after="0"/>
        <w:rPr>
          <w:rFonts w:eastAsiaTheme="minorEastAsia" w:cstheme="minorBidi"/>
          <w:u w:val="none"/>
          <w:lang w:val="es-CR" w:eastAsia="es-CR"/>
        </w:rPr>
      </w:pPr>
      <w:hyperlink w:anchor="_Toc438129679" w:history="1">
        <w:r w:rsidR="0074580F" w:rsidRPr="00922586">
          <w:rPr>
            <w:rStyle w:val="Hyperlink"/>
          </w:rPr>
          <w:t>II PROCEDIMIENTO ANTE LA CORTE</w:t>
        </w:r>
        <w:r w:rsidR="0074580F" w:rsidRPr="00922586">
          <w:rPr>
            <w:webHidden/>
          </w:rPr>
          <w:tab/>
        </w:r>
        <w:r w:rsidR="0074580F" w:rsidRPr="00922586">
          <w:rPr>
            <w:webHidden/>
          </w:rPr>
          <w:fldChar w:fldCharType="begin"/>
        </w:r>
        <w:r w:rsidR="0074580F" w:rsidRPr="00922586">
          <w:rPr>
            <w:webHidden/>
          </w:rPr>
          <w:instrText xml:space="preserve"> PAGEREF _Toc438129679 \h </w:instrText>
        </w:r>
        <w:r w:rsidR="0074580F" w:rsidRPr="00922586">
          <w:rPr>
            <w:webHidden/>
          </w:rPr>
        </w:r>
        <w:r w:rsidR="0074580F" w:rsidRPr="00922586">
          <w:rPr>
            <w:webHidden/>
          </w:rPr>
          <w:fldChar w:fldCharType="separate"/>
        </w:r>
        <w:r w:rsidR="00DC5A67">
          <w:rPr>
            <w:webHidden/>
          </w:rPr>
          <w:t>5</w:t>
        </w:r>
        <w:r w:rsidR="0074580F" w:rsidRPr="00922586">
          <w:rPr>
            <w:webHidden/>
          </w:rPr>
          <w:fldChar w:fldCharType="end"/>
        </w:r>
      </w:hyperlink>
    </w:p>
    <w:p w:rsidR="0074580F" w:rsidRPr="00922586" w:rsidRDefault="00AD4925" w:rsidP="00922586">
      <w:pPr>
        <w:pStyle w:val="TOC1"/>
        <w:spacing w:before="0" w:after="0"/>
        <w:rPr>
          <w:rFonts w:eastAsiaTheme="minorEastAsia" w:cstheme="minorBidi"/>
          <w:u w:val="none"/>
          <w:lang w:val="es-CR" w:eastAsia="es-CR"/>
        </w:rPr>
      </w:pPr>
      <w:hyperlink w:anchor="_Toc438129680" w:history="1">
        <w:r w:rsidR="0074580F" w:rsidRPr="00922586">
          <w:rPr>
            <w:rStyle w:val="Hyperlink"/>
          </w:rPr>
          <w:t>III COMPETENCIA</w:t>
        </w:r>
        <w:r w:rsidR="0074580F" w:rsidRPr="00922586">
          <w:rPr>
            <w:webHidden/>
          </w:rPr>
          <w:tab/>
        </w:r>
        <w:r w:rsidR="0074580F" w:rsidRPr="00922586">
          <w:rPr>
            <w:webHidden/>
          </w:rPr>
          <w:fldChar w:fldCharType="begin"/>
        </w:r>
        <w:r w:rsidR="0074580F" w:rsidRPr="00922586">
          <w:rPr>
            <w:webHidden/>
          </w:rPr>
          <w:instrText xml:space="preserve"> PAGEREF _Toc438129680 \h </w:instrText>
        </w:r>
        <w:r w:rsidR="0074580F" w:rsidRPr="00922586">
          <w:rPr>
            <w:webHidden/>
          </w:rPr>
        </w:r>
        <w:r w:rsidR="0074580F" w:rsidRPr="00922586">
          <w:rPr>
            <w:webHidden/>
          </w:rPr>
          <w:fldChar w:fldCharType="separate"/>
        </w:r>
        <w:r w:rsidR="00DC5A67">
          <w:rPr>
            <w:webHidden/>
          </w:rPr>
          <w:t>7</w:t>
        </w:r>
        <w:r w:rsidR="0074580F" w:rsidRPr="00922586">
          <w:rPr>
            <w:webHidden/>
          </w:rPr>
          <w:fldChar w:fldCharType="end"/>
        </w:r>
      </w:hyperlink>
    </w:p>
    <w:p w:rsidR="0074580F" w:rsidRPr="00922586" w:rsidRDefault="0074580F" w:rsidP="00922586">
      <w:pPr>
        <w:pStyle w:val="TOC1"/>
        <w:spacing w:before="0" w:after="0"/>
        <w:rPr>
          <w:rFonts w:eastAsiaTheme="minorEastAsia" w:cstheme="minorBidi"/>
          <w:u w:val="none"/>
          <w:lang w:val="es-CR" w:eastAsia="es-CR"/>
        </w:rPr>
      </w:pPr>
      <w:r w:rsidRPr="00922586">
        <w:rPr>
          <w:rStyle w:val="Hyperlink"/>
          <w:color w:val="auto"/>
        </w:rPr>
        <w:t xml:space="preserve">VI </w:t>
      </w:r>
      <w:hyperlink w:anchor="_Toc438129682" w:history="1">
        <w:r w:rsidRPr="00922586">
          <w:rPr>
            <w:rStyle w:val="Hyperlink"/>
            <w:color w:val="auto"/>
          </w:rPr>
          <w:t>EXCEPCIONES PRELIMINARES</w:t>
        </w:r>
        <w:r w:rsidRPr="00922586">
          <w:rPr>
            <w:webHidden/>
          </w:rPr>
          <w:tab/>
        </w:r>
        <w:r w:rsidRPr="00922586">
          <w:rPr>
            <w:webHidden/>
          </w:rPr>
          <w:fldChar w:fldCharType="begin"/>
        </w:r>
        <w:r w:rsidRPr="00922586">
          <w:rPr>
            <w:webHidden/>
          </w:rPr>
          <w:instrText xml:space="preserve"> PAGEREF _Toc438129682 \h </w:instrText>
        </w:r>
        <w:r w:rsidRPr="00922586">
          <w:rPr>
            <w:webHidden/>
          </w:rPr>
        </w:r>
        <w:r w:rsidRPr="00922586">
          <w:rPr>
            <w:webHidden/>
          </w:rPr>
          <w:fldChar w:fldCharType="separate"/>
        </w:r>
        <w:r w:rsidR="00DC5A67">
          <w:rPr>
            <w:webHidden/>
          </w:rPr>
          <w:t>8</w:t>
        </w:r>
        <w:r w:rsidRPr="00922586">
          <w:rPr>
            <w:webHidden/>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683" w:history="1">
        <w:r w:rsidR="0074580F" w:rsidRPr="00922586">
          <w:rPr>
            <w:rStyle w:val="Hyperlink"/>
            <w:rFonts w:asciiTheme="minorHAnsi" w:hAnsiTheme="minorHAnsi"/>
            <w:sz w:val="22"/>
            <w:szCs w:val="22"/>
            <w:lang w:val="es-MX"/>
          </w:rPr>
          <w:t>A)</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lang w:val="es-MX"/>
          </w:rPr>
          <w:t>Alegatos sobre la excepción de falta de agotamiento de recursos internos</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_Toc438129683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8</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684" w:history="1">
        <w:r w:rsidR="0074580F" w:rsidRPr="00922586">
          <w:rPr>
            <w:rStyle w:val="Hyperlink"/>
            <w:rFonts w:asciiTheme="minorHAnsi" w:hAnsiTheme="minorHAnsi"/>
            <w:sz w:val="22"/>
            <w:szCs w:val="22"/>
            <w:lang w:val="es-MX"/>
          </w:rPr>
          <w:t>B)</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lang w:val="es-MX"/>
          </w:rPr>
          <w:t>Alegatos sobre la caducidad del plazo para presentar petición inicial</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_Toc438129684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9</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685" w:history="1">
        <w:r w:rsidR="0074580F" w:rsidRPr="00922586">
          <w:rPr>
            <w:rStyle w:val="Hyperlink"/>
            <w:rFonts w:asciiTheme="minorHAnsi" w:hAnsiTheme="minorHAnsi"/>
            <w:sz w:val="22"/>
            <w:szCs w:val="22"/>
            <w:lang w:val="es-CL"/>
          </w:rPr>
          <w:t>C)</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lang w:val="es-CL"/>
          </w:rPr>
          <w:t>Consideraciones de la Corte</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_Toc438129685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10</w:t>
        </w:r>
        <w:r w:rsidR="0074580F" w:rsidRPr="00922586">
          <w:rPr>
            <w:rFonts w:asciiTheme="minorHAnsi" w:hAnsiTheme="minorHAnsi"/>
            <w:webHidden/>
            <w:sz w:val="22"/>
            <w:szCs w:val="22"/>
          </w:rPr>
          <w:fldChar w:fldCharType="end"/>
        </w:r>
      </w:hyperlink>
    </w:p>
    <w:p w:rsidR="0074580F" w:rsidRPr="00922586" w:rsidRDefault="00AD4925" w:rsidP="00922586">
      <w:pPr>
        <w:pStyle w:val="TOC1"/>
        <w:spacing w:before="0" w:after="0"/>
        <w:rPr>
          <w:rFonts w:eastAsiaTheme="minorEastAsia" w:cstheme="minorBidi"/>
          <w:u w:val="none"/>
          <w:lang w:val="es-CR" w:eastAsia="es-CR"/>
        </w:rPr>
      </w:pPr>
      <w:hyperlink w:anchor="_Toc438129686" w:history="1">
        <w:r w:rsidR="0074580F" w:rsidRPr="00922586">
          <w:rPr>
            <w:rStyle w:val="Hyperlink"/>
          </w:rPr>
          <w:t>V</w:t>
        </w:r>
        <w:r w:rsidR="0074580F" w:rsidRPr="00922586">
          <w:t xml:space="preserve"> </w:t>
        </w:r>
        <w:r w:rsidR="0074580F" w:rsidRPr="00922586">
          <w:rPr>
            <w:rStyle w:val="Hyperlink"/>
          </w:rPr>
          <w:t>CONSIDERACIONES PREVIAS</w:t>
        </w:r>
        <w:r w:rsidR="0074580F" w:rsidRPr="00922586">
          <w:rPr>
            <w:webHidden/>
          </w:rPr>
          <w:tab/>
        </w:r>
      </w:hyperlink>
      <w:r w:rsidR="0074580F" w:rsidRPr="00922586">
        <w:rPr>
          <w:rStyle w:val="Hyperlink"/>
        </w:rPr>
        <w:t xml:space="preserve"> </w:t>
      </w:r>
      <w:hyperlink w:anchor="_Toc438129687" w:history="1">
        <w:r w:rsidR="0074580F" w:rsidRPr="00922586">
          <w:rPr>
            <w:webHidden/>
          </w:rPr>
          <w:fldChar w:fldCharType="begin"/>
        </w:r>
        <w:r w:rsidR="0074580F" w:rsidRPr="00922586">
          <w:rPr>
            <w:webHidden/>
          </w:rPr>
          <w:instrText xml:space="preserve"> PAGEREF _Toc438129687 \h </w:instrText>
        </w:r>
        <w:r w:rsidR="0074580F" w:rsidRPr="00922586">
          <w:rPr>
            <w:webHidden/>
          </w:rPr>
        </w:r>
        <w:r w:rsidR="0074580F" w:rsidRPr="00922586">
          <w:rPr>
            <w:webHidden/>
          </w:rPr>
          <w:fldChar w:fldCharType="separate"/>
        </w:r>
        <w:r w:rsidR="00DC5A67">
          <w:rPr>
            <w:webHidden/>
          </w:rPr>
          <w:t>19</w:t>
        </w:r>
        <w:r w:rsidR="0074580F" w:rsidRPr="00922586">
          <w:rPr>
            <w:webHidden/>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688" w:history="1">
        <w:r w:rsidR="0074580F" w:rsidRPr="00922586">
          <w:rPr>
            <w:rStyle w:val="Hyperlink"/>
            <w:rFonts w:asciiTheme="minorHAnsi" w:hAnsiTheme="minorHAnsi"/>
            <w:sz w:val="22"/>
            <w:szCs w:val="22"/>
          </w:rPr>
          <w:t>A)</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Determinación de las Presuntas víctimas</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_Toc438129688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19</w:t>
        </w:r>
        <w:r w:rsidR="0074580F" w:rsidRPr="00922586">
          <w:rPr>
            <w:rFonts w:asciiTheme="minorHAnsi" w:hAnsiTheme="minorHAnsi"/>
            <w:webHidden/>
            <w:sz w:val="22"/>
            <w:szCs w:val="22"/>
          </w:rPr>
          <w:fldChar w:fldCharType="end"/>
        </w:r>
      </w:hyperlink>
    </w:p>
    <w:p w:rsidR="0074580F" w:rsidRPr="00922586" w:rsidRDefault="00AD4925" w:rsidP="00922586">
      <w:pPr>
        <w:pStyle w:val="TOC3"/>
        <w:tabs>
          <w:tab w:val="right" w:leader="dot" w:pos="9350"/>
        </w:tabs>
        <w:rPr>
          <w:rFonts w:eastAsiaTheme="minorEastAsia" w:cstheme="minorBidi"/>
          <w:smallCaps w:val="0"/>
          <w:noProof/>
          <w:lang w:val="es-CR" w:eastAsia="es-CR"/>
        </w:rPr>
      </w:pPr>
      <w:hyperlink w:anchor="_Toc438129689" w:history="1">
        <w:r w:rsidR="0074580F" w:rsidRPr="00922586">
          <w:rPr>
            <w:rStyle w:val="Hyperlink"/>
            <w:i/>
            <w:noProof/>
            <w:lang w:val="es-CR"/>
          </w:rPr>
          <w:t>A.1. Argumentos del Estado</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_Toc438129689 \h </w:instrText>
        </w:r>
        <w:r w:rsidR="0074580F" w:rsidRPr="00922586">
          <w:rPr>
            <w:noProof/>
            <w:webHidden/>
          </w:rPr>
        </w:r>
        <w:r w:rsidR="0074580F" w:rsidRPr="00922586">
          <w:rPr>
            <w:noProof/>
            <w:webHidden/>
          </w:rPr>
          <w:fldChar w:fldCharType="separate"/>
        </w:r>
        <w:r w:rsidR="00DC5A67">
          <w:rPr>
            <w:noProof/>
            <w:webHidden/>
          </w:rPr>
          <w:t>19</w:t>
        </w:r>
        <w:r w:rsidR="0074580F" w:rsidRPr="00922586">
          <w:rPr>
            <w:noProof/>
            <w:webHidden/>
          </w:rPr>
          <w:fldChar w:fldCharType="end"/>
        </w:r>
      </w:hyperlink>
    </w:p>
    <w:p w:rsidR="0074580F" w:rsidRPr="00922586" w:rsidRDefault="00AD4925" w:rsidP="00922586">
      <w:pPr>
        <w:pStyle w:val="TOC3"/>
        <w:tabs>
          <w:tab w:val="right" w:leader="dot" w:pos="9350"/>
        </w:tabs>
        <w:rPr>
          <w:rFonts w:eastAsiaTheme="minorEastAsia" w:cstheme="minorBidi"/>
          <w:smallCaps w:val="0"/>
          <w:noProof/>
          <w:lang w:val="es-CR" w:eastAsia="es-CR"/>
        </w:rPr>
      </w:pPr>
      <w:hyperlink w:anchor="_Toc438129690" w:history="1">
        <w:r w:rsidR="0074580F" w:rsidRPr="00922586">
          <w:rPr>
            <w:rStyle w:val="Hyperlink"/>
            <w:i/>
            <w:noProof/>
            <w:lang w:val="es-CR"/>
          </w:rPr>
          <w:t>A.2. Consideraciones de la Corte</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_Toc438129690 \h </w:instrText>
        </w:r>
        <w:r w:rsidR="0074580F" w:rsidRPr="00922586">
          <w:rPr>
            <w:noProof/>
            <w:webHidden/>
          </w:rPr>
        </w:r>
        <w:r w:rsidR="0074580F" w:rsidRPr="00922586">
          <w:rPr>
            <w:noProof/>
            <w:webHidden/>
          </w:rPr>
          <w:fldChar w:fldCharType="separate"/>
        </w:r>
        <w:r w:rsidR="00DC5A67">
          <w:rPr>
            <w:noProof/>
            <w:webHidden/>
          </w:rPr>
          <w:t>19</w:t>
        </w:r>
        <w:r w:rsidR="0074580F" w:rsidRPr="00922586">
          <w:rPr>
            <w:noProof/>
            <w:webHidden/>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691" w:history="1">
        <w:r w:rsidR="0074580F" w:rsidRPr="00922586">
          <w:rPr>
            <w:rStyle w:val="Hyperlink"/>
            <w:rFonts w:asciiTheme="minorHAnsi" w:hAnsiTheme="minorHAnsi"/>
            <w:sz w:val="22"/>
            <w:szCs w:val="22"/>
          </w:rPr>
          <w:t>B) Alegadas inexactitudes contenidas en el Informe de Fondo No. 57/12</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_Toc438129691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20</w:t>
        </w:r>
        <w:r w:rsidR="0074580F" w:rsidRPr="00922586">
          <w:rPr>
            <w:rFonts w:asciiTheme="minorHAnsi" w:hAnsiTheme="minorHAnsi"/>
            <w:webHidden/>
            <w:sz w:val="22"/>
            <w:szCs w:val="22"/>
          </w:rPr>
          <w:fldChar w:fldCharType="end"/>
        </w:r>
      </w:hyperlink>
    </w:p>
    <w:p w:rsidR="0074580F" w:rsidRPr="00922586" w:rsidRDefault="00AD4925" w:rsidP="00922586">
      <w:pPr>
        <w:pStyle w:val="TOC3"/>
        <w:tabs>
          <w:tab w:val="right" w:leader="dot" w:pos="9350"/>
        </w:tabs>
        <w:rPr>
          <w:rFonts w:eastAsiaTheme="minorEastAsia" w:cstheme="minorBidi"/>
          <w:smallCaps w:val="0"/>
          <w:noProof/>
          <w:lang w:val="es-CR" w:eastAsia="es-CR"/>
        </w:rPr>
      </w:pPr>
      <w:hyperlink w:anchor="_Toc438129692" w:history="1">
        <w:r w:rsidR="0074580F" w:rsidRPr="00922586">
          <w:rPr>
            <w:rStyle w:val="Hyperlink"/>
            <w:i/>
            <w:noProof/>
          </w:rPr>
          <w:t>B.1. Argumentos del Estado</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_Toc438129692 \h </w:instrText>
        </w:r>
        <w:r w:rsidR="0074580F" w:rsidRPr="00922586">
          <w:rPr>
            <w:noProof/>
            <w:webHidden/>
          </w:rPr>
        </w:r>
        <w:r w:rsidR="0074580F" w:rsidRPr="00922586">
          <w:rPr>
            <w:noProof/>
            <w:webHidden/>
          </w:rPr>
          <w:fldChar w:fldCharType="separate"/>
        </w:r>
        <w:r w:rsidR="00DC5A67">
          <w:rPr>
            <w:noProof/>
            <w:webHidden/>
          </w:rPr>
          <w:t>20</w:t>
        </w:r>
        <w:r w:rsidR="0074580F" w:rsidRPr="00922586">
          <w:rPr>
            <w:noProof/>
            <w:webHidden/>
          </w:rPr>
          <w:fldChar w:fldCharType="end"/>
        </w:r>
      </w:hyperlink>
    </w:p>
    <w:p w:rsidR="0074580F" w:rsidRPr="00922586" w:rsidRDefault="00AD4925" w:rsidP="00922586">
      <w:pPr>
        <w:pStyle w:val="TOC3"/>
        <w:tabs>
          <w:tab w:val="right" w:leader="dot" w:pos="9350"/>
        </w:tabs>
        <w:rPr>
          <w:rFonts w:eastAsiaTheme="minorEastAsia" w:cstheme="minorBidi"/>
          <w:smallCaps w:val="0"/>
          <w:noProof/>
          <w:lang w:val="es-CR" w:eastAsia="es-CR"/>
        </w:rPr>
      </w:pPr>
      <w:hyperlink w:anchor="_Toc438129693" w:history="1">
        <w:r w:rsidR="0074580F" w:rsidRPr="00922586">
          <w:rPr>
            <w:rStyle w:val="Hyperlink"/>
            <w:i/>
            <w:noProof/>
          </w:rPr>
          <w:t>B.2. Consideraciones de la Corte</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_Toc438129693 \h </w:instrText>
        </w:r>
        <w:r w:rsidR="0074580F" w:rsidRPr="00922586">
          <w:rPr>
            <w:noProof/>
            <w:webHidden/>
          </w:rPr>
        </w:r>
        <w:r w:rsidR="0074580F" w:rsidRPr="00922586">
          <w:rPr>
            <w:noProof/>
            <w:webHidden/>
          </w:rPr>
          <w:fldChar w:fldCharType="separate"/>
        </w:r>
        <w:r w:rsidR="00DC5A67">
          <w:rPr>
            <w:noProof/>
            <w:webHidden/>
          </w:rPr>
          <w:t>20</w:t>
        </w:r>
        <w:r w:rsidR="0074580F" w:rsidRPr="00922586">
          <w:rPr>
            <w:noProof/>
            <w:webHidden/>
          </w:rPr>
          <w:fldChar w:fldCharType="end"/>
        </w:r>
      </w:hyperlink>
    </w:p>
    <w:p w:rsidR="0074580F" w:rsidRPr="00922586" w:rsidRDefault="00AD4925" w:rsidP="00922586">
      <w:pPr>
        <w:pStyle w:val="TOC1"/>
        <w:spacing w:before="0" w:after="0"/>
        <w:rPr>
          <w:rFonts w:eastAsiaTheme="minorEastAsia" w:cstheme="minorBidi"/>
          <w:u w:val="none"/>
          <w:lang w:val="es-CR" w:eastAsia="es-CR"/>
        </w:rPr>
      </w:pPr>
      <w:hyperlink w:anchor="_Toc438129694" w:history="1">
        <w:r w:rsidR="0074580F" w:rsidRPr="00922586">
          <w:rPr>
            <w:rStyle w:val="Hyperlink"/>
          </w:rPr>
          <w:t>VI PRUEBA</w:t>
        </w:r>
        <w:r w:rsidR="0074580F" w:rsidRPr="00922586">
          <w:rPr>
            <w:webHidden/>
          </w:rPr>
          <w:tab/>
        </w:r>
        <w:r w:rsidR="0074580F" w:rsidRPr="00922586">
          <w:rPr>
            <w:webHidden/>
          </w:rPr>
          <w:fldChar w:fldCharType="begin"/>
        </w:r>
        <w:r w:rsidR="0074580F" w:rsidRPr="00922586">
          <w:rPr>
            <w:webHidden/>
          </w:rPr>
          <w:instrText xml:space="preserve"> PAGEREF _Toc438129694 \h </w:instrText>
        </w:r>
        <w:r w:rsidR="0074580F" w:rsidRPr="00922586">
          <w:rPr>
            <w:webHidden/>
          </w:rPr>
        </w:r>
        <w:r w:rsidR="0074580F" w:rsidRPr="00922586">
          <w:rPr>
            <w:webHidden/>
          </w:rPr>
          <w:fldChar w:fldCharType="separate"/>
        </w:r>
        <w:r w:rsidR="00DC5A67">
          <w:rPr>
            <w:webHidden/>
          </w:rPr>
          <w:t>21</w:t>
        </w:r>
        <w:r w:rsidR="0074580F" w:rsidRPr="00922586">
          <w:rPr>
            <w:webHidden/>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695" w:history="1">
        <w:r w:rsidR="0074580F" w:rsidRPr="00922586">
          <w:rPr>
            <w:rStyle w:val="Hyperlink"/>
            <w:rFonts w:asciiTheme="minorHAnsi" w:hAnsiTheme="minorHAnsi"/>
            <w:sz w:val="22"/>
            <w:szCs w:val="22"/>
          </w:rPr>
          <w:t>A)</w:t>
        </w:r>
        <w:r w:rsidR="0074580F" w:rsidRPr="00922586">
          <w:rPr>
            <w:rFonts w:asciiTheme="minorHAnsi" w:eastAsiaTheme="minorEastAsia" w:hAnsiTheme="minorHAnsi" w:cstheme="minorBidi"/>
            <w:b w:val="0"/>
            <w:bCs w:val="0"/>
            <w:i w:val="0"/>
            <w:smallCaps w:val="0"/>
            <w:sz w:val="22"/>
            <w:szCs w:val="22"/>
            <w:lang w:eastAsia="es-CR"/>
          </w:rPr>
          <w:tab/>
        </w:r>
        <w:r w:rsidR="00922586">
          <w:rPr>
            <w:rFonts w:asciiTheme="minorHAnsi" w:eastAsiaTheme="minorEastAsia" w:hAnsiTheme="minorHAnsi" w:cstheme="minorBidi"/>
            <w:b w:val="0"/>
            <w:bCs w:val="0"/>
            <w:i w:val="0"/>
            <w:smallCaps w:val="0"/>
            <w:sz w:val="22"/>
            <w:szCs w:val="22"/>
            <w:lang w:eastAsia="es-CR"/>
          </w:rPr>
          <w:t xml:space="preserve"> </w:t>
        </w:r>
        <w:r w:rsidR="0074580F" w:rsidRPr="00922586">
          <w:rPr>
            <w:rStyle w:val="Hyperlink"/>
            <w:rFonts w:asciiTheme="minorHAnsi" w:hAnsiTheme="minorHAnsi"/>
            <w:sz w:val="22"/>
            <w:szCs w:val="22"/>
          </w:rPr>
          <w:t>Prueba documental, testimonial y pericial</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_Toc438129695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21</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696" w:history="1">
        <w:r w:rsidR="0074580F" w:rsidRPr="00922586">
          <w:rPr>
            <w:rStyle w:val="Hyperlink"/>
            <w:rFonts w:asciiTheme="minorHAnsi" w:hAnsiTheme="minorHAnsi"/>
            <w:sz w:val="22"/>
            <w:szCs w:val="22"/>
          </w:rPr>
          <w:t xml:space="preserve">B)    </w:t>
        </w:r>
        <w:r w:rsidR="00922586">
          <w:rPr>
            <w:rStyle w:val="Hyperlink"/>
            <w:rFonts w:asciiTheme="minorHAnsi" w:hAnsiTheme="minorHAnsi"/>
            <w:sz w:val="22"/>
            <w:szCs w:val="22"/>
          </w:rPr>
          <w:t xml:space="preserve">  </w:t>
        </w:r>
        <w:r w:rsidR="0074580F" w:rsidRPr="00922586">
          <w:rPr>
            <w:rStyle w:val="Hyperlink"/>
            <w:rFonts w:asciiTheme="minorHAnsi" w:hAnsiTheme="minorHAnsi"/>
            <w:sz w:val="22"/>
            <w:szCs w:val="22"/>
          </w:rPr>
          <w:t>Admisión de la prueba documental</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_Toc438129696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21</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697" w:history="1">
        <w:r w:rsidR="0074580F" w:rsidRPr="00922586">
          <w:rPr>
            <w:rStyle w:val="Hyperlink"/>
            <w:rFonts w:asciiTheme="minorHAnsi" w:hAnsiTheme="minorHAnsi"/>
            <w:w w:val="95"/>
            <w:sz w:val="22"/>
            <w:szCs w:val="22"/>
            <w:lang w:val="es-ES"/>
          </w:rPr>
          <w:t>C)</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Admisión de la declaración de la prueba testimonial y pericial presentada mediante declaración rendida ante fedatario público</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_Toc438129697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25</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698" w:history="1">
        <w:r w:rsidR="0074580F" w:rsidRPr="00922586">
          <w:rPr>
            <w:rStyle w:val="Hyperlink"/>
            <w:rFonts w:asciiTheme="minorHAnsi" w:hAnsiTheme="minorHAnsi"/>
            <w:sz w:val="22"/>
            <w:szCs w:val="22"/>
          </w:rPr>
          <w:t>D)</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Admisión de la declaración testimonial y prueba pericial rendidas en audiencia pública</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_Toc438129698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26</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699" w:history="1">
        <w:r w:rsidR="0074580F" w:rsidRPr="00922586">
          <w:rPr>
            <w:rStyle w:val="Hyperlink"/>
            <w:rFonts w:asciiTheme="minorHAnsi" w:hAnsiTheme="minorHAnsi"/>
            <w:sz w:val="22"/>
            <w:szCs w:val="22"/>
            <w:lang w:eastAsia="es-CR"/>
          </w:rPr>
          <w:t>E)</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Valoración de la prueba</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_Toc438129699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26</w:t>
        </w:r>
        <w:r w:rsidR="0074580F" w:rsidRPr="00922586">
          <w:rPr>
            <w:rFonts w:asciiTheme="minorHAnsi" w:hAnsiTheme="minorHAnsi"/>
            <w:webHidden/>
            <w:sz w:val="22"/>
            <w:szCs w:val="22"/>
          </w:rPr>
          <w:fldChar w:fldCharType="end"/>
        </w:r>
      </w:hyperlink>
    </w:p>
    <w:p w:rsidR="0074580F" w:rsidRPr="00922586" w:rsidRDefault="00AD4925" w:rsidP="00922586">
      <w:pPr>
        <w:pStyle w:val="TOC1"/>
        <w:spacing w:before="0" w:after="0"/>
        <w:rPr>
          <w:rFonts w:eastAsiaTheme="minorEastAsia" w:cstheme="minorBidi"/>
          <w:u w:val="none"/>
          <w:lang w:val="es-CR" w:eastAsia="es-CR"/>
        </w:rPr>
      </w:pPr>
      <w:hyperlink w:anchor="_Toc438129700" w:history="1">
        <w:r w:rsidR="0074580F" w:rsidRPr="00922586">
          <w:rPr>
            <w:rStyle w:val="Hyperlink"/>
          </w:rPr>
          <w:t>VII hECHOS</w:t>
        </w:r>
        <w:r w:rsidR="0074580F" w:rsidRPr="00922586">
          <w:rPr>
            <w:webHidden/>
          </w:rPr>
          <w:tab/>
        </w:r>
        <w:r w:rsidR="0074580F" w:rsidRPr="00922586">
          <w:rPr>
            <w:webHidden/>
          </w:rPr>
          <w:fldChar w:fldCharType="begin"/>
        </w:r>
        <w:r w:rsidR="0074580F" w:rsidRPr="00922586">
          <w:rPr>
            <w:webHidden/>
          </w:rPr>
          <w:instrText xml:space="preserve"> PAGEREF _Toc438129700 \h </w:instrText>
        </w:r>
        <w:r w:rsidR="0074580F" w:rsidRPr="00922586">
          <w:rPr>
            <w:webHidden/>
          </w:rPr>
        </w:r>
        <w:r w:rsidR="0074580F" w:rsidRPr="00922586">
          <w:rPr>
            <w:webHidden/>
          </w:rPr>
          <w:fldChar w:fldCharType="separate"/>
        </w:r>
        <w:r w:rsidR="00DC5A67">
          <w:rPr>
            <w:webHidden/>
          </w:rPr>
          <w:t>27</w:t>
        </w:r>
        <w:r w:rsidR="0074580F" w:rsidRPr="00922586">
          <w:rPr>
            <w:webHidden/>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01" w:history="1">
        <w:r w:rsidR="0074580F" w:rsidRPr="00922586">
          <w:rPr>
            <w:rStyle w:val="Hyperlink"/>
            <w:rFonts w:asciiTheme="minorHAnsi" w:hAnsiTheme="minorHAnsi"/>
            <w:sz w:val="22"/>
            <w:szCs w:val="22"/>
          </w:rPr>
          <w:t>A)</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Contexto</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_Toc438129701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27</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02" w:history="1">
        <w:r w:rsidR="0074580F" w:rsidRPr="00922586">
          <w:rPr>
            <w:rStyle w:val="Hyperlink"/>
            <w:rFonts w:asciiTheme="minorHAnsi" w:hAnsiTheme="minorHAnsi"/>
            <w:sz w:val="22"/>
            <w:szCs w:val="22"/>
          </w:rPr>
          <w:t>B)</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Marco Normativo Interno Pertinente</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_Toc438129702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29</w:t>
        </w:r>
        <w:r w:rsidR="0074580F" w:rsidRPr="00922586">
          <w:rPr>
            <w:rFonts w:asciiTheme="minorHAnsi" w:hAnsiTheme="minorHAnsi"/>
            <w:webHidden/>
            <w:sz w:val="22"/>
            <w:szCs w:val="22"/>
          </w:rPr>
          <w:fldChar w:fldCharType="end"/>
        </w:r>
      </w:hyperlink>
    </w:p>
    <w:p w:rsidR="0074580F" w:rsidRPr="00922586" w:rsidRDefault="00AD4925" w:rsidP="00922586">
      <w:pPr>
        <w:pStyle w:val="TOC3"/>
        <w:tabs>
          <w:tab w:val="left" w:pos="603"/>
          <w:tab w:val="right" w:leader="dot" w:pos="9350"/>
        </w:tabs>
        <w:rPr>
          <w:rFonts w:eastAsiaTheme="minorEastAsia" w:cstheme="minorBidi"/>
          <w:smallCaps w:val="0"/>
          <w:noProof/>
          <w:lang w:val="es-CR" w:eastAsia="es-CR"/>
        </w:rPr>
      </w:pPr>
      <w:hyperlink w:anchor="_Toc438129703" w:history="1">
        <w:r w:rsidR="0074580F" w:rsidRPr="00922586">
          <w:rPr>
            <w:rStyle w:val="Hyperlink"/>
            <w:noProof/>
          </w:rPr>
          <w:t xml:space="preserve">B.1. </w:t>
        </w:r>
        <w:r w:rsidR="0074580F" w:rsidRPr="00922586">
          <w:rPr>
            <w:rFonts w:eastAsiaTheme="minorEastAsia" w:cstheme="minorBidi"/>
            <w:smallCaps w:val="0"/>
            <w:noProof/>
            <w:lang w:val="es-CR" w:eastAsia="es-CR"/>
          </w:rPr>
          <w:tab/>
        </w:r>
        <w:r w:rsidR="0074580F" w:rsidRPr="00922586">
          <w:rPr>
            <w:rStyle w:val="Hyperlink"/>
            <w:noProof/>
          </w:rPr>
          <w:t>Normativa referida a la Constitución y la declaración del “Régimen de Excepción” vigente al momento de los hechos</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_Toc438129703 \h </w:instrText>
        </w:r>
        <w:r w:rsidR="0074580F" w:rsidRPr="00922586">
          <w:rPr>
            <w:noProof/>
            <w:webHidden/>
          </w:rPr>
        </w:r>
        <w:r w:rsidR="0074580F" w:rsidRPr="00922586">
          <w:rPr>
            <w:noProof/>
            <w:webHidden/>
          </w:rPr>
          <w:fldChar w:fldCharType="separate"/>
        </w:r>
        <w:r w:rsidR="00DC5A67">
          <w:rPr>
            <w:noProof/>
            <w:webHidden/>
          </w:rPr>
          <w:t>29</w:t>
        </w:r>
        <w:r w:rsidR="0074580F" w:rsidRPr="00922586">
          <w:rPr>
            <w:noProof/>
            <w:webHidden/>
          </w:rPr>
          <w:fldChar w:fldCharType="end"/>
        </w:r>
      </w:hyperlink>
    </w:p>
    <w:p w:rsidR="0074580F" w:rsidRPr="00922586" w:rsidRDefault="00AD4925" w:rsidP="00922586">
      <w:pPr>
        <w:pStyle w:val="TOC3"/>
        <w:tabs>
          <w:tab w:val="left" w:pos="562"/>
          <w:tab w:val="right" w:leader="dot" w:pos="9350"/>
        </w:tabs>
        <w:rPr>
          <w:rFonts w:eastAsiaTheme="minorEastAsia" w:cstheme="minorBidi"/>
          <w:smallCaps w:val="0"/>
          <w:noProof/>
          <w:lang w:val="es-CR" w:eastAsia="es-CR"/>
        </w:rPr>
      </w:pPr>
      <w:hyperlink w:anchor="_Toc438129704" w:history="1">
        <w:r w:rsidR="0074580F" w:rsidRPr="00922586">
          <w:rPr>
            <w:rStyle w:val="Hyperlink"/>
            <w:noProof/>
          </w:rPr>
          <w:t>B.2.</w:t>
        </w:r>
        <w:r w:rsidR="0074580F" w:rsidRPr="00922586">
          <w:rPr>
            <w:rFonts w:eastAsiaTheme="minorEastAsia" w:cstheme="minorBidi"/>
            <w:smallCaps w:val="0"/>
            <w:noProof/>
            <w:lang w:val="es-CR" w:eastAsia="es-CR"/>
          </w:rPr>
          <w:tab/>
        </w:r>
        <w:r w:rsidR="00922586">
          <w:rPr>
            <w:rFonts w:eastAsiaTheme="minorEastAsia" w:cstheme="minorBidi"/>
            <w:smallCaps w:val="0"/>
            <w:noProof/>
            <w:lang w:val="es-CR" w:eastAsia="es-CR"/>
          </w:rPr>
          <w:t xml:space="preserve"> </w:t>
        </w:r>
        <w:r w:rsidR="0074580F" w:rsidRPr="00922586">
          <w:rPr>
            <w:rStyle w:val="Hyperlink"/>
            <w:noProof/>
          </w:rPr>
          <w:t>Normatividad sobre las “actividades terroristas” vigente al momento de los hechos</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_Toc438129704 \h </w:instrText>
        </w:r>
        <w:r w:rsidR="0074580F" w:rsidRPr="00922586">
          <w:rPr>
            <w:noProof/>
            <w:webHidden/>
          </w:rPr>
        </w:r>
        <w:r w:rsidR="0074580F" w:rsidRPr="00922586">
          <w:rPr>
            <w:noProof/>
            <w:webHidden/>
          </w:rPr>
          <w:fldChar w:fldCharType="separate"/>
        </w:r>
        <w:r w:rsidR="00DC5A67">
          <w:rPr>
            <w:noProof/>
            <w:webHidden/>
          </w:rPr>
          <w:t>30</w:t>
        </w:r>
        <w:r w:rsidR="0074580F" w:rsidRPr="00922586">
          <w:rPr>
            <w:noProof/>
            <w:webHidden/>
          </w:rPr>
          <w:fldChar w:fldCharType="end"/>
        </w:r>
      </w:hyperlink>
    </w:p>
    <w:p w:rsidR="0074580F" w:rsidRPr="00922586" w:rsidRDefault="00AD4925" w:rsidP="00922586">
      <w:pPr>
        <w:pStyle w:val="TOC3"/>
        <w:tabs>
          <w:tab w:val="right" w:leader="dot" w:pos="9350"/>
        </w:tabs>
        <w:rPr>
          <w:rFonts w:eastAsiaTheme="minorEastAsia" w:cstheme="minorBidi"/>
          <w:smallCaps w:val="0"/>
          <w:noProof/>
          <w:lang w:val="es-CR" w:eastAsia="es-CR"/>
        </w:rPr>
      </w:pPr>
      <w:hyperlink w:anchor="_Toc438129705" w:history="1">
        <w:r w:rsidR="0074580F" w:rsidRPr="00922586">
          <w:rPr>
            <w:rStyle w:val="Hyperlink"/>
            <w:i/>
            <w:noProof/>
            <w:lang w:val="es-CR"/>
          </w:rPr>
          <w:t xml:space="preserve">B.3. </w:t>
        </w:r>
        <w:r w:rsidR="00922586">
          <w:rPr>
            <w:rStyle w:val="Hyperlink"/>
            <w:i/>
            <w:noProof/>
            <w:lang w:val="es-CR"/>
          </w:rPr>
          <w:t xml:space="preserve">     </w:t>
        </w:r>
        <w:r w:rsidR="0074580F" w:rsidRPr="00922586">
          <w:rPr>
            <w:rStyle w:val="Hyperlink"/>
            <w:i/>
            <w:noProof/>
            <w:lang w:val="es-CR"/>
          </w:rPr>
          <w:t>Normatividad relativa al hábeas corpus y a la privación de libertad de magistrados vigente al momento de los hechos</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_Toc438129705 \h </w:instrText>
        </w:r>
        <w:r w:rsidR="0074580F" w:rsidRPr="00922586">
          <w:rPr>
            <w:noProof/>
            <w:webHidden/>
          </w:rPr>
        </w:r>
        <w:r w:rsidR="0074580F" w:rsidRPr="00922586">
          <w:rPr>
            <w:noProof/>
            <w:webHidden/>
          </w:rPr>
          <w:fldChar w:fldCharType="separate"/>
        </w:r>
        <w:r w:rsidR="00DC5A67">
          <w:rPr>
            <w:noProof/>
            <w:webHidden/>
          </w:rPr>
          <w:t>31</w:t>
        </w:r>
        <w:r w:rsidR="0074580F" w:rsidRPr="00922586">
          <w:rPr>
            <w:noProof/>
            <w:webHidden/>
          </w:rPr>
          <w:fldChar w:fldCharType="end"/>
        </w:r>
      </w:hyperlink>
    </w:p>
    <w:p w:rsidR="0074580F" w:rsidRPr="00922586" w:rsidRDefault="00AD4925" w:rsidP="00922586">
      <w:pPr>
        <w:pStyle w:val="TOC3"/>
        <w:tabs>
          <w:tab w:val="left" w:pos="603"/>
          <w:tab w:val="right" w:leader="dot" w:pos="9350"/>
        </w:tabs>
        <w:rPr>
          <w:rFonts w:eastAsiaTheme="minorEastAsia" w:cstheme="minorBidi"/>
          <w:smallCaps w:val="0"/>
          <w:noProof/>
          <w:lang w:val="es-CR" w:eastAsia="es-CR"/>
        </w:rPr>
      </w:pPr>
      <w:hyperlink w:anchor="_Toc438129706" w:history="1">
        <w:r w:rsidR="0074580F" w:rsidRPr="00922586">
          <w:rPr>
            <w:rStyle w:val="Hyperlink"/>
            <w:i/>
            <w:noProof/>
            <w:lang w:val="es-CR"/>
          </w:rPr>
          <w:t xml:space="preserve">B.4. </w:t>
        </w:r>
        <w:r w:rsidR="0074580F" w:rsidRPr="00922586">
          <w:rPr>
            <w:rFonts w:eastAsiaTheme="minorEastAsia" w:cstheme="minorBidi"/>
            <w:smallCaps w:val="0"/>
            <w:noProof/>
            <w:lang w:val="es-CR" w:eastAsia="es-CR"/>
          </w:rPr>
          <w:tab/>
        </w:r>
        <w:r w:rsidR="0074580F" w:rsidRPr="00922586">
          <w:rPr>
            <w:rStyle w:val="Hyperlink"/>
            <w:i/>
            <w:noProof/>
            <w:lang w:val="es-CR"/>
          </w:rPr>
          <w:t>Ley de Arrepentimiento y su Reglamento vigentes al momento de los hechos</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_Toc438129706 \h </w:instrText>
        </w:r>
        <w:r w:rsidR="0074580F" w:rsidRPr="00922586">
          <w:rPr>
            <w:noProof/>
            <w:webHidden/>
          </w:rPr>
        </w:r>
        <w:r w:rsidR="0074580F" w:rsidRPr="00922586">
          <w:rPr>
            <w:noProof/>
            <w:webHidden/>
          </w:rPr>
          <w:fldChar w:fldCharType="separate"/>
        </w:r>
        <w:r w:rsidR="00DC5A67">
          <w:rPr>
            <w:noProof/>
            <w:webHidden/>
          </w:rPr>
          <w:t>32</w:t>
        </w:r>
        <w:r w:rsidR="0074580F" w:rsidRPr="00922586">
          <w:rPr>
            <w:noProof/>
            <w:webHidden/>
          </w:rPr>
          <w:fldChar w:fldCharType="end"/>
        </w:r>
      </w:hyperlink>
    </w:p>
    <w:p w:rsidR="0074580F" w:rsidRPr="00922586" w:rsidRDefault="00AD4925" w:rsidP="00922586">
      <w:pPr>
        <w:pStyle w:val="TOC3"/>
        <w:tabs>
          <w:tab w:val="right" w:leader="dot" w:pos="9350"/>
        </w:tabs>
        <w:rPr>
          <w:rFonts w:eastAsiaTheme="minorEastAsia" w:cstheme="minorBidi"/>
          <w:smallCaps w:val="0"/>
          <w:noProof/>
          <w:lang w:val="es-CR" w:eastAsia="es-CR"/>
        </w:rPr>
      </w:pPr>
      <w:hyperlink w:anchor="_Toc438129707" w:history="1">
        <w:r w:rsidR="0074580F" w:rsidRPr="00922586">
          <w:rPr>
            <w:rStyle w:val="Hyperlink"/>
            <w:i/>
            <w:noProof/>
            <w:lang w:val="es-CR"/>
          </w:rPr>
          <w:t xml:space="preserve">B.5. </w:t>
        </w:r>
        <w:r w:rsidR="00922586">
          <w:rPr>
            <w:rStyle w:val="Hyperlink"/>
            <w:i/>
            <w:noProof/>
            <w:lang w:val="es-CR"/>
          </w:rPr>
          <w:t xml:space="preserve">     </w:t>
        </w:r>
        <w:r w:rsidR="0074580F" w:rsidRPr="00922586">
          <w:rPr>
            <w:rStyle w:val="Hyperlink"/>
            <w:i/>
            <w:noProof/>
            <w:lang w:val="es-CR"/>
          </w:rPr>
          <w:t>Normas de amnistía vigentes con posterioridad a los hechos</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_Toc438129707 \h </w:instrText>
        </w:r>
        <w:r w:rsidR="0074580F" w:rsidRPr="00922586">
          <w:rPr>
            <w:noProof/>
            <w:webHidden/>
          </w:rPr>
        </w:r>
        <w:r w:rsidR="0074580F" w:rsidRPr="00922586">
          <w:rPr>
            <w:noProof/>
            <w:webHidden/>
          </w:rPr>
          <w:fldChar w:fldCharType="separate"/>
        </w:r>
        <w:r w:rsidR="00DC5A67">
          <w:rPr>
            <w:noProof/>
            <w:webHidden/>
          </w:rPr>
          <w:t>33</w:t>
        </w:r>
        <w:r w:rsidR="0074580F" w:rsidRPr="00922586">
          <w:rPr>
            <w:noProof/>
            <w:webHidden/>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08" w:history="1">
        <w:r w:rsidR="0074580F" w:rsidRPr="00922586">
          <w:rPr>
            <w:rStyle w:val="Hyperlink"/>
            <w:rFonts w:asciiTheme="minorHAnsi" w:hAnsiTheme="minorHAnsi"/>
            <w:sz w:val="22"/>
            <w:szCs w:val="22"/>
          </w:rPr>
          <w:t>C)</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Hechos del caso</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_Toc438129708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34</w:t>
        </w:r>
        <w:r w:rsidR="0074580F" w:rsidRPr="00922586">
          <w:rPr>
            <w:rFonts w:asciiTheme="minorHAnsi" w:hAnsiTheme="minorHAnsi"/>
            <w:webHidden/>
            <w:sz w:val="22"/>
            <w:szCs w:val="22"/>
          </w:rPr>
          <w:fldChar w:fldCharType="end"/>
        </w:r>
      </w:hyperlink>
    </w:p>
    <w:p w:rsidR="0074580F" w:rsidRPr="00922586" w:rsidRDefault="00AD4925" w:rsidP="00922586">
      <w:pPr>
        <w:pStyle w:val="TOC3"/>
        <w:tabs>
          <w:tab w:val="left" w:pos="558"/>
          <w:tab w:val="right" w:leader="dot" w:pos="9350"/>
        </w:tabs>
        <w:rPr>
          <w:rFonts w:eastAsiaTheme="minorEastAsia" w:cstheme="minorBidi"/>
          <w:smallCaps w:val="0"/>
          <w:noProof/>
          <w:lang w:val="es-CR" w:eastAsia="es-CR"/>
        </w:rPr>
      </w:pPr>
      <w:hyperlink w:anchor="_Toc438129709" w:history="1">
        <w:r w:rsidR="0074580F" w:rsidRPr="00922586">
          <w:rPr>
            <w:rStyle w:val="Hyperlink"/>
            <w:i/>
            <w:noProof/>
            <w:lang w:val="es-CR"/>
          </w:rPr>
          <w:t>C.1.</w:t>
        </w:r>
        <w:r w:rsidR="0074580F" w:rsidRPr="00922586">
          <w:rPr>
            <w:rFonts w:eastAsiaTheme="minorEastAsia" w:cstheme="minorBidi"/>
            <w:smallCaps w:val="0"/>
            <w:noProof/>
            <w:lang w:val="es-CR" w:eastAsia="es-CR"/>
          </w:rPr>
          <w:tab/>
        </w:r>
        <w:r w:rsidR="00922586">
          <w:rPr>
            <w:rFonts w:eastAsiaTheme="minorEastAsia" w:cstheme="minorBidi"/>
            <w:smallCaps w:val="0"/>
            <w:noProof/>
            <w:lang w:val="es-CR" w:eastAsia="es-CR"/>
          </w:rPr>
          <w:t xml:space="preserve"> </w:t>
        </w:r>
        <w:r w:rsidR="0074580F" w:rsidRPr="00922586">
          <w:rPr>
            <w:rStyle w:val="Hyperlink"/>
            <w:i/>
            <w:noProof/>
            <w:lang w:val="es-CR"/>
          </w:rPr>
          <w:t>Sobre la permanencia del señor Galindo bajo custodia estatal entre octubre y noviembre de 1994</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_Toc438129709 \h </w:instrText>
        </w:r>
        <w:r w:rsidR="0074580F" w:rsidRPr="00922586">
          <w:rPr>
            <w:noProof/>
            <w:webHidden/>
          </w:rPr>
        </w:r>
        <w:r w:rsidR="0074580F" w:rsidRPr="00922586">
          <w:rPr>
            <w:noProof/>
            <w:webHidden/>
          </w:rPr>
          <w:fldChar w:fldCharType="separate"/>
        </w:r>
        <w:r w:rsidR="00DC5A67">
          <w:rPr>
            <w:noProof/>
            <w:webHidden/>
          </w:rPr>
          <w:t>35</w:t>
        </w:r>
        <w:r w:rsidR="0074580F" w:rsidRPr="00922586">
          <w:rPr>
            <w:noProof/>
            <w:webHidden/>
          </w:rPr>
          <w:fldChar w:fldCharType="end"/>
        </w:r>
      </w:hyperlink>
    </w:p>
    <w:p w:rsidR="0074580F" w:rsidRPr="00922586" w:rsidRDefault="00AD4925" w:rsidP="00922586">
      <w:pPr>
        <w:pStyle w:val="TOC3"/>
        <w:tabs>
          <w:tab w:val="left" w:pos="560"/>
          <w:tab w:val="right" w:leader="dot" w:pos="9350"/>
        </w:tabs>
        <w:rPr>
          <w:rFonts w:eastAsiaTheme="minorEastAsia" w:cstheme="minorBidi"/>
          <w:smallCaps w:val="0"/>
          <w:noProof/>
          <w:lang w:val="es-CR" w:eastAsia="es-CR"/>
        </w:rPr>
      </w:pPr>
      <w:hyperlink w:anchor="_Toc438129710" w:history="1">
        <w:r w:rsidR="0074580F" w:rsidRPr="00922586">
          <w:rPr>
            <w:rStyle w:val="Hyperlink"/>
            <w:noProof/>
          </w:rPr>
          <w:t>C.2.</w:t>
        </w:r>
        <w:r w:rsidR="0074580F" w:rsidRPr="00922586">
          <w:rPr>
            <w:rFonts w:eastAsiaTheme="minorEastAsia" w:cstheme="minorBidi"/>
            <w:smallCaps w:val="0"/>
            <w:noProof/>
            <w:lang w:val="es-CR" w:eastAsia="es-CR"/>
          </w:rPr>
          <w:tab/>
        </w:r>
        <w:r w:rsidR="0074580F" w:rsidRPr="00922586">
          <w:rPr>
            <w:rStyle w:val="Hyperlink"/>
            <w:noProof/>
          </w:rPr>
          <w:t xml:space="preserve"> Sobre el procedimiento que derivó en la “exención de la pena” de acuerdo a la Ley de Arrepentimiento y la liberación del señor Galindo</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_Toc438129710 \h </w:instrText>
        </w:r>
        <w:r w:rsidR="0074580F" w:rsidRPr="00922586">
          <w:rPr>
            <w:noProof/>
            <w:webHidden/>
          </w:rPr>
        </w:r>
        <w:r w:rsidR="0074580F" w:rsidRPr="00922586">
          <w:rPr>
            <w:noProof/>
            <w:webHidden/>
          </w:rPr>
          <w:fldChar w:fldCharType="separate"/>
        </w:r>
        <w:r w:rsidR="00DC5A67">
          <w:rPr>
            <w:noProof/>
            <w:webHidden/>
          </w:rPr>
          <w:t>39</w:t>
        </w:r>
        <w:r w:rsidR="0074580F" w:rsidRPr="00922586">
          <w:rPr>
            <w:noProof/>
            <w:webHidden/>
          </w:rPr>
          <w:fldChar w:fldCharType="end"/>
        </w:r>
      </w:hyperlink>
    </w:p>
    <w:p w:rsidR="0074580F" w:rsidRPr="00922586" w:rsidRDefault="00AD4925" w:rsidP="00922586">
      <w:pPr>
        <w:pStyle w:val="TOC3"/>
        <w:tabs>
          <w:tab w:val="left" w:pos="560"/>
          <w:tab w:val="right" w:leader="dot" w:pos="9350"/>
        </w:tabs>
        <w:rPr>
          <w:rFonts w:eastAsiaTheme="minorEastAsia" w:cstheme="minorBidi"/>
          <w:smallCaps w:val="0"/>
          <w:noProof/>
          <w:lang w:val="es-CR" w:eastAsia="es-CR"/>
        </w:rPr>
      </w:pPr>
      <w:hyperlink w:anchor="_Toc438129711" w:history="1">
        <w:r w:rsidR="0074580F" w:rsidRPr="00922586">
          <w:rPr>
            <w:rStyle w:val="Hyperlink"/>
            <w:noProof/>
          </w:rPr>
          <w:t>C.3.</w:t>
        </w:r>
        <w:r w:rsidR="0074580F" w:rsidRPr="00922586">
          <w:rPr>
            <w:rFonts w:eastAsiaTheme="minorEastAsia" w:cstheme="minorBidi"/>
            <w:smallCaps w:val="0"/>
            <w:noProof/>
            <w:lang w:val="es-CR" w:eastAsia="es-CR"/>
          </w:rPr>
          <w:tab/>
        </w:r>
        <w:r w:rsidR="00922586">
          <w:rPr>
            <w:rFonts w:eastAsiaTheme="minorEastAsia" w:cstheme="minorBidi"/>
            <w:smallCaps w:val="0"/>
            <w:noProof/>
            <w:lang w:val="es-CR" w:eastAsia="es-CR"/>
          </w:rPr>
          <w:t xml:space="preserve"> </w:t>
        </w:r>
        <w:r w:rsidR="0074580F" w:rsidRPr="00922586">
          <w:rPr>
            <w:rStyle w:val="Hyperlink"/>
            <w:noProof/>
          </w:rPr>
          <w:t>Sobre las acciones efectuadas por el señor Galindo una vez en libertad</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_Toc438129711 \h </w:instrText>
        </w:r>
        <w:r w:rsidR="0074580F" w:rsidRPr="00922586">
          <w:rPr>
            <w:noProof/>
            <w:webHidden/>
          </w:rPr>
        </w:r>
        <w:r w:rsidR="0074580F" w:rsidRPr="00922586">
          <w:rPr>
            <w:noProof/>
            <w:webHidden/>
          </w:rPr>
          <w:fldChar w:fldCharType="separate"/>
        </w:r>
        <w:r w:rsidR="00DC5A67">
          <w:rPr>
            <w:noProof/>
            <w:webHidden/>
          </w:rPr>
          <w:t>40</w:t>
        </w:r>
        <w:r w:rsidR="0074580F" w:rsidRPr="00922586">
          <w:rPr>
            <w:noProof/>
            <w:webHidden/>
          </w:rPr>
          <w:fldChar w:fldCharType="end"/>
        </w:r>
      </w:hyperlink>
    </w:p>
    <w:p w:rsidR="0074580F" w:rsidRPr="00922586" w:rsidRDefault="00AD4925" w:rsidP="00922586">
      <w:pPr>
        <w:pStyle w:val="TOC3"/>
        <w:tabs>
          <w:tab w:val="right" w:leader="dot" w:pos="9350"/>
        </w:tabs>
        <w:rPr>
          <w:rFonts w:eastAsiaTheme="minorEastAsia" w:cstheme="minorBidi"/>
          <w:smallCaps w:val="0"/>
          <w:noProof/>
          <w:lang w:val="es-CR" w:eastAsia="es-CR"/>
        </w:rPr>
      </w:pPr>
      <w:hyperlink w:anchor="_Toc438129712" w:history="1">
        <w:r w:rsidR="0074580F" w:rsidRPr="00922586">
          <w:rPr>
            <w:rStyle w:val="Hyperlink"/>
            <w:noProof/>
          </w:rPr>
          <w:t xml:space="preserve">C.4. </w:t>
        </w:r>
        <w:r w:rsidR="00922586">
          <w:rPr>
            <w:rStyle w:val="Hyperlink"/>
            <w:noProof/>
          </w:rPr>
          <w:t xml:space="preserve">     </w:t>
        </w:r>
        <w:r w:rsidR="0074580F" w:rsidRPr="00922586">
          <w:rPr>
            <w:rStyle w:val="Hyperlink"/>
            <w:noProof/>
          </w:rPr>
          <w:t>Sobre las acciones de investigación iniciadas por el Estado a partir de 2012</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_Toc438129712 \h </w:instrText>
        </w:r>
        <w:r w:rsidR="0074580F" w:rsidRPr="00922586">
          <w:rPr>
            <w:noProof/>
            <w:webHidden/>
          </w:rPr>
        </w:r>
        <w:r w:rsidR="0074580F" w:rsidRPr="00922586">
          <w:rPr>
            <w:noProof/>
            <w:webHidden/>
          </w:rPr>
          <w:fldChar w:fldCharType="separate"/>
        </w:r>
        <w:r w:rsidR="00DC5A67">
          <w:rPr>
            <w:noProof/>
            <w:webHidden/>
          </w:rPr>
          <w:t>42</w:t>
        </w:r>
        <w:r w:rsidR="0074580F" w:rsidRPr="00922586">
          <w:rPr>
            <w:noProof/>
            <w:webHidden/>
          </w:rPr>
          <w:fldChar w:fldCharType="end"/>
        </w:r>
      </w:hyperlink>
    </w:p>
    <w:p w:rsidR="0074580F" w:rsidRPr="00922586" w:rsidRDefault="00AD4925" w:rsidP="00922586">
      <w:pPr>
        <w:pStyle w:val="TOC1"/>
        <w:spacing w:before="0" w:after="0"/>
        <w:rPr>
          <w:rFonts w:eastAsiaTheme="minorEastAsia" w:cstheme="minorBidi"/>
          <w:u w:val="none"/>
          <w:lang w:val="es-CR" w:eastAsia="es-CR"/>
        </w:rPr>
      </w:pPr>
      <w:hyperlink w:anchor="_Toc438129713" w:history="1">
        <w:r w:rsidR="0074580F" w:rsidRPr="00922586">
          <w:rPr>
            <w:rStyle w:val="Hyperlink"/>
          </w:rPr>
          <w:t>VIII</w:t>
        </w:r>
        <w:r w:rsidR="0074580F" w:rsidRPr="00922586">
          <w:t xml:space="preserve"> </w:t>
        </w:r>
        <w:r w:rsidR="0074580F" w:rsidRPr="00922586">
          <w:rPr>
            <w:rStyle w:val="Hyperlink"/>
          </w:rPr>
          <w:t>FONDO</w:t>
        </w:r>
        <w:r w:rsidR="0074580F" w:rsidRPr="00922586">
          <w:rPr>
            <w:webHidden/>
          </w:rPr>
          <w:tab/>
        </w:r>
      </w:hyperlink>
      <w:hyperlink w:anchor="_Toc438129714" w:history="1">
        <w:r w:rsidR="0074580F" w:rsidRPr="00922586">
          <w:rPr>
            <w:webHidden/>
          </w:rPr>
          <w:fldChar w:fldCharType="begin"/>
        </w:r>
        <w:r w:rsidR="0074580F" w:rsidRPr="00922586">
          <w:rPr>
            <w:webHidden/>
          </w:rPr>
          <w:instrText xml:space="preserve"> PAGEREF _Toc438129714 \h </w:instrText>
        </w:r>
        <w:r w:rsidR="0074580F" w:rsidRPr="00922586">
          <w:rPr>
            <w:webHidden/>
          </w:rPr>
        </w:r>
        <w:r w:rsidR="0074580F" w:rsidRPr="00922586">
          <w:rPr>
            <w:webHidden/>
          </w:rPr>
          <w:fldChar w:fldCharType="separate"/>
        </w:r>
        <w:r w:rsidR="00DC5A67">
          <w:rPr>
            <w:webHidden/>
          </w:rPr>
          <w:t>45</w:t>
        </w:r>
        <w:r w:rsidR="0074580F" w:rsidRPr="00922586">
          <w:rPr>
            <w:webHidden/>
          </w:rPr>
          <w:fldChar w:fldCharType="end"/>
        </w:r>
      </w:hyperlink>
    </w:p>
    <w:p w:rsidR="0074580F" w:rsidRPr="00922586" w:rsidRDefault="00AD4925" w:rsidP="00922586">
      <w:pPr>
        <w:pStyle w:val="TOC1"/>
        <w:spacing w:before="0" w:after="0"/>
        <w:rPr>
          <w:rFonts w:eastAsiaTheme="minorEastAsia" w:cstheme="minorBidi"/>
          <w:u w:val="none"/>
          <w:lang w:val="es-CR" w:eastAsia="es-CR"/>
        </w:rPr>
      </w:pPr>
      <w:hyperlink w:anchor="_Toc438129715" w:history="1">
        <w:r w:rsidR="0074580F" w:rsidRPr="00922586">
          <w:rPr>
            <w:rStyle w:val="Hyperlink"/>
          </w:rPr>
          <w:t>VIII.1</w:t>
        </w:r>
        <w:r w:rsidR="0074580F" w:rsidRPr="00922586">
          <w:rPr>
            <w:webHidden/>
          </w:rPr>
          <w:tab/>
        </w:r>
      </w:hyperlink>
      <w:r w:rsidR="0074580F" w:rsidRPr="00922586">
        <w:rPr>
          <w:rStyle w:val="Hyperlink"/>
        </w:rPr>
        <w:t xml:space="preserve"> </w:t>
      </w:r>
      <w:hyperlink w:anchor="_Toc438129716" w:history="1">
        <w:r w:rsidR="0074580F" w:rsidRPr="00922586">
          <w:rPr>
            <w:rStyle w:val="Hyperlink"/>
            <w:lang w:val="es-CR"/>
          </w:rPr>
          <w:t>DERECHOS A LA LIBERTAD PERSONAL, GARANTÍAS JUDICIALES Y PROTECCIÓN JUDICIAL, EN RELACIÓN CON LAS OBLIGACIONES DE RESPETAR Y GARANTIZAR LOS DERECHOS Y ADOPTAR DISPOSICIONES DE DERECHO INTERNO</w:t>
        </w:r>
        <w:r w:rsidR="0074580F" w:rsidRPr="00922586">
          <w:rPr>
            <w:webHidden/>
          </w:rPr>
          <w:tab/>
        </w:r>
        <w:r w:rsidR="0074580F" w:rsidRPr="00922586">
          <w:rPr>
            <w:webHidden/>
          </w:rPr>
          <w:fldChar w:fldCharType="begin"/>
        </w:r>
        <w:r w:rsidR="0074580F" w:rsidRPr="00922586">
          <w:rPr>
            <w:webHidden/>
          </w:rPr>
          <w:instrText xml:space="preserve"> PAGEREF _Toc438129716 \h </w:instrText>
        </w:r>
        <w:r w:rsidR="0074580F" w:rsidRPr="00922586">
          <w:rPr>
            <w:webHidden/>
          </w:rPr>
        </w:r>
        <w:r w:rsidR="0074580F" w:rsidRPr="00922586">
          <w:rPr>
            <w:webHidden/>
          </w:rPr>
          <w:fldChar w:fldCharType="separate"/>
        </w:r>
        <w:r w:rsidR="00DC5A67">
          <w:rPr>
            <w:webHidden/>
          </w:rPr>
          <w:t>45</w:t>
        </w:r>
        <w:r w:rsidR="0074580F" w:rsidRPr="00922586">
          <w:rPr>
            <w:webHidden/>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17" w:history="1">
        <w:r w:rsidR="0074580F" w:rsidRPr="00922586">
          <w:rPr>
            <w:rStyle w:val="Hyperlink"/>
            <w:rFonts w:asciiTheme="minorHAnsi" w:hAnsiTheme="minorHAnsi"/>
            <w:sz w:val="22"/>
            <w:szCs w:val="22"/>
          </w:rPr>
          <w:t>A)</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Argumentos de la Comisión y de las partes</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_Toc438129717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46</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18" w:history="1">
        <w:r w:rsidR="0074580F" w:rsidRPr="00922586">
          <w:rPr>
            <w:rStyle w:val="Hyperlink"/>
            <w:rFonts w:asciiTheme="minorHAnsi" w:eastAsiaTheme="minorHAnsi" w:hAnsiTheme="minorHAnsi"/>
            <w:sz w:val="22"/>
            <w:szCs w:val="22"/>
          </w:rPr>
          <w:t>B)</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eastAsiaTheme="minorHAnsi" w:hAnsiTheme="minorHAnsi"/>
            <w:sz w:val="22"/>
            <w:szCs w:val="22"/>
          </w:rPr>
          <w:t>Consideraciones de la Corte</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_Toc438129718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49</w:t>
        </w:r>
        <w:r w:rsidR="0074580F" w:rsidRPr="00922586">
          <w:rPr>
            <w:rFonts w:asciiTheme="minorHAnsi" w:hAnsiTheme="minorHAnsi"/>
            <w:webHidden/>
            <w:sz w:val="22"/>
            <w:szCs w:val="22"/>
          </w:rPr>
          <w:fldChar w:fldCharType="end"/>
        </w:r>
      </w:hyperlink>
    </w:p>
    <w:p w:rsidR="0074580F" w:rsidRPr="00922586" w:rsidRDefault="00AD4925" w:rsidP="00922586">
      <w:pPr>
        <w:pStyle w:val="TOC3"/>
        <w:tabs>
          <w:tab w:val="left" w:pos="562"/>
          <w:tab w:val="right" w:leader="dot" w:pos="9350"/>
        </w:tabs>
        <w:rPr>
          <w:rFonts w:eastAsiaTheme="minorEastAsia" w:cstheme="minorBidi"/>
          <w:smallCaps w:val="0"/>
          <w:noProof/>
          <w:lang w:val="es-CR" w:eastAsia="es-CR"/>
        </w:rPr>
      </w:pPr>
      <w:hyperlink w:anchor="_Toc438129719" w:history="1">
        <w:r w:rsidR="0074580F" w:rsidRPr="00922586">
          <w:rPr>
            <w:rStyle w:val="Hyperlink"/>
            <w:i/>
            <w:iCs/>
            <w:noProof/>
          </w:rPr>
          <w:t>B.1.</w:t>
        </w:r>
        <w:r w:rsidR="0074580F" w:rsidRPr="00922586">
          <w:rPr>
            <w:rFonts w:eastAsiaTheme="minorEastAsia" w:cstheme="minorBidi"/>
            <w:smallCaps w:val="0"/>
            <w:noProof/>
            <w:lang w:val="es-CR" w:eastAsia="es-CR"/>
          </w:rPr>
          <w:tab/>
        </w:r>
        <w:r w:rsidR="0074580F" w:rsidRPr="00922586">
          <w:rPr>
            <w:rStyle w:val="Hyperlink"/>
            <w:i/>
            <w:iCs/>
            <w:noProof/>
          </w:rPr>
          <w:t>Privación ilegal y arbitraria de la libertad del señor Galindo e incumplimiento del deber de presentación ante una autoridad competente</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_Toc438129719 \h </w:instrText>
        </w:r>
        <w:r w:rsidR="0074580F" w:rsidRPr="00922586">
          <w:rPr>
            <w:noProof/>
            <w:webHidden/>
          </w:rPr>
        </w:r>
        <w:r w:rsidR="0074580F" w:rsidRPr="00922586">
          <w:rPr>
            <w:noProof/>
            <w:webHidden/>
          </w:rPr>
          <w:fldChar w:fldCharType="separate"/>
        </w:r>
        <w:r w:rsidR="00DC5A67">
          <w:rPr>
            <w:noProof/>
            <w:webHidden/>
          </w:rPr>
          <w:t>49</w:t>
        </w:r>
        <w:r w:rsidR="0074580F" w:rsidRPr="00922586">
          <w:rPr>
            <w:noProof/>
            <w:webHidden/>
          </w:rPr>
          <w:fldChar w:fldCharType="end"/>
        </w:r>
      </w:hyperlink>
    </w:p>
    <w:p w:rsidR="0074580F" w:rsidRPr="00922586" w:rsidRDefault="00AD4925" w:rsidP="00922586">
      <w:pPr>
        <w:pStyle w:val="TOC3"/>
        <w:tabs>
          <w:tab w:val="right" w:leader="dot" w:pos="9350"/>
        </w:tabs>
        <w:rPr>
          <w:rFonts w:eastAsiaTheme="minorEastAsia" w:cstheme="minorBidi"/>
          <w:smallCaps w:val="0"/>
          <w:noProof/>
          <w:lang w:val="es-CR" w:eastAsia="es-CR"/>
        </w:rPr>
      </w:pPr>
      <w:hyperlink w:anchor="_Toc438129720" w:history="1">
        <w:r w:rsidR="0074580F" w:rsidRPr="00922586">
          <w:rPr>
            <w:rStyle w:val="Hyperlink"/>
            <w:i/>
            <w:iCs/>
            <w:noProof/>
          </w:rPr>
          <w:t>B.2. Incumplimiento del deber de informar las razones de la detención y de respetar el derecho de defensa.</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_Toc438129720 \h </w:instrText>
        </w:r>
        <w:r w:rsidR="0074580F" w:rsidRPr="00922586">
          <w:rPr>
            <w:noProof/>
            <w:webHidden/>
          </w:rPr>
        </w:r>
        <w:r w:rsidR="0074580F" w:rsidRPr="00922586">
          <w:rPr>
            <w:noProof/>
            <w:webHidden/>
          </w:rPr>
          <w:fldChar w:fldCharType="separate"/>
        </w:r>
        <w:r w:rsidR="00DC5A67">
          <w:rPr>
            <w:noProof/>
            <w:webHidden/>
          </w:rPr>
          <w:t>57</w:t>
        </w:r>
        <w:r w:rsidR="0074580F" w:rsidRPr="00922586">
          <w:rPr>
            <w:noProof/>
            <w:webHidden/>
          </w:rPr>
          <w:fldChar w:fldCharType="end"/>
        </w:r>
      </w:hyperlink>
    </w:p>
    <w:p w:rsidR="0074580F" w:rsidRPr="00922586" w:rsidRDefault="00AD4925" w:rsidP="00922586">
      <w:pPr>
        <w:pStyle w:val="TOC3"/>
        <w:tabs>
          <w:tab w:val="right" w:leader="dot" w:pos="9350"/>
        </w:tabs>
        <w:rPr>
          <w:rFonts w:eastAsiaTheme="minorEastAsia" w:cstheme="minorBidi"/>
          <w:smallCaps w:val="0"/>
          <w:noProof/>
          <w:lang w:val="es-CR" w:eastAsia="es-CR"/>
        </w:rPr>
      </w:pPr>
      <w:hyperlink w:anchor="_Toc438129721" w:history="1">
        <w:r w:rsidR="0074580F" w:rsidRPr="00922586">
          <w:rPr>
            <w:rStyle w:val="Hyperlink"/>
            <w:i/>
            <w:iCs/>
            <w:noProof/>
          </w:rPr>
          <w:t>B.3.</w:t>
        </w:r>
        <w:r w:rsidR="0074580F" w:rsidRPr="00922586">
          <w:rPr>
            <w:rStyle w:val="Hyperlink"/>
            <w:iCs/>
            <w:noProof/>
          </w:rPr>
          <w:t xml:space="preserve"> </w:t>
        </w:r>
        <w:r w:rsidR="0074580F" w:rsidRPr="00922586">
          <w:rPr>
            <w:rStyle w:val="Hyperlink"/>
            <w:i/>
            <w:iCs/>
            <w:noProof/>
          </w:rPr>
          <w:t>Alegada vulneración al d</w:t>
        </w:r>
        <w:r w:rsidR="0074580F" w:rsidRPr="00922586">
          <w:rPr>
            <w:rStyle w:val="Hyperlink"/>
            <w:i/>
            <w:noProof/>
          </w:rPr>
          <w:t>erecho a recurrir ante un juez o tribunal competente sobre la legalidad de la detención</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_Toc438129721 \h </w:instrText>
        </w:r>
        <w:r w:rsidR="0074580F" w:rsidRPr="00922586">
          <w:rPr>
            <w:noProof/>
            <w:webHidden/>
          </w:rPr>
        </w:r>
        <w:r w:rsidR="0074580F" w:rsidRPr="00922586">
          <w:rPr>
            <w:noProof/>
            <w:webHidden/>
          </w:rPr>
          <w:fldChar w:fldCharType="separate"/>
        </w:r>
        <w:r w:rsidR="00DC5A67">
          <w:rPr>
            <w:noProof/>
            <w:webHidden/>
          </w:rPr>
          <w:t>58</w:t>
        </w:r>
        <w:r w:rsidR="0074580F" w:rsidRPr="00922586">
          <w:rPr>
            <w:noProof/>
            <w:webHidden/>
          </w:rPr>
          <w:fldChar w:fldCharType="end"/>
        </w:r>
      </w:hyperlink>
    </w:p>
    <w:p w:rsidR="0074580F" w:rsidRPr="00922586" w:rsidRDefault="00AD4925" w:rsidP="00922586">
      <w:pPr>
        <w:pStyle w:val="TOC1"/>
        <w:spacing w:before="0" w:after="0"/>
        <w:rPr>
          <w:rFonts w:eastAsiaTheme="minorEastAsia" w:cstheme="minorBidi"/>
          <w:u w:val="none"/>
          <w:lang w:val="es-CR" w:eastAsia="es-CR"/>
        </w:rPr>
      </w:pPr>
      <w:hyperlink w:anchor="_Toc438129722" w:history="1">
        <w:r w:rsidR="0074580F" w:rsidRPr="00922586">
          <w:rPr>
            <w:rStyle w:val="Hyperlink"/>
          </w:rPr>
          <w:t>VIII.</w:t>
        </w:r>
        <w:r w:rsidR="0074580F" w:rsidRPr="00922586">
          <w:rPr>
            <w:rStyle w:val="Hyperlink"/>
            <w:color w:val="auto"/>
          </w:rPr>
          <w:t xml:space="preserve">2 </w:t>
        </w:r>
        <w:hyperlink w:anchor="_Toc438129723" w:history="1">
          <w:r w:rsidR="0074580F" w:rsidRPr="00922586">
            <w:rPr>
              <w:rStyle w:val="Hyperlink"/>
              <w:color w:val="auto"/>
            </w:rPr>
            <w:t>DERECHO A LA INTEGRIDAD PERSONAL EN RELACIÓN CON</w:t>
          </w:r>
          <w:r w:rsidR="0074580F" w:rsidRPr="00922586">
            <w:rPr>
              <w:webHidden/>
            </w:rPr>
            <w:tab/>
          </w:r>
        </w:hyperlink>
        <w:r w:rsidR="0074580F" w:rsidRPr="00922586">
          <w:rPr>
            <w:rStyle w:val="Hyperlink"/>
            <w:color w:val="auto"/>
          </w:rPr>
          <w:t xml:space="preserve"> </w:t>
        </w:r>
        <w:hyperlink w:anchor="_Toc438129724" w:history="1">
          <w:r w:rsidR="0074580F" w:rsidRPr="00922586">
            <w:rPr>
              <w:rStyle w:val="Hyperlink"/>
              <w:color w:val="auto"/>
            </w:rPr>
            <w:t>LA OBLIGACIÓN DE RESPETAR LOS DERECHOS</w:t>
          </w:r>
        </w:hyperlink>
        <w:r w:rsidR="0074580F" w:rsidRPr="00922586">
          <w:rPr>
            <w:webHidden/>
          </w:rPr>
          <w:tab/>
        </w:r>
        <w:r w:rsidR="0074580F" w:rsidRPr="00922586">
          <w:rPr>
            <w:webHidden/>
          </w:rPr>
          <w:fldChar w:fldCharType="begin"/>
        </w:r>
        <w:r w:rsidR="0074580F" w:rsidRPr="00922586">
          <w:rPr>
            <w:webHidden/>
          </w:rPr>
          <w:instrText xml:space="preserve"> PAGEREF _Toc438129722 \h </w:instrText>
        </w:r>
        <w:r w:rsidR="0074580F" w:rsidRPr="00922586">
          <w:rPr>
            <w:webHidden/>
          </w:rPr>
        </w:r>
        <w:r w:rsidR="0074580F" w:rsidRPr="00922586">
          <w:rPr>
            <w:webHidden/>
          </w:rPr>
          <w:fldChar w:fldCharType="separate"/>
        </w:r>
        <w:r w:rsidR="00DC5A67">
          <w:rPr>
            <w:webHidden/>
          </w:rPr>
          <w:t>61</w:t>
        </w:r>
        <w:r w:rsidR="0074580F" w:rsidRPr="00922586">
          <w:rPr>
            <w:webHidden/>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25" w:history="1">
        <w:r w:rsidR="0074580F" w:rsidRPr="00922586">
          <w:rPr>
            <w:rStyle w:val="Hyperlink"/>
            <w:rFonts w:asciiTheme="minorHAnsi" w:eastAsia="Times New Roman" w:hAnsiTheme="minorHAnsi"/>
            <w:sz w:val="22"/>
            <w:szCs w:val="22"/>
            <w:lang w:val="es-MX"/>
          </w:rPr>
          <w:t>A)</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eastAsia="Times New Roman" w:hAnsiTheme="minorHAnsi"/>
            <w:sz w:val="22"/>
            <w:szCs w:val="22"/>
            <w:lang w:val="es-MX"/>
          </w:rPr>
          <w:t>Alegatos de la Comisión y de las partes</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_Toc438129725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61</w:t>
        </w:r>
        <w:r w:rsidR="0074580F" w:rsidRPr="00922586">
          <w:rPr>
            <w:rFonts w:asciiTheme="minorHAnsi" w:hAnsiTheme="minorHAnsi"/>
            <w:webHidden/>
            <w:sz w:val="22"/>
            <w:szCs w:val="22"/>
          </w:rPr>
          <w:fldChar w:fldCharType="end"/>
        </w:r>
      </w:hyperlink>
    </w:p>
    <w:p w:rsidR="0074580F" w:rsidRPr="00922586" w:rsidRDefault="00AD4925" w:rsidP="00922586">
      <w:pPr>
        <w:pStyle w:val="TOC3"/>
        <w:tabs>
          <w:tab w:val="right" w:leader="dot" w:pos="9350"/>
        </w:tabs>
        <w:rPr>
          <w:rFonts w:eastAsiaTheme="minorEastAsia" w:cstheme="minorBidi"/>
          <w:smallCaps w:val="0"/>
          <w:noProof/>
          <w:lang w:val="es-CR" w:eastAsia="es-CR"/>
        </w:rPr>
      </w:pPr>
      <w:hyperlink w:anchor="_Toc438129726" w:history="1">
        <w:r w:rsidR="0074580F" w:rsidRPr="00922586">
          <w:rPr>
            <w:rStyle w:val="Hyperlink"/>
            <w:rFonts w:eastAsia="Times New Roman"/>
            <w:bCs/>
            <w:i/>
            <w:noProof/>
            <w:lang w:val="es-MX"/>
          </w:rPr>
          <w:t>A.1. Respecto al señor Galindo Cárdenas</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_Toc438129726 \h </w:instrText>
        </w:r>
        <w:r w:rsidR="0074580F" w:rsidRPr="00922586">
          <w:rPr>
            <w:noProof/>
            <w:webHidden/>
          </w:rPr>
        </w:r>
        <w:r w:rsidR="0074580F" w:rsidRPr="00922586">
          <w:rPr>
            <w:noProof/>
            <w:webHidden/>
          </w:rPr>
          <w:fldChar w:fldCharType="separate"/>
        </w:r>
        <w:r w:rsidR="00DC5A67">
          <w:rPr>
            <w:noProof/>
            <w:webHidden/>
          </w:rPr>
          <w:t>61</w:t>
        </w:r>
        <w:r w:rsidR="0074580F" w:rsidRPr="00922586">
          <w:rPr>
            <w:noProof/>
            <w:webHidden/>
          </w:rPr>
          <w:fldChar w:fldCharType="end"/>
        </w:r>
      </w:hyperlink>
    </w:p>
    <w:p w:rsidR="0074580F" w:rsidRPr="00922586" w:rsidRDefault="00AD4925" w:rsidP="00922586">
      <w:pPr>
        <w:pStyle w:val="TOC3"/>
        <w:tabs>
          <w:tab w:val="right" w:leader="dot" w:pos="9350"/>
        </w:tabs>
        <w:rPr>
          <w:rFonts w:eastAsiaTheme="minorEastAsia" w:cstheme="minorBidi"/>
          <w:smallCaps w:val="0"/>
          <w:noProof/>
          <w:lang w:val="es-CR" w:eastAsia="es-CR"/>
        </w:rPr>
      </w:pPr>
      <w:hyperlink w:anchor="_Toc438129727" w:history="1">
        <w:r w:rsidR="0074580F" w:rsidRPr="00922586">
          <w:rPr>
            <w:rStyle w:val="Hyperlink"/>
            <w:i/>
            <w:noProof/>
            <w:lang w:val="es-MX"/>
          </w:rPr>
          <w:t>A.2. Respecto a los familiares del señor Galindo Cárdenas</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_Toc438129727 \h </w:instrText>
        </w:r>
        <w:r w:rsidR="0074580F" w:rsidRPr="00922586">
          <w:rPr>
            <w:noProof/>
            <w:webHidden/>
          </w:rPr>
        </w:r>
        <w:r w:rsidR="0074580F" w:rsidRPr="00922586">
          <w:rPr>
            <w:noProof/>
            <w:webHidden/>
          </w:rPr>
          <w:fldChar w:fldCharType="separate"/>
        </w:r>
        <w:r w:rsidR="00DC5A67">
          <w:rPr>
            <w:noProof/>
            <w:webHidden/>
          </w:rPr>
          <w:t>62</w:t>
        </w:r>
        <w:r w:rsidR="0074580F" w:rsidRPr="00922586">
          <w:rPr>
            <w:noProof/>
            <w:webHidden/>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28" w:history="1">
        <w:r w:rsidR="0074580F" w:rsidRPr="00922586">
          <w:rPr>
            <w:rStyle w:val="Hyperlink"/>
            <w:rFonts w:asciiTheme="minorHAnsi" w:eastAsia="Times New Roman" w:hAnsiTheme="minorHAnsi"/>
            <w:sz w:val="22"/>
            <w:szCs w:val="22"/>
          </w:rPr>
          <w:t>B)</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eastAsia="Times New Roman" w:hAnsiTheme="minorHAnsi"/>
            <w:sz w:val="22"/>
            <w:szCs w:val="22"/>
          </w:rPr>
          <w:t>Consideraciones de la Corte</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_Toc438129728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63</w:t>
        </w:r>
        <w:r w:rsidR="0074580F" w:rsidRPr="00922586">
          <w:rPr>
            <w:rFonts w:asciiTheme="minorHAnsi" w:hAnsiTheme="minorHAnsi"/>
            <w:webHidden/>
            <w:sz w:val="22"/>
            <w:szCs w:val="22"/>
          </w:rPr>
          <w:fldChar w:fldCharType="end"/>
        </w:r>
      </w:hyperlink>
    </w:p>
    <w:p w:rsidR="0074580F" w:rsidRPr="00922586" w:rsidRDefault="00AD4925" w:rsidP="00922586">
      <w:pPr>
        <w:pStyle w:val="TOC3"/>
        <w:tabs>
          <w:tab w:val="left" w:pos="562"/>
          <w:tab w:val="right" w:leader="dot" w:pos="9350"/>
        </w:tabs>
        <w:rPr>
          <w:rFonts w:eastAsiaTheme="minorEastAsia" w:cstheme="minorBidi"/>
          <w:smallCaps w:val="0"/>
          <w:noProof/>
          <w:lang w:val="es-CR" w:eastAsia="es-CR"/>
        </w:rPr>
      </w:pPr>
      <w:hyperlink w:anchor="_Toc438129729" w:history="1">
        <w:r w:rsidR="0074580F" w:rsidRPr="00922586">
          <w:rPr>
            <w:rStyle w:val="Hyperlink"/>
            <w:i/>
            <w:noProof/>
          </w:rPr>
          <w:t>B.1.</w:t>
        </w:r>
        <w:r w:rsidR="0074580F" w:rsidRPr="00922586">
          <w:rPr>
            <w:rFonts w:eastAsiaTheme="minorEastAsia" w:cstheme="minorBidi"/>
            <w:smallCaps w:val="0"/>
            <w:noProof/>
            <w:lang w:val="es-CR" w:eastAsia="es-CR"/>
          </w:rPr>
          <w:tab/>
        </w:r>
        <w:r w:rsidR="0074580F" w:rsidRPr="00922586">
          <w:rPr>
            <w:rStyle w:val="Hyperlink"/>
            <w:i/>
            <w:noProof/>
          </w:rPr>
          <w:t>La alegada vulneración del artículo 5 de la Convención en perjuicio del señor Galindo Cárdenas</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_Toc438129729 \h </w:instrText>
        </w:r>
        <w:r w:rsidR="0074580F" w:rsidRPr="00922586">
          <w:rPr>
            <w:noProof/>
            <w:webHidden/>
          </w:rPr>
        </w:r>
        <w:r w:rsidR="0074580F" w:rsidRPr="00922586">
          <w:rPr>
            <w:noProof/>
            <w:webHidden/>
          </w:rPr>
          <w:fldChar w:fldCharType="separate"/>
        </w:r>
        <w:r w:rsidR="00DC5A67">
          <w:rPr>
            <w:noProof/>
            <w:webHidden/>
          </w:rPr>
          <w:t>63</w:t>
        </w:r>
        <w:r w:rsidR="0074580F" w:rsidRPr="00922586">
          <w:rPr>
            <w:noProof/>
            <w:webHidden/>
          </w:rPr>
          <w:fldChar w:fldCharType="end"/>
        </w:r>
      </w:hyperlink>
    </w:p>
    <w:p w:rsidR="0074580F" w:rsidRPr="00922586" w:rsidRDefault="00AD4925" w:rsidP="00922586">
      <w:pPr>
        <w:pStyle w:val="TOC3"/>
        <w:tabs>
          <w:tab w:val="left" w:pos="562"/>
          <w:tab w:val="right" w:leader="dot" w:pos="9350"/>
        </w:tabs>
        <w:rPr>
          <w:rFonts w:eastAsiaTheme="minorEastAsia" w:cstheme="minorBidi"/>
          <w:smallCaps w:val="0"/>
          <w:noProof/>
          <w:lang w:val="es-CR" w:eastAsia="es-CR"/>
        </w:rPr>
      </w:pPr>
      <w:hyperlink w:anchor="_Toc438129730" w:history="1">
        <w:r w:rsidR="0074580F" w:rsidRPr="00922586">
          <w:rPr>
            <w:rStyle w:val="Hyperlink"/>
            <w:i/>
            <w:noProof/>
          </w:rPr>
          <w:t>B.2.</w:t>
        </w:r>
        <w:r w:rsidR="0074580F" w:rsidRPr="00922586">
          <w:rPr>
            <w:rFonts w:eastAsiaTheme="minorEastAsia" w:cstheme="minorBidi"/>
            <w:smallCaps w:val="0"/>
            <w:noProof/>
            <w:lang w:val="es-CR" w:eastAsia="es-CR"/>
          </w:rPr>
          <w:tab/>
        </w:r>
        <w:r w:rsidR="0074580F" w:rsidRPr="00922586">
          <w:rPr>
            <w:rStyle w:val="Hyperlink"/>
            <w:i/>
            <w:noProof/>
          </w:rPr>
          <w:t>Derecho a la integridad personal de los familiares del señor Galindo</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_Toc438129730 \h </w:instrText>
        </w:r>
        <w:r w:rsidR="0074580F" w:rsidRPr="00922586">
          <w:rPr>
            <w:noProof/>
            <w:webHidden/>
          </w:rPr>
        </w:r>
        <w:r w:rsidR="0074580F" w:rsidRPr="00922586">
          <w:rPr>
            <w:noProof/>
            <w:webHidden/>
          </w:rPr>
          <w:fldChar w:fldCharType="separate"/>
        </w:r>
        <w:r w:rsidR="00DC5A67">
          <w:rPr>
            <w:noProof/>
            <w:webHidden/>
          </w:rPr>
          <w:t>65</w:t>
        </w:r>
        <w:r w:rsidR="0074580F" w:rsidRPr="00922586">
          <w:rPr>
            <w:noProof/>
            <w:webHidden/>
          </w:rPr>
          <w:fldChar w:fldCharType="end"/>
        </w:r>
      </w:hyperlink>
    </w:p>
    <w:p w:rsidR="0074580F" w:rsidRPr="00922586" w:rsidRDefault="0074580F" w:rsidP="00922586">
      <w:pPr>
        <w:pStyle w:val="TOC1"/>
        <w:spacing w:before="0" w:after="0"/>
        <w:rPr>
          <w:rFonts w:eastAsiaTheme="minorEastAsia" w:cstheme="minorBidi"/>
          <w:u w:val="none"/>
          <w:lang w:val="es-CR" w:eastAsia="es-CR"/>
        </w:rPr>
      </w:pPr>
      <w:r w:rsidRPr="00922586">
        <w:rPr>
          <w:rStyle w:val="Hyperlink"/>
          <w:color w:val="auto"/>
        </w:rPr>
        <w:t xml:space="preserve">VIII.3 </w:t>
      </w:r>
      <w:hyperlink w:anchor="_Toc438129731" w:history="1">
        <w:r w:rsidRPr="00922586">
          <w:rPr>
            <w:rStyle w:val="Hyperlink"/>
          </w:rPr>
          <w:t>DERECHOS A LAS GARANTÍAS JUDICIALES Y A LA PROTECCIÓN JUDICIAL EN RELACIÓN CON LAS OBLIGACIONES DE RESPETAR LOS DERECHOS Y ADOPTAR DISPOSICIÓNES DE DERECHO INTERNO RESPECTO A LA INVESTIGACIÓN DE LOS HECHOS</w:t>
        </w:r>
        <w:r w:rsidRPr="00922586">
          <w:rPr>
            <w:webHidden/>
          </w:rPr>
          <w:tab/>
        </w:r>
        <w:r w:rsidRPr="00922586">
          <w:rPr>
            <w:webHidden/>
          </w:rPr>
          <w:fldChar w:fldCharType="begin"/>
        </w:r>
        <w:r w:rsidRPr="00922586">
          <w:rPr>
            <w:webHidden/>
          </w:rPr>
          <w:instrText xml:space="preserve"> PAGEREF _Toc438129731 \h </w:instrText>
        </w:r>
        <w:r w:rsidRPr="00922586">
          <w:rPr>
            <w:webHidden/>
          </w:rPr>
        </w:r>
        <w:r w:rsidRPr="00922586">
          <w:rPr>
            <w:webHidden/>
          </w:rPr>
          <w:fldChar w:fldCharType="separate"/>
        </w:r>
        <w:r w:rsidR="00DC5A67">
          <w:rPr>
            <w:webHidden/>
          </w:rPr>
          <w:t>65</w:t>
        </w:r>
        <w:r w:rsidRPr="00922586">
          <w:rPr>
            <w:webHidden/>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32" w:history="1">
        <w:r w:rsidR="0074580F" w:rsidRPr="00922586">
          <w:rPr>
            <w:rStyle w:val="Hyperlink"/>
            <w:rFonts w:asciiTheme="minorHAnsi" w:hAnsiTheme="minorHAnsi"/>
            <w:sz w:val="22"/>
            <w:szCs w:val="22"/>
          </w:rPr>
          <w:t>A)</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Argumentos de la Comisión y de las partes</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_Toc438129732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66</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33" w:history="1">
        <w:r w:rsidR="0074580F" w:rsidRPr="00922586">
          <w:rPr>
            <w:rStyle w:val="Hyperlink"/>
            <w:rFonts w:asciiTheme="minorHAnsi" w:eastAsiaTheme="minorHAnsi" w:hAnsiTheme="minorHAnsi"/>
            <w:sz w:val="22"/>
            <w:szCs w:val="22"/>
          </w:rPr>
          <w:t>B)</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eastAsiaTheme="minorHAnsi" w:hAnsiTheme="minorHAnsi"/>
            <w:sz w:val="22"/>
            <w:szCs w:val="22"/>
          </w:rPr>
          <w:t>Consideraciones de la Corte</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_Toc438129733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67</w:t>
        </w:r>
        <w:r w:rsidR="0074580F" w:rsidRPr="00922586">
          <w:rPr>
            <w:rFonts w:asciiTheme="minorHAnsi" w:hAnsiTheme="minorHAnsi"/>
            <w:webHidden/>
            <w:sz w:val="22"/>
            <w:szCs w:val="22"/>
          </w:rPr>
          <w:fldChar w:fldCharType="end"/>
        </w:r>
      </w:hyperlink>
    </w:p>
    <w:p w:rsidR="0074580F" w:rsidRPr="00922586" w:rsidRDefault="00AD4925" w:rsidP="00922586">
      <w:pPr>
        <w:pStyle w:val="TOC1"/>
        <w:spacing w:before="0" w:after="0"/>
        <w:rPr>
          <w:rFonts w:eastAsiaTheme="minorEastAsia" w:cstheme="minorBidi"/>
          <w:u w:val="none"/>
          <w:lang w:val="es-CR" w:eastAsia="es-CR"/>
        </w:rPr>
      </w:pPr>
      <w:hyperlink w:anchor="_Toc438129734" w:history="1">
        <w:r w:rsidR="0074580F" w:rsidRPr="00922586">
          <w:rPr>
            <w:rStyle w:val="Hyperlink"/>
          </w:rPr>
          <w:t>VIII.</w:t>
        </w:r>
        <w:r w:rsidR="0074580F" w:rsidRPr="00922586">
          <w:rPr>
            <w:rStyle w:val="Hyperlink"/>
            <w:color w:val="auto"/>
          </w:rPr>
          <w:t xml:space="preserve">4 </w:t>
        </w:r>
        <w:hyperlink w:anchor="_Toc438129735" w:history="1">
          <w:r w:rsidR="0074580F" w:rsidRPr="00922586">
            <w:rPr>
              <w:rStyle w:val="Hyperlink"/>
              <w:color w:val="auto"/>
            </w:rPr>
            <w:t>PRINCIPIO DE LEGALIDAD</w:t>
          </w:r>
        </w:hyperlink>
        <w:r w:rsidR="0074580F" w:rsidRPr="00922586">
          <w:rPr>
            <w:webHidden/>
          </w:rPr>
          <w:tab/>
        </w:r>
        <w:r w:rsidR="0074580F" w:rsidRPr="00922586">
          <w:rPr>
            <w:webHidden/>
          </w:rPr>
          <w:fldChar w:fldCharType="begin"/>
        </w:r>
        <w:r w:rsidR="0074580F" w:rsidRPr="00922586">
          <w:rPr>
            <w:webHidden/>
          </w:rPr>
          <w:instrText xml:space="preserve"> PAGEREF _Toc438129734 \h </w:instrText>
        </w:r>
        <w:r w:rsidR="0074580F" w:rsidRPr="00922586">
          <w:rPr>
            <w:webHidden/>
          </w:rPr>
        </w:r>
        <w:r w:rsidR="0074580F" w:rsidRPr="00922586">
          <w:rPr>
            <w:webHidden/>
          </w:rPr>
          <w:fldChar w:fldCharType="separate"/>
        </w:r>
        <w:r w:rsidR="00DC5A67">
          <w:rPr>
            <w:webHidden/>
          </w:rPr>
          <w:t>69</w:t>
        </w:r>
        <w:r w:rsidR="0074580F" w:rsidRPr="00922586">
          <w:rPr>
            <w:webHidden/>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36" w:history="1">
        <w:r w:rsidR="0074580F" w:rsidRPr="00922586">
          <w:rPr>
            <w:rStyle w:val="Hyperlink"/>
            <w:rFonts w:asciiTheme="minorHAnsi" w:hAnsiTheme="minorHAnsi"/>
            <w:sz w:val="22"/>
            <w:szCs w:val="22"/>
          </w:rPr>
          <w:t>A)</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Alegatos de la Comisión y de las partes</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_Toc438129736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69</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37" w:history="1">
        <w:r w:rsidR="0074580F" w:rsidRPr="00922586">
          <w:rPr>
            <w:rStyle w:val="Hyperlink"/>
            <w:rFonts w:asciiTheme="minorHAnsi" w:hAnsiTheme="minorHAnsi"/>
            <w:sz w:val="22"/>
            <w:szCs w:val="22"/>
          </w:rPr>
          <w:t>B)</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Consideraciones de la Corte</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_Toc438129737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70</w:t>
        </w:r>
        <w:r w:rsidR="0074580F" w:rsidRPr="00922586">
          <w:rPr>
            <w:rFonts w:asciiTheme="minorHAnsi" w:hAnsiTheme="minorHAnsi"/>
            <w:webHidden/>
            <w:sz w:val="22"/>
            <w:szCs w:val="22"/>
          </w:rPr>
          <w:fldChar w:fldCharType="end"/>
        </w:r>
      </w:hyperlink>
    </w:p>
    <w:p w:rsidR="0074580F" w:rsidRPr="00922586" w:rsidRDefault="00AD4925" w:rsidP="00922586">
      <w:pPr>
        <w:pStyle w:val="TOC1"/>
        <w:spacing w:before="0" w:after="0"/>
        <w:rPr>
          <w:rFonts w:eastAsiaTheme="minorEastAsia" w:cstheme="minorBidi"/>
          <w:u w:val="none"/>
          <w:lang w:val="es-CR" w:eastAsia="es-CR"/>
        </w:rPr>
      </w:pPr>
      <w:hyperlink w:anchor="_Toc438129738" w:history="1">
        <w:r w:rsidR="0074580F" w:rsidRPr="00922586">
          <w:rPr>
            <w:rStyle w:val="Hyperlink"/>
          </w:rPr>
          <w:t xml:space="preserve">IX </w:t>
        </w:r>
        <w:hyperlink w:anchor="_Toc438129739" w:history="1">
          <w:r w:rsidR="0074580F" w:rsidRPr="00922586">
            <w:rPr>
              <w:rStyle w:val="Hyperlink"/>
              <w:color w:val="auto"/>
            </w:rPr>
            <w:t>REPARACIONES</w:t>
          </w:r>
        </w:hyperlink>
        <w:r w:rsidR="0074580F" w:rsidRPr="00922586">
          <w:rPr>
            <w:webHidden/>
          </w:rPr>
          <w:tab/>
        </w:r>
        <w:r w:rsidR="0074580F" w:rsidRPr="00922586">
          <w:rPr>
            <w:webHidden/>
          </w:rPr>
          <w:fldChar w:fldCharType="begin"/>
        </w:r>
        <w:r w:rsidR="0074580F" w:rsidRPr="00922586">
          <w:rPr>
            <w:webHidden/>
          </w:rPr>
          <w:instrText xml:space="preserve"> PAGEREF _Toc438129738 \h </w:instrText>
        </w:r>
        <w:r w:rsidR="0074580F" w:rsidRPr="00922586">
          <w:rPr>
            <w:webHidden/>
          </w:rPr>
        </w:r>
        <w:r w:rsidR="0074580F" w:rsidRPr="00922586">
          <w:rPr>
            <w:webHidden/>
          </w:rPr>
          <w:fldChar w:fldCharType="separate"/>
        </w:r>
        <w:r w:rsidR="00DC5A67">
          <w:rPr>
            <w:webHidden/>
          </w:rPr>
          <w:t>72</w:t>
        </w:r>
        <w:r w:rsidR="0074580F" w:rsidRPr="00922586">
          <w:rPr>
            <w:webHidden/>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40" w:history="1">
        <w:r w:rsidR="0074580F" w:rsidRPr="00922586">
          <w:rPr>
            <w:rStyle w:val="Hyperlink"/>
            <w:rFonts w:asciiTheme="minorHAnsi" w:hAnsiTheme="minorHAnsi"/>
            <w:sz w:val="22"/>
            <w:szCs w:val="22"/>
          </w:rPr>
          <w:t>A)</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Parte Lesionada</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_Toc438129740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72</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41" w:history="1">
        <w:r w:rsidR="0074580F" w:rsidRPr="00922586">
          <w:rPr>
            <w:rStyle w:val="Hyperlink"/>
            <w:rFonts w:asciiTheme="minorHAnsi" w:hAnsiTheme="minorHAnsi"/>
            <w:sz w:val="22"/>
            <w:szCs w:val="22"/>
          </w:rPr>
          <w:t>B)</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Obligación de investigar los hechos que generaron las violaciones e identificar, juzgar y, en su caso, sancionar a los responsables</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_Toc438129741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72</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42" w:history="1">
        <w:r w:rsidR="0074580F" w:rsidRPr="00922586">
          <w:rPr>
            <w:rStyle w:val="Hyperlink"/>
            <w:rFonts w:asciiTheme="minorHAnsi" w:hAnsiTheme="minorHAnsi"/>
            <w:sz w:val="22"/>
            <w:szCs w:val="22"/>
          </w:rPr>
          <w:t>C)</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Satisfacción</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_Toc438129742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74</w:t>
        </w:r>
        <w:r w:rsidR="0074580F" w:rsidRPr="00922586">
          <w:rPr>
            <w:rFonts w:asciiTheme="minorHAnsi" w:hAnsiTheme="minorHAnsi"/>
            <w:webHidden/>
            <w:sz w:val="22"/>
            <w:szCs w:val="22"/>
          </w:rPr>
          <w:fldChar w:fldCharType="end"/>
        </w:r>
      </w:hyperlink>
    </w:p>
    <w:p w:rsidR="0074580F" w:rsidRPr="00922586" w:rsidRDefault="00AD4925" w:rsidP="00922586">
      <w:pPr>
        <w:pStyle w:val="TOC3"/>
        <w:tabs>
          <w:tab w:val="right" w:leader="dot" w:pos="9350"/>
        </w:tabs>
        <w:rPr>
          <w:rFonts w:eastAsiaTheme="minorEastAsia" w:cstheme="minorBidi"/>
          <w:smallCaps w:val="0"/>
          <w:noProof/>
          <w:lang w:val="es-CR" w:eastAsia="es-CR"/>
        </w:rPr>
      </w:pPr>
      <w:hyperlink w:anchor="_Toc438129743" w:history="1">
        <w:r w:rsidR="0074580F" w:rsidRPr="00922586">
          <w:rPr>
            <w:rStyle w:val="Hyperlink"/>
            <w:i/>
            <w:noProof/>
          </w:rPr>
          <w:t>C.1. Solicitud de anulación de “Actas de Arrepentimiento</w:t>
        </w:r>
        <w:r w:rsidR="0074580F" w:rsidRPr="00922586">
          <w:rPr>
            <w:rStyle w:val="Hyperlink"/>
            <w:b/>
            <w:i/>
            <w:noProof/>
          </w:rPr>
          <w:t>”</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_Toc438129743 \h </w:instrText>
        </w:r>
        <w:r w:rsidR="0074580F" w:rsidRPr="00922586">
          <w:rPr>
            <w:noProof/>
            <w:webHidden/>
          </w:rPr>
        </w:r>
        <w:r w:rsidR="0074580F" w:rsidRPr="00922586">
          <w:rPr>
            <w:noProof/>
            <w:webHidden/>
          </w:rPr>
          <w:fldChar w:fldCharType="separate"/>
        </w:r>
        <w:r w:rsidR="00DC5A67">
          <w:rPr>
            <w:noProof/>
            <w:webHidden/>
          </w:rPr>
          <w:t>74</w:t>
        </w:r>
        <w:r w:rsidR="0074580F" w:rsidRPr="00922586">
          <w:rPr>
            <w:noProof/>
            <w:webHidden/>
          </w:rPr>
          <w:fldChar w:fldCharType="end"/>
        </w:r>
      </w:hyperlink>
    </w:p>
    <w:p w:rsidR="0074580F" w:rsidRPr="00922586" w:rsidRDefault="00AD4925" w:rsidP="00922586">
      <w:pPr>
        <w:pStyle w:val="TOC3"/>
        <w:tabs>
          <w:tab w:val="right" w:leader="dot" w:pos="9350"/>
        </w:tabs>
        <w:rPr>
          <w:rFonts w:eastAsiaTheme="minorEastAsia" w:cstheme="minorBidi"/>
          <w:smallCaps w:val="0"/>
          <w:noProof/>
          <w:lang w:val="es-CR" w:eastAsia="es-CR"/>
        </w:rPr>
      </w:pPr>
      <w:hyperlink w:anchor="_Toc438129744" w:history="1">
        <w:r w:rsidR="0074580F" w:rsidRPr="00922586">
          <w:rPr>
            <w:rStyle w:val="Hyperlink"/>
            <w:i/>
            <w:noProof/>
            <w:lang w:val="es-CR"/>
          </w:rPr>
          <w:t>C.2. Publicación de la Sentencia</w:t>
        </w:r>
        <w:r w:rsidR="0074580F" w:rsidRPr="00922586">
          <w:rPr>
            <w:noProof/>
            <w:webHidden/>
          </w:rPr>
          <w:tab/>
        </w:r>
        <w:r w:rsidR="0074580F" w:rsidRPr="00922586">
          <w:rPr>
            <w:noProof/>
            <w:webHidden/>
          </w:rPr>
          <w:fldChar w:fldCharType="begin"/>
        </w:r>
        <w:r w:rsidR="0074580F" w:rsidRPr="00922586">
          <w:rPr>
            <w:noProof/>
            <w:webHidden/>
          </w:rPr>
          <w:instrText xml:space="preserve"> PAGEREF _Toc438129744 \h </w:instrText>
        </w:r>
        <w:r w:rsidR="0074580F" w:rsidRPr="00922586">
          <w:rPr>
            <w:noProof/>
            <w:webHidden/>
          </w:rPr>
        </w:r>
        <w:r w:rsidR="0074580F" w:rsidRPr="00922586">
          <w:rPr>
            <w:noProof/>
            <w:webHidden/>
          </w:rPr>
          <w:fldChar w:fldCharType="separate"/>
        </w:r>
        <w:r w:rsidR="00DC5A67">
          <w:rPr>
            <w:noProof/>
            <w:webHidden/>
          </w:rPr>
          <w:t>75</w:t>
        </w:r>
        <w:r w:rsidR="0074580F" w:rsidRPr="00922586">
          <w:rPr>
            <w:noProof/>
            <w:webHidden/>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45" w:history="1">
        <w:r w:rsidR="0074580F" w:rsidRPr="00922586">
          <w:rPr>
            <w:rStyle w:val="Hyperlink"/>
            <w:rFonts w:asciiTheme="minorHAnsi" w:hAnsiTheme="minorHAnsi"/>
            <w:sz w:val="22"/>
            <w:szCs w:val="22"/>
          </w:rPr>
          <w:t>D)</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rPr>
          <w:t>Rehabilitación</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_Toc438129745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75</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46" w:history="1">
        <w:r w:rsidR="0074580F" w:rsidRPr="00922586">
          <w:rPr>
            <w:rStyle w:val="Hyperlink"/>
            <w:rFonts w:asciiTheme="minorHAnsi" w:hAnsiTheme="minorHAnsi"/>
            <w:sz w:val="22"/>
            <w:szCs w:val="22"/>
            <w:lang w:val="es-ES"/>
          </w:rPr>
          <w:t>E)</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lang w:val="es-ES"/>
          </w:rPr>
          <w:t>Otras medidas no pecuniarias solicitadas</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_Toc438129746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76</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47" w:history="1">
        <w:r w:rsidR="0074580F" w:rsidRPr="00922586">
          <w:rPr>
            <w:rStyle w:val="Hyperlink"/>
            <w:rFonts w:asciiTheme="minorHAnsi" w:hAnsiTheme="minorHAnsi"/>
            <w:sz w:val="22"/>
            <w:szCs w:val="22"/>
            <w:lang w:val="es-ES"/>
          </w:rPr>
          <w:t>F)</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lang w:val="es-ES"/>
          </w:rPr>
          <w:t>Indemnizaciones compensatorias del daño material e inmaterial</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_Toc438129747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76</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48" w:history="1">
        <w:r w:rsidR="0074580F" w:rsidRPr="00922586">
          <w:rPr>
            <w:rStyle w:val="Hyperlink"/>
            <w:rFonts w:asciiTheme="minorHAnsi" w:hAnsiTheme="minorHAnsi"/>
            <w:sz w:val="22"/>
            <w:szCs w:val="22"/>
            <w:lang w:val="es-ES"/>
          </w:rPr>
          <w:t>G)</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lang w:val="es-ES"/>
          </w:rPr>
          <w:t>Costas y gastos</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_Toc438129748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80</w:t>
        </w:r>
        <w:r w:rsidR="0074580F" w:rsidRPr="00922586">
          <w:rPr>
            <w:rFonts w:asciiTheme="minorHAnsi" w:hAnsiTheme="minorHAnsi"/>
            <w:webHidden/>
            <w:sz w:val="22"/>
            <w:szCs w:val="22"/>
          </w:rPr>
          <w:fldChar w:fldCharType="end"/>
        </w:r>
      </w:hyperlink>
    </w:p>
    <w:p w:rsidR="0074580F" w:rsidRPr="00922586" w:rsidRDefault="00AD4925" w:rsidP="00922586">
      <w:pPr>
        <w:pStyle w:val="TOC2"/>
        <w:rPr>
          <w:rFonts w:asciiTheme="minorHAnsi" w:eastAsiaTheme="minorEastAsia" w:hAnsiTheme="minorHAnsi" w:cstheme="minorBidi"/>
          <w:b w:val="0"/>
          <w:bCs w:val="0"/>
          <w:i w:val="0"/>
          <w:smallCaps w:val="0"/>
          <w:sz w:val="22"/>
          <w:szCs w:val="22"/>
          <w:lang w:eastAsia="es-CR"/>
        </w:rPr>
      </w:pPr>
      <w:hyperlink w:anchor="_Toc438129749" w:history="1">
        <w:r w:rsidR="0074580F" w:rsidRPr="00922586">
          <w:rPr>
            <w:rStyle w:val="Hyperlink"/>
            <w:rFonts w:asciiTheme="minorHAnsi" w:hAnsiTheme="minorHAnsi"/>
            <w:sz w:val="22"/>
            <w:szCs w:val="22"/>
            <w:lang w:val="es-ES"/>
          </w:rPr>
          <w:t>H)</w:t>
        </w:r>
        <w:r w:rsidR="0074580F" w:rsidRPr="00922586">
          <w:rPr>
            <w:rFonts w:asciiTheme="minorHAnsi" w:eastAsiaTheme="minorEastAsia" w:hAnsiTheme="minorHAnsi" w:cstheme="minorBidi"/>
            <w:b w:val="0"/>
            <w:bCs w:val="0"/>
            <w:i w:val="0"/>
            <w:smallCaps w:val="0"/>
            <w:sz w:val="22"/>
            <w:szCs w:val="22"/>
            <w:lang w:eastAsia="es-CR"/>
          </w:rPr>
          <w:tab/>
        </w:r>
        <w:r w:rsidR="0074580F" w:rsidRPr="00922586">
          <w:rPr>
            <w:rStyle w:val="Hyperlink"/>
            <w:rFonts w:asciiTheme="minorHAnsi" w:hAnsiTheme="minorHAnsi"/>
            <w:sz w:val="22"/>
            <w:szCs w:val="22"/>
            <w:lang w:val="es-ES"/>
          </w:rPr>
          <w:t>Modalidad de cumplimiento de los pagos ordenados</w:t>
        </w:r>
        <w:r w:rsidR="0074580F" w:rsidRPr="00922586">
          <w:rPr>
            <w:rFonts w:asciiTheme="minorHAnsi" w:hAnsiTheme="minorHAnsi"/>
            <w:webHidden/>
            <w:sz w:val="22"/>
            <w:szCs w:val="22"/>
          </w:rPr>
          <w:tab/>
        </w:r>
        <w:r w:rsidR="0074580F" w:rsidRPr="00922586">
          <w:rPr>
            <w:rFonts w:asciiTheme="minorHAnsi" w:hAnsiTheme="minorHAnsi"/>
            <w:webHidden/>
            <w:sz w:val="22"/>
            <w:szCs w:val="22"/>
          </w:rPr>
          <w:fldChar w:fldCharType="begin"/>
        </w:r>
        <w:r w:rsidR="0074580F" w:rsidRPr="00922586">
          <w:rPr>
            <w:rFonts w:asciiTheme="minorHAnsi" w:hAnsiTheme="minorHAnsi"/>
            <w:webHidden/>
            <w:sz w:val="22"/>
            <w:szCs w:val="22"/>
          </w:rPr>
          <w:instrText xml:space="preserve"> PAGEREF _Toc438129749 \h </w:instrText>
        </w:r>
        <w:r w:rsidR="0074580F" w:rsidRPr="00922586">
          <w:rPr>
            <w:rFonts w:asciiTheme="minorHAnsi" w:hAnsiTheme="minorHAnsi"/>
            <w:webHidden/>
            <w:sz w:val="22"/>
            <w:szCs w:val="22"/>
          </w:rPr>
        </w:r>
        <w:r w:rsidR="0074580F" w:rsidRPr="00922586">
          <w:rPr>
            <w:rFonts w:asciiTheme="minorHAnsi" w:hAnsiTheme="minorHAnsi"/>
            <w:webHidden/>
            <w:sz w:val="22"/>
            <w:szCs w:val="22"/>
          </w:rPr>
          <w:fldChar w:fldCharType="separate"/>
        </w:r>
        <w:r w:rsidR="00DC5A67">
          <w:rPr>
            <w:rFonts w:asciiTheme="minorHAnsi" w:hAnsiTheme="minorHAnsi"/>
            <w:webHidden/>
            <w:sz w:val="22"/>
            <w:szCs w:val="22"/>
          </w:rPr>
          <w:t>81</w:t>
        </w:r>
        <w:r w:rsidR="0074580F" w:rsidRPr="00922586">
          <w:rPr>
            <w:rFonts w:asciiTheme="minorHAnsi" w:hAnsiTheme="minorHAnsi"/>
            <w:webHidden/>
            <w:sz w:val="22"/>
            <w:szCs w:val="22"/>
          </w:rPr>
          <w:fldChar w:fldCharType="end"/>
        </w:r>
      </w:hyperlink>
    </w:p>
    <w:p w:rsidR="0074580F" w:rsidRDefault="00AD4925" w:rsidP="00922586">
      <w:pPr>
        <w:pStyle w:val="TOC1"/>
        <w:spacing w:before="0" w:after="0"/>
        <w:rPr>
          <w:rFonts w:eastAsiaTheme="minorEastAsia" w:cstheme="minorBidi"/>
          <w:u w:val="none"/>
          <w:lang w:val="es-CR" w:eastAsia="es-CR"/>
        </w:rPr>
      </w:pPr>
      <w:hyperlink w:anchor="_Toc438129751" w:history="1">
        <w:r w:rsidR="0074580F" w:rsidRPr="00922586">
          <w:rPr>
            <w:rStyle w:val="Hyperlink"/>
            <w:spacing w:val="-2"/>
          </w:rPr>
          <w:t>X</w:t>
        </w:r>
        <w:r w:rsidR="00922586" w:rsidRPr="00922586">
          <w:rPr>
            <w:rStyle w:val="Hyperlink"/>
            <w:spacing w:val="-2"/>
          </w:rPr>
          <w:t xml:space="preserve"> </w:t>
        </w:r>
        <w:hyperlink w:anchor="_Toc438129752" w:history="1">
          <w:r w:rsidR="00922586" w:rsidRPr="00922586">
            <w:rPr>
              <w:rStyle w:val="Hyperlink"/>
              <w:color w:val="auto"/>
              <w:spacing w:val="-2"/>
            </w:rPr>
            <w:t>PUNTOS RESOLUTIVOS</w:t>
          </w:r>
        </w:hyperlink>
        <w:r w:rsidR="0074580F" w:rsidRPr="00922586">
          <w:rPr>
            <w:webHidden/>
          </w:rPr>
          <w:tab/>
        </w:r>
        <w:r w:rsidR="0074580F" w:rsidRPr="00922586">
          <w:rPr>
            <w:webHidden/>
          </w:rPr>
          <w:fldChar w:fldCharType="begin"/>
        </w:r>
        <w:r w:rsidR="0074580F" w:rsidRPr="00922586">
          <w:rPr>
            <w:webHidden/>
          </w:rPr>
          <w:instrText xml:space="preserve"> PAGEREF _Toc438129751 \h </w:instrText>
        </w:r>
        <w:r w:rsidR="0074580F" w:rsidRPr="00922586">
          <w:rPr>
            <w:webHidden/>
          </w:rPr>
        </w:r>
        <w:r w:rsidR="0074580F" w:rsidRPr="00922586">
          <w:rPr>
            <w:webHidden/>
          </w:rPr>
          <w:fldChar w:fldCharType="separate"/>
        </w:r>
        <w:r w:rsidR="00DC5A67">
          <w:rPr>
            <w:webHidden/>
          </w:rPr>
          <w:t>81</w:t>
        </w:r>
        <w:r w:rsidR="0074580F" w:rsidRPr="00922586">
          <w:rPr>
            <w:webHidden/>
          </w:rPr>
          <w:fldChar w:fldCharType="end"/>
        </w:r>
      </w:hyperlink>
    </w:p>
    <w:p w:rsidR="00804D25" w:rsidRPr="00913542" w:rsidRDefault="00BB4744" w:rsidP="0074580F">
      <w:pPr>
        <w:pStyle w:val="TOC1"/>
        <w:rPr>
          <w:lang w:val="es-CR"/>
        </w:rPr>
      </w:pPr>
      <w:r w:rsidRPr="000A2D66">
        <w:rPr>
          <w:lang w:val="es-CR"/>
        </w:rPr>
        <w:fldChar w:fldCharType="end"/>
      </w:r>
    </w:p>
    <w:p w:rsidR="00804D25" w:rsidRDefault="00804D25" w:rsidP="00804D25">
      <w:pPr>
        <w:pStyle w:val="Heading1"/>
        <w:ind w:right="29"/>
      </w:pPr>
    </w:p>
    <w:p w:rsidR="00804D25" w:rsidRDefault="00804D25" w:rsidP="00804D25">
      <w:pPr>
        <w:pStyle w:val="Heading1"/>
        <w:ind w:right="29"/>
      </w:pPr>
    </w:p>
    <w:p w:rsidR="00804D25" w:rsidRDefault="00804D25" w:rsidP="00804D25">
      <w:pPr>
        <w:pStyle w:val="Heading1"/>
        <w:ind w:right="29"/>
      </w:pPr>
    </w:p>
    <w:p w:rsidR="00804D25" w:rsidRDefault="00804D25" w:rsidP="00804D25">
      <w:pPr>
        <w:pStyle w:val="Heading1"/>
        <w:ind w:right="29"/>
        <w:jc w:val="both"/>
      </w:pPr>
    </w:p>
    <w:p w:rsidR="00CC7210" w:rsidRDefault="00CC7210" w:rsidP="00CC7210">
      <w:pPr>
        <w:rPr>
          <w:lang w:val="es-ES_tradnl"/>
        </w:rPr>
      </w:pPr>
    </w:p>
    <w:p w:rsidR="00CC7210" w:rsidRDefault="00CC7210" w:rsidP="00CC7210">
      <w:pPr>
        <w:rPr>
          <w:lang w:val="es-ES_tradnl"/>
        </w:rPr>
      </w:pPr>
    </w:p>
    <w:p w:rsidR="00CC7210" w:rsidRDefault="00CC7210" w:rsidP="00CC7210">
      <w:pPr>
        <w:rPr>
          <w:lang w:val="es-ES_tradnl"/>
        </w:rPr>
      </w:pPr>
    </w:p>
    <w:p w:rsidR="00CC7210" w:rsidRDefault="00CC7210" w:rsidP="00CC7210">
      <w:pPr>
        <w:rPr>
          <w:lang w:val="es-ES_tradnl"/>
        </w:rPr>
      </w:pPr>
    </w:p>
    <w:p w:rsidR="00453FA9" w:rsidRDefault="00453FA9" w:rsidP="00453FA9">
      <w:pPr>
        <w:pStyle w:val="Heading1"/>
        <w:ind w:right="29"/>
      </w:pPr>
      <w:bookmarkStart w:id="13" w:name="_Toc424313455"/>
    </w:p>
    <w:p w:rsidR="00FE4885" w:rsidRDefault="00FE4885" w:rsidP="00FE4885">
      <w:pPr>
        <w:rPr>
          <w:lang w:val="es-ES_tradnl"/>
        </w:rPr>
      </w:pPr>
    </w:p>
    <w:p w:rsidR="00FE4885" w:rsidRDefault="00FE4885" w:rsidP="00FE4885">
      <w:pPr>
        <w:rPr>
          <w:lang w:val="es-ES_tradnl"/>
        </w:rPr>
      </w:pPr>
    </w:p>
    <w:p w:rsidR="00FE4885" w:rsidRDefault="00FE4885" w:rsidP="00FE4885">
      <w:pPr>
        <w:rPr>
          <w:lang w:val="es-ES_tradnl"/>
        </w:rPr>
      </w:pPr>
    </w:p>
    <w:p w:rsidR="00FE4885" w:rsidRDefault="00FE4885" w:rsidP="00FE4885">
      <w:pPr>
        <w:rPr>
          <w:lang w:val="es-ES_tradnl"/>
        </w:rPr>
      </w:pPr>
    </w:p>
    <w:p w:rsidR="00804D25" w:rsidRPr="00FA11AC" w:rsidRDefault="001A7316" w:rsidP="00FB3C25">
      <w:pPr>
        <w:pStyle w:val="Heading1"/>
        <w:ind w:right="29"/>
      </w:pPr>
      <w:bookmarkStart w:id="14" w:name="_Toc430869757"/>
      <w:bookmarkStart w:id="15" w:name="_Toc438129678"/>
      <w:r>
        <w:t>I</w:t>
      </w:r>
      <w:r w:rsidR="00804D25" w:rsidRPr="00FA11AC">
        <w:br/>
      </w:r>
      <w:bookmarkStart w:id="16" w:name="_Toc311128155"/>
      <w:bookmarkStart w:id="17" w:name="_Toc311128352"/>
      <w:r w:rsidR="00804D25" w:rsidRPr="00FA11AC">
        <w:t>INTRODUCCIÓN DE LA CAUSA Y OBJETO DE LA CONTROVERSIA</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rsidR="00804D25" w:rsidRPr="00FA11AC" w:rsidRDefault="00804D25" w:rsidP="00453FA9">
      <w:pPr>
        <w:tabs>
          <w:tab w:val="left" w:pos="567"/>
          <w:tab w:val="left" w:pos="1134"/>
        </w:tabs>
        <w:ind w:right="29"/>
        <w:rPr>
          <w:szCs w:val="20"/>
        </w:rPr>
      </w:pPr>
    </w:p>
    <w:p w:rsidR="00C1586B" w:rsidRPr="00453FA9" w:rsidRDefault="00804D25" w:rsidP="00453FA9">
      <w:pPr>
        <w:pStyle w:val="Estilo1"/>
        <w:spacing w:after="0"/>
        <w:rPr>
          <w:rFonts w:cs="Arial"/>
          <w:b/>
        </w:rPr>
      </w:pPr>
      <w:r w:rsidRPr="009E1AEF">
        <w:rPr>
          <w:i/>
        </w:rPr>
        <w:t>Sometimiento y sinopsis del caso.-</w:t>
      </w:r>
      <w:r w:rsidRPr="0027433C">
        <w:t xml:space="preserve"> El 19 de enero de 2014 la Comisión Interamericana de Derechos Humanos (en adelante “la Comisión Interamericana” o “la Comisión”) sometió a la Corte, </w:t>
      </w:r>
      <w:r w:rsidRPr="009E1AEF">
        <w:rPr>
          <w:rFonts w:cs="Verdana"/>
        </w:rPr>
        <w:t>de conformidad con los artículos 51 y 61 de la Convención,</w:t>
      </w:r>
      <w:r w:rsidRPr="0027433C">
        <w:t xml:space="preserve"> el caso No. 11.568 contra el Estado de la República del Perú (en adelante “el Estado” o “Perú”). </w:t>
      </w:r>
      <w:r w:rsidRPr="009E1AEF">
        <w:rPr>
          <w:color w:val="000000"/>
        </w:rPr>
        <w:t xml:space="preserve">De acuerdo a la Comisión, el caso se </w:t>
      </w:r>
      <w:r w:rsidRPr="0027433C">
        <w:t>relaciona con</w:t>
      </w:r>
      <w:r w:rsidRPr="009E1AEF">
        <w:rPr>
          <w:lang w:val="es-EC"/>
        </w:rPr>
        <w:t xml:space="preserve"> </w:t>
      </w:r>
    </w:p>
    <w:p w:rsidR="00453FA9" w:rsidRPr="00C1586B" w:rsidRDefault="00453FA9" w:rsidP="00453FA9">
      <w:pPr>
        <w:pStyle w:val="Estilo1"/>
        <w:numPr>
          <w:ilvl w:val="0"/>
          <w:numId w:val="0"/>
        </w:numPr>
        <w:spacing w:after="0"/>
        <w:rPr>
          <w:rFonts w:cs="Arial"/>
          <w:b/>
        </w:rPr>
      </w:pPr>
    </w:p>
    <w:p w:rsidR="00C1586B" w:rsidRPr="00C1586B" w:rsidRDefault="00C1586B" w:rsidP="002E4502">
      <w:pPr>
        <w:pStyle w:val="Estilo1"/>
        <w:numPr>
          <w:ilvl w:val="0"/>
          <w:numId w:val="0"/>
        </w:numPr>
        <w:spacing w:after="0"/>
        <w:ind w:left="567" w:right="720"/>
        <w:rPr>
          <w:rFonts w:eastAsiaTheme="minorHAnsi"/>
          <w:sz w:val="16"/>
          <w:szCs w:val="16"/>
          <w:lang w:val="es-CR"/>
        </w:rPr>
      </w:pPr>
      <w:r w:rsidRPr="00C1586B">
        <w:rPr>
          <w:sz w:val="16"/>
          <w:szCs w:val="16"/>
          <w:lang w:val="es-EC"/>
        </w:rPr>
        <w:t>la detención ilegal y arbitraria [por 31 días, sin control judicial] del entonces Vocal Provisional de la Corte Superior de Justicia de Huánuco,</w:t>
      </w:r>
      <w:r w:rsidRPr="00C1586B">
        <w:rPr>
          <w:rFonts w:eastAsiaTheme="minorHAnsi"/>
          <w:sz w:val="16"/>
          <w:szCs w:val="16"/>
          <w:lang w:val="es-CR"/>
        </w:rPr>
        <w:t xml:space="preserve"> Luis Antonio Galindo Cárdenas [(en adelante “señor Galindo Cárdenas” o “señor Galindo” o “presunta víctima”)], el 16 de octubre de 1994 tras presentarse voluntariamente a la Base Militar de </w:t>
      </w:r>
      <w:proofErr w:type="spellStart"/>
      <w:r w:rsidRPr="00C1586B">
        <w:rPr>
          <w:rFonts w:eastAsiaTheme="minorHAnsi"/>
          <w:sz w:val="16"/>
          <w:szCs w:val="16"/>
          <w:lang w:val="es-CR"/>
        </w:rPr>
        <w:t>Yanac</w:t>
      </w:r>
      <w:proofErr w:type="spellEnd"/>
      <w:r w:rsidRPr="00C1586B">
        <w:rPr>
          <w:rFonts w:eastAsiaTheme="minorHAnsi"/>
          <w:sz w:val="16"/>
          <w:szCs w:val="16"/>
          <w:lang w:val="es-CR"/>
        </w:rPr>
        <w:t xml:space="preserve">, a solicitud del Jefe de Comando Político Militar[,] quien ejercía las acciones de gobierno en la zona conforme a la legislación de emergencia vigente. </w:t>
      </w:r>
    </w:p>
    <w:p w:rsidR="00C1586B" w:rsidRPr="00453FA9" w:rsidRDefault="00C1586B" w:rsidP="00453FA9">
      <w:pPr>
        <w:pStyle w:val="Estilo1"/>
        <w:numPr>
          <w:ilvl w:val="0"/>
          <w:numId w:val="0"/>
        </w:numPr>
        <w:spacing w:after="0"/>
        <w:rPr>
          <w:rFonts w:cs="Arial"/>
          <w:b/>
          <w:lang w:val="es-CR"/>
        </w:rPr>
      </w:pPr>
    </w:p>
    <w:p w:rsidR="00804D25" w:rsidRPr="00F267EA" w:rsidRDefault="00804D25" w:rsidP="00453FA9">
      <w:pPr>
        <w:pStyle w:val="Estilo1"/>
        <w:spacing w:after="0"/>
        <w:rPr>
          <w:rFonts w:cs="Arial"/>
          <w:b/>
        </w:rPr>
      </w:pPr>
      <w:r w:rsidRPr="00C1586B">
        <w:rPr>
          <w:lang w:val="es-EC"/>
        </w:rPr>
        <w:t>L</w:t>
      </w:r>
      <w:r w:rsidRPr="00C1586B">
        <w:rPr>
          <w:rFonts w:cs="Arial"/>
        </w:rPr>
        <w:t xml:space="preserve">a Comisión encontró que “el señor </w:t>
      </w:r>
      <w:r w:rsidR="00F1070D">
        <w:rPr>
          <w:rFonts w:cs="Arial"/>
        </w:rPr>
        <w:t xml:space="preserve">[Luis Antonio] </w:t>
      </w:r>
      <w:r w:rsidRPr="00C1586B">
        <w:rPr>
          <w:rFonts w:cs="Arial"/>
        </w:rPr>
        <w:t>Galindo Cárdenas no fue informado de las razones de su detención ni de los cargos que se le imputaban, ni contó con posibilidades de ejercer adecuadamente su defensa” y que “</w:t>
      </w:r>
      <w:r w:rsidRPr="00C1586B">
        <w:rPr>
          <w:rFonts w:cs="Arial"/>
          <w:lang w:val="es-CO"/>
        </w:rPr>
        <w:t>las circunstancias propias de su detención” tuvieron por “objeto suprimir [su] resistencia […] para que se acogiera a la Ley de Arrepentimiento</w:t>
      </w:r>
      <w:r w:rsidR="00C1586B" w:rsidRPr="00C1586B">
        <w:rPr>
          <w:rFonts w:cs="Arial"/>
          <w:lang w:val="es-CO"/>
        </w:rPr>
        <w:t>”</w:t>
      </w:r>
      <w:r w:rsidRPr="00C1586B">
        <w:rPr>
          <w:rFonts w:cs="Arial"/>
          <w:lang w:val="es-CO"/>
        </w:rPr>
        <w:t>.</w:t>
      </w:r>
      <w:r w:rsidRPr="00C1586B">
        <w:rPr>
          <w:rFonts w:eastAsiaTheme="minorHAnsi"/>
          <w:b/>
          <w:lang w:val="es-CR"/>
        </w:rPr>
        <w:t xml:space="preserve"> </w:t>
      </w:r>
      <w:r w:rsidRPr="00C1586B">
        <w:rPr>
          <w:rFonts w:eastAsiaTheme="minorHAnsi"/>
          <w:lang w:val="es-CR"/>
        </w:rPr>
        <w:t xml:space="preserve">Asimismo, concluyó que el Estado “incurrió en responsabilidad bajo el principio de legalidad y la prohibición de irretroactividad, por haber criminalizado el ejercicio de la abogacía, en particular, de la defensa técnica, mediante la aplicación arbitraria del artículo 4 del Decreto-Ley [No.] 25475 relacionado con actos de colaboración con el terrorismo”. </w:t>
      </w:r>
      <w:r w:rsidR="00151480" w:rsidRPr="009A0D9D">
        <w:rPr>
          <w:rFonts w:eastAsiaTheme="minorHAnsi"/>
          <w:lang w:val="es-CR"/>
        </w:rPr>
        <w:t xml:space="preserve">Además, </w:t>
      </w:r>
      <w:r w:rsidR="003A7E2F" w:rsidRPr="009A0D9D">
        <w:rPr>
          <w:rFonts w:eastAsiaTheme="minorHAnsi"/>
          <w:lang w:val="es-CR"/>
        </w:rPr>
        <w:t>alegó</w:t>
      </w:r>
      <w:r w:rsidR="00B76209" w:rsidRPr="009A0D9D">
        <w:rPr>
          <w:rFonts w:eastAsiaTheme="minorHAnsi"/>
          <w:lang w:val="es-CR"/>
        </w:rPr>
        <w:t xml:space="preserve"> que</w:t>
      </w:r>
      <w:r w:rsidR="003A7E2F" w:rsidRPr="009A0D9D">
        <w:rPr>
          <w:rFonts w:eastAsiaTheme="minorHAnsi"/>
          <w:lang w:val="es-CR"/>
        </w:rPr>
        <w:t xml:space="preserve"> dichos hechos afectaron</w:t>
      </w:r>
      <w:r w:rsidR="00151480" w:rsidRPr="009A0D9D">
        <w:rPr>
          <w:rFonts w:eastAsiaTheme="minorHAnsi"/>
          <w:lang w:val="es-CR"/>
        </w:rPr>
        <w:t xml:space="preserve"> la integridad psíquica y moral de su esposa Irma Díaz de Galindo y su hijo Luis </w:t>
      </w:r>
      <w:proofErr w:type="spellStart"/>
      <w:r w:rsidR="00151480" w:rsidRPr="009A0D9D">
        <w:rPr>
          <w:rFonts w:eastAsiaTheme="minorHAnsi"/>
          <w:lang w:val="es-CR"/>
        </w:rPr>
        <w:t>Idelso</w:t>
      </w:r>
      <w:proofErr w:type="spellEnd"/>
      <w:r w:rsidR="00151480" w:rsidRPr="009A0D9D">
        <w:rPr>
          <w:rFonts w:eastAsiaTheme="minorHAnsi"/>
          <w:lang w:val="es-CR"/>
        </w:rPr>
        <w:t xml:space="preserve"> Galindo Díaz.</w:t>
      </w:r>
      <w:r w:rsidR="00151480">
        <w:rPr>
          <w:rFonts w:eastAsiaTheme="minorHAnsi"/>
          <w:b/>
          <w:lang w:val="es-CR"/>
        </w:rPr>
        <w:t xml:space="preserve"> </w:t>
      </w:r>
    </w:p>
    <w:p w:rsidR="00F267EA" w:rsidRDefault="00F267EA" w:rsidP="00F267EA">
      <w:pPr>
        <w:pStyle w:val="Estilo1"/>
        <w:numPr>
          <w:ilvl w:val="0"/>
          <w:numId w:val="0"/>
        </w:numPr>
        <w:spacing w:after="0"/>
        <w:rPr>
          <w:rFonts w:cs="Arial"/>
          <w:b/>
        </w:rPr>
      </w:pPr>
    </w:p>
    <w:p w:rsidR="00F267EA" w:rsidRPr="00236510" w:rsidRDefault="00F267EA" w:rsidP="00F267EA">
      <w:pPr>
        <w:pStyle w:val="Estilo1"/>
        <w:tabs>
          <w:tab w:val="clear" w:pos="18282"/>
          <w:tab w:val="num" w:pos="18012"/>
        </w:tabs>
        <w:spacing w:after="0"/>
        <w:rPr>
          <w:rFonts w:cs="Arial"/>
          <w:b/>
          <w:sz w:val="16"/>
          <w:szCs w:val="16"/>
        </w:rPr>
      </w:pPr>
      <w:r w:rsidRPr="00FA11AC">
        <w:rPr>
          <w:i/>
        </w:rPr>
        <w:t xml:space="preserve">Trámite ante la Comisión.– </w:t>
      </w:r>
      <w:r w:rsidRPr="00FA11AC">
        <w:t>El trámite del caso ante la Comisión Interamericana fue el siguiente:</w:t>
      </w:r>
    </w:p>
    <w:p w:rsidR="00F267EA" w:rsidRPr="00D74B41" w:rsidRDefault="00F267EA" w:rsidP="00F267EA">
      <w:pPr>
        <w:pStyle w:val="ListParagraph"/>
        <w:rPr>
          <w:rFonts w:cs="Arial"/>
          <w:b/>
          <w:sz w:val="16"/>
          <w:szCs w:val="16"/>
          <w:lang w:val="es-ES"/>
        </w:rPr>
      </w:pPr>
    </w:p>
    <w:p w:rsidR="00F267EA" w:rsidRDefault="00F267EA" w:rsidP="00F267EA">
      <w:pPr>
        <w:pStyle w:val="Estilo2"/>
        <w:numPr>
          <w:ilvl w:val="0"/>
          <w:numId w:val="0"/>
        </w:numPr>
        <w:tabs>
          <w:tab w:val="clear" w:pos="567"/>
          <w:tab w:val="clear" w:pos="1134"/>
          <w:tab w:val="left" w:pos="426"/>
        </w:tabs>
        <w:spacing w:after="0"/>
        <w:ind w:left="426" w:right="29"/>
        <w:rPr>
          <w:lang w:val="es-CR"/>
        </w:rPr>
      </w:pPr>
      <w:r w:rsidRPr="00FA11AC">
        <w:rPr>
          <w:lang w:val="es-CR"/>
        </w:rPr>
        <w:t xml:space="preserve">a) </w:t>
      </w:r>
      <w:r w:rsidRPr="00FA11AC">
        <w:rPr>
          <w:lang w:val="es-CR"/>
        </w:rPr>
        <w:tab/>
      </w:r>
      <w:r w:rsidRPr="00FA11AC">
        <w:rPr>
          <w:i/>
          <w:lang w:val="es-CR"/>
        </w:rPr>
        <w:t>Petición.-</w:t>
      </w:r>
      <w:r w:rsidRPr="00FA11AC">
        <w:rPr>
          <w:lang w:val="es-CR"/>
        </w:rPr>
        <w:t xml:space="preserve"> </w:t>
      </w:r>
      <w:r w:rsidRPr="00D1545D">
        <w:rPr>
          <w:lang w:val="es-CR"/>
        </w:rPr>
        <w:t>El 3 de enero de 1996 la</w:t>
      </w:r>
      <w:r>
        <w:rPr>
          <w:lang w:val="es-CR"/>
        </w:rPr>
        <w:t xml:space="preserve"> Comisión recibió la petición remitida por el señor Galindo Cárdenas</w:t>
      </w:r>
      <w:r>
        <w:rPr>
          <w:rStyle w:val="FootnoteReference"/>
          <w:lang w:val="es-CR"/>
        </w:rPr>
        <w:footnoteReference w:id="2"/>
      </w:r>
      <w:r>
        <w:rPr>
          <w:lang w:val="es-CR"/>
        </w:rPr>
        <w:t>, y</w:t>
      </w:r>
      <w:r w:rsidRPr="00867CD6">
        <w:rPr>
          <w:lang w:val="es-CR"/>
        </w:rPr>
        <w:t xml:space="preserve"> </w:t>
      </w:r>
      <w:r>
        <w:rPr>
          <w:lang w:val="es-CR"/>
        </w:rPr>
        <w:t xml:space="preserve">el 24 de enero de 1996 </w:t>
      </w:r>
      <w:r w:rsidRPr="00867CD6">
        <w:rPr>
          <w:lang w:val="es-CR"/>
        </w:rPr>
        <w:t>abrió</w:t>
      </w:r>
      <w:r>
        <w:rPr>
          <w:lang w:val="es-CR"/>
        </w:rPr>
        <w:t xml:space="preserve"> el caso No. </w:t>
      </w:r>
      <w:r>
        <w:t>11.568 y transmitió al Estado las partes pertinentes y le fijó el término de 90 días para que proporcionara la información que considerara pertinente</w:t>
      </w:r>
      <w:r w:rsidR="00DD529E">
        <w:rPr>
          <w:rStyle w:val="FootnoteReference"/>
        </w:rPr>
        <w:footnoteReference w:id="3"/>
      </w:r>
      <w:r>
        <w:t xml:space="preserve">. </w:t>
      </w:r>
    </w:p>
    <w:p w:rsidR="00F267EA" w:rsidRDefault="00F267EA" w:rsidP="00F267EA">
      <w:pPr>
        <w:pStyle w:val="Estilo2"/>
        <w:numPr>
          <w:ilvl w:val="0"/>
          <w:numId w:val="0"/>
        </w:numPr>
        <w:tabs>
          <w:tab w:val="clear" w:pos="567"/>
          <w:tab w:val="clear" w:pos="1134"/>
          <w:tab w:val="left" w:pos="426"/>
        </w:tabs>
        <w:spacing w:after="0"/>
        <w:ind w:left="426" w:right="29"/>
        <w:rPr>
          <w:lang w:val="es-CR"/>
        </w:rPr>
      </w:pPr>
    </w:p>
    <w:p w:rsidR="00F267EA" w:rsidRPr="00B507C6" w:rsidRDefault="00F267EA" w:rsidP="00F267EA">
      <w:pPr>
        <w:pStyle w:val="Estilo2"/>
        <w:numPr>
          <w:ilvl w:val="0"/>
          <w:numId w:val="0"/>
        </w:numPr>
        <w:tabs>
          <w:tab w:val="clear" w:pos="567"/>
          <w:tab w:val="clear" w:pos="1134"/>
          <w:tab w:val="left" w:pos="426"/>
        </w:tabs>
        <w:spacing w:after="0"/>
        <w:ind w:left="426" w:right="29"/>
        <w:rPr>
          <w:lang w:val="es-CR"/>
        </w:rPr>
      </w:pPr>
      <w:r>
        <w:rPr>
          <w:lang w:val="es-CR"/>
        </w:rPr>
        <w:t>b)</w:t>
      </w:r>
      <w:r>
        <w:rPr>
          <w:lang w:val="es-CR"/>
        </w:rPr>
        <w:tab/>
      </w:r>
      <w:r w:rsidRPr="00FA11AC">
        <w:rPr>
          <w:i/>
          <w:lang w:val="es-CR"/>
        </w:rPr>
        <w:t>Informe de Admisibilidad.-</w:t>
      </w:r>
      <w:r w:rsidRPr="00FA11AC">
        <w:rPr>
          <w:lang w:val="es-CR"/>
        </w:rPr>
        <w:t xml:space="preserve"> E</w:t>
      </w:r>
      <w:r w:rsidRPr="00FA11AC">
        <w:t xml:space="preserve">l </w:t>
      </w:r>
      <w:r>
        <w:rPr>
          <w:lang w:val="es-CR"/>
        </w:rPr>
        <w:t>27</w:t>
      </w:r>
      <w:r w:rsidRPr="005E29D4">
        <w:t xml:space="preserve"> de </w:t>
      </w:r>
      <w:r>
        <w:rPr>
          <w:lang w:val="es-CR"/>
        </w:rPr>
        <w:t>febrero</w:t>
      </w:r>
      <w:r w:rsidRPr="005E29D4">
        <w:t xml:space="preserve"> de 200</w:t>
      </w:r>
      <w:r>
        <w:rPr>
          <w:lang w:val="es-CR"/>
        </w:rPr>
        <w:t>4</w:t>
      </w:r>
      <w:r w:rsidRPr="005E29D4">
        <w:t xml:space="preserve"> la Comisión aprobó el Informe de Admisibilidad No. </w:t>
      </w:r>
      <w:r>
        <w:rPr>
          <w:lang w:val="es-CR"/>
        </w:rPr>
        <w:t>14</w:t>
      </w:r>
      <w:r w:rsidRPr="005E29D4">
        <w:t>/</w:t>
      </w:r>
      <w:r>
        <w:t>04</w:t>
      </w:r>
      <w:r w:rsidRPr="005E29D4">
        <w:rPr>
          <w:lang w:val="es-CR"/>
        </w:rPr>
        <w:t xml:space="preserve"> (en adelante “Informe de Admisibilidad”)</w:t>
      </w:r>
      <w:r w:rsidRPr="005E29D4">
        <w:rPr>
          <w:rStyle w:val="FootnoteReference"/>
          <w:lang w:val="es-CR"/>
        </w:rPr>
        <w:footnoteReference w:id="4"/>
      </w:r>
      <w:r>
        <w:t xml:space="preserve">, el cual transmitió a las partes el 11 de marzo del mismo año y se puso a su disposición a fin de llegar a una solución amistosa. </w:t>
      </w:r>
    </w:p>
    <w:p w:rsidR="00F267EA" w:rsidRPr="00FA11AC" w:rsidRDefault="00F267EA" w:rsidP="00F267EA">
      <w:pPr>
        <w:pStyle w:val="Estilo2"/>
        <w:numPr>
          <w:ilvl w:val="0"/>
          <w:numId w:val="0"/>
        </w:numPr>
        <w:tabs>
          <w:tab w:val="clear" w:pos="567"/>
          <w:tab w:val="clear" w:pos="1134"/>
          <w:tab w:val="left" w:pos="426"/>
        </w:tabs>
        <w:spacing w:after="0"/>
        <w:ind w:right="29" w:firstLine="357"/>
        <w:rPr>
          <w:rFonts w:cs="Arial"/>
          <w:b/>
          <w:lang w:val="es-CR"/>
        </w:rPr>
      </w:pPr>
    </w:p>
    <w:p w:rsidR="00F267EA" w:rsidRPr="00B76209" w:rsidRDefault="00F267EA" w:rsidP="00F267EA">
      <w:pPr>
        <w:pStyle w:val="Estilo2"/>
        <w:numPr>
          <w:ilvl w:val="0"/>
          <w:numId w:val="0"/>
        </w:numPr>
        <w:tabs>
          <w:tab w:val="clear" w:pos="567"/>
          <w:tab w:val="clear" w:pos="1134"/>
          <w:tab w:val="left" w:pos="426"/>
        </w:tabs>
        <w:spacing w:after="0"/>
        <w:ind w:left="426" w:right="29"/>
      </w:pPr>
      <w:r w:rsidRPr="00B76209">
        <w:rPr>
          <w:lang w:val="es-CR"/>
        </w:rPr>
        <w:t>c)</w:t>
      </w:r>
      <w:r w:rsidRPr="00B76209">
        <w:rPr>
          <w:lang w:val="es-CR"/>
        </w:rPr>
        <w:tab/>
      </w:r>
      <w:r w:rsidRPr="00B76209">
        <w:rPr>
          <w:i/>
          <w:lang w:val="es-CR"/>
        </w:rPr>
        <w:t>Informe de Fondo.-</w:t>
      </w:r>
      <w:r w:rsidRPr="00B76209">
        <w:rPr>
          <w:lang w:val="es-CR"/>
        </w:rPr>
        <w:t xml:space="preserve"> E</w:t>
      </w:r>
      <w:r w:rsidRPr="00B76209">
        <w:t xml:space="preserve">l </w:t>
      </w:r>
      <w:r w:rsidRPr="00B76209">
        <w:rPr>
          <w:lang w:val="es-CR"/>
        </w:rPr>
        <w:t>21</w:t>
      </w:r>
      <w:r w:rsidRPr="00B76209">
        <w:t xml:space="preserve"> de</w:t>
      </w:r>
      <w:r w:rsidRPr="00B76209">
        <w:rPr>
          <w:lang w:val="es-CR"/>
        </w:rPr>
        <w:t xml:space="preserve"> marzo</w:t>
      </w:r>
      <w:r w:rsidRPr="00B76209">
        <w:t xml:space="preserve"> de 201</w:t>
      </w:r>
      <w:r w:rsidRPr="00B76209">
        <w:rPr>
          <w:lang w:val="es-CR"/>
        </w:rPr>
        <w:t>2</w:t>
      </w:r>
      <w:r w:rsidRPr="00B76209">
        <w:t xml:space="preserve"> la Comisión emitió el Informe de Fondo No. </w:t>
      </w:r>
      <w:r w:rsidRPr="00B76209">
        <w:rPr>
          <w:lang w:val="es-CR"/>
        </w:rPr>
        <w:t>57</w:t>
      </w:r>
      <w:r w:rsidRPr="00B76209">
        <w:t>/</w:t>
      </w:r>
      <w:r w:rsidRPr="00B76209">
        <w:rPr>
          <w:lang w:val="es-CR"/>
        </w:rPr>
        <w:t xml:space="preserve">12 </w:t>
      </w:r>
      <w:r w:rsidRPr="00B76209">
        <w:t xml:space="preserve">(en adelante “Informe de Fondo”), de conformidad con el artículo 50 de la Convención Americana. </w:t>
      </w:r>
    </w:p>
    <w:p w:rsidR="00F267EA" w:rsidRPr="00B76209" w:rsidRDefault="00F267EA" w:rsidP="00F267EA">
      <w:pPr>
        <w:pStyle w:val="Estilo2"/>
        <w:numPr>
          <w:ilvl w:val="0"/>
          <w:numId w:val="0"/>
        </w:numPr>
        <w:tabs>
          <w:tab w:val="clear" w:pos="567"/>
          <w:tab w:val="clear" w:pos="1134"/>
          <w:tab w:val="left" w:pos="426"/>
        </w:tabs>
        <w:spacing w:after="0"/>
        <w:ind w:left="426" w:right="29"/>
      </w:pPr>
    </w:p>
    <w:p w:rsidR="00F267EA" w:rsidRPr="00B76209" w:rsidRDefault="00F267EA" w:rsidP="00B76209">
      <w:pPr>
        <w:pStyle w:val="Estilo2"/>
        <w:numPr>
          <w:ilvl w:val="0"/>
          <w:numId w:val="0"/>
        </w:numPr>
        <w:tabs>
          <w:tab w:val="clear" w:pos="567"/>
          <w:tab w:val="clear" w:pos="1134"/>
        </w:tabs>
        <w:spacing w:after="0"/>
        <w:ind w:left="426" w:right="29"/>
        <w:rPr>
          <w:highlight w:val="yellow"/>
        </w:rPr>
      </w:pPr>
      <w:r w:rsidRPr="00B76209">
        <w:tab/>
        <w:t xml:space="preserve">i) </w:t>
      </w:r>
      <w:r w:rsidRPr="00B76209">
        <w:rPr>
          <w:i/>
        </w:rPr>
        <w:t>Conclusiones.-</w:t>
      </w:r>
      <w:r w:rsidRPr="00B76209">
        <w:t xml:space="preserve"> El Perú es responsable por la violación de </w:t>
      </w:r>
    </w:p>
    <w:p w:rsidR="00F267EA" w:rsidRPr="00B76209" w:rsidRDefault="00F267EA" w:rsidP="00F267EA">
      <w:pPr>
        <w:pStyle w:val="Estilo2"/>
        <w:numPr>
          <w:ilvl w:val="0"/>
          <w:numId w:val="0"/>
        </w:numPr>
        <w:tabs>
          <w:tab w:val="clear" w:pos="567"/>
          <w:tab w:val="clear" w:pos="1134"/>
        </w:tabs>
        <w:spacing w:after="0"/>
        <w:ind w:left="720" w:right="389"/>
        <w:rPr>
          <w:sz w:val="16"/>
          <w:szCs w:val="16"/>
        </w:rPr>
      </w:pPr>
    </w:p>
    <w:p w:rsidR="00F267EA" w:rsidRPr="00B76209" w:rsidRDefault="00F267EA" w:rsidP="00B76209">
      <w:pPr>
        <w:pStyle w:val="Estilo2"/>
        <w:numPr>
          <w:ilvl w:val="0"/>
          <w:numId w:val="0"/>
        </w:numPr>
        <w:tabs>
          <w:tab w:val="clear" w:pos="567"/>
          <w:tab w:val="clear" w:pos="1134"/>
        </w:tabs>
        <w:spacing w:after="0"/>
        <w:ind w:left="1080" w:right="389"/>
        <w:rPr>
          <w:sz w:val="16"/>
          <w:szCs w:val="16"/>
        </w:rPr>
      </w:pPr>
      <w:proofErr w:type="gramStart"/>
      <w:r w:rsidRPr="00B76209">
        <w:rPr>
          <w:sz w:val="16"/>
          <w:szCs w:val="16"/>
        </w:rPr>
        <w:t>los</w:t>
      </w:r>
      <w:proofErr w:type="gramEnd"/>
      <w:r w:rsidRPr="00B76209">
        <w:rPr>
          <w:sz w:val="16"/>
          <w:szCs w:val="16"/>
        </w:rPr>
        <w:t xml:space="preserve"> derechos a la integridad personal, libertad personal, garantías judiciales, legalidad y no retroactividad, y protección judicial, consagrados en los artículos 5, 7, 8, 9, y 25 de la Convención Americana, en relación con las obligaciones establecidas en los artículos 1.1 y 2 del mismo instrumento, en perjuicio del señor Luis Antonio Galindo Cárdenas y, del artículo 5[,] en perjuicio de su esposa </w:t>
      </w:r>
      <w:r w:rsidRPr="00B76209">
        <w:rPr>
          <w:sz w:val="16"/>
          <w:szCs w:val="16"/>
          <w:lang w:val="es-CO"/>
        </w:rPr>
        <w:t xml:space="preserve">[Irma Díaz de Galindo] </w:t>
      </w:r>
      <w:r w:rsidRPr="00B76209">
        <w:rPr>
          <w:sz w:val="16"/>
          <w:szCs w:val="16"/>
        </w:rPr>
        <w:t xml:space="preserve">e hijo </w:t>
      </w:r>
      <w:r w:rsidRPr="00B76209">
        <w:rPr>
          <w:sz w:val="16"/>
          <w:szCs w:val="16"/>
          <w:lang w:val="es-CO"/>
        </w:rPr>
        <w:t xml:space="preserve">[Luis </w:t>
      </w:r>
      <w:proofErr w:type="spellStart"/>
      <w:r w:rsidRPr="00BA2E4C">
        <w:rPr>
          <w:sz w:val="16"/>
          <w:szCs w:val="16"/>
          <w:lang w:val="es-CO"/>
        </w:rPr>
        <w:t>Ide</w:t>
      </w:r>
      <w:r w:rsidR="00580317" w:rsidRPr="00BA2E4C">
        <w:rPr>
          <w:sz w:val="16"/>
          <w:szCs w:val="16"/>
          <w:lang w:val="es-CO"/>
        </w:rPr>
        <w:t>l</w:t>
      </w:r>
      <w:r w:rsidRPr="00BA2E4C">
        <w:rPr>
          <w:sz w:val="16"/>
          <w:szCs w:val="16"/>
          <w:lang w:val="es-CO"/>
        </w:rPr>
        <w:t>so</w:t>
      </w:r>
      <w:proofErr w:type="spellEnd"/>
      <w:r w:rsidRPr="00BA2E4C">
        <w:rPr>
          <w:sz w:val="16"/>
          <w:szCs w:val="16"/>
          <w:lang w:val="es-CO"/>
        </w:rPr>
        <w:t xml:space="preserve"> Galindo Díaz]</w:t>
      </w:r>
      <w:r w:rsidRPr="00BA2E4C">
        <w:rPr>
          <w:sz w:val="16"/>
          <w:szCs w:val="16"/>
        </w:rPr>
        <w:t>.</w:t>
      </w:r>
    </w:p>
    <w:p w:rsidR="00F267EA" w:rsidRPr="00B76209" w:rsidRDefault="00F267EA" w:rsidP="00F267EA">
      <w:pPr>
        <w:pStyle w:val="Estilo2"/>
        <w:numPr>
          <w:ilvl w:val="0"/>
          <w:numId w:val="0"/>
        </w:numPr>
        <w:tabs>
          <w:tab w:val="clear" w:pos="567"/>
          <w:tab w:val="clear" w:pos="1134"/>
        </w:tabs>
        <w:spacing w:after="0"/>
        <w:ind w:left="720" w:right="29"/>
        <w:rPr>
          <w:sz w:val="16"/>
          <w:szCs w:val="16"/>
        </w:rPr>
      </w:pPr>
    </w:p>
    <w:p w:rsidR="00F267EA" w:rsidRPr="00B76209" w:rsidRDefault="00F267EA" w:rsidP="00F267EA">
      <w:pPr>
        <w:autoSpaceDE w:val="0"/>
        <w:autoSpaceDN w:val="0"/>
        <w:adjustRightInd w:val="0"/>
        <w:ind w:right="29" w:firstLine="704"/>
        <w:rPr>
          <w:szCs w:val="20"/>
        </w:rPr>
      </w:pPr>
      <w:r w:rsidRPr="00B76209">
        <w:rPr>
          <w:lang w:val="es-CR"/>
        </w:rPr>
        <w:t xml:space="preserve">ii) </w:t>
      </w:r>
      <w:r w:rsidRPr="00B76209">
        <w:rPr>
          <w:i/>
          <w:lang w:val="es-CR"/>
        </w:rPr>
        <w:t>Recomendaciones.-</w:t>
      </w:r>
      <w:r w:rsidRPr="00B76209">
        <w:rPr>
          <w:rFonts w:cs="Arial"/>
          <w:sz w:val="24"/>
          <w:szCs w:val="24"/>
        </w:rPr>
        <w:t xml:space="preserve"> </w:t>
      </w:r>
      <w:r w:rsidRPr="00B76209">
        <w:rPr>
          <w:szCs w:val="20"/>
        </w:rPr>
        <w:t>La Comisión Interamericana recomendó al Estado:</w:t>
      </w:r>
    </w:p>
    <w:p w:rsidR="00F267EA" w:rsidRPr="00B76209" w:rsidRDefault="00F267EA" w:rsidP="00F267EA">
      <w:pPr>
        <w:autoSpaceDE w:val="0"/>
        <w:autoSpaceDN w:val="0"/>
        <w:adjustRightInd w:val="0"/>
        <w:ind w:right="29"/>
        <w:rPr>
          <w:rFonts w:cs="Arial"/>
          <w:szCs w:val="20"/>
        </w:rPr>
      </w:pPr>
    </w:p>
    <w:p w:rsidR="00F267EA" w:rsidRPr="00B76209" w:rsidRDefault="00F267EA" w:rsidP="00F267EA">
      <w:pPr>
        <w:pStyle w:val="ListParagraph"/>
        <w:numPr>
          <w:ilvl w:val="0"/>
          <w:numId w:val="6"/>
        </w:numPr>
        <w:ind w:right="333" w:firstLine="16"/>
        <w:contextualSpacing/>
        <w:jc w:val="both"/>
        <w:rPr>
          <w:rFonts w:eastAsia="Calibri"/>
          <w:sz w:val="16"/>
          <w:szCs w:val="16"/>
          <w:lang w:val="es-CR"/>
        </w:rPr>
      </w:pPr>
      <w:r w:rsidRPr="00B76209">
        <w:rPr>
          <w:rFonts w:eastAsia="Calibri"/>
          <w:sz w:val="16"/>
          <w:szCs w:val="16"/>
          <w:lang w:val="es-CR"/>
        </w:rPr>
        <w:t>Disponer una reparación integral a favor del señor Luis Antonio Galindo Cárdenas por las violaciones de derechos humanos declaradas en el […] informe. Esta reparación debe incluir tanto el aspecto material como moral. Si la víctima así lo desea, disponer las medidas de rehabilitación pertinentes a su situación de salud mental y la de sus familiares.</w:t>
      </w:r>
    </w:p>
    <w:p w:rsidR="00F267EA" w:rsidRPr="00B76209" w:rsidRDefault="00F267EA" w:rsidP="00F267EA">
      <w:pPr>
        <w:pStyle w:val="ListParagraph"/>
        <w:numPr>
          <w:ilvl w:val="0"/>
          <w:numId w:val="6"/>
        </w:numPr>
        <w:ind w:right="333" w:firstLine="16"/>
        <w:contextualSpacing/>
        <w:jc w:val="both"/>
        <w:rPr>
          <w:rFonts w:eastAsia="Calibri"/>
          <w:sz w:val="16"/>
          <w:szCs w:val="16"/>
          <w:lang w:val="es-CR"/>
        </w:rPr>
      </w:pPr>
      <w:r w:rsidRPr="00B76209">
        <w:rPr>
          <w:rFonts w:eastAsia="Calibri"/>
          <w:sz w:val="16"/>
          <w:szCs w:val="16"/>
          <w:lang w:val="es-CR"/>
        </w:rPr>
        <w:t>Investigar de manera imparcial, efectiva y dentro de un plazo razonable con el objeto de esclarecer en forma completa los hechos violatorios de la Convención Americana, identificar a los autores intelectuales y materiales e imponer las sanciones que correspondan.</w:t>
      </w:r>
    </w:p>
    <w:p w:rsidR="00F267EA" w:rsidRPr="00B76209" w:rsidRDefault="00F267EA" w:rsidP="00F267EA">
      <w:pPr>
        <w:pStyle w:val="ListParagraph"/>
        <w:numPr>
          <w:ilvl w:val="0"/>
          <w:numId w:val="6"/>
        </w:numPr>
        <w:ind w:right="333" w:firstLine="16"/>
        <w:contextualSpacing/>
        <w:jc w:val="both"/>
        <w:rPr>
          <w:rFonts w:eastAsia="Calibri"/>
          <w:sz w:val="16"/>
          <w:szCs w:val="16"/>
          <w:lang w:val="es-CR"/>
        </w:rPr>
      </w:pPr>
      <w:r w:rsidRPr="00B76209">
        <w:rPr>
          <w:rFonts w:eastAsia="Calibri"/>
          <w:sz w:val="16"/>
          <w:szCs w:val="16"/>
          <w:lang w:val="es-CR"/>
        </w:rPr>
        <w:t>Disponer las medidas administrativas, disciplinarias o penales correspondientes frente a las acciones u omisiones de los funcionarios estatales que contribuyeron a la denegación de justicia e impunidad en la que se encuentran los hechos del caso.</w:t>
      </w:r>
    </w:p>
    <w:p w:rsidR="00F267EA" w:rsidRPr="00B76209" w:rsidRDefault="00F267EA" w:rsidP="00F267EA">
      <w:pPr>
        <w:pStyle w:val="ListParagraph"/>
        <w:numPr>
          <w:ilvl w:val="0"/>
          <w:numId w:val="6"/>
        </w:numPr>
        <w:ind w:right="333" w:firstLine="16"/>
        <w:contextualSpacing/>
        <w:jc w:val="both"/>
        <w:rPr>
          <w:rFonts w:eastAsia="Calibri"/>
          <w:sz w:val="16"/>
          <w:szCs w:val="16"/>
          <w:lang w:val="es-CR"/>
        </w:rPr>
      </w:pPr>
      <w:r w:rsidRPr="00B76209">
        <w:rPr>
          <w:rFonts w:eastAsia="Calibri"/>
          <w:sz w:val="16"/>
          <w:szCs w:val="16"/>
          <w:lang w:val="es-CR"/>
        </w:rPr>
        <w:t>Dado que la C</w:t>
      </w:r>
      <w:r w:rsidR="008F28A5">
        <w:rPr>
          <w:rFonts w:eastAsia="Calibri"/>
          <w:sz w:val="16"/>
          <w:szCs w:val="16"/>
          <w:lang w:val="es-CR"/>
        </w:rPr>
        <w:t>[omisión]</w:t>
      </w:r>
      <w:r w:rsidRPr="00B76209">
        <w:rPr>
          <w:rFonts w:eastAsia="Calibri"/>
          <w:sz w:val="16"/>
          <w:szCs w:val="16"/>
          <w:lang w:val="es-CR"/>
        </w:rPr>
        <w:t xml:space="preserve"> ha establecido que el procedimiento contra el entonces juez Galindo se realizó de manera ilegal y arbitraria, haciéndose referencia a actos que no podrían generar responsabilidad penal, la Comisión recomienda que el Estado anule el Acta de Arrepentimiento y sus efectos legales. </w:t>
      </w:r>
    </w:p>
    <w:p w:rsidR="00F267EA" w:rsidRPr="00FA11AC" w:rsidRDefault="00F267EA" w:rsidP="00F267EA">
      <w:pPr>
        <w:pStyle w:val="Estilo1"/>
        <w:numPr>
          <w:ilvl w:val="0"/>
          <w:numId w:val="0"/>
        </w:numPr>
        <w:tabs>
          <w:tab w:val="clear" w:pos="567"/>
          <w:tab w:val="clear" w:pos="1134"/>
        </w:tabs>
        <w:spacing w:after="0"/>
        <w:ind w:right="29"/>
        <w:rPr>
          <w:rFonts w:cs="Arial"/>
        </w:rPr>
      </w:pPr>
    </w:p>
    <w:p w:rsidR="00F267EA" w:rsidRPr="00AD4E9D" w:rsidRDefault="00F267EA" w:rsidP="00F267EA">
      <w:pPr>
        <w:pStyle w:val="Estilo1"/>
        <w:tabs>
          <w:tab w:val="clear" w:pos="18282"/>
          <w:tab w:val="num" w:pos="18012"/>
        </w:tabs>
        <w:spacing w:after="0"/>
        <w:ind w:right="29"/>
        <w:rPr>
          <w:rFonts w:cs="Arial"/>
          <w:b/>
          <w:sz w:val="16"/>
          <w:szCs w:val="16"/>
        </w:rPr>
      </w:pPr>
      <w:r w:rsidRPr="00FA11AC">
        <w:rPr>
          <w:i/>
          <w:lang w:val="es-CR"/>
        </w:rPr>
        <w:t>Notificación al Estado.-</w:t>
      </w:r>
      <w:r w:rsidRPr="00FA11AC">
        <w:rPr>
          <w:lang w:val="es-CR"/>
        </w:rPr>
        <w:t xml:space="preserve"> </w:t>
      </w:r>
      <w:r>
        <w:rPr>
          <w:lang w:val="es-CR"/>
        </w:rPr>
        <w:t>E</w:t>
      </w:r>
      <w:r w:rsidRPr="00FA11AC">
        <w:t>l</w:t>
      </w:r>
      <w:r w:rsidRPr="00FA11AC">
        <w:rPr>
          <w:rFonts w:cs="Verdana"/>
          <w:lang w:eastAsia="es-ES"/>
        </w:rPr>
        <w:t xml:space="preserve"> Informe de Fondo fue notificado a</w:t>
      </w:r>
      <w:r>
        <w:rPr>
          <w:rFonts w:cs="Verdana"/>
          <w:lang w:eastAsia="es-ES"/>
        </w:rPr>
        <w:t>l</w:t>
      </w:r>
      <w:r w:rsidRPr="00FA11AC">
        <w:rPr>
          <w:rFonts w:cs="Verdana"/>
          <w:lang w:eastAsia="es-ES"/>
        </w:rPr>
        <w:t xml:space="preserve"> </w:t>
      </w:r>
      <w:r>
        <w:rPr>
          <w:rFonts w:cs="Verdana"/>
          <w:lang w:eastAsia="es-ES"/>
        </w:rPr>
        <w:t>Perú</w:t>
      </w:r>
      <w:r w:rsidRPr="00FA11AC">
        <w:rPr>
          <w:rFonts w:cs="Verdana"/>
          <w:lang w:eastAsia="es-ES"/>
        </w:rPr>
        <w:t xml:space="preserve"> mediante comunicación de </w:t>
      </w:r>
      <w:r>
        <w:rPr>
          <w:rFonts w:cs="Verdana"/>
          <w:lang w:val="es-CR" w:eastAsia="es-ES"/>
        </w:rPr>
        <w:t>19</w:t>
      </w:r>
      <w:r w:rsidRPr="00FA11AC">
        <w:rPr>
          <w:rFonts w:cs="Verdana"/>
          <w:lang w:eastAsia="es-ES"/>
        </w:rPr>
        <w:t xml:space="preserve"> de </w:t>
      </w:r>
      <w:r w:rsidRPr="00FA11AC">
        <w:rPr>
          <w:rFonts w:cs="Verdana"/>
          <w:lang w:val="es-CR" w:eastAsia="es-ES"/>
        </w:rPr>
        <w:t>abril</w:t>
      </w:r>
      <w:r w:rsidRPr="00FA11AC">
        <w:rPr>
          <w:rFonts w:cs="Verdana"/>
          <w:lang w:eastAsia="es-ES"/>
        </w:rPr>
        <w:t xml:space="preserve"> de 201</w:t>
      </w:r>
      <w:r w:rsidRPr="00FA11AC">
        <w:rPr>
          <w:rFonts w:cs="Verdana"/>
          <w:lang w:val="es-CR" w:eastAsia="es-ES"/>
        </w:rPr>
        <w:t>2</w:t>
      </w:r>
      <w:r w:rsidRPr="00FA11AC">
        <w:rPr>
          <w:rFonts w:cs="Verdana"/>
          <w:lang w:eastAsia="es-ES"/>
        </w:rPr>
        <w:t>, en la que se le otorgaba un plazo de dos meses para informar sobre el cumplimiento de las recomendaciones. La Comisión señaló que</w:t>
      </w:r>
      <w:r>
        <w:rPr>
          <w:rFonts w:cs="Verdana"/>
          <w:lang w:eastAsia="es-ES"/>
        </w:rPr>
        <w:t xml:space="preserve"> el Estado “efectuó siete solicitudes de prórroga, seis de las cuales fueron otorgadas por la </w:t>
      </w:r>
      <w:proofErr w:type="gramStart"/>
      <w:r>
        <w:rPr>
          <w:rFonts w:cs="Verdana"/>
          <w:lang w:eastAsia="es-ES"/>
        </w:rPr>
        <w:t>Comisión</w:t>
      </w:r>
      <w:r>
        <w:rPr>
          <w:rFonts w:cs="Verdana"/>
          <w:lang w:val="es-CO" w:eastAsia="es-ES"/>
        </w:rPr>
        <w:t>[</w:t>
      </w:r>
      <w:proofErr w:type="gramEnd"/>
      <w:r>
        <w:rPr>
          <w:rFonts w:cs="Verdana"/>
          <w:lang w:val="es-CO" w:eastAsia="es-ES"/>
        </w:rPr>
        <w:t>, siendo l]</w:t>
      </w:r>
      <w:r>
        <w:rPr>
          <w:rFonts w:cs="Verdana"/>
          <w:lang w:eastAsia="es-ES"/>
        </w:rPr>
        <w:t xml:space="preserve">a última solicitud de prórroga […de] 6 de enero de 2014”, la cual no fue concedida. </w:t>
      </w:r>
    </w:p>
    <w:p w:rsidR="00F267EA" w:rsidRPr="00FA11AC" w:rsidRDefault="00F267EA" w:rsidP="00F267EA">
      <w:pPr>
        <w:pStyle w:val="Estilo1"/>
        <w:numPr>
          <w:ilvl w:val="0"/>
          <w:numId w:val="0"/>
        </w:numPr>
        <w:spacing w:after="0"/>
        <w:ind w:right="29"/>
        <w:rPr>
          <w:rFonts w:cs="Arial"/>
          <w:b/>
          <w:sz w:val="16"/>
          <w:szCs w:val="16"/>
        </w:rPr>
      </w:pPr>
    </w:p>
    <w:p w:rsidR="00F267EA" w:rsidRPr="00325BB9" w:rsidRDefault="00F267EA" w:rsidP="00F4389B">
      <w:pPr>
        <w:pStyle w:val="Estilo1"/>
        <w:tabs>
          <w:tab w:val="clear" w:pos="18282"/>
          <w:tab w:val="num" w:pos="18012"/>
        </w:tabs>
        <w:spacing w:after="0"/>
        <w:ind w:right="29"/>
      </w:pPr>
      <w:r w:rsidRPr="00F4389B">
        <w:rPr>
          <w:i/>
          <w:lang w:val="es-CR"/>
        </w:rPr>
        <w:t>Sometimiento a la Corte.</w:t>
      </w:r>
      <w:r w:rsidRPr="00F4389B">
        <w:rPr>
          <w:rFonts w:cs="Arial"/>
          <w:i/>
          <w:lang w:val="es-CR"/>
        </w:rPr>
        <w:t xml:space="preserve">- </w:t>
      </w:r>
      <w:r w:rsidRPr="00FA11AC">
        <w:t xml:space="preserve">El </w:t>
      </w:r>
      <w:r>
        <w:t>19</w:t>
      </w:r>
      <w:r w:rsidRPr="00FA11AC">
        <w:t xml:space="preserve"> de </w:t>
      </w:r>
      <w:r>
        <w:t>enero</w:t>
      </w:r>
      <w:r w:rsidRPr="00FA11AC">
        <w:t xml:space="preserve"> de </w:t>
      </w:r>
      <w:r>
        <w:t>2014</w:t>
      </w:r>
      <w:r w:rsidRPr="00FA11AC">
        <w:t xml:space="preserve"> la Comisión sometió a la jurisdicción de la Corte</w:t>
      </w:r>
      <w:r>
        <w:t xml:space="preserve"> todos</w:t>
      </w:r>
      <w:r w:rsidRPr="00FA11AC">
        <w:t xml:space="preserve"> </w:t>
      </w:r>
      <w:r w:rsidRPr="0059727A">
        <w:t xml:space="preserve">los hechos y violaciones de derechos humanos descritos en el Informe </w:t>
      </w:r>
      <w:r>
        <w:t xml:space="preserve">de Fondo </w:t>
      </w:r>
      <w:r w:rsidRPr="00F4389B">
        <w:rPr>
          <w:rFonts w:cs="Verdana"/>
          <w:lang w:val="es-AR" w:eastAsia="es-ES"/>
        </w:rPr>
        <w:t xml:space="preserve">por </w:t>
      </w:r>
      <w:r w:rsidRPr="00F4389B">
        <w:rPr>
          <w:rFonts w:cs="Verdana"/>
          <w:lang w:eastAsia="es-ES"/>
        </w:rPr>
        <w:t xml:space="preserve">“la necesidad de </w:t>
      </w:r>
      <w:r w:rsidR="008F28A5" w:rsidRPr="009E0AAE">
        <w:rPr>
          <w:rFonts w:cs="Verdana"/>
          <w:lang w:eastAsia="es-ES"/>
        </w:rPr>
        <w:t xml:space="preserve">obtención de </w:t>
      </w:r>
      <w:r w:rsidRPr="00F4389B">
        <w:rPr>
          <w:rFonts w:cs="Verdana"/>
          <w:lang w:eastAsia="es-ES"/>
        </w:rPr>
        <w:t>justicia</w:t>
      </w:r>
      <w:r w:rsidR="008F28A5" w:rsidRPr="00F4389B">
        <w:rPr>
          <w:rFonts w:cs="Verdana"/>
          <w:lang w:eastAsia="es-ES"/>
        </w:rPr>
        <w:t>”</w:t>
      </w:r>
      <w:r w:rsidRPr="00F4389B">
        <w:rPr>
          <w:rFonts w:cs="Verdana"/>
          <w:lang w:eastAsia="es-ES"/>
        </w:rPr>
        <w:t>.</w:t>
      </w:r>
      <w:r>
        <w:t xml:space="preserve"> </w:t>
      </w:r>
      <w:r w:rsidRPr="00F4389B">
        <w:rPr>
          <w:rFonts w:cs="Arial"/>
        </w:rPr>
        <w:t>La Comisión Interamericana designó como Delegados al</w:t>
      </w:r>
      <w:r w:rsidRPr="009E0AAE">
        <w:rPr>
          <w:rFonts w:cs="Arial"/>
          <w:lang w:val="es-CR"/>
        </w:rPr>
        <w:t xml:space="preserve"> Comisionado </w:t>
      </w:r>
      <w:r w:rsidR="00DD529E">
        <w:t>José de Jesús Orozco Henríquez</w:t>
      </w:r>
      <w:r w:rsidRPr="00325BB9">
        <w:t xml:space="preserve"> y </w:t>
      </w:r>
      <w:r>
        <w:t xml:space="preserve">a </w:t>
      </w:r>
      <w:r w:rsidRPr="00325BB9">
        <w:t>Emilio Álvarez Icaza L., Secretario Eje</w:t>
      </w:r>
      <w:r>
        <w:t>cutivo, y como asesoras legales a</w:t>
      </w:r>
      <w:r w:rsidRPr="00325BB9">
        <w:t xml:space="preserve"> Elizabeth </w:t>
      </w:r>
      <w:proofErr w:type="spellStart"/>
      <w:r w:rsidRPr="00325BB9">
        <w:t>Abi-Mershed</w:t>
      </w:r>
      <w:proofErr w:type="spellEnd"/>
      <w:r w:rsidRPr="00325BB9">
        <w:t xml:space="preserve">, Secretaria Ejecutiva Adjunta, y </w:t>
      </w:r>
      <w:r>
        <w:t xml:space="preserve">a </w:t>
      </w:r>
      <w:r w:rsidRPr="00325BB9">
        <w:t>Silvia Serrano Guzmán y Nerea Aparicio, abogadas de la</w:t>
      </w:r>
      <w:r>
        <w:t xml:space="preserve"> Secretaría Ejecutiva de la Comisión. </w:t>
      </w:r>
    </w:p>
    <w:p w:rsidR="00F267EA" w:rsidRPr="00F4389B" w:rsidRDefault="00F267EA" w:rsidP="00F4389B">
      <w:pPr>
        <w:pStyle w:val="Estilo1"/>
        <w:numPr>
          <w:ilvl w:val="0"/>
          <w:numId w:val="0"/>
        </w:numPr>
        <w:spacing w:after="0"/>
        <w:ind w:right="29"/>
        <w:rPr>
          <w:rFonts w:cs="Arial"/>
          <w:sz w:val="16"/>
          <w:szCs w:val="16"/>
        </w:rPr>
      </w:pPr>
    </w:p>
    <w:p w:rsidR="00101025" w:rsidRDefault="00F267EA" w:rsidP="00F810F3">
      <w:pPr>
        <w:pStyle w:val="Estilo1"/>
        <w:tabs>
          <w:tab w:val="clear" w:pos="18282"/>
          <w:tab w:val="num" w:pos="18012"/>
        </w:tabs>
        <w:spacing w:after="0"/>
        <w:ind w:right="29"/>
        <w:rPr>
          <w:rFonts w:cs="Arial"/>
        </w:rPr>
      </w:pPr>
      <w:r w:rsidRPr="00FA11AC">
        <w:rPr>
          <w:i/>
          <w:lang w:val="es-CR"/>
        </w:rPr>
        <w:t>Solicitudes de la Comisión Interamericana.</w:t>
      </w:r>
      <w:r w:rsidRPr="00FA11AC">
        <w:rPr>
          <w:rFonts w:cs="Arial"/>
          <w:i/>
          <w:sz w:val="16"/>
          <w:szCs w:val="16"/>
        </w:rPr>
        <w:t>-</w:t>
      </w:r>
      <w:r>
        <w:t xml:space="preserve"> Con base en lo anterior, l</w:t>
      </w:r>
      <w:r w:rsidRPr="00FA11AC">
        <w:t>a Comisión solicitó a</w:t>
      </w:r>
      <w:r>
        <w:t xml:space="preserve"> la Corte que declar</w:t>
      </w:r>
      <w:r w:rsidR="008F28A5">
        <w:t>e</w:t>
      </w:r>
      <w:r>
        <w:t xml:space="preserve"> la responsabilidad internacional del Estado por</w:t>
      </w:r>
      <w:r w:rsidRPr="00FA11AC">
        <w:t xml:space="preserve"> la v</w:t>
      </w:r>
      <w:r>
        <w:t xml:space="preserve">iolación de los artículos </w:t>
      </w:r>
      <w:r w:rsidRPr="00FA11AC">
        <w:t xml:space="preserve">5 (Derecho a la Integridad Personal), 7 (Derecho a la Libertad Personal), 8 (Garantías Judiciales), </w:t>
      </w:r>
      <w:r>
        <w:t>9 (Principio de Legalidad y de Retroactividad)</w:t>
      </w:r>
      <w:r w:rsidRPr="00FA11AC">
        <w:t>, y 25 (Protección Judicial) de la Convención</w:t>
      </w:r>
      <w:r>
        <w:t xml:space="preserve"> Americana</w:t>
      </w:r>
      <w:r w:rsidRPr="00FA11AC">
        <w:t>, en relación con el artículo 1.1 (Obligación de Respetar los Derechos)</w:t>
      </w:r>
      <w:r>
        <w:t xml:space="preserve"> y 2 (Deber de Adoptar Disposiciones de Derecho Interno) del mismo instrumento, en perjuicio de Luis Antonio Galindo Cárdenas</w:t>
      </w:r>
      <w:r w:rsidRPr="00FA11AC">
        <w:t xml:space="preserve">. </w:t>
      </w:r>
      <w:r w:rsidRPr="00C71F7F">
        <w:rPr>
          <w:rFonts w:eastAsiaTheme="minorHAnsi"/>
          <w:lang w:val="es-CR"/>
        </w:rPr>
        <w:t>Además, solicitó</w:t>
      </w:r>
      <w:r>
        <w:rPr>
          <w:rFonts w:eastAsiaTheme="minorHAnsi"/>
          <w:lang w:val="es-CR"/>
        </w:rPr>
        <w:t xml:space="preserve"> que declare la violación del artículo 5 (Derecho a la Integridad Personal), en perjuicio de su esposa e hijo. Por último, solicitó que la Corte </w:t>
      </w:r>
      <w:r w:rsidR="002E4502">
        <w:rPr>
          <w:rFonts w:eastAsiaTheme="minorHAnsi"/>
          <w:lang w:val="es-CR"/>
        </w:rPr>
        <w:t>fije determinadas reparaciones.</w:t>
      </w:r>
    </w:p>
    <w:p w:rsidR="00F267EA" w:rsidRPr="00FA11AC" w:rsidRDefault="00F267EA" w:rsidP="00804D25">
      <w:pPr>
        <w:pStyle w:val="Estilo2"/>
        <w:numPr>
          <w:ilvl w:val="0"/>
          <w:numId w:val="0"/>
        </w:numPr>
        <w:tabs>
          <w:tab w:val="clear" w:pos="567"/>
          <w:tab w:val="clear" w:pos="1134"/>
          <w:tab w:val="left" w:pos="426"/>
        </w:tabs>
        <w:spacing w:after="0"/>
        <w:ind w:right="29"/>
        <w:rPr>
          <w:rFonts w:cs="Arial"/>
          <w:b/>
        </w:rPr>
      </w:pPr>
    </w:p>
    <w:p w:rsidR="00804D25" w:rsidRPr="00FA11AC" w:rsidRDefault="00804D25" w:rsidP="00804D25">
      <w:pPr>
        <w:pStyle w:val="Estilo4"/>
        <w:spacing w:after="0"/>
        <w:ind w:right="29"/>
      </w:pPr>
      <w:bookmarkStart w:id="18" w:name="_Toc315133575"/>
      <w:bookmarkStart w:id="19" w:name="_Toc319619450"/>
      <w:bookmarkStart w:id="20" w:name="_Toc324426933"/>
      <w:bookmarkStart w:id="21" w:name="_Toc338072187"/>
      <w:bookmarkStart w:id="22" w:name="_Toc393212528"/>
      <w:bookmarkStart w:id="23" w:name="_Toc393227753"/>
      <w:bookmarkStart w:id="24" w:name="_Toc393232757"/>
      <w:bookmarkStart w:id="25" w:name="_Toc400724988"/>
      <w:bookmarkStart w:id="26" w:name="_Toc415503948"/>
      <w:bookmarkStart w:id="27" w:name="_Toc415507351"/>
      <w:bookmarkStart w:id="28" w:name="_Toc418530441"/>
      <w:bookmarkStart w:id="29" w:name="_Toc420941703"/>
      <w:bookmarkStart w:id="30" w:name="_Toc424313456"/>
      <w:bookmarkStart w:id="31" w:name="_Toc430869758"/>
      <w:bookmarkStart w:id="32" w:name="_Toc438129679"/>
      <w:r w:rsidRPr="00FA11AC">
        <w:t>II</w:t>
      </w:r>
      <w:r w:rsidRPr="00FA11AC">
        <w:br/>
      </w:r>
      <w:bookmarkStart w:id="33" w:name="_Toc311128156"/>
      <w:bookmarkStart w:id="34" w:name="_Toc311128353"/>
      <w:r w:rsidRPr="00FA11AC">
        <w:t>PROCEDIMIENTO ANTE LA CORTE</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rsidR="00804D25" w:rsidRPr="00FA11AC" w:rsidRDefault="00804D25" w:rsidP="00804D25">
      <w:pPr>
        <w:pStyle w:val="Estilo4"/>
        <w:spacing w:after="0"/>
        <w:ind w:right="29"/>
      </w:pPr>
    </w:p>
    <w:p w:rsidR="00804D25" w:rsidRPr="00824A1D" w:rsidRDefault="00804D25" w:rsidP="00804D25">
      <w:pPr>
        <w:pStyle w:val="Estilo1"/>
        <w:spacing w:after="0"/>
        <w:ind w:right="29"/>
      </w:pPr>
      <w:r w:rsidRPr="00FA11AC">
        <w:rPr>
          <w:i/>
        </w:rPr>
        <w:t>Notificación al</w:t>
      </w:r>
      <w:r>
        <w:rPr>
          <w:i/>
        </w:rPr>
        <w:t xml:space="preserve"> Estado y al representante.-</w:t>
      </w:r>
      <w:r w:rsidRPr="00FA11AC">
        <w:rPr>
          <w:i/>
        </w:rPr>
        <w:t xml:space="preserve"> </w:t>
      </w:r>
      <w:r w:rsidRPr="00FA11AC">
        <w:t xml:space="preserve">El sometimiento del caso fue notificado el </w:t>
      </w:r>
      <w:r w:rsidRPr="002D1E16">
        <w:t>21</w:t>
      </w:r>
      <w:r w:rsidRPr="00FA11AC">
        <w:t xml:space="preserve"> de </w:t>
      </w:r>
      <w:r>
        <w:t>febrero</w:t>
      </w:r>
      <w:r w:rsidRPr="00FA11AC">
        <w:t xml:space="preserve"> de </w:t>
      </w:r>
      <w:r>
        <w:t>2014</w:t>
      </w:r>
      <w:r w:rsidRPr="00FA11AC">
        <w:t xml:space="preserve">. </w:t>
      </w:r>
    </w:p>
    <w:p w:rsidR="00804D25" w:rsidRDefault="00804D25" w:rsidP="00804D25">
      <w:pPr>
        <w:pStyle w:val="Estilo1"/>
        <w:numPr>
          <w:ilvl w:val="0"/>
          <w:numId w:val="0"/>
        </w:numPr>
        <w:spacing w:after="0"/>
        <w:ind w:right="29"/>
      </w:pPr>
    </w:p>
    <w:p w:rsidR="00804D25" w:rsidRDefault="00804D25" w:rsidP="00804D25">
      <w:pPr>
        <w:pStyle w:val="Estilo1"/>
        <w:spacing w:after="0"/>
        <w:ind w:right="29"/>
      </w:pPr>
      <w:r w:rsidRPr="00824A1D">
        <w:rPr>
          <w:i/>
        </w:rPr>
        <w:lastRenderedPageBreak/>
        <w:t xml:space="preserve">Escrito de solicitudes, argumentos y pruebas.- </w:t>
      </w:r>
      <w:r w:rsidRPr="005E29D4">
        <w:t xml:space="preserve">El </w:t>
      </w:r>
      <w:r>
        <w:t>21</w:t>
      </w:r>
      <w:r w:rsidRPr="005E29D4">
        <w:t xml:space="preserve"> de </w:t>
      </w:r>
      <w:r>
        <w:t>abril</w:t>
      </w:r>
      <w:r w:rsidRPr="005E29D4">
        <w:t xml:space="preserve"> de </w:t>
      </w:r>
      <w:r>
        <w:t>2014 el abogado Richard M. Rocha (en adelante “el representante”) presentó</w:t>
      </w:r>
      <w:r w:rsidRPr="005E29D4">
        <w:t xml:space="preserve"> ante la Corte su escrito de solicitudes, argumentos y pruebas (en adelante “escrito de solicitudes y argumentos”), en los términos de los artículos 25 y 40 del Reglamento.</w:t>
      </w:r>
      <w:r w:rsidRPr="00824A1D">
        <w:rPr>
          <w:rFonts w:eastAsiaTheme="minorHAnsi"/>
          <w:lang w:val="es-CR"/>
        </w:rPr>
        <w:t xml:space="preserve"> </w:t>
      </w:r>
      <w:r>
        <w:t>El representante</w:t>
      </w:r>
      <w:r w:rsidRPr="005E29D4">
        <w:t xml:space="preserve"> </w:t>
      </w:r>
      <w:r>
        <w:rPr>
          <w:rFonts w:cs="Verdana"/>
          <w:lang w:eastAsia="es-ES"/>
        </w:rPr>
        <w:t>coincidió</w:t>
      </w:r>
      <w:r w:rsidRPr="00824A1D">
        <w:rPr>
          <w:rFonts w:cs="Verdana"/>
          <w:lang w:eastAsia="es-ES"/>
        </w:rPr>
        <w:t xml:space="preserve"> sustancialmente </w:t>
      </w:r>
      <w:r>
        <w:rPr>
          <w:rFonts w:cs="Verdana"/>
          <w:lang w:eastAsia="es-ES"/>
        </w:rPr>
        <w:t>con los alegatos de la Comisión</w:t>
      </w:r>
      <w:r>
        <w:t xml:space="preserve"> y, adicionalmente, solicitó</w:t>
      </w:r>
      <w:r w:rsidRPr="005E29D4">
        <w:t xml:space="preserve"> que se </w:t>
      </w:r>
      <w:r>
        <w:t xml:space="preserve">incluya como presunta víctima a Beatriz </w:t>
      </w:r>
      <w:r w:rsidRPr="00286A53">
        <w:t>Galindo D</w:t>
      </w:r>
      <w:r w:rsidR="00580317" w:rsidRPr="00286A53">
        <w:t>í</w:t>
      </w:r>
      <w:r w:rsidRPr="00286A53">
        <w:t>az, hija</w:t>
      </w:r>
      <w:r>
        <w:t xml:space="preserve"> del señor Luis Antonio Galindo Cárdenas. </w:t>
      </w:r>
    </w:p>
    <w:p w:rsidR="00804D25" w:rsidRDefault="00804D25" w:rsidP="00804D25">
      <w:pPr>
        <w:pStyle w:val="ListParagraph"/>
      </w:pPr>
    </w:p>
    <w:p w:rsidR="00804D25" w:rsidRPr="00517747" w:rsidRDefault="00804D25" w:rsidP="00804D25">
      <w:pPr>
        <w:pStyle w:val="Estilo1"/>
        <w:spacing w:after="0"/>
        <w:ind w:right="29"/>
      </w:pPr>
      <w:r w:rsidRPr="00517747">
        <w:rPr>
          <w:i/>
        </w:rPr>
        <w:t xml:space="preserve">Contestación del Estado.- </w:t>
      </w:r>
      <w:r w:rsidRPr="00FA11AC">
        <w:t xml:space="preserve">El </w:t>
      </w:r>
      <w:r>
        <w:t>25</w:t>
      </w:r>
      <w:r w:rsidRPr="00FA11AC">
        <w:t xml:space="preserve"> de </w:t>
      </w:r>
      <w:r>
        <w:t>julio</w:t>
      </w:r>
      <w:r w:rsidRPr="00FA11AC">
        <w:t xml:space="preserve"> de </w:t>
      </w:r>
      <w:r>
        <w:t>2014</w:t>
      </w:r>
      <w:r w:rsidRPr="00FA11AC">
        <w:t xml:space="preserve"> el Estado presentó ante la Corte su escrito de</w:t>
      </w:r>
      <w:r w:rsidR="000E2FC8">
        <w:t xml:space="preserve"> interposición de excepciones preliminares</w:t>
      </w:r>
      <w:r w:rsidR="0054357F">
        <w:t>,</w:t>
      </w:r>
      <w:r w:rsidRPr="00FA11AC">
        <w:t xml:space="preserve"> contestación al sometimiento del caso y de observaciones al escrito de solicitudes y argumentos (en adelante “escrito de contestación”</w:t>
      </w:r>
      <w:r>
        <w:t xml:space="preserve"> o “contestación”</w:t>
      </w:r>
      <w:r w:rsidRPr="00FA11AC">
        <w:t>)</w:t>
      </w:r>
      <w:r>
        <w:t>. En dicho escrito presentó dos excepciones preliminares, una de falta de agotamiento de los recursos internos y otra de caducidad del plazo para la presentación de la petición inicial</w:t>
      </w:r>
      <w:r>
        <w:rPr>
          <w:rFonts w:cs="Verdana"/>
        </w:rPr>
        <w:t>.</w:t>
      </w:r>
      <w:r>
        <w:rPr>
          <w:rFonts w:eastAsiaTheme="minorHAnsi"/>
          <w:b/>
          <w:lang w:val="es-CR"/>
        </w:rPr>
        <w:t xml:space="preserve"> </w:t>
      </w:r>
      <w:r w:rsidRPr="00D43B35">
        <w:rPr>
          <w:rFonts w:eastAsiaTheme="minorHAnsi"/>
          <w:lang w:val="es-CR"/>
        </w:rPr>
        <w:t xml:space="preserve">Además </w:t>
      </w:r>
      <w:r>
        <w:rPr>
          <w:rFonts w:eastAsiaTheme="minorHAnsi"/>
          <w:lang w:val="es-CR"/>
        </w:rPr>
        <w:t>se refirió a supuestas inexactit</w:t>
      </w:r>
      <w:r w:rsidRPr="00D43B35">
        <w:rPr>
          <w:rFonts w:eastAsiaTheme="minorHAnsi"/>
          <w:lang w:val="es-CR"/>
        </w:rPr>
        <w:t>u</w:t>
      </w:r>
      <w:r>
        <w:rPr>
          <w:rFonts w:eastAsiaTheme="minorHAnsi"/>
          <w:lang w:val="es-CR"/>
        </w:rPr>
        <w:t>d</w:t>
      </w:r>
      <w:r w:rsidRPr="00D43B35">
        <w:rPr>
          <w:rFonts w:eastAsiaTheme="minorHAnsi"/>
          <w:lang w:val="es-CR"/>
        </w:rPr>
        <w:t xml:space="preserve">es contenidas en el Informe de Fondo. </w:t>
      </w:r>
      <w:r w:rsidRPr="00517747">
        <w:rPr>
          <w:rFonts w:cs="Verdana"/>
        </w:rPr>
        <w:t>El</w:t>
      </w:r>
      <w:r w:rsidRPr="00517747">
        <w:rPr>
          <w:rFonts w:cs="Verdana"/>
          <w:lang w:val="es-CR"/>
        </w:rPr>
        <w:t xml:space="preserve"> 7 de marzo de 2014 el Estado </w:t>
      </w:r>
      <w:r>
        <w:rPr>
          <w:rFonts w:cs="Verdana"/>
          <w:lang w:val="es-CR"/>
        </w:rPr>
        <w:t xml:space="preserve">designó al </w:t>
      </w:r>
      <w:r w:rsidRPr="00517747">
        <w:rPr>
          <w:rFonts w:cs="Verdana"/>
          <w:lang w:val="es-CR"/>
        </w:rPr>
        <w:t>se</w:t>
      </w:r>
      <w:r>
        <w:rPr>
          <w:rFonts w:cs="Verdana"/>
          <w:lang w:val="es-CR"/>
        </w:rPr>
        <w:t xml:space="preserve">ñor Luis Alberto Huerta Guerrero como Agente, </w:t>
      </w:r>
      <w:r w:rsidRPr="00517747">
        <w:rPr>
          <w:rFonts w:cs="Verdana"/>
          <w:lang w:val="es-CR"/>
        </w:rPr>
        <w:t>y</w:t>
      </w:r>
      <w:r>
        <w:rPr>
          <w:rFonts w:cs="Verdana"/>
          <w:lang w:val="es-CR"/>
        </w:rPr>
        <w:t xml:space="preserve"> el 9 de enero de 2014</w:t>
      </w:r>
      <w:r w:rsidRPr="00517747">
        <w:rPr>
          <w:rFonts w:cs="Verdana"/>
          <w:lang w:val="es-CR"/>
        </w:rPr>
        <w:t xml:space="preserve"> acreditó a</w:t>
      </w:r>
      <w:r w:rsidRPr="00517747">
        <w:rPr>
          <w:szCs w:val="24"/>
        </w:rPr>
        <w:t xml:space="preserve"> los señores Iván Arturo Bazán Chacón y Carlos Miguel Reaño Balarezo, como Agentes Alternos</w:t>
      </w:r>
      <w:r w:rsidR="009233C1">
        <w:rPr>
          <w:szCs w:val="24"/>
        </w:rPr>
        <w:t>.</w:t>
      </w:r>
    </w:p>
    <w:p w:rsidR="00804D25" w:rsidRPr="00671066" w:rsidRDefault="00804D25" w:rsidP="00804D25">
      <w:pPr>
        <w:ind w:right="29"/>
        <w:rPr>
          <w:rFonts w:cs="Verdana"/>
          <w:lang w:eastAsia="es-ES"/>
        </w:rPr>
      </w:pPr>
    </w:p>
    <w:p w:rsidR="00804D25" w:rsidRPr="00517747" w:rsidRDefault="00804D25" w:rsidP="00804D25">
      <w:pPr>
        <w:pStyle w:val="Estilo1"/>
        <w:spacing w:after="0"/>
        <w:ind w:right="29"/>
        <w:rPr>
          <w:rFonts w:cs="Verdana"/>
          <w:lang w:eastAsia="es-ES"/>
        </w:rPr>
      </w:pPr>
      <w:r>
        <w:rPr>
          <w:i/>
        </w:rPr>
        <w:t xml:space="preserve">Observaciones a las </w:t>
      </w:r>
      <w:r w:rsidRPr="002D1E16">
        <w:rPr>
          <w:i/>
        </w:rPr>
        <w:t>Excepciones Preliminares.-</w:t>
      </w:r>
      <w:r w:rsidRPr="002D1E16">
        <w:rPr>
          <w:rFonts w:cs="Verdana"/>
          <w:i/>
          <w:lang w:eastAsia="es-ES"/>
        </w:rPr>
        <w:t xml:space="preserve"> </w:t>
      </w:r>
      <w:r w:rsidRPr="002D1E16">
        <w:rPr>
          <w:rFonts w:cs="Verdana"/>
          <w:bCs/>
          <w:lang w:val="es-CR"/>
        </w:rPr>
        <w:t>Mediante escritos recibidos el 30 de agosto de 2015</w:t>
      </w:r>
      <w:r>
        <w:rPr>
          <w:rFonts w:cs="Verdana"/>
          <w:bCs/>
          <w:lang w:val="es-CR"/>
        </w:rPr>
        <w:t>, el representante</w:t>
      </w:r>
      <w:r w:rsidRPr="002D1E16">
        <w:rPr>
          <w:rFonts w:cs="Verdana"/>
          <w:bCs/>
          <w:lang w:val="es-CR"/>
        </w:rPr>
        <w:t xml:space="preserve"> y la Comisión</w:t>
      </w:r>
      <w:r>
        <w:rPr>
          <w:rFonts w:cs="Verdana"/>
          <w:bCs/>
          <w:lang w:val="es-CR"/>
        </w:rPr>
        <w:t xml:space="preserve"> presentaron, respectivamente,</w:t>
      </w:r>
      <w:r w:rsidRPr="002D1E16">
        <w:rPr>
          <w:rFonts w:cs="Verdana"/>
          <w:bCs/>
          <w:lang w:val="es-CR"/>
        </w:rPr>
        <w:t xml:space="preserve"> sus observaciones a las excep</w:t>
      </w:r>
      <w:r>
        <w:rPr>
          <w:rFonts w:cs="Verdana"/>
          <w:bCs/>
          <w:lang w:val="es-CR"/>
        </w:rPr>
        <w:t xml:space="preserve">ciones preliminares </w:t>
      </w:r>
      <w:r w:rsidRPr="002D1E16">
        <w:rPr>
          <w:rFonts w:cs="Verdana"/>
          <w:bCs/>
          <w:lang w:val="es-CR"/>
        </w:rPr>
        <w:t xml:space="preserve">y solicitaron </w:t>
      </w:r>
      <w:r w:rsidR="008F28A5">
        <w:rPr>
          <w:rFonts w:cs="Verdana"/>
          <w:bCs/>
          <w:lang w:val="es-CR"/>
        </w:rPr>
        <w:t>su</w:t>
      </w:r>
      <w:r w:rsidRPr="002D1E16">
        <w:rPr>
          <w:rFonts w:cs="Verdana"/>
          <w:bCs/>
          <w:lang w:val="es-CR"/>
        </w:rPr>
        <w:t xml:space="preserve"> recha</w:t>
      </w:r>
      <w:r w:rsidR="008F28A5">
        <w:rPr>
          <w:rFonts w:cs="Verdana"/>
          <w:bCs/>
          <w:lang w:val="es-CR"/>
        </w:rPr>
        <w:t>zo</w:t>
      </w:r>
      <w:r w:rsidRPr="002D1E16">
        <w:rPr>
          <w:rFonts w:cs="Verdana"/>
          <w:bCs/>
          <w:lang w:val="es-CR"/>
        </w:rPr>
        <w:t xml:space="preserve">. </w:t>
      </w:r>
    </w:p>
    <w:p w:rsidR="00804D25" w:rsidRDefault="00804D25" w:rsidP="00804D25">
      <w:pPr>
        <w:pStyle w:val="ListParagraph"/>
        <w:rPr>
          <w:rFonts w:cs="Verdana"/>
          <w:lang w:eastAsia="es-ES"/>
        </w:rPr>
      </w:pPr>
    </w:p>
    <w:p w:rsidR="00804D25" w:rsidRPr="00D212A6" w:rsidRDefault="00804D25" w:rsidP="00804D25">
      <w:pPr>
        <w:pStyle w:val="Estilo1"/>
        <w:spacing w:after="0"/>
        <w:ind w:right="29"/>
        <w:rPr>
          <w:rFonts w:cs="Verdana"/>
          <w:lang w:eastAsia="es-ES"/>
        </w:rPr>
      </w:pPr>
      <w:r w:rsidRPr="00517747">
        <w:rPr>
          <w:i/>
        </w:rPr>
        <w:t xml:space="preserve">Audiencia pública.- </w:t>
      </w:r>
      <w:r w:rsidRPr="00FA11AC">
        <w:t>M</w:t>
      </w:r>
      <w:proofErr w:type="spellStart"/>
      <w:r w:rsidRPr="00517747">
        <w:rPr>
          <w:rFonts w:cs="Verdana"/>
          <w:bCs/>
          <w:lang w:val="es-CR"/>
        </w:rPr>
        <w:t>ediante</w:t>
      </w:r>
      <w:proofErr w:type="spellEnd"/>
      <w:r w:rsidRPr="00517747">
        <w:rPr>
          <w:rFonts w:cs="Verdana"/>
          <w:bCs/>
          <w:lang w:val="es-CR"/>
        </w:rPr>
        <w:t xml:space="preserve"> Resolución </w:t>
      </w:r>
      <w:r>
        <w:rPr>
          <w:rFonts w:cs="Verdana"/>
          <w:bCs/>
          <w:lang w:val="es-CR"/>
        </w:rPr>
        <w:t xml:space="preserve">de la Presidencia </w:t>
      </w:r>
      <w:r w:rsidRPr="00517747">
        <w:rPr>
          <w:rFonts w:cs="Verdana"/>
          <w:bCs/>
          <w:lang w:val="es-CR"/>
        </w:rPr>
        <w:t>de 28 de noviembre de 2014</w:t>
      </w:r>
      <w:r w:rsidRPr="00FA11AC">
        <w:rPr>
          <w:rFonts w:cs="Verdana"/>
          <w:bCs/>
          <w:vertAlign w:val="superscript"/>
          <w:lang w:val="es-CR"/>
        </w:rPr>
        <w:footnoteReference w:id="5"/>
      </w:r>
      <w:r w:rsidRPr="00517747">
        <w:rPr>
          <w:rFonts w:cs="Verdana"/>
          <w:bCs/>
          <w:lang w:val="es-CR"/>
        </w:rPr>
        <w:t xml:space="preserve"> </w:t>
      </w:r>
      <w:r>
        <w:rPr>
          <w:rFonts w:cs="Verdana"/>
          <w:bCs/>
          <w:lang w:val="es-CR"/>
        </w:rPr>
        <w:t xml:space="preserve">se </w:t>
      </w:r>
      <w:r w:rsidRPr="00517747">
        <w:rPr>
          <w:rFonts w:cs="Verdana"/>
          <w:bCs/>
          <w:lang w:val="es-CR"/>
        </w:rPr>
        <w:t xml:space="preserve">convocó a las partes </w:t>
      </w:r>
      <w:r>
        <w:rPr>
          <w:rFonts w:cs="Verdana"/>
          <w:bCs/>
          <w:lang w:val="es-CR"/>
        </w:rPr>
        <w:t xml:space="preserve">y a la Comisión a </w:t>
      </w:r>
      <w:r w:rsidR="000E2FC8">
        <w:rPr>
          <w:rFonts w:cs="Verdana"/>
          <w:bCs/>
          <w:lang w:val="es-CR"/>
        </w:rPr>
        <w:t xml:space="preserve">una </w:t>
      </w:r>
      <w:r>
        <w:rPr>
          <w:rFonts w:cs="Verdana"/>
          <w:bCs/>
          <w:lang w:val="es-CR"/>
        </w:rPr>
        <w:t>audiencia pública.</w:t>
      </w:r>
      <w:r w:rsidRPr="00517747">
        <w:rPr>
          <w:rFonts w:cs="Verdana"/>
          <w:bCs/>
          <w:lang w:val="es-CR"/>
        </w:rPr>
        <w:t xml:space="preserve"> La audiencia fue celebrada el 29 de enero de 2015 durante el 107 Período Ordinario de Sesiones de la Corte</w:t>
      </w:r>
      <w:r>
        <w:rPr>
          <w:rFonts w:cs="Verdana"/>
          <w:bCs/>
          <w:lang w:val="es-CR"/>
        </w:rPr>
        <w:t>, la</w:t>
      </w:r>
      <w:r w:rsidRPr="00517747">
        <w:rPr>
          <w:rFonts w:cs="Verdana"/>
          <w:bCs/>
          <w:lang w:val="es-CR"/>
        </w:rPr>
        <w:t xml:space="preserve"> cual tuvo lugar en la sede de la Corte en San José, Costa Rica</w:t>
      </w:r>
      <w:r w:rsidRPr="00FA11AC">
        <w:rPr>
          <w:rFonts w:cs="Verdana"/>
          <w:bCs/>
          <w:vertAlign w:val="superscript"/>
          <w:lang w:val="es-CR"/>
        </w:rPr>
        <w:footnoteReference w:id="6"/>
      </w:r>
      <w:r w:rsidRPr="00517747">
        <w:rPr>
          <w:rFonts w:cs="Verdana"/>
          <w:bCs/>
          <w:lang w:val="es-CR"/>
        </w:rPr>
        <w:t>.</w:t>
      </w:r>
      <w:r>
        <w:rPr>
          <w:rFonts w:cs="Verdana"/>
          <w:bCs/>
          <w:lang w:val="es-CR"/>
        </w:rPr>
        <w:t xml:space="preserve"> S</w:t>
      </w:r>
      <w:r w:rsidRPr="00517747">
        <w:rPr>
          <w:rFonts w:cs="Verdana"/>
          <w:bCs/>
          <w:lang w:val="es-CR"/>
        </w:rPr>
        <w:t>e recibieron las declaraciones de la presunta víctima</w:t>
      </w:r>
      <w:r w:rsidR="008F28A5">
        <w:rPr>
          <w:rFonts w:cs="Verdana"/>
          <w:bCs/>
          <w:lang w:val="es-CR"/>
        </w:rPr>
        <w:t xml:space="preserve"> ofrecida por el representante</w:t>
      </w:r>
      <w:r w:rsidRPr="00517747">
        <w:rPr>
          <w:rFonts w:cs="Verdana"/>
          <w:bCs/>
          <w:lang w:val="es-CR"/>
        </w:rPr>
        <w:t>, un perito ofrecido por la Comisión, y un</w:t>
      </w:r>
      <w:r w:rsidR="008F28A5">
        <w:rPr>
          <w:rFonts w:cs="Verdana"/>
          <w:bCs/>
          <w:lang w:val="es-CR"/>
        </w:rPr>
        <w:t>a</w:t>
      </w:r>
      <w:r w:rsidRPr="00517747">
        <w:rPr>
          <w:rFonts w:cs="Verdana"/>
          <w:bCs/>
          <w:lang w:val="es-CR"/>
        </w:rPr>
        <w:t xml:space="preserve"> testigo ofrecid</w:t>
      </w:r>
      <w:r w:rsidR="006B7AFA">
        <w:rPr>
          <w:rFonts w:cs="Verdana"/>
          <w:bCs/>
          <w:lang w:val="es-CR"/>
        </w:rPr>
        <w:t>a</w:t>
      </w:r>
      <w:r w:rsidRPr="00517747">
        <w:rPr>
          <w:rFonts w:cs="Verdana"/>
          <w:bCs/>
          <w:lang w:val="es-CR"/>
        </w:rPr>
        <w:t xml:space="preserve"> por el Estado. </w:t>
      </w:r>
      <w:r>
        <w:rPr>
          <w:rFonts w:cs="Verdana"/>
          <w:bCs/>
          <w:lang w:val="es-CR"/>
        </w:rPr>
        <w:t xml:space="preserve">El </w:t>
      </w:r>
      <w:r w:rsidRPr="00517747">
        <w:rPr>
          <w:rFonts w:cs="Verdana"/>
          <w:bCs/>
          <w:lang w:val="es-CR"/>
        </w:rPr>
        <w:t>representante y la presunta víctima presentaron documentación</w:t>
      </w:r>
      <w:r w:rsidR="00825ED9">
        <w:rPr>
          <w:rFonts w:cs="Verdana"/>
          <w:bCs/>
          <w:lang w:val="es-CR"/>
        </w:rPr>
        <w:t xml:space="preserve"> complementaria</w:t>
      </w:r>
      <w:r w:rsidR="00A33895">
        <w:rPr>
          <w:rFonts w:cs="Verdana"/>
          <w:bCs/>
          <w:lang w:val="es-CR"/>
        </w:rPr>
        <w:t xml:space="preserve"> que </w:t>
      </w:r>
      <w:r w:rsidR="00D40774" w:rsidRPr="00941386">
        <w:rPr>
          <w:rFonts w:cs="Verdana"/>
          <w:bCs/>
          <w:lang w:val="es-CR"/>
        </w:rPr>
        <w:t>ya había sido presentada con anterioridad</w:t>
      </w:r>
      <w:r>
        <w:rPr>
          <w:rStyle w:val="FootnoteReference"/>
          <w:rFonts w:cs="Verdana"/>
          <w:bCs/>
          <w:lang w:val="es-CR"/>
        </w:rPr>
        <w:footnoteReference w:id="7"/>
      </w:r>
      <w:r w:rsidRPr="00517747">
        <w:rPr>
          <w:rFonts w:cs="Verdana"/>
          <w:bCs/>
          <w:lang w:val="es-CR"/>
        </w:rPr>
        <w:t>. Además</w:t>
      </w:r>
      <w:r w:rsidR="00A33895">
        <w:rPr>
          <w:rFonts w:cs="Verdana"/>
          <w:bCs/>
          <w:lang w:val="es-CR"/>
        </w:rPr>
        <w:t>,</w:t>
      </w:r>
      <w:r w:rsidRPr="00517747">
        <w:rPr>
          <w:rFonts w:cs="Verdana"/>
          <w:bCs/>
          <w:lang w:val="es-CR"/>
        </w:rPr>
        <w:t xml:space="preserve"> los días 9 y 20 de enero de 2015 se recibieron las declaraciones s</w:t>
      </w:r>
      <w:r w:rsidRPr="00D212A6">
        <w:rPr>
          <w:rFonts w:cs="Verdana"/>
          <w:bCs/>
          <w:lang w:val="es-CR"/>
        </w:rPr>
        <w:t>olicitadas mediante affidávit en la referida Resolución</w:t>
      </w:r>
      <w:r w:rsidRPr="00D212A6">
        <w:rPr>
          <w:rStyle w:val="FootnoteReference"/>
          <w:rFonts w:cs="Verdana"/>
          <w:bCs/>
          <w:lang w:val="es-CR"/>
        </w:rPr>
        <w:footnoteReference w:id="8"/>
      </w:r>
      <w:r w:rsidRPr="00D212A6">
        <w:rPr>
          <w:rFonts w:cs="Verdana"/>
          <w:bCs/>
          <w:lang w:val="es-CR"/>
        </w:rPr>
        <w:t>.</w:t>
      </w:r>
    </w:p>
    <w:p w:rsidR="00804D25" w:rsidRPr="00D212A6" w:rsidRDefault="00804D25" w:rsidP="00804D25">
      <w:pPr>
        <w:pStyle w:val="Estilo1"/>
        <w:numPr>
          <w:ilvl w:val="0"/>
          <w:numId w:val="0"/>
        </w:numPr>
        <w:spacing w:after="0"/>
        <w:ind w:right="29"/>
      </w:pPr>
    </w:p>
    <w:p w:rsidR="00804D25" w:rsidRPr="00D212A6" w:rsidRDefault="00804D25" w:rsidP="00804D25">
      <w:pPr>
        <w:pStyle w:val="Estilo1"/>
        <w:spacing w:after="0"/>
        <w:ind w:right="29"/>
        <w:rPr>
          <w:strike/>
          <w:lang w:val="es-CR"/>
        </w:rPr>
      </w:pPr>
      <w:r w:rsidRPr="00D212A6">
        <w:rPr>
          <w:i/>
          <w:lang w:val="es-CR"/>
        </w:rPr>
        <w:t>Prueba para mejor resolver</w:t>
      </w:r>
      <w:r w:rsidRPr="00D212A6">
        <w:rPr>
          <w:lang w:val="es-CR"/>
        </w:rPr>
        <w:t>.- El 5 de febrero de 2015 la Secretaría de la Corte (en adelante también “la Secretaría”), siguiendo instrucciones del Presidente de la Corte (en adelante “el Presidente”</w:t>
      </w:r>
      <w:r>
        <w:rPr>
          <w:lang w:val="es-CR"/>
        </w:rPr>
        <w:t>)</w:t>
      </w:r>
      <w:r w:rsidRPr="00D212A6">
        <w:rPr>
          <w:lang w:val="es-CR"/>
        </w:rPr>
        <w:t>, solicitó</w:t>
      </w:r>
      <w:r>
        <w:rPr>
          <w:lang w:val="es-CR"/>
        </w:rPr>
        <w:t xml:space="preserve"> </w:t>
      </w:r>
      <w:r w:rsidRPr="00D212A6">
        <w:rPr>
          <w:lang w:val="es-CR"/>
        </w:rPr>
        <w:t>a las partes y a la Comisión, según sea el caso, de conformidad con el artículo 58.b) del Reglamento</w:t>
      </w:r>
      <w:r>
        <w:rPr>
          <w:lang w:val="es-CR"/>
        </w:rPr>
        <w:t xml:space="preserve"> prueba</w:t>
      </w:r>
      <w:r w:rsidR="00825ED9">
        <w:rPr>
          <w:lang w:val="es-CR"/>
        </w:rPr>
        <w:t xml:space="preserve"> </w:t>
      </w:r>
      <w:r>
        <w:rPr>
          <w:lang w:val="es-CR"/>
        </w:rPr>
        <w:t>para mejor resolver.</w:t>
      </w:r>
      <w:r w:rsidR="000E2FC8">
        <w:rPr>
          <w:lang w:val="es-CR"/>
        </w:rPr>
        <w:t xml:space="preserve"> </w:t>
      </w:r>
      <w:r w:rsidRPr="00D212A6">
        <w:rPr>
          <w:lang w:val="es-CR"/>
        </w:rPr>
        <w:t>El 2</w:t>
      </w:r>
      <w:r w:rsidR="002E4502">
        <w:rPr>
          <w:lang w:val="es-CR"/>
        </w:rPr>
        <w:t>0 de febrero de 2015 las partes</w:t>
      </w:r>
      <w:r w:rsidRPr="00B1233E">
        <w:rPr>
          <w:lang w:val="es-CR"/>
        </w:rPr>
        <w:t xml:space="preserve"> y la Comisión presentaron, respectivamente, la prueba solicitada. El 24 de febrero de 2015 la Secretaría transmitió a las partes y a la Comisión la documentación y solicitó la presentación de observaciones, a más tardar el 9 de marzo de 2015, y señaló que no era nueva oportunidad para presentar alegatos o prueba</w:t>
      </w:r>
      <w:r w:rsidR="00420EA7">
        <w:rPr>
          <w:lang w:val="es-CR"/>
        </w:rPr>
        <w:t xml:space="preserve">. En la última fecha </w:t>
      </w:r>
      <w:r w:rsidRPr="00B1233E">
        <w:rPr>
          <w:lang w:val="es-CR"/>
        </w:rPr>
        <w:t xml:space="preserve">el representante y el Estado presentaron </w:t>
      </w:r>
      <w:r w:rsidR="0097526E">
        <w:rPr>
          <w:lang w:val="es-CR"/>
        </w:rPr>
        <w:t>sus</w:t>
      </w:r>
      <w:r w:rsidR="00DD529E">
        <w:rPr>
          <w:lang w:val="es-CR"/>
        </w:rPr>
        <w:t xml:space="preserve"> escritos</w:t>
      </w:r>
      <w:r w:rsidRPr="00B1233E">
        <w:rPr>
          <w:lang w:val="es-CR"/>
        </w:rPr>
        <w:t xml:space="preserve">. Al respecto, el </w:t>
      </w:r>
      <w:r w:rsidRPr="00B1233E">
        <w:rPr>
          <w:lang w:val="es-CR"/>
        </w:rPr>
        <w:lastRenderedPageBreak/>
        <w:t xml:space="preserve">representante hizo una serie de alegaciones y no se refirió en concreto a la prueba para mejor resolver, y el 11 de marzo de 2015 la Secretaría le informó que su admisibilidad sería determinada oportunamente por la Corte. Ese mismo día la Comisión solicitó una prórroga para la presentación de sus observaciones, la cual fue concedida hasta el 16 de marzo de 2015. Ese día la Comisión presentó sus observaciones. </w:t>
      </w:r>
    </w:p>
    <w:p w:rsidR="00804D25" w:rsidRDefault="00804D25" w:rsidP="00804D25">
      <w:pPr>
        <w:pStyle w:val="Estilo1"/>
        <w:numPr>
          <w:ilvl w:val="0"/>
          <w:numId w:val="0"/>
        </w:numPr>
        <w:spacing w:after="0"/>
        <w:ind w:right="29"/>
        <w:rPr>
          <w:strike/>
          <w:lang w:val="es-CR"/>
        </w:rPr>
      </w:pPr>
    </w:p>
    <w:p w:rsidR="00804D25" w:rsidRPr="002E4502" w:rsidRDefault="00804D25" w:rsidP="00804D25">
      <w:pPr>
        <w:pStyle w:val="Estilo1"/>
        <w:spacing w:after="0"/>
        <w:ind w:right="29"/>
        <w:rPr>
          <w:rFonts w:cs="Verdana"/>
          <w:i/>
          <w:lang w:val="es-CR" w:eastAsia="es-MX"/>
        </w:rPr>
      </w:pPr>
      <w:r w:rsidRPr="002E4502">
        <w:rPr>
          <w:rFonts w:cs="Verdana"/>
          <w:i/>
          <w:lang w:val="es-CR" w:eastAsia="es-MX"/>
        </w:rPr>
        <w:t>Alegatos y observaciones finales escritos</w:t>
      </w:r>
      <w:r w:rsidRPr="002E4502">
        <w:rPr>
          <w:rFonts w:cs="Verdana"/>
          <w:lang w:val="es-CR" w:eastAsia="es-MX"/>
        </w:rPr>
        <w:t>.- El 2 de marzo 2015 el representante y el Estado remitieron sus alegatos finales escritos</w:t>
      </w:r>
      <w:r w:rsidRPr="002E4502">
        <w:rPr>
          <w:rFonts w:cs="Verdana"/>
          <w:b/>
          <w:lang w:val="es-CR" w:eastAsia="es-MX"/>
        </w:rPr>
        <w:t xml:space="preserve"> </w:t>
      </w:r>
      <w:r w:rsidRPr="002E4502">
        <w:rPr>
          <w:rFonts w:cs="Verdana"/>
          <w:lang w:val="es-CR" w:eastAsia="es-MX"/>
        </w:rPr>
        <w:t xml:space="preserve">(en adelante también “alegatos finales”) junto con diversos anexos, y la Comisión sus observaciones finales escritas. </w:t>
      </w:r>
    </w:p>
    <w:p w:rsidR="002E4502" w:rsidRPr="002E4502" w:rsidRDefault="002E4502" w:rsidP="002E4502">
      <w:pPr>
        <w:pStyle w:val="Estilo1"/>
        <w:numPr>
          <w:ilvl w:val="0"/>
          <w:numId w:val="0"/>
        </w:numPr>
        <w:spacing w:after="0"/>
        <w:ind w:right="29"/>
        <w:rPr>
          <w:rFonts w:cs="Verdana"/>
          <w:i/>
          <w:lang w:val="es-CR" w:eastAsia="es-MX"/>
        </w:rPr>
      </w:pPr>
    </w:p>
    <w:p w:rsidR="00804D25" w:rsidRPr="000178AE" w:rsidRDefault="00804D25" w:rsidP="00804D25">
      <w:pPr>
        <w:pStyle w:val="Estilo1"/>
        <w:spacing w:after="0"/>
        <w:ind w:right="29"/>
        <w:rPr>
          <w:strike/>
          <w:lang w:val="es-CR"/>
        </w:rPr>
      </w:pPr>
      <w:r w:rsidRPr="00FB0592">
        <w:rPr>
          <w:rFonts w:cs="Verdana"/>
          <w:i/>
          <w:lang w:val="es-CR" w:eastAsia="es-MX"/>
        </w:rPr>
        <w:t>Observaciones a los documentos anexos a los alegatos finales escritos</w:t>
      </w:r>
      <w:r w:rsidRPr="00FB0592">
        <w:rPr>
          <w:rFonts w:cs="Verdana"/>
          <w:lang w:val="es-CR" w:eastAsia="es-MX"/>
        </w:rPr>
        <w:t>.- Los escritos de alegatos y observaciones finales escritos fueron transmitidos a las partes y a la Comisión Interamericana el 11 de marzo de 2015, y el Presidente</w:t>
      </w:r>
      <w:r w:rsidR="008F28A5">
        <w:rPr>
          <w:rFonts w:cs="Verdana"/>
          <w:lang w:val="es-CR" w:eastAsia="es-MX"/>
        </w:rPr>
        <w:t>, luego de concedida una prórroga,</w:t>
      </w:r>
      <w:r w:rsidRPr="00FB0592">
        <w:rPr>
          <w:rFonts w:cs="Verdana"/>
          <w:lang w:val="es-CR" w:eastAsia="es-MX"/>
        </w:rPr>
        <w:t xml:space="preserve"> les otorgó plazo hasta el 23 de marzo de 2015 para que presentaran las observaciones que estimaran pertinentes a los anexos remitidos, y </w:t>
      </w:r>
      <w:r w:rsidRPr="00FB0592">
        <w:rPr>
          <w:lang w:val="es-CR"/>
        </w:rPr>
        <w:t>se les indicó que no era nueva oportunidad para presentar alegatos o prueba.</w:t>
      </w:r>
      <w:r w:rsidRPr="00FB0592">
        <w:rPr>
          <w:rFonts w:cs="Verdana"/>
          <w:lang w:val="es-CR" w:eastAsia="es-MX"/>
        </w:rPr>
        <w:t xml:space="preserve"> El </w:t>
      </w:r>
      <w:r w:rsidR="008F28A5">
        <w:rPr>
          <w:rFonts w:cs="Verdana"/>
          <w:lang w:val="es-CR" w:eastAsia="es-MX"/>
        </w:rPr>
        <w:t>16</w:t>
      </w:r>
      <w:r>
        <w:rPr>
          <w:rFonts w:cs="Verdana"/>
          <w:lang w:val="es-CR" w:eastAsia="es-MX"/>
        </w:rPr>
        <w:t xml:space="preserve"> de marzo de 2015 la Comisión </w:t>
      </w:r>
      <w:r w:rsidRPr="00FB0592">
        <w:rPr>
          <w:rFonts w:cs="Verdana"/>
          <w:lang w:val="es-CR" w:eastAsia="es-MX"/>
        </w:rPr>
        <w:t>y</w:t>
      </w:r>
      <w:r>
        <w:rPr>
          <w:rFonts w:cs="Verdana"/>
          <w:lang w:val="es-CR" w:eastAsia="es-MX"/>
        </w:rPr>
        <w:t xml:space="preserve"> el </w:t>
      </w:r>
      <w:r w:rsidRPr="00FB0592">
        <w:rPr>
          <w:rFonts w:cs="Verdana"/>
          <w:lang w:val="es-CR" w:eastAsia="es-MX"/>
        </w:rPr>
        <w:t>23 de marzo de 2015 las partes presentaron, respectivamente, sus observaciones</w:t>
      </w:r>
      <w:r>
        <w:rPr>
          <w:rFonts w:cs="Verdana"/>
          <w:lang w:val="es-CR" w:eastAsia="es-MX"/>
        </w:rPr>
        <w:t>.</w:t>
      </w:r>
    </w:p>
    <w:p w:rsidR="00804D25" w:rsidRPr="000178AE" w:rsidRDefault="00804D25" w:rsidP="00804D25">
      <w:pPr>
        <w:pStyle w:val="Estilo1"/>
        <w:numPr>
          <w:ilvl w:val="0"/>
          <w:numId w:val="0"/>
        </w:numPr>
        <w:spacing w:after="0"/>
        <w:ind w:right="29"/>
        <w:rPr>
          <w:strike/>
          <w:lang w:val="es-CR"/>
        </w:rPr>
      </w:pPr>
    </w:p>
    <w:p w:rsidR="00804D25" w:rsidRPr="008E6755" w:rsidRDefault="00804D25" w:rsidP="00804D25">
      <w:pPr>
        <w:pStyle w:val="Estilo1"/>
        <w:spacing w:after="0"/>
        <w:ind w:right="29"/>
        <w:rPr>
          <w:lang w:val="es-CR"/>
        </w:rPr>
      </w:pPr>
      <w:r>
        <w:rPr>
          <w:rFonts w:cs="Verdana"/>
          <w:i/>
          <w:lang w:val="es-CR" w:eastAsia="es-MX"/>
        </w:rPr>
        <w:t>Otra prueba para mejor resolver</w:t>
      </w:r>
      <w:r w:rsidR="00F66FE6">
        <w:rPr>
          <w:rFonts w:cs="Verdana"/>
          <w:i/>
          <w:lang w:val="es-CR" w:eastAsia="es-MX"/>
        </w:rPr>
        <w:t xml:space="preserve"> e incorporación de prueba de oficio</w:t>
      </w:r>
      <w:r>
        <w:rPr>
          <w:rFonts w:cs="Verdana"/>
          <w:i/>
          <w:lang w:val="es-CR" w:eastAsia="es-MX"/>
        </w:rPr>
        <w:t xml:space="preserve">.- </w:t>
      </w:r>
      <w:r w:rsidRPr="00A95E3E">
        <w:rPr>
          <w:rFonts w:cs="Verdana"/>
          <w:lang w:val="es-CR" w:eastAsia="es-MX"/>
        </w:rPr>
        <w:t>El</w:t>
      </w:r>
      <w:r w:rsidRPr="00A95E3E">
        <w:rPr>
          <w:lang w:val="es-CR"/>
        </w:rPr>
        <w:t xml:space="preserve"> 12 de ju</w:t>
      </w:r>
      <w:r>
        <w:rPr>
          <w:lang w:val="es-CR"/>
        </w:rPr>
        <w:t>nio de 2015 la Secretaría solicitó al Estado, de conformidad con el artículo 58.b)</w:t>
      </w:r>
      <w:r w:rsidR="008A0DDD">
        <w:rPr>
          <w:lang w:val="es-CR"/>
        </w:rPr>
        <w:t xml:space="preserve"> del Reglamento</w:t>
      </w:r>
      <w:r>
        <w:rPr>
          <w:lang w:val="es-CR"/>
        </w:rPr>
        <w:t xml:space="preserve">, la remisión </w:t>
      </w:r>
      <w:r w:rsidR="00825ED9">
        <w:rPr>
          <w:lang w:val="es-CR"/>
        </w:rPr>
        <w:t xml:space="preserve">de otra </w:t>
      </w:r>
      <w:r>
        <w:rPr>
          <w:lang w:val="es-CR"/>
        </w:rPr>
        <w:t>normativa</w:t>
      </w:r>
      <w:r w:rsidR="00825ED9">
        <w:rPr>
          <w:lang w:val="es-CR"/>
        </w:rPr>
        <w:t xml:space="preserve"> </w:t>
      </w:r>
      <w:r>
        <w:rPr>
          <w:lang w:val="es-CR"/>
        </w:rPr>
        <w:t xml:space="preserve">y algunas aclaraciones. El 25 de junio de 2015 </w:t>
      </w:r>
      <w:r w:rsidR="009233C1">
        <w:rPr>
          <w:lang w:val="es-CR"/>
        </w:rPr>
        <w:t xml:space="preserve">el Estado </w:t>
      </w:r>
      <w:r>
        <w:rPr>
          <w:lang w:val="es-CR"/>
        </w:rPr>
        <w:t>presentó la prueba pa</w:t>
      </w:r>
      <w:r w:rsidR="00F66FE6">
        <w:rPr>
          <w:lang w:val="es-CR"/>
        </w:rPr>
        <w:t>ra mejor resolver solicitada</w:t>
      </w:r>
      <w:r w:rsidR="00F66FE6" w:rsidRPr="00867DC1">
        <w:rPr>
          <w:lang w:val="es-CR"/>
        </w:rPr>
        <w:t>. Los días 6 y</w:t>
      </w:r>
      <w:r w:rsidRPr="00867DC1">
        <w:rPr>
          <w:lang w:val="es-CR"/>
        </w:rPr>
        <w:t xml:space="preserve"> 7 de julio de 2015 la Comisión</w:t>
      </w:r>
      <w:r w:rsidR="00C95E02">
        <w:rPr>
          <w:lang w:val="es-CR"/>
        </w:rPr>
        <w:t>,</w:t>
      </w:r>
      <w:r w:rsidRPr="00867DC1">
        <w:rPr>
          <w:lang w:val="es-CR"/>
        </w:rPr>
        <w:t xml:space="preserve"> y los representantes</w:t>
      </w:r>
      <w:r w:rsidR="00DD529E">
        <w:rPr>
          <w:lang w:val="es-CR"/>
        </w:rPr>
        <w:t xml:space="preserve"> </w:t>
      </w:r>
      <w:r w:rsidR="00DD529E" w:rsidRPr="0019053A">
        <w:rPr>
          <w:lang w:val="es-CR"/>
        </w:rPr>
        <w:t>y el Estado</w:t>
      </w:r>
      <w:r w:rsidR="00F66FE6" w:rsidRPr="0019053A">
        <w:rPr>
          <w:lang w:val="es-CR"/>
        </w:rPr>
        <w:t xml:space="preserve">, respectivamente, remitieron </w:t>
      </w:r>
      <w:r w:rsidR="00115235" w:rsidRPr="0019053A">
        <w:rPr>
          <w:lang w:val="es-CR"/>
        </w:rPr>
        <w:t>sus observaciones</w:t>
      </w:r>
      <w:r w:rsidR="00364F0D" w:rsidRPr="0019053A">
        <w:rPr>
          <w:lang w:val="es-CR"/>
        </w:rPr>
        <w:t>.</w:t>
      </w:r>
      <w:r w:rsidR="00BC38A7" w:rsidRPr="0019053A">
        <w:rPr>
          <w:lang w:val="es-CR"/>
        </w:rPr>
        <w:t xml:space="preserve"> </w:t>
      </w:r>
      <w:r w:rsidR="00D40774" w:rsidRPr="0019053A">
        <w:rPr>
          <w:lang w:val="es-CR"/>
        </w:rPr>
        <w:t xml:space="preserve">Posteriormente, </w:t>
      </w:r>
      <w:r w:rsidR="00A13ECF" w:rsidRPr="0019053A">
        <w:rPr>
          <w:lang w:val="es-CR"/>
        </w:rPr>
        <w:t xml:space="preserve">el 10 </w:t>
      </w:r>
      <w:r w:rsidR="00D40774" w:rsidRPr="0019053A">
        <w:rPr>
          <w:lang w:val="es-CR"/>
        </w:rPr>
        <w:t>de julio de 2015 el Estado</w:t>
      </w:r>
      <w:r w:rsidR="00F4389B" w:rsidRPr="0019053A">
        <w:rPr>
          <w:lang w:val="es-CR"/>
        </w:rPr>
        <w:t xml:space="preserve"> presentó dos </w:t>
      </w:r>
      <w:r w:rsidR="00D40774" w:rsidRPr="0019053A">
        <w:rPr>
          <w:lang w:val="es-CR"/>
        </w:rPr>
        <w:t>documentos complementarios a la comunicación de 25 de junio de 2015</w:t>
      </w:r>
      <w:r w:rsidR="00941386" w:rsidRPr="0019053A">
        <w:rPr>
          <w:lang w:val="es-CR"/>
        </w:rPr>
        <w:t>.</w:t>
      </w:r>
      <w:r w:rsidR="006B7AFA" w:rsidRPr="0019053A">
        <w:rPr>
          <w:lang w:val="es-CR"/>
        </w:rPr>
        <w:t xml:space="preserve"> </w:t>
      </w:r>
      <w:r w:rsidR="00D40774" w:rsidRPr="0019053A">
        <w:rPr>
          <w:lang w:val="es-CR"/>
        </w:rPr>
        <w:t xml:space="preserve">Los días </w:t>
      </w:r>
      <w:r w:rsidR="00DD529E" w:rsidRPr="0019053A">
        <w:rPr>
          <w:lang w:val="es-CR"/>
        </w:rPr>
        <w:t>24</w:t>
      </w:r>
      <w:r w:rsidR="00D40774" w:rsidRPr="00867DC1">
        <w:rPr>
          <w:lang w:val="es-CR"/>
        </w:rPr>
        <w:t xml:space="preserve"> y 27 de julio de 2015 el representante y la Comisión presentaron sus observaciones al respecto.</w:t>
      </w:r>
      <w:r w:rsidR="003540D1" w:rsidRPr="00867DC1">
        <w:rPr>
          <w:lang w:val="es-CR"/>
        </w:rPr>
        <w:t xml:space="preserve"> </w:t>
      </w:r>
      <w:r w:rsidR="00D40774" w:rsidRPr="00867DC1">
        <w:rPr>
          <w:lang w:val="es-CR"/>
        </w:rPr>
        <w:t>El 30 de junio de 2015, siguiendo instrucciones del Presidente, se informó a las partes y a la Comisión la incorporación de varios documentos</w:t>
      </w:r>
      <w:r w:rsidR="00A13ECF" w:rsidRPr="00867DC1">
        <w:rPr>
          <w:lang w:val="es-CR"/>
        </w:rPr>
        <w:t xml:space="preserve"> </w:t>
      </w:r>
      <w:r w:rsidR="00D40774" w:rsidRPr="00867DC1">
        <w:rPr>
          <w:lang w:val="es-CR"/>
        </w:rPr>
        <w:t>como prueba incorporada de oficio</w:t>
      </w:r>
      <w:r w:rsidR="00A13ECF" w:rsidRPr="00867DC1">
        <w:rPr>
          <w:lang w:val="es-CR"/>
        </w:rPr>
        <w:t xml:space="preserve"> (</w:t>
      </w:r>
      <w:r w:rsidR="00D40774" w:rsidRPr="00867DC1">
        <w:rPr>
          <w:i/>
          <w:lang w:val="es-CR"/>
        </w:rPr>
        <w:t>infra</w:t>
      </w:r>
      <w:r w:rsidR="00A13ECF" w:rsidRPr="00867DC1">
        <w:rPr>
          <w:lang w:val="es-CR"/>
        </w:rPr>
        <w:t xml:space="preserve"> </w:t>
      </w:r>
      <w:r w:rsidR="00CA7D64" w:rsidRPr="00867DC1">
        <w:rPr>
          <w:lang w:val="es-CR"/>
        </w:rPr>
        <w:t xml:space="preserve">párr. </w:t>
      </w:r>
      <w:r w:rsidR="00F171DA" w:rsidRPr="00867DC1">
        <w:rPr>
          <w:lang w:val="es-CR"/>
        </w:rPr>
        <w:t xml:space="preserve">73), </w:t>
      </w:r>
      <w:r w:rsidR="00D40774" w:rsidRPr="00867DC1">
        <w:rPr>
          <w:lang w:val="es-CR"/>
        </w:rPr>
        <w:t>de acuerdo con el artículo 58.a) del Reglamento y se concedió a las partes y a la Comisión plazo al 7 de julio de 2015, para que presentaran las observaciones que estimen pertinentes. E</w:t>
      </w:r>
      <w:r w:rsidR="00F66FE6" w:rsidRPr="00867DC1">
        <w:rPr>
          <w:lang w:val="es-CR"/>
        </w:rPr>
        <w:t>l 6 de julio de 2015 la Comisión presentó sus observaciones sin</w:t>
      </w:r>
      <w:r w:rsidR="00F66FE6">
        <w:rPr>
          <w:lang w:val="es-CR"/>
        </w:rPr>
        <w:t xml:space="preserve"> oponerse a la incorporación de la prueba. Por el contrario, el 7 de julio de 2015 </w:t>
      </w:r>
      <w:r w:rsidR="00D40774" w:rsidRPr="00941386">
        <w:rPr>
          <w:lang w:val="es-CR"/>
        </w:rPr>
        <w:t xml:space="preserve">el Estado presentó sus observaciones </w:t>
      </w:r>
      <w:r w:rsidR="00D40774" w:rsidRPr="008E6755">
        <w:rPr>
          <w:lang w:val="es-CR"/>
        </w:rPr>
        <w:t>y se opuso a su incorporación</w:t>
      </w:r>
      <w:r w:rsidR="0072261E" w:rsidRPr="008E6755">
        <w:rPr>
          <w:lang w:val="es-CR"/>
        </w:rPr>
        <w:t>.</w:t>
      </w:r>
      <w:r w:rsidR="00D40774" w:rsidRPr="008E6755">
        <w:rPr>
          <w:lang w:val="es-CR"/>
        </w:rPr>
        <w:t xml:space="preserve"> </w:t>
      </w:r>
      <w:r w:rsidR="001F1896" w:rsidRPr="007307EC">
        <w:rPr>
          <w:lang w:val="es-CR"/>
        </w:rPr>
        <w:t xml:space="preserve">El 10 de agosto de 2015 Perú </w:t>
      </w:r>
      <w:r w:rsidR="00BD501A">
        <w:rPr>
          <w:lang w:val="es-CR"/>
        </w:rPr>
        <w:t>remiti</w:t>
      </w:r>
      <w:r w:rsidR="00B33FC1">
        <w:rPr>
          <w:lang w:val="es-CR"/>
        </w:rPr>
        <w:t xml:space="preserve">ó </w:t>
      </w:r>
      <w:r w:rsidR="00420EA7">
        <w:rPr>
          <w:lang w:val="es-CR"/>
        </w:rPr>
        <w:t xml:space="preserve">otro </w:t>
      </w:r>
      <w:r w:rsidR="001F1896" w:rsidRPr="007307EC">
        <w:rPr>
          <w:lang w:val="es-CR"/>
        </w:rPr>
        <w:t>documento</w:t>
      </w:r>
      <w:r w:rsidR="001F1896">
        <w:rPr>
          <w:lang w:val="es-CR"/>
        </w:rPr>
        <w:t xml:space="preserve">, </w:t>
      </w:r>
      <w:r w:rsidR="00BD501A">
        <w:rPr>
          <w:lang w:val="es-CR"/>
        </w:rPr>
        <w:t>y la Comisión y e</w:t>
      </w:r>
      <w:r w:rsidR="001F1896" w:rsidRPr="007307EC">
        <w:rPr>
          <w:lang w:val="es-CR"/>
        </w:rPr>
        <w:t xml:space="preserve">l representante </w:t>
      </w:r>
      <w:r w:rsidR="00BD501A">
        <w:rPr>
          <w:lang w:val="es-CR"/>
        </w:rPr>
        <w:t>remitieron sus observaciones</w:t>
      </w:r>
      <w:r w:rsidR="001F1896">
        <w:rPr>
          <w:lang w:val="es-CR"/>
        </w:rPr>
        <w:t xml:space="preserve"> los días</w:t>
      </w:r>
      <w:r w:rsidR="00B33FC1">
        <w:rPr>
          <w:lang w:val="es-CR"/>
        </w:rPr>
        <w:t xml:space="preserve"> 13 y</w:t>
      </w:r>
      <w:r w:rsidR="001F1896" w:rsidRPr="007307EC">
        <w:rPr>
          <w:lang w:val="es-CR"/>
        </w:rPr>
        <w:t xml:space="preserve"> 16 de agosto</w:t>
      </w:r>
      <w:r w:rsidR="001F1896" w:rsidRPr="008D2D9F">
        <w:rPr>
          <w:lang w:val="es-CR"/>
        </w:rPr>
        <w:t>,</w:t>
      </w:r>
      <w:r w:rsidR="001F1896">
        <w:rPr>
          <w:b/>
          <w:lang w:val="es-CR"/>
        </w:rPr>
        <w:t xml:space="preserve"> </w:t>
      </w:r>
      <w:r w:rsidR="001F1896">
        <w:rPr>
          <w:lang w:val="es-CR"/>
        </w:rPr>
        <w:t>respectivamente.</w:t>
      </w:r>
    </w:p>
    <w:p w:rsidR="00804D25" w:rsidRDefault="00804D25" w:rsidP="00804D25">
      <w:pPr>
        <w:pStyle w:val="ListParagraph"/>
        <w:rPr>
          <w:lang w:val="es-CR"/>
        </w:rPr>
      </w:pPr>
    </w:p>
    <w:p w:rsidR="003378C6" w:rsidRDefault="00804D25" w:rsidP="003378C6">
      <w:pPr>
        <w:pStyle w:val="Estilo1"/>
        <w:spacing w:after="0"/>
        <w:ind w:right="29"/>
        <w:rPr>
          <w:i/>
          <w:lang w:val="es-CR"/>
        </w:rPr>
      </w:pPr>
      <w:r w:rsidRPr="00A15931">
        <w:rPr>
          <w:i/>
          <w:lang w:val="es-CR"/>
        </w:rPr>
        <w:t>Prueba superviniente.-</w:t>
      </w:r>
      <w:r>
        <w:rPr>
          <w:i/>
          <w:lang w:val="es-CR"/>
        </w:rPr>
        <w:t xml:space="preserve"> </w:t>
      </w:r>
      <w:r w:rsidRPr="0036431C">
        <w:rPr>
          <w:lang w:val="es-CR"/>
        </w:rPr>
        <w:t>El 24 de junio de 2015 el representante presentó diversos documentos, entre ellos, la ampliación de una de</w:t>
      </w:r>
      <w:r w:rsidR="0072261E">
        <w:rPr>
          <w:lang w:val="es-CR"/>
        </w:rPr>
        <w:t>claración</w:t>
      </w:r>
      <w:r w:rsidRPr="0036431C">
        <w:rPr>
          <w:lang w:val="es-CR"/>
        </w:rPr>
        <w:t xml:space="preserve"> indagatoria rendida en el trámite interno efectuada el 17 de abril de 2015</w:t>
      </w:r>
      <w:r w:rsidR="000E2FC8" w:rsidRPr="001A4A05">
        <w:rPr>
          <w:lang w:val="es-CR"/>
        </w:rPr>
        <w:t xml:space="preserve"> (</w:t>
      </w:r>
      <w:r w:rsidR="000E2FC8" w:rsidRPr="001A4A05">
        <w:rPr>
          <w:i/>
          <w:lang w:val="es-CR"/>
        </w:rPr>
        <w:t>infra</w:t>
      </w:r>
      <w:r w:rsidR="000E2FC8" w:rsidRPr="001A4A05">
        <w:rPr>
          <w:lang w:val="es-CR"/>
        </w:rPr>
        <w:t xml:space="preserve"> </w:t>
      </w:r>
      <w:r w:rsidR="00F171DA">
        <w:rPr>
          <w:lang w:val="es-CR"/>
        </w:rPr>
        <w:t xml:space="preserve">nota al pie </w:t>
      </w:r>
      <w:r w:rsidR="00CA7D64">
        <w:rPr>
          <w:lang w:val="es-CR"/>
        </w:rPr>
        <w:t>de página</w:t>
      </w:r>
      <w:r w:rsidR="00F171DA">
        <w:rPr>
          <w:lang w:val="es-CR"/>
        </w:rPr>
        <w:t xml:space="preserve"> 54</w:t>
      </w:r>
      <w:r w:rsidR="00F171DA" w:rsidRPr="001A4A05">
        <w:rPr>
          <w:lang w:val="es-CR"/>
        </w:rPr>
        <w:t>).</w:t>
      </w:r>
      <w:r w:rsidR="00F171DA">
        <w:rPr>
          <w:lang w:val="es-CR"/>
        </w:rPr>
        <w:t xml:space="preserve"> </w:t>
      </w:r>
    </w:p>
    <w:p w:rsidR="003378C6" w:rsidRDefault="003378C6" w:rsidP="003378C6">
      <w:pPr>
        <w:pStyle w:val="ListParagraph"/>
        <w:rPr>
          <w:rFonts w:cs="Verdana"/>
          <w:i/>
          <w:lang w:val="es-CR" w:eastAsia="es-MX"/>
        </w:rPr>
      </w:pPr>
    </w:p>
    <w:p w:rsidR="007A0B74" w:rsidRPr="003378C6" w:rsidRDefault="007A0B74" w:rsidP="003378C6">
      <w:pPr>
        <w:pStyle w:val="Estilo1"/>
        <w:spacing w:after="0"/>
        <w:ind w:right="29"/>
        <w:rPr>
          <w:i/>
          <w:lang w:val="es-CR"/>
        </w:rPr>
      </w:pPr>
      <w:r w:rsidRPr="003378C6">
        <w:rPr>
          <w:rFonts w:cs="Verdana"/>
          <w:i/>
          <w:lang w:val="es-CR" w:eastAsia="es-MX"/>
        </w:rPr>
        <w:t>Deliberación.-</w:t>
      </w:r>
      <w:r w:rsidRPr="003378C6">
        <w:rPr>
          <w:rFonts w:cs="Verdana"/>
          <w:lang w:val="es-CR" w:eastAsia="es-MX"/>
        </w:rPr>
        <w:t xml:space="preserve"> El caso se deliber</w:t>
      </w:r>
      <w:r w:rsidR="00F221EC" w:rsidRPr="003378C6">
        <w:rPr>
          <w:rFonts w:cs="Verdana"/>
          <w:lang w:val="es-CR" w:eastAsia="es-MX"/>
        </w:rPr>
        <w:t xml:space="preserve">ó durante el </w:t>
      </w:r>
      <w:r w:rsidR="00115235">
        <w:rPr>
          <w:rFonts w:cs="Verdana"/>
          <w:lang w:val="es-CR" w:eastAsia="es-MX"/>
        </w:rPr>
        <w:t>53 Período Extraordinario de S</w:t>
      </w:r>
      <w:r w:rsidR="00F221EC" w:rsidRPr="003378C6">
        <w:rPr>
          <w:rFonts w:cs="Verdana"/>
          <w:lang w:val="es-CR" w:eastAsia="es-MX"/>
        </w:rPr>
        <w:t xml:space="preserve">esiones y el </w:t>
      </w:r>
      <w:r w:rsidR="00115235">
        <w:rPr>
          <w:rFonts w:cs="Verdana"/>
          <w:lang w:val="es-CR" w:eastAsia="es-MX"/>
        </w:rPr>
        <w:t>111 Período O</w:t>
      </w:r>
      <w:r w:rsidR="00F221EC" w:rsidRPr="003378C6">
        <w:rPr>
          <w:rFonts w:cs="Verdana"/>
          <w:lang w:val="es-CR" w:eastAsia="es-MX"/>
        </w:rPr>
        <w:t xml:space="preserve">rdinario </w:t>
      </w:r>
      <w:r w:rsidR="00115235">
        <w:rPr>
          <w:rFonts w:cs="Verdana"/>
          <w:lang w:val="es-CR" w:eastAsia="es-MX"/>
        </w:rPr>
        <w:t>de Sesiones.</w:t>
      </w:r>
    </w:p>
    <w:p w:rsidR="006169C9" w:rsidRDefault="006169C9" w:rsidP="00804D25">
      <w:pPr>
        <w:pStyle w:val="Estilo1"/>
        <w:numPr>
          <w:ilvl w:val="0"/>
          <w:numId w:val="0"/>
        </w:numPr>
        <w:spacing w:after="0"/>
        <w:ind w:right="29"/>
        <w:rPr>
          <w:strike/>
          <w:lang w:val="es-CR"/>
        </w:rPr>
      </w:pPr>
    </w:p>
    <w:p w:rsidR="00804D25" w:rsidRDefault="00804D25" w:rsidP="00804D25">
      <w:pPr>
        <w:pStyle w:val="Estilo4"/>
        <w:spacing w:after="0"/>
        <w:ind w:right="29"/>
      </w:pPr>
      <w:bookmarkStart w:id="35" w:name="_Toc393212531"/>
      <w:bookmarkStart w:id="36" w:name="_Toc393227756"/>
      <w:bookmarkStart w:id="37" w:name="_Toc393232760"/>
      <w:bookmarkStart w:id="38" w:name="_Toc400724989"/>
      <w:bookmarkStart w:id="39" w:name="_Toc415503949"/>
      <w:bookmarkStart w:id="40" w:name="_Toc415507352"/>
      <w:bookmarkStart w:id="41" w:name="_Toc418530442"/>
      <w:bookmarkStart w:id="42" w:name="_Toc420941704"/>
      <w:bookmarkStart w:id="43" w:name="_Toc424313457"/>
      <w:bookmarkStart w:id="44" w:name="_Toc430869759"/>
      <w:bookmarkStart w:id="45" w:name="_Toc438129680"/>
      <w:r w:rsidRPr="00FA11AC">
        <w:t>III</w:t>
      </w:r>
      <w:r w:rsidRPr="00FA11AC">
        <w:br/>
        <w:t>COMPETENCIA</w:t>
      </w:r>
      <w:bookmarkStart w:id="46" w:name="_Toc338072188"/>
      <w:bookmarkEnd w:id="35"/>
      <w:bookmarkEnd w:id="36"/>
      <w:bookmarkEnd w:id="37"/>
      <w:bookmarkEnd w:id="38"/>
      <w:bookmarkEnd w:id="39"/>
      <w:bookmarkEnd w:id="40"/>
      <w:bookmarkEnd w:id="41"/>
      <w:bookmarkEnd w:id="42"/>
      <w:bookmarkEnd w:id="43"/>
      <w:bookmarkEnd w:id="44"/>
      <w:bookmarkEnd w:id="45"/>
    </w:p>
    <w:p w:rsidR="00804D25" w:rsidRPr="00FA11AC" w:rsidRDefault="00804D25" w:rsidP="00804D25">
      <w:pPr>
        <w:pStyle w:val="Estilo4"/>
        <w:spacing w:after="0"/>
        <w:ind w:right="29"/>
      </w:pPr>
      <w:r w:rsidRPr="00FA11AC">
        <w:t xml:space="preserve"> </w:t>
      </w:r>
    </w:p>
    <w:p w:rsidR="00777852" w:rsidRPr="00453FA9" w:rsidRDefault="00804D25" w:rsidP="00777852">
      <w:pPr>
        <w:pStyle w:val="Estilo1"/>
        <w:keepNext/>
        <w:tabs>
          <w:tab w:val="left" w:pos="720"/>
        </w:tabs>
        <w:spacing w:after="0"/>
        <w:ind w:right="29"/>
      </w:pPr>
      <w:bookmarkStart w:id="47" w:name="_Toc393210629"/>
      <w:bookmarkStart w:id="48" w:name="_Toc391316675"/>
      <w:bookmarkStart w:id="49" w:name="_Toc391479376"/>
      <w:bookmarkStart w:id="50" w:name="_Toc391486734"/>
      <w:r w:rsidRPr="00FA11AC">
        <w:rPr>
          <w:lang w:val="es-CR"/>
        </w:rPr>
        <w:t>La Corte Interamericana es competente,</w:t>
      </w:r>
      <w:r w:rsidR="0063322A">
        <w:rPr>
          <w:lang w:val="es-CR"/>
        </w:rPr>
        <w:t xml:space="preserve"> </w:t>
      </w:r>
      <w:r w:rsidRPr="00FA11AC">
        <w:rPr>
          <w:lang w:val="es-CR"/>
        </w:rPr>
        <w:t xml:space="preserve">en los términos del artículo 62.3 de la Convención, en razón de que la República </w:t>
      </w:r>
      <w:r>
        <w:rPr>
          <w:lang w:val="es-CR"/>
        </w:rPr>
        <w:t>del Perú</w:t>
      </w:r>
      <w:r w:rsidRPr="00FA11AC">
        <w:rPr>
          <w:lang w:val="es-CR"/>
        </w:rPr>
        <w:t xml:space="preserve"> es Estado Parte de la Convención Americana desde el </w:t>
      </w:r>
      <w:r w:rsidR="003271AC" w:rsidRPr="00941386">
        <w:rPr>
          <w:rFonts w:cs="Arial"/>
          <w:lang w:val="es-CR"/>
        </w:rPr>
        <w:t>28</w:t>
      </w:r>
      <w:r w:rsidRPr="00FA11AC">
        <w:rPr>
          <w:rFonts w:cs="Arial"/>
          <w:lang w:val="es-CR"/>
        </w:rPr>
        <w:t xml:space="preserve"> de </w:t>
      </w:r>
      <w:r>
        <w:rPr>
          <w:rFonts w:cs="Arial"/>
          <w:lang w:val="es-CR"/>
        </w:rPr>
        <w:t>julio</w:t>
      </w:r>
      <w:r w:rsidRPr="00FA11AC">
        <w:rPr>
          <w:rFonts w:cs="Arial"/>
          <w:lang w:val="es-CR"/>
        </w:rPr>
        <w:t xml:space="preserve"> de </w:t>
      </w:r>
      <w:r w:rsidRPr="00FA11AC">
        <w:rPr>
          <w:lang w:val="es-CR" w:eastAsia="es-CR"/>
        </w:rPr>
        <w:t xml:space="preserve">1978 y reconoció la competencia contenciosa de la Corte el </w:t>
      </w:r>
      <w:r>
        <w:rPr>
          <w:lang w:val="es-CR" w:eastAsia="es-CR"/>
        </w:rPr>
        <w:t>21</w:t>
      </w:r>
      <w:r w:rsidRPr="00FA11AC">
        <w:rPr>
          <w:lang w:val="es-CR" w:eastAsia="es-CR"/>
        </w:rPr>
        <w:t xml:space="preserve"> de </w:t>
      </w:r>
      <w:r>
        <w:rPr>
          <w:lang w:val="es-CR" w:eastAsia="es-CR"/>
        </w:rPr>
        <w:t>enero</w:t>
      </w:r>
      <w:r w:rsidRPr="00FA11AC">
        <w:rPr>
          <w:lang w:val="es-CR" w:eastAsia="es-CR"/>
        </w:rPr>
        <w:t xml:space="preserve"> de </w:t>
      </w:r>
      <w:bookmarkEnd w:id="46"/>
      <w:bookmarkEnd w:id="47"/>
      <w:r>
        <w:rPr>
          <w:lang w:val="es-CR" w:eastAsia="es-CR"/>
        </w:rPr>
        <w:t>1981.</w:t>
      </w:r>
      <w:bookmarkEnd w:id="48"/>
      <w:bookmarkEnd w:id="49"/>
      <w:bookmarkEnd w:id="50"/>
    </w:p>
    <w:p w:rsidR="00453FA9" w:rsidRDefault="00453FA9" w:rsidP="00777852">
      <w:pPr>
        <w:pStyle w:val="ListParagraph"/>
        <w:jc w:val="center"/>
        <w:rPr>
          <w:rFonts w:eastAsiaTheme="minorEastAsia"/>
          <w:b/>
          <w:sz w:val="20"/>
          <w:szCs w:val="20"/>
          <w:lang w:val="es-MX" w:eastAsia="es-MX"/>
        </w:rPr>
      </w:pPr>
    </w:p>
    <w:p w:rsidR="008E6755" w:rsidRDefault="008E6755" w:rsidP="00777852">
      <w:pPr>
        <w:pStyle w:val="ListParagraph"/>
        <w:jc w:val="center"/>
        <w:rPr>
          <w:rFonts w:eastAsiaTheme="minorEastAsia"/>
          <w:b/>
          <w:sz w:val="20"/>
          <w:szCs w:val="20"/>
          <w:lang w:val="es-MX" w:eastAsia="es-MX"/>
        </w:rPr>
      </w:pPr>
    </w:p>
    <w:p w:rsidR="00FA45FB" w:rsidRPr="00CD64A1" w:rsidRDefault="00FA45FB" w:rsidP="00FA45FB">
      <w:pPr>
        <w:pStyle w:val="Estilo4"/>
        <w:spacing w:after="0"/>
        <w:ind w:right="29"/>
      </w:pPr>
      <w:bookmarkStart w:id="51" w:name="_Toc438129681"/>
      <w:r w:rsidRPr="00CD64A1">
        <w:lastRenderedPageBreak/>
        <w:t>IV</w:t>
      </w:r>
      <w:bookmarkEnd w:id="51"/>
    </w:p>
    <w:p w:rsidR="00FA45FB" w:rsidRPr="00CD64A1" w:rsidRDefault="00FA45FB" w:rsidP="00FA45FB">
      <w:pPr>
        <w:pStyle w:val="Estilo4"/>
        <w:spacing w:after="0"/>
        <w:ind w:right="29"/>
      </w:pPr>
      <w:bookmarkStart w:id="52" w:name="_Toc438129682"/>
      <w:r w:rsidRPr="00CD64A1">
        <w:t>EXCEPCIONES PRELIMINARES</w:t>
      </w:r>
      <w:bookmarkEnd w:id="52"/>
    </w:p>
    <w:p w:rsidR="00FA45FB" w:rsidRPr="00AE2A0E" w:rsidRDefault="00FA45FB" w:rsidP="00FA45FB">
      <w:pPr>
        <w:pStyle w:val="ListParagraph"/>
        <w:jc w:val="center"/>
        <w:outlineLvl w:val="0"/>
        <w:rPr>
          <w:rFonts w:eastAsiaTheme="minorEastAsia"/>
          <w:b/>
          <w:sz w:val="20"/>
          <w:szCs w:val="20"/>
          <w:lang w:val="es-MX" w:eastAsia="es-MX"/>
        </w:rPr>
      </w:pPr>
    </w:p>
    <w:p w:rsidR="00FA45FB" w:rsidRPr="00AE2A0E" w:rsidRDefault="00FA45FB" w:rsidP="00CE68AB">
      <w:pPr>
        <w:pStyle w:val="Estilo2"/>
        <w:numPr>
          <w:ilvl w:val="0"/>
          <w:numId w:val="9"/>
        </w:numPr>
        <w:spacing w:after="0"/>
        <w:ind w:left="567" w:hanging="11"/>
        <w:outlineLvl w:val="1"/>
        <w:rPr>
          <w:b/>
          <w:i/>
          <w:lang w:val="es-MX" w:eastAsia="es-MX"/>
        </w:rPr>
      </w:pPr>
      <w:bookmarkStart w:id="53" w:name="_Toc438129683"/>
      <w:r w:rsidRPr="00AE2A0E">
        <w:rPr>
          <w:b/>
          <w:i/>
          <w:lang w:val="es-MX" w:eastAsia="es-MX"/>
        </w:rPr>
        <w:t>Alegatos sobre la excepción de falta de agotamiento de recursos internos</w:t>
      </w:r>
      <w:bookmarkEnd w:id="53"/>
      <w:r w:rsidRPr="00AE2A0E">
        <w:rPr>
          <w:b/>
          <w:i/>
          <w:lang w:val="es-MX" w:eastAsia="es-MX"/>
        </w:rPr>
        <w:t xml:space="preserve"> </w:t>
      </w:r>
    </w:p>
    <w:p w:rsidR="00FA45FB" w:rsidRPr="00777852" w:rsidRDefault="00FA45FB" w:rsidP="00FA45FB">
      <w:pPr>
        <w:pStyle w:val="ListParagraph"/>
        <w:ind w:left="0"/>
        <w:rPr>
          <w:b/>
          <w:lang w:val="es-MX" w:eastAsia="es-MX"/>
        </w:rPr>
      </w:pPr>
    </w:p>
    <w:p w:rsidR="00FA45FB" w:rsidRPr="00AE2A0E" w:rsidRDefault="00FA45FB" w:rsidP="00A40195">
      <w:pPr>
        <w:pStyle w:val="Estilo1"/>
        <w:spacing w:after="0"/>
        <w:rPr>
          <w:lang w:val="es-CR" w:eastAsia="es-CR"/>
        </w:rPr>
      </w:pPr>
      <w:r w:rsidRPr="00777852">
        <w:rPr>
          <w:lang w:val="es-CR" w:eastAsia="es-CR"/>
        </w:rPr>
        <w:t xml:space="preserve">El </w:t>
      </w:r>
      <w:r w:rsidRPr="00C04F84">
        <w:rPr>
          <w:b/>
          <w:i/>
          <w:lang w:val="es-CR" w:eastAsia="es-CR"/>
        </w:rPr>
        <w:t>Estado</w:t>
      </w:r>
      <w:r w:rsidRPr="00777852">
        <w:rPr>
          <w:lang w:val="es-CR" w:eastAsia="es-CR"/>
        </w:rPr>
        <w:t xml:space="preserve"> manifestó, en su escrito de contestación ante la Corte,</w:t>
      </w:r>
      <w:r w:rsidRPr="008442DD">
        <w:rPr>
          <w:color w:val="FF0000"/>
          <w:lang w:val="es-CR" w:eastAsia="es-CR"/>
        </w:rPr>
        <w:t xml:space="preserve"> </w:t>
      </w:r>
      <w:r w:rsidRPr="008442DD">
        <w:rPr>
          <w:lang w:val="es-CR" w:eastAsia="es-CR"/>
        </w:rPr>
        <w:t>que</w:t>
      </w:r>
      <w:r w:rsidRPr="00AE2A0E">
        <w:rPr>
          <w:lang w:val="es-CR" w:eastAsia="es-CR"/>
        </w:rPr>
        <w:t xml:space="preserve"> adujo oportunamente la excepción en la etapa de admisibilidad </w:t>
      </w:r>
      <w:r w:rsidR="003B0237" w:rsidRPr="008D2D9F">
        <w:rPr>
          <w:lang w:val="es-CR" w:eastAsia="es-CR"/>
        </w:rPr>
        <w:t>desde su segundo escrito de respuesta presentado</w:t>
      </w:r>
      <w:r w:rsidR="00D1096F">
        <w:rPr>
          <w:lang w:val="es-CR" w:eastAsia="es-CR"/>
        </w:rPr>
        <w:t xml:space="preserve"> el 6 de mayo de 19</w:t>
      </w:r>
      <w:r w:rsidR="00BB26A6">
        <w:rPr>
          <w:lang w:val="es-CR" w:eastAsia="es-CR"/>
        </w:rPr>
        <w:t>9</w:t>
      </w:r>
      <w:r w:rsidR="00D1096F">
        <w:rPr>
          <w:lang w:val="es-CR" w:eastAsia="es-CR"/>
        </w:rPr>
        <w:t>6</w:t>
      </w:r>
      <w:r w:rsidRPr="00AE2A0E">
        <w:rPr>
          <w:lang w:val="es-CR" w:eastAsia="es-CR"/>
        </w:rPr>
        <w:t xml:space="preserve"> en el procedimiento ante la Comisión y que acreditó la existencia de mecanismos idóneos para que el señor Galindo hubiera reclamado en sede interna. En relación con estos últimos, el Estado mencionó ante la Corte los siguientes recursos: a) “el hábeas corpus, en razón de la detención alegada”; b) “el amparo, en cuanto a la presunta aplicación indebida de la Ley de Arrepentimiento”;</w:t>
      </w:r>
      <w:r w:rsidRPr="00AE2A0E">
        <w:rPr>
          <w:rFonts w:eastAsia="Times New Roman"/>
          <w:lang w:val="es-MX" w:eastAsia="es-MX"/>
        </w:rPr>
        <w:t xml:space="preserve"> </w:t>
      </w:r>
      <w:r w:rsidRPr="00AE2A0E">
        <w:rPr>
          <w:lang w:val="es-CR" w:eastAsia="es-CR"/>
        </w:rPr>
        <w:t>c) “recursos impugnatorios” que la legislación procesal penal</w:t>
      </w:r>
      <w:r w:rsidR="00B364B7">
        <w:rPr>
          <w:lang w:val="es-CR" w:eastAsia="es-CR"/>
        </w:rPr>
        <w:t xml:space="preserve"> </w:t>
      </w:r>
      <w:r w:rsidRPr="00AE2A0E">
        <w:rPr>
          <w:lang w:val="es-CR" w:eastAsia="es-CR"/>
        </w:rPr>
        <w:t>prevé</w:t>
      </w:r>
      <w:r w:rsidR="00B364B7">
        <w:rPr>
          <w:lang w:val="es-CR" w:eastAsia="es-CR"/>
        </w:rPr>
        <w:t xml:space="preserve"> </w:t>
      </w:r>
      <w:r w:rsidRPr="00AE2A0E">
        <w:rPr>
          <w:lang w:val="es-CR" w:eastAsia="es-CR"/>
        </w:rPr>
        <w:t>para cuestionar las decisiones fiscales</w:t>
      </w:r>
      <w:r w:rsidR="00B364B7">
        <w:rPr>
          <w:lang w:val="es-CR" w:eastAsia="es-CR"/>
        </w:rPr>
        <w:t xml:space="preserve">, </w:t>
      </w:r>
      <w:r w:rsidRPr="00AE2A0E">
        <w:rPr>
          <w:lang w:val="es-CR" w:eastAsia="es-CR"/>
        </w:rPr>
        <w:t>que a criterio de la presunta víctima le fueron adversas; d) “la posibilidad que tenía la presunta víctima de presentar una denuncia penal contra aquellas autoridades que estuvieron involucradas en los supuestos hechos lesivos […] a fin de que</w:t>
      </w:r>
      <w:r w:rsidR="00B364B7">
        <w:rPr>
          <w:lang w:val="es-CR" w:eastAsia="es-CR"/>
        </w:rPr>
        <w:t xml:space="preserve"> </w:t>
      </w:r>
      <w:r w:rsidR="00B364B7" w:rsidRPr="00AE2A0E">
        <w:rPr>
          <w:lang w:val="es-CR" w:eastAsia="es-CR"/>
        </w:rPr>
        <w:t>[…]</w:t>
      </w:r>
      <w:r w:rsidRPr="00AE2A0E">
        <w:rPr>
          <w:lang w:val="es-CR" w:eastAsia="es-CR"/>
        </w:rPr>
        <w:t xml:space="preserve"> se establezcan […] responsabilidades y sanciones penales, sin perjuicio de acceder a una reparación económica fijada por el órgano jurisdiccional”, y e) la posibilidad de iniciar un proceso civil por indemnización por daños y perjuicios</w:t>
      </w:r>
      <w:r w:rsidRPr="00AE2A0E">
        <w:rPr>
          <w:rFonts w:eastAsia="Times New Roman"/>
          <w:sz w:val="16"/>
          <w:szCs w:val="16"/>
          <w:lang w:val="es-MX" w:eastAsia="es-MX"/>
        </w:rPr>
        <w:t>.</w:t>
      </w:r>
      <w:r w:rsidR="002E4502">
        <w:rPr>
          <w:rFonts w:eastAsia="Times New Roman"/>
          <w:b/>
          <w:sz w:val="16"/>
          <w:szCs w:val="16"/>
          <w:lang w:val="es-MX" w:eastAsia="es-MX"/>
        </w:rPr>
        <w:t xml:space="preserve"> </w:t>
      </w:r>
      <w:r w:rsidRPr="00AE2A0E">
        <w:rPr>
          <w:lang w:val="es-CR" w:eastAsia="es-CR"/>
        </w:rPr>
        <w:t xml:space="preserve">Argumentó en la audiencia pública que </w:t>
      </w:r>
    </w:p>
    <w:p w:rsidR="00FA45FB" w:rsidRPr="00AE2A0E" w:rsidRDefault="00FA45FB" w:rsidP="00FA45FB">
      <w:pPr>
        <w:pStyle w:val="Estilo1"/>
        <w:numPr>
          <w:ilvl w:val="0"/>
          <w:numId w:val="0"/>
        </w:numPr>
        <w:spacing w:after="0"/>
        <w:rPr>
          <w:lang w:val="es-CR" w:eastAsia="es-CR"/>
        </w:rPr>
      </w:pPr>
    </w:p>
    <w:p w:rsidR="00FA45FB" w:rsidRPr="00AE2A0E" w:rsidRDefault="00FA45FB" w:rsidP="00EA3065">
      <w:pPr>
        <w:pStyle w:val="Estilo1"/>
        <w:numPr>
          <w:ilvl w:val="0"/>
          <w:numId w:val="0"/>
        </w:numPr>
        <w:spacing w:after="0"/>
        <w:ind w:left="567" w:right="720"/>
        <w:rPr>
          <w:sz w:val="16"/>
          <w:szCs w:val="16"/>
          <w:lang w:val="es-CR" w:eastAsia="es-CR"/>
        </w:rPr>
      </w:pPr>
      <w:proofErr w:type="gramStart"/>
      <w:r w:rsidRPr="00AE2A0E">
        <w:rPr>
          <w:sz w:val="16"/>
          <w:szCs w:val="16"/>
          <w:lang w:val="es-CR" w:eastAsia="es-CR"/>
        </w:rPr>
        <w:t>cuando</w:t>
      </w:r>
      <w:proofErr w:type="gramEnd"/>
      <w:r w:rsidRPr="00AE2A0E">
        <w:rPr>
          <w:sz w:val="16"/>
          <w:szCs w:val="16"/>
          <w:lang w:val="es-CR" w:eastAsia="es-CR"/>
        </w:rPr>
        <w:t xml:space="preserve"> la Corte [Interamericana] se ha pronunciado sobre determinados casos de hábeas corpus vinculados con personas procesadas por terrorismo, ha identificado casos donde había normas que impedían la interposición de demandas. Eso no ha ocurrido en el presente caso, en el cual a la fecha de los hechos esa norma que prohibía la interposición de hábeas corpus a favor de persona procesada por el delito de terrorismo,</w:t>
      </w:r>
      <w:r w:rsidR="002E4502">
        <w:rPr>
          <w:sz w:val="16"/>
          <w:szCs w:val="16"/>
          <w:lang w:val="es-CR" w:eastAsia="es-CR"/>
        </w:rPr>
        <w:t xml:space="preserve"> ya estaba derogada. </w:t>
      </w:r>
    </w:p>
    <w:p w:rsidR="00FA45FB" w:rsidRPr="00AE2A0E" w:rsidRDefault="00FA45FB" w:rsidP="00FA45FB">
      <w:pPr>
        <w:pStyle w:val="ListParagraph"/>
        <w:ind w:left="0"/>
        <w:jc w:val="both"/>
        <w:rPr>
          <w:lang w:val="es-MX" w:eastAsia="es-MX"/>
        </w:rPr>
      </w:pPr>
    </w:p>
    <w:p w:rsidR="00FA45FB" w:rsidRPr="0063322A" w:rsidRDefault="00FA45FB" w:rsidP="00FA45FB">
      <w:pPr>
        <w:pStyle w:val="Estilo1"/>
        <w:tabs>
          <w:tab w:val="clear" w:pos="18282"/>
          <w:tab w:val="num" w:pos="18012"/>
        </w:tabs>
        <w:spacing w:after="0"/>
        <w:rPr>
          <w:rFonts w:eastAsia="Times New Roman"/>
          <w:lang w:val="es-MX" w:eastAsia="es-MX"/>
        </w:rPr>
      </w:pPr>
      <w:r w:rsidRPr="00AE2A0E">
        <w:rPr>
          <w:rFonts w:eastAsia="Times New Roman"/>
          <w:lang w:val="es-MX" w:eastAsia="es-MX"/>
        </w:rPr>
        <w:t>En su escrito de contestación indicó que “la petición ante la Comisión fue presentada el 3 de enero de 1996, y hasta dicho momento el señor Galindo sólo había presentado una queja ante el Órgano de Control de la Magistratura del Poder Judicial (OCMA) y una denuncia ante el Ministerio de Defensa e Inspectoría General, es decir, que sólo hizo uso de mecanismos administrativos, instancias que no emiten pronunciamient</w:t>
      </w:r>
      <w:r w:rsidR="002E4502">
        <w:rPr>
          <w:rFonts w:eastAsia="Times New Roman"/>
          <w:lang w:val="es-MX" w:eastAsia="es-MX"/>
        </w:rPr>
        <w:t>os de carácter jurisdiccional”.</w:t>
      </w:r>
      <w:r w:rsidRPr="00AE2A0E">
        <w:rPr>
          <w:rFonts w:eastAsia="Times New Roman"/>
          <w:lang w:val="es-MX" w:eastAsia="es-MX"/>
        </w:rPr>
        <w:t xml:space="preserve"> Por lo tanto, adujo que </w:t>
      </w:r>
      <w:r w:rsidRPr="0063322A">
        <w:rPr>
          <w:lang w:val="es-MX" w:eastAsia="es-MX"/>
        </w:rPr>
        <w:t>el 3 de enero de 1996 no se encontraban a</w:t>
      </w:r>
      <w:r>
        <w:rPr>
          <w:lang w:val="es-MX" w:eastAsia="es-MX"/>
        </w:rPr>
        <w:t>gotados los recursos internos</w:t>
      </w:r>
      <w:r w:rsidR="00F171DA">
        <w:rPr>
          <w:lang w:val="es-MX" w:eastAsia="es-MX"/>
        </w:rPr>
        <w:t>, por lo que</w:t>
      </w:r>
      <w:r w:rsidRPr="0063322A">
        <w:rPr>
          <w:lang w:val="es-MX" w:eastAsia="es-MX"/>
        </w:rPr>
        <w:t xml:space="preserve"> </w:t>
      </w:r>
      <w:r w:rsidR="00F171DA">
        <w:rPr>
          <w:lang w:val="es-MX" w:eastAsia="es-MX"/>
        </w:rPr>
        <w:t>c</w:t>
      </w:r>
      <w:r w:rsidRPr="0063322A">
        <w:rPr>
          <w:lang w:val="es-MX" w:eastAsia="es-MX"/>
        </w:rPr>
        <w:t>ontra</w:t>
      </w:r>
      <w:r>
        <w:rPr>
          <w:lang w:val="es-MX" w:eastAsia="es-MX"/>
        </w:rPr>
        <w:t>riamente a lo expuesto por la Comisión</w:t>
      </w:r>
      <w:r w:rsidRPr="0063322A">
        <w:rPr>
          <w:lang w:val="es-MX" w:eastAsia="es-MX"/>
        </w:rPr>
        <w:t xml:space="preserve"> en el Informe de Admisibilidad No. 14/04, no resulta de aplicación ninguna de las excepciones previstas en el artículo 46.2 de la Convención.</w:t>
      </w:r>
      <w:r w:rsidRPr="0063322A">
        <w:rPr>
          <w:sz w:val="16"/>
          <w:szCs w:val="16"/>
          <w:lang w:val="es-MX" w:eastAsia="es-MX"/>
        </w:rPr>
        <w:t xml:space="preserve"> </w:t>
      </w:r>
    </w:p>
    <w:p w:rsidR="00FA45FB" w:rsidRPr="00AE2A0E" w:rsidRDefault="00FA45FB" w:rsidP="00FA45FB">
      <w:pPr>
        <w:pStyle w:val="ListParagraph"/>
        <w:ind w:left="567" w:right="900"/>
        <w:jc w:val="both"/>
        <w:rPr>
          <w:sz w:val="16"/>
          <w:szCs w:val="16"/>
          <w:lang w:val="es-MX" w:eastAsia="es-MX"/>
        </w:rPr>
      </w:pPr>
    </w:p>
    <w:p w:rsidR="00FA45FB" w:rsidRPr="00AE2A0E" w:rsidRDefault="00FA45FB" w:rsidP="00FA45FB">
      <w:pPr>
        <w:pStyle w:val="Estilo1"/>
        <w:tabs>
          <w:tab w:val="clear" w:pos="18282"/>
          <w:tab w:val="num" w:pos="18012"/>
        </w:tabs>
        <w:spacing w:after="0"/>
        <w:rPr>
          <w:rFonts w:eastAsia="Times New Roman"/>
          <w:lang w:val="es-MX" w:eastAsia="es-MX"/>
        </w:rPr>
      </w:pPr>
      <w:r w:rsidRPr="00AE2A0E">
        <w:rPr>
          <w:rFonts w:eastAsia="Times New Roman"/>
          <w:lang w:val="es-MX" w:eastAsia="es-MX"/>
        </w:rPr>
        <w:t>Pese a lo anterior, en la audiencia pública sostuvo que la fecha de presentación de la petición fue “</w:t>
      </w:r>
      <w:r w:rsidRPr="00AE2A0E">
        <w:rPr>
          <w:lang w:val="es-CR"/>
        </w:rPr>
        <w:t xml:space="preserve">el 3 de enero de 1995, y hasta dicho momento el señor Galindo solamente había presentado un documento […] ante el señor Fiscal Provincial de la </w:t>
      </w:r>
      <w:r w:rsidR="00B364B7">
        <w:rPr>
          <w:lang w:val="es-CR"/>
        </w:rPr>
        <w:t>P</w:t>
      </w:r>
      <w:r w:rsidRPr="00AE2A0E">
        <w:rPr>
          <w:lang w:val="es-CR"/>
        </w:rPr>
        <w:t xml:space="preserve">rimera Fiscalía Penal de </w:t>
      </w:r>
      <w:proofErr w:type="gramStart"/>
      <w:r w:rsidRPr="00AE2A0E">
        <w:rPr>
          <w:lang w:val="es-CR"/>
        </w:rPr>
        <w:t>Huánuco[</w:t>
      </w:r>
      <w:proofErr w:type="gramEnd"/>
      <w:r w:rsidR="00B364B7">
        <w:rPr>
          <w:lang w:val="es-CR"/>
        </w:rPr>
        <w:t>,</w:t>
      </w:r>
      <w:r w:rsidRPr="00AE2A0E">
        <w:rPr>
          <w:lang w:val="es-CR"/>
        </w:rPr>
        <w:t xml:space="preserve">…] </w:t>
      </w:r>
      <w:proofErr w:type="spellStart"/>
      <w:r w:rsidRPr="00AE2A0E">
        <w:rPr>
          <w:lang w:val="es-CR"/>
        </w:rPr>
        <w:t>pid</w:t>
      </w:r>
      <w:proofErr w:type="spellEnd"/>
      <w:r w:rsidRPr="00AE2A0E">
        <w:rPr>
          <w:lang w:val="es-CR"/>
        </w:rPr>
        <w:t>[</w:t>
      </w:r>
      <w:proofErr w:type="spellStart"/>
      <w:r w:rsidRPr="00AE2A0E">
        <w:rPr>
          <w:lang w:val="es-CR"/>
        </w:rPr>
        <w:t>iéndole</w:t>
      </w:r>
      <w:proofErr w:type="spellEnd"/>
      <w:r w:rsidRPr="00AE2A0E">
        <w:rPr>
          <w:lang w:val="es-CR"/>
        </w:rPr>
        <w:t>] copias cert</w:t>
      </w:r>
      <w:r w:rsidR="002E4502">
        <w:rPr>
          <w:lang w:val="es-CR"/>
        </w:rPr>
        <w:t>ificadas de piezas procesales”.</w:t>
      </w:r>
      <w:r w:rsidRPr="00AE2A0E">
        <w:rPr>
          <w:b/>
          <w:sz w:val="16"/>
          <w:szCs w:val="16"/>
          <w:lang w:val="es-CR"/>
        </w:rPr>
        <w:t xml:space="preserve"> </w:t>
      </w:r>
      <w:r w:rsidRPr="00AE2A0E">
        <w:rPr>
          <w:lang w:val="es-CR"/>
        </w:rPr>
        <w:t>En sus alegatos finales escritos resaltó que esa presentación del señor Galindo “[n]o se trató de una denuncia penal sobre pre</w:t>
      </w:r>
      <w:r w:rsidR="002E4502">
        <w:rPr>
          <w:lang w:val="es-CR"/>
        </w:rPr>
        <w:t>suntas violaciones de derechos.</w:t>
      </w:r>
      <w:r w:rsidRPr="00AE2A0E">
        <w:rPr>
          <w:lang w:val="es-CR"/>
        </w:rPr>
        <w:t xml:space="preserve"> </w:t>
      </w:r>
      <w:r w:rsidRPr="00AE2A0E">
        <w:rPr>
          <w:rFonts w:eastAsia="Times New Roman"/>
          <w:lang w:val="es-MX" w:eastAsia="es-MX"/>
        </w:rPr>
        <w:t>Agregó que “</w:t>
      </w:r>
      <w:r w:rsidRPr="00AE2A0E">
        <w:rPr>
          <w:rFonts w:eastAsia="Times New Roman"/>
          <w:lang w:val="es-CR" w:eastAsia="es-MX"/>
        </w:rPr>
        <w:t>luego de enero de 1995 la presunta víctima presentó diversas comunicaciones ante diferentes instituciones, pero no son las competentes para realizar investigaciones de carácter penal”</w:t>
      </w:r>
      <w:r w:rsidRPr="00AE2A0E">
        <w:rPr>
          <w:rStyle w:val="FootnoteReference"/>
          <w:lang w:eastAsia="es-MX"/>
        </w:rPr>
        <w:footnoteReference w:id="9"/>
      </w:r>
      <w:r w:rsidR="002E4502">
        <w:rPr>
          <w:rFonts w:eastAsia="Times New Roman"/>
          <w:lang w:val="es-CR" w:eastAsia="es-MX"/>
        </w:rPr>
        <w:t>.</w:t>
      </w:r>
    </w:p>
    <w:p w:rsidR="00FA45FB" w:rsidRPr="00AE2A0E" w:rsidRDefault="00FA45FB" w:rsidP="00FA45FB">
      <w:pPr>
        <w:rPr>
          <w:rFonts w:eastAsia="Times New Roman"/>
          <w:szCs w:val="20"/>
          <w:lang w:val="es-MX" w:eastAsia="es-MX"/>
        </w:rPr>
      </w:pPr>
    </w:p>
    <w:p w:rsidR="00FA45FB" w:rsidRPr="00AE2A0E" w:rsidRDefault="00FA45FB" w:rsidP="00FA45FB">
      <w:pPr>
        <w:pStyle w:val="Estilo1"/>
        <w:tabs>
          <w:tab w:val="clear" w:pos="18282"/>
          <w:tab w:val="num" w:pos="18012"/>
        </w:tabs>
        <w:spacing w:after="0"/>
        <w:rPr>
          <w:rFonts w:eastAsia="Times New Roman"/>
          <w:lang w:val="es-MX" w:eastAsia="es-MX"/>
        </w:rPr>
      </w:pPr>
      <w:r w:rsidRPr="00AE2A0E">
        <w:rPr>
          <w:rFonts w:eastAsia="Times New Roman"/>
          <w:lang w:val="es-MX" w:eastAsia="es-MX"/>
        </w:rPr>
        <w:t xml:space="preserve">En sus observaciones escritas a las excepciones preliminares, la </w:t>
      </w:r>
      <w:r w:rsidRPr="00AE2A0E">
        <w:rPr>
          <w:rFonts w:eastAsia="Times New Roman"/>
          <w:b/>
          <w:i/>
          <w:lang w:val="es-MX" w:eastAsia="es-MX"/>
        </w:rPr>
        <w:t>Comisión</w:t>
      </w:r>
      <w:r w:rsidRPr="00AE2A0E">
        <w:rPr>
          <w:rFonts w:eastAsia="Times New Roman"/>
          <w:lang w:val="es-MX" w:eastAsia="es-MX"/>
        </w:rPr>
        <w:t xml:space="preserve"> afirmó que, en efecto, el Estado opuso oportunamente la excepción de falta de agotamiento de recursos internos. La Comisión reprodujo lo indicado en el Informe de Admisibilidad, a saber: que “[e]n situaciones [...] en la[s] que se denuncia la detención ilegal y tortura [p]sicológica </w:t>
      </w:r>
      <w:r w:rsidRPr="00AE2A0E">
        <w:rPr>
          <w:rFonts w:eastAsia="Times New Roman"/>
          <w:lang w:val="es-MX" w:eastAsia="es-MX"/>
        </w:rPr>
        <w:lastRenderedPageBreak/>
        <w:t xml:space="preserve">[…], que se traducen en la legislación interna en delitos perseguibles de oficio, los recursos internos que deben tomarse en cuenta a los efectos de la admisibilidad de la petición, son los relacionados con la investigación y sanción a los responsables”. Agregó que en el Informe de Admisibilidad se indicó que el señor Galindo </w:t>
      </w:r>
    </w:p>
    <w:p w:rsidR="00FA45FB" w:rsidRPr="00A40195" w:rsidRDefault="00FA45FB" w:rsidP="00FA45FB">
      <w:pPr>
        <w:pStyle w:val="ListParagraph"/>
        <w:ind w:left="0"/>
        <w:jc w:val="both"/>
        <w:rPr>
          <w:sz w:val="20"/>
          <w:szCs w:val="20"/>
          <w:lang w:val="es-MX" w:eastAsia="es-MX"/>
        </w:rPr>
      </w:pPr>
    </w:p>
    <w:p w:rsidR="00FA45FB" w:rsidRPr="00AE2A0E" w:rsidRDefault="00FA45FB" w:rsidP="00EA3065">
      <w:pPr>
        <w:pStyle w:val="ListParagraph"/>
        <w:ind w:left="567" w:right="720"/>
        <w:jc w:val="both"/>
        <w:rPr>
          <w:sz w:val="16"/>
          <w:szCs w:val="16"/>
          <w:lang w:val="es-MX" w:eastAsia="es-MX"/>
        </w:rPr>
      </w:pPr>
      <w:proofErr w:type="gramStart"/>
      <w:r w:rsidRPr="00AE2A0E">
        <w:rPr>
          <w:sz w:val="16"/>
          <w:szCs w:val="16"/>
          <w:lang w:val="es-MX" w:eastAsia="es-MX"/>
        </w:rPr>
        <w:t>puso</w:t>
      </w:r>
      <w:proofErr w:type="gramEnd"/>
      <w:r w:rsidRPr="00AE2A0E">
        <w:rPr>
          <w:sz w:val="16"/>
          <w:szCs w:val="16"/>
          <w:lang w:val="es-MX" w:eastAsia="es-MX"/>
        </w:rPr>
        <w:t xml:space="preserve"> en conocimiento del Fiscal de la Nación, en persona, las ilegales circunstancias de su detención[.…] Asimismo, una vez que se encontraba en libertad […] interpuso una denuncia contra los funcionarios que estimaba responsables ante el Ministerio Público. Dicho organismo […] no hizo valer la acción penal </w:t>
      </w:r>
      <w:proofErr w:type="gramStart"/>
      <w:r w:rsidRPr="00AE2A0E">
        <w:rPr>
          <w:sz w:val="16"/>
          <w:szCs w:val="16"/>
          <w:lang w:val="es-MX" w:eastAsia="es-MX"/>
        </w:rPr>
        <w:t>respectiva[</w:t>
      </w:r>
      <w:proofErr w:type="gramEnd"/>
      <w:r w:rsidRPr="00AE2A0E">
        <w:rPr>
          <w:sz w:val="16"/>
          <w:szCs w:val="16"/>
          <w:lang w:val="es-MX" w:eastAsia="es-MX"/>
        </w:rPr>
        <w:t xml:space="preserve">.] </w:t>
      </w:r>
    </w:p>
    <w:p w:rsidR="00FA45FB" w:rsidRPr="00AE2A0E" w:rsidRDefault="00FA45FB" w:rsidP="00CE68AB">
      <w:pPr>
        <w:pStyle w:val="ListParagraph"/>
        <w:ind w:left="0"/>
        <w:jc w:val="both"/>
        <w:rPr>
          <w:lang w:val="es-MX" w:eastAsia="es-MX"/>
        </w:rPr>
      </w:pPr>
    </w:p>
    <w:p w:rsidR="00FA45FB" w:rsidRPr="00AE2A0E" w:rsidRDefault="00FA45FB" w:rsidP="00CE68AB">
      <w:pPr>
        <w:pStyle w:val="Estilo1"/>
        <w:tabs>
          <w:tab w:val="clear" w:pos="18282"/>
          <w:tab w:val="num" w:pos="18012"/>
        </w:tabs>
        <w:spacing w:after="0"/>
      </w:pPr>
      <w:r w:rsidRPr="00AE2A0E">
        <w:rPr>
          <w:lang w:val="es-CR"/>
        </w:rPr>
        <w:t>La Comisión expresó en la audiencia pública que</w:t>
      </w:r>
      <w:r w:rsidR="00B364B7">
        <w:rPr>
          <w:lang w:val="es-CR"/>
        </w:rPr>
        <w:t xml:space="preserve"> en el Informe de Admisibilidad</w:t>
      </w:r>
      <w:r w:rsidRPr="00AE2A0E">
        <w:rPr>
          <w:lang w:val="es-CR"/>
        </w:rPr>
        <w:t xml:space="preserve"> </w:t>
      </w:r>
    </w:p>
    <w:p w:rsidR="00FA45FB" w:rsidRPr="00703E35" w:rsidRDefault="00FA45FB" w:rsidP="00CE68AB">
      <w:pPr>
        <w:pStyle w:val="ListParagraph"/>
        <w:ind w:left="0"/>
        <w:jc w:val="both"/>
        <w:rPr>
          <w:lang w:val="es-ES"/>
        </w:rPr>
      </w:pPr>
    </w:p>
    <w:p w:rsidR="00FA45FB" w:rsidRPr="00AE2A0E" w:rsidRDefault="00FA45FB" w:rsidP="00EA3065">
      <w:pPr>
        <w:pStyle w:val="ListParagraph"/>
        <w:ind w:left="567" w:right="720"/>
        <w:jc w:val="both"/>
        <w:rPr>
          <w:sz w:val="16"/>
          <w:szCs w:val="16"/>
        </w:rPr>
      </w:pPr>
      <w:proofErr w:type="gramStart"/>
      <w:r w:rsidRPr="00AE2A0E">
        <w:rPr>
          <w:sz w:val="16"/>
          <w:szCs w:val="16"/>
        </w:rPr>
        <w:t>se</w:t>
      </w:r>
      <w:proofErr w:type="gramEnd"/>
      <w:r w:rsidRPr="00AE2A0E">
        <w:rPr>
          <w:sz w:val="16"/>
          <w:szCs w:val="16"/>
        </w:rPr>
        <w:t xml:space="preserve"> pronunció sobre e[l] requisito [de previo agotamiento de los recursos internos] de conformidad con su práctica constante, […] tomando en cuenta la situación […] vigente al momento en que se pronunció sobre la admisibilidad[</w:t>
      </w:r>
      <w:r w:rsidRPr="00AE2A0E">
        <w:rPr>
          <w:rStyle w:val="FootnoteReference"/>
          <w:sz w:val="16"/>
          <w:szCs w:val="16"/>
        </w:rPr>
        <w:footnoteReference w:id="10"/>
      </w:r>
      <w:r w:rsidRPr="00AE2A0E">
        <w:rPr>
          <w:sz w:val="16"/>
          <w:szCs w:val="16"/>
        </w:rPr>
        <w:t>…. En ese] momento […] la investigación penal […] estaba archivada en aplicación de la Ley de Amnistía[</w:t>
      </w:r>
      <w:proofErr w:type="gramStart"/>
      <w:r w:rsidRPr="00AE2A0E">
        <w:rPr>
          <w:sz w:val="16"/>
          <w:szCs w:val="16"/>
        </w:rPr>
        <w:t>. …</w:t>
      </w:r>
      <w:proofErr w:type="gramEnd"/>
      <w:r w:rsidRPr="00AE2A0E">
        <w:rPr>
          <w:sz w:val="16"/>
          <w:szCs w:val="16"/>
        </w:rPr>
        <w:t>] En consecuencia, […] resultaban aplicables las excepciones […] que están contenidas en los artículos 46.2.a y 46.</w:t>
      </w:r>
      <w:r w:rsidR="007D700F">
        <w:rPr>
          <w:sz w:val="16"/>
          <w:szCs w:val="16"/>
        </w:rPr>
        <w:t>2.b de la Convención Americana.</w:t>
      </w:r>
    </w:p>
    <w:p w:rsidR="00FA45FB" w:rsidRPr="00AE2A0E" w:rsidRDefault="00FA45FB" w:rsidP="00CE68AB">
      <w:pPr>
        <w:pStyle w:val="ListParagraph"/>
        <w:ind w:left="567" w:right="900"/>
        <w:jc w:val="both"/>
        <w:rPr>
          <w:sz w:val="16"/>
          <w:szCs w:val="16"/>
        </w:rPr>
      </w:pPr>
    </w:p>
    <w:p w:rsidR="00FA45FB" w:rsidRPr="00777852" w:rsidRDefault="00FA45FB" w:rsidP="00CE68AB">
      <w:pPr>
        <w:pStyle w:val="ListParagraph"/>
        <w:ind w:left="0"/>
        <w:jc w:val="both"/>
        <w:rPr>
          <w:sz w:val="20"/>
          <w:szCs w:val="20"/>
        </w:rPr>
      </w:pPr>
      <w:r w:rsidRPr="00777852">
        <w:rPr>
          <w:sz w:val="20"/>
          <w:szCs w:val="20"/>
          <w:lang w:eastAsia="es-MX"/>
        </w:rPr>
        <w:t xml:space="preserve">Asimismo, </w:t>
      </w:r>
      <w:r w:rsidR="00BB26A6">
        <w:rPr>
          <w:sz w:val="20"/>
          <w:szCs w:val="20"/>
          <w:lang w:eastAsia="es-MX"/>
        </w:rPr>
        <w:t xml:space="preserve">en la audiencia pública </w:t>
      </w:r>
      <w:r w:rsidRPr="00777852">
        <w:rPr>
          <w:sz w:val="20"/>
          <w:szCs w:val="20"/>
          <w:lang w:eastAsia="es-MX"/>
        </w:rPr>
        <w:t>adujo</w:t>
      </w:r>
      <w:r w:rsidRPr="00777852">
        <w:rPr>
          <w:sz w:val="20"/>
          <w:szCs w:val="20"/>
          <w:lang w:val="es-MX" w:eastAsia="es-MX"/>
        </w:rPr>
        <w:t xml:space="preserve"> </w:t>
      </w:r>
      <w:r w:rsidRPr="00777852">
        <w:rPr>
          <w:sz w:val="20"/>
          <w:szCs w:val="20"/>
        </w:rPr>
        <w:t xml:space="preserve">que al momento de la presentación de la petición el señor Galindo ya había formulado denuncias ante la Comisión de Derechos Humanos </w:t>
      </w:r>
      <w:r w:rsidR="00B364B7">
        <w:rPr>
          <w:sz w:val="20"/>
          <w:szCs w:val="20"/>
        </w:rPr>
        <w:t xml:space="preserve">y Pacificación </w:t>
      </w:r>
      <w:r w:rsidRPr="00777852">
        <w:rPr>
          <w:sz w:val="20"/>
          <w:szCs w:val="20"/>
        </w:rPr>
        <w:t>del Congreso Constituyente</w:t>
      </w:r>
      <w:r w:rsidR="00B364B7">
        <w:rPr>
          <w:sz w:val="20"/>
          <w:szCs w:val="20"/>
        </w:rPr>
        <w:t xml:space="preserve"> Democrático del Perú</w:t>
      </w:r>
      <w:r w:rsidRPr="00777852">
        <w:rPr>
          <w:sz w:val="20"/>
          <w:szCs w:val="20"/>
        </w:rPr>
        <w:t>, ante la Fiscalía Provisional de Primera Instancia de Huánuco</w:t>
      </w:r>
      <w:r w:rsidR="00B364B7">
        <w:rPr>
          <w:sz w:val="20"/>
          <w:szCs w:val="20"/>
        </w:rPr>
        <w:t xml:space="preserve">, </w:t>
      </w:r>
      <w:r w:rsidRPr="00777852">
        <w:rPr>
          <w:sz w:val="20"/>
          <w:szCs w:val="20"/>
        </w:rPr>
        <w:t>y la Presidenta de la Junta de Fiscales Supremos</w:t>
      </w:r>
      <w:r w:rsidR="00B364B7">
        <w:rPr>
          <w:sz w:val="20"/>
          <w:szCs w:val="20"/>
        </w:rPr>
        <w:t xml:space="preserve"> del Ministerio Público</w:t>
      </w:r>
      <w:r w:rsidRPr="00777852">
        <w:rPr>
          <w:sz w:val="20"/>
          <w:szCs w:val="20"/>
        </w:rPr>
        <w:t xml:space="preserve">, sin una respuesta efectiva. </w:t>
      </w:r>
    </w:p>
    <w:p w:rsidR="00FA45FB" w:rsidRPr="00AE2A0E" w:rsidRDefault="00FA45FB" w:rsidP="00FA45FB">
      <w:pPr>
        <w:pStyle w:val="ListParagraph"/>
      </w:pPr>
    </w:p>
    <w:p w:rsidR="00FA45FB" w:rsidRPr="0063322A" w:rsidRDefault="00FA45FB" w:rsidP="00CE68AB">
      <w:pPr>
        <w:pStyle w:val="Estilo1"/>
        <w:tabs>
          <w:tab w:val="clear" w:pos="18282"/>
          <w:tab w:val="num" w:pos="18012"/>
        </w:tabs>
        <w:spacing w:after="0"/>
      </w:pPr>
      <w:r w:rsidRPr="00AE2A0E">
        <w:t xml:space="preserve">En relación con otros recursos </w:t>
      </w:r>
      <w:r>
        <w:t>adicionales que el Estado señaló</w:t>
      </w:r>
      <w:r w:rsidRPr="00AE2A0E">
        <w:t xml:space="preserve"> que se tendrían que haber agotado, la Comisión recordó que ha sido su criterio que “cuando el peticionario agota una vía no resulta exigirle que agote vías adicionales”. </w:t>
      </w:r>
      <w:r w:rsidRPr="0063322A">
        <w:t xml:space="preserve">Además, sin perjuicio de lo anterior y de manera subsidiaria la Comisión hizo notar que el Estado no otorgó prueba sobre la efectividad </w:t>
      </w:r>
      <w:r w:rsidR="0028076B">
        <w:t>de</w:t>
      </w:r>
      <w:r w:rsidRPr="0063322A">
        <w:t xml:space="preserve"> los recursos, ni del amparo ni del hábeas corpus, en la etapa de admisibilidad ante la Comisión</w:t>
      </w:r>
      <w:r w:rsidRPr="0063322A">
        <w:rPr>
          <w:rStyle w:val="FootnoteReference"/>
        </w:rPr>
        <w:footnoteReference w:id="11"/>
      </w:r>
      <w:r w:rsidRPr="0063322A">
        <w:t xml:space="preserve">. </w:t>
      </w:r>
    </w:p>
    <w:p w:rsidR="00FA45FB" w:rsidRPr="00AE2A0E" w:rsidRDefault="00FA45FB" w:rsidP="00CE68AB">
      <w:pPr>
        <w:pStyle w:val="ListParagraph"/>
        <w:ind w:left="0"/>
        <w:jc w:val="both"/>
      </w:pPr>
    </w:p>
    <w:p w:rsidR="00FA45FB" w:rsidRPr="00AE2A0E" w:rsidRDefault="00FA45FB" w:rsidP="00CE68AB">
      <w:pPr>
        <w:pStyle w:val="Estilo1"/>
        <w:tabs>
          <w:tab w:val="clear" w:pos="18282"/>
          <w:tab w:val="num" w:pos="18012"/>
        </w:tabs>
        <w:spacing w:after="0"/>
        <w:rPr>
          <w:rFonts w:eastAsia="Times New Roman"/>
          <w:lang w:val="es-MX" w:eastAsia="es-MX"/>
        </w:rPr>
      </w:pPr>
      <w:r w:rsidRPr="00A33895">
        <w:rPr>
          <w:rFonts w:eastAsia="Times New Roman"/>
          <w:lang w:val="es-MX" w:eastAsia="es-MX"/>
        </w:rPr>
        <w:t xml:space="preserve">El </w:t>
      </w:r>
      <w:r w:rsidRPr="00A33895">
        <w:rPr>
          <w:rFonts w:eastAsia="Times New Roman"/>
          <w:b/>
          <w:i/>
          <w:lang w:val="es-MX" w:eastAsia="es-MX"/>
        </w:rPr>
        <w:t>representante</w:t>
      </w:r>
      <w:r w:rsidR="00F4389B">
        <w:rPr>
          <w:rFonts w:eastAsia="Times New Roman"/>
          <w:lang w:val="es-MX" w:eastAsia="es-MX"/>
        </w:rPr>
        <w:t xml:space="preserve"> </w:t>
      </w:r>
      <w:r w:rsidRPr="00A33895">
        <w:rPr>
          <w:rFonts w:eastAsia="Times New Roman"/>
          <w:lang w:val="es-MX" w:eastAsia="es-MX"/>
        </w:rPr>
        <w:t>se remitió a los argumentos del Informe de Admisibilidad.</w:t>
      </w:r>
      <w:r w:rsidRPr="00A33895">
        <w:rPr>
          <w:rFonts w:eastAsiaTheme="minorEastAsia"/>
          <w:w w:val="95"/>
          <w:lang w:val="es-MX" w:eastAsia="es-MX"/>
        </w:rPr>
        <w:t xml:space="preserve"> </w:t>
      </w:r>
      <w:r>
        <w:rPr>
          <w:rFonts w:eastAsia="Times New Roman"/>
          <w:lang w:val="es-MX" w:eastAsia="es-MX"/>
        </w:rPr>
        <w:t>Además, e</w:t>
      </w:r>
      <w:r w:rsidRPr="00AE2A0E">
        <w:rPr>
          <w:rFonts w:eastAsia="Times New Roman"/>
          <w:lang w:val="es-MX" w:eastAsia="es-MX"/>
        </w:rPr>
        <w:t>n la audiencia pública, en relación con la posibilidad de ejercitar acciones tales como el hábeas corpus, tendientes a lograr la liberación del señor Galindo</w:t>
      </w:r>
      <w:r>
        <w:rPr>
          <w:rFonts w:eastAsia="Times New Roman"/>
          <w:lang w:val="es-MX" w:eastAsia="es-MX"/>
        </w:rPr>
        <w:t xml:space="preserve"> </w:t>
      </w:r>
      <w:r w:rsidRPr="00AE2A0E">
        <w:rPr>
          <w:rFonts w:eastAsia="Times New Roman"/>
          <w:lang w:val="es-MX" w:eastAsia="es-MX"/>
        </w:rPr>
        <w:t xml:space="preserve">arguyó que </w:t>
      </w:r>
    </w:p>
    <w:p w:rsidR="00FA45FB" w:rsidRPr="00AE2A0E" w:rsidRDefault="00FA45FB" w:rsidP="00FA45FB">
      <w:pPr>
        <w:pStyle w:val="ListParagraph"/>
        <w:ind w:left="0"/>
        <w:jc w:val="both"/>
        <w:rPr>
          <w:lang w:val="es-MX"/>
        </w:rPr>
      </w:pPr>
    </w:p>
    <w:p w:rsidR="00FA45FB" w:rsidRPr="00AE2A0E" w:rsidRDefault="00FA45FB" w:rsidP="00EA3065">
      <w:pPr>
        <w:pStyle w:val="ListParagraph"/>
        <w:ind w:left="567" w:right="720"/>
        <w:jc w:val="both"/>
        <w:rPr>
          <w:sz w:val="16"/>
          <w:szCs w:val="16"/>
        </w:rPr>
      </w:pPr>
      <w:r w:rsidRPr="00AE2A0E">
        <w:rPr>
          <w:sz w:val="16"/>
          <w:szCs w:val="16"/>
          <w:lang w:val="es-CR"/>
        </w:rPr>
        <w:t>[</w:t>
      </w:r>
      <w:proofErr w:type="gramStart"/>
      <w:r w:rsidRPr="00AE2A0E">
        <w:rPr>
          <w:sz w:val="16"/>
          <w:szCs w:val="16"/>
          <w:lang w:val="es-CR"/>
        </w:rPr>
        <w:t>la</w:t>
      </w:r>
      <w:proofErr w:type="gramEnd"/>
      <w:r w:rsidRPr="00AE2A0E">
        <w:rPr>
          <w:sz w:val="16"/>
          <w:szCs w:val="16"/>
          <w:lang w:val="es-CR"/>
        </w:rPr>
        <w:t>] familia [del señor Galindo] fue amenazada, en el sentido de que si ellos trataban de lograr su liberación, nunca lo iban a hacer. Estas amenazas provenían de las Fuerzas Armadas peruanas que controlaban a Huánuco en ese momento[</w:t>
      </w:r>
      <w:proofErr w:type="gramStart"/>
      <w:r w:rsidRPr="00AE2A0E">
        <w:rPr>
          <w:sz w:val="16"/>
          <w:szCs w:val="16"/>
          <w:lang w:val="es-CR"/>
        </w:rPr>
        <w:t>. …</w:t>
      </w:r>
      <w:proofErr w:type="gramEnd"/>
      <w:r w:rsidRPr="00AE2A0E">
        <w:rPr>
          <w:sz w:val="16"/>
          <w:szCs w:val="16"/>
          <w:lang w:val="es-CR"/>
        </w:rPr>
        <w:t xml:space="preserve">L]os fiscales locales, así como el Poder Judicial de la localidad estaban sujetos a la autoridad militar, cualquier acción legal hubiera sido inútil. </w:t>
      </w:r>
    </w:p>
    <w:p w:rsidR="00FA45FB" w:rsidRPr="00AE2A0E" w:rsidRDefault="00FA45FB" w:rsidP="00FA45FB">
      <w:pPr>
        <w:pStyle w:val="ListParagraph"/>
        <w:ind w:left="0"/>
        <w:jc w:val="both"/>
      </w:pPr>
    </w:p>
    <w:p w:rsidR="00FA45FB" w:rsidRPr="00BE7307" w:rsidRDefault="00FA45FB" w:rsidP="00CE68AB">
      <w:pPr>
        <w:pStyle w:val="ListParagraph"/>
        <w:numPr>
          <w:ilvl w:val="0"/>
          <w:numId w:val="9"/>
        </w:numPr>
        <w:ind w:left="567" w:firstLine="0"/>
        <w:contextualSpacing/>
        <w:outlineLvl w:val="1"/>
        <w:rPr>
          <w:b/>
          <w:i/>
          <w:sz w:val="20"/>
          <w:szCs w:val="20"/>
          <w:lang w:val="es-MX" w:eastAsia="es-MX"/>
        </w:rPr>
      </w:pPr>
      <w:bookmarkStart w:id="54" w:name="_Toc438129684"/>
      <w:r w:rsidRPr="00BE7307">
        <w:rPr>
          <w:b/>
          <w:i/>
          <w:sz w:val="20"/>
          <w:szCs w:val="20"/>
          <w:lang w:val="es-MX" w:eastAsia="es-MX"/>
        </w:rPr>
        <w:t>Alegatos sobre la caducidad del plazo para presentar petición inicial</w:t>
      </w:r>
      <w:bookmarkEnd w:id="54"/>
    </w:p>
    <w:p w:rsidR="00FA45FB" w:rsidRPr="00AE2A0E" w:rsidRDefault="00FA45FB" w:rsidP="00FA45FB">
      <w:pPr>
        <w:pStyle w:val="ListParagraph"/>
        <w:jc w:val="both"/>
        <w:rPr>
          <w:b/>
          <w:lang w:val="es-MX" w:eastAsia="es-MX"/>
        </w:rPr>
      </w:pPr>
    </w:p>
    <w:p w:rsidR="00FA45FB" w:rsidRPr="00AE2A0E" w:rsidRDefault="00FA45FB" w:rsidP="00FA45FB">
      <w:pPr>
        <w:pStyle w:val="Estilo1"/>
        <w:tabs>
          <w:tab w:val="clear" w:pos="18282"/>
          <w:tab w:val="num" w:pos="18012"/>
        </w:tabs>
        <w:rPr>
          <w:rFonts w:eastAsia="Times New Roman"/>
          <w:b/>
          <w:lang w:val="es-MX" w:eastAsia="es-MX"/>
        </w:rPr>
      </w:pPr>
      <w:r w:rsidRPr="00AE2A0E">
        <w:rPr>
          <w:rFonts w:eastAsia="Times New Roman"/>
          <w:lang w:val="es-MX" w:eastAsia="es-MX"/>
        </w:rPr>
        <w:t xml:space="preserve">El </w:t>
      </w:r>
      <w:r w:rsidRPr="00AE2A0E">
        <w:rPr>
          <w:rFonts w:eastAsia="Times New Roman"/>
          <w:b/>
          <w:i/>
          <w:lang w:val="es-MX" w:eastAsia="es-MX"/>
        </w:rPr>
        <w:t>Estado</w:t>
      </w:r>
      <w:r w:rsidRPr="00AE2A0E">
        <w:rPr>
          <w:rFonts w:eastAsia="Times New Roman"/>
          <w:lang w:val="es-MX" w:eastAsia="es-MX"/>
        </w:rPr>
        <w:t xml:space="preserve"> aseveró que dado que no resulta de aplicación </w:t>
      </w:r>
      <w:proofErr w:type="gramStart"/>
      <w:r w:rsidRPr="00AE2A0E">
        <w:rPr>
          <w:rFonts w:eastAsia="Times New Roman"/>
          <w:lang w:val="es-MX" w:eastAsia="es-MX"/>
        </w:rPr>
        <w:t>ninguno</w:t>
      </w:r>
      <w:proofErr w:type="gramEnd"/>
      <w:r w:rsidRPr="00AE2A0E">
        <w:rPr>
          <w:rFonts w:eastAsia="Times New Roman"/>
          <w:lang w:val="es-MX" w:eastAsia="es-MX"/>
        </w:rPr>
        <w:t xml:space="preserve"> de los supuestos recogidos como excepciones al agotamiento de los recursos internos en el artículo 46.2 de la Convención Americana, “no resulta aplicable el criterio del plazo razonable para la </w:t>
      </w:r>
      <w:r w:rsidRPr="00AE2A0E">
        <w:rPr>
          <w:rFonts w:eastAsia="Times New Roman"/>
          <w:lang w:val="es-MX" w:eastAsia="es-MX"/>
        </w:rPr>
        <w:lastRenderedPageBreak/>
        <w:t>presentación de la petición inicial”</w:t>
      </w:r>
      <w:r w:rsidRPr="00AE2A0E">
        <w:rPr>
          <w:rStyle w:val="FootnoteReference"/>
          <w:lang w:val="es-MX" w:eastAsia="es-MX"/>
        </w:rPr>
        <w:footnoteReference w:id="12"/>
      </w:r>
      <w:r w:rsidRPr="00AE2A0E">
        <w:rPr>
          <w:rFonts w:eastAsia="Times New Roman"/>
          <w:lang w:val="es-MX" w:eastAsia="es-MX"/>
        </w:rPr>
        <w:t xml:space="preserve">. Según el Estado, “al no haberse hecho uso de los recursos internos, el momento a partir del cual debe contabilizarse el plazo para la presentación de la petición es desde que el señor Galindo fue detenido, esto es, desde el 16 de octubre de 1994”, y que “como puede apreciarse el plazo de 6 meses [fue] visiblemente excedido”. </w:t>
      </w:r>
    </w:p>
    <w:p w:rsidR="00FA45FB" w:rsidRPr="00C664C3" w:rsidRDefault="00FA45FB" w:rsidP="00FA45FB">
      <w:pPr>
        <w:pStyle w:val="Estilo1"/>
        <w:tabs>
          <w:tab w:val="clear" w:pos="18282"/>
          <w:tab w:val="num" w:pos="18012"/>
        </w:tabs>
        <w:spacing w:after="0"/>
        <w:rPr>
          <w:rFonts w:eastAsia="Times New Roman"/>
          <w:b/>
          <w:lang w:val="es-MX" w:eastAsia="es-MX"/>
        </w:rPr>
      </w:pPr>
      <w:r w:rsidRPr="00AE2A0E">
        <w:rPr>
          <w:rFonts w:eastAsia="Times New Roman"/>
          <w:lang w:val="es-MX" w:eastAsia="es-MX"/>
        </w:rPr>
        <w:t xml:space="preserve">La </w:t>
      </w:r>
      <w:r w:rsidRPr="00AE2A0E">
        <w:rPr>
          <w:rFonts w:eastAsia="Times New Roman"/>
          <w:b/>
          <w:i/>
          <w:lang w:val="es-MX" w:eastAsia="es-MX"/>
        </w:rPr>
        <w:t>Comisión</w:t>
      </w:r>
      <w:r w:rsidRPr="00AE2A0E">
        <w:rPr>
          <w:rFonts w:eastAsia="Times New Roman"/>
          <w:i/>
          <w:lang w:val="es-MX" w:eastAsia="es-MX"/>
        </w:rPr>
        <w:t xml:space="preserve"> </w:t>
      </w:r>
      <w:r w:rsidRPr="00AE2A0E">
        <w:rPr>
          <w:rFonts w:eastAsia="Times New Roman"/>
          <w:lang w:val="es-MX" w:eastAsia="es-MX"/>
        </w:rPr>
        <w:t>expresó que “no es posible jurídicamente el supuesto que plantea el Estado, esto es, que los recursos no se hubieran agotado y que se aplique el plazo de seis meses”. Sin perjuicio de ello, explicó que en el Informe de Admisibilidad “declaró que eran aplicables las excepciones al agotamiento de los recursos internos, establecidas en el artículo 46.2 de la Convención” y que, por ello, “el requisito de la presentación en el plazo de seis meses no resulta aplicable”. Señaló que “[t]</w:t>
      </w:r>
      <w:proofErr w:type="spellStart"/>
      <w:r w:rsidRPr="00AE2A0E">
        <w:rPr>
          <w:rFonts w:eastAsia="Times New Roman"/>
          <w:lang w:val="es-MX" w:eastAsia="es-MX"/>
        </w:rPr>
        <w:t>eniendo</w:t>
      </w:r>
      <w:proofErr w:type="spellEnd"/>
      <w:r w:rsidRPr="00AE2A0E">
        <w:rPr>
          <w:rFonts w:eastAsia="Times New Roman"/>
          <w:lang w:val="es-MX" w:eastAsia="es-MX"/>
        </w:rPr>
        <w:t xml:space="preserve"> en cuenta la fecha de presentación y la fecha de los hechos […] consideró que aquélla fue presentada en un plazo razonable”.</w:t>
      </w:r>
      <w:r w:rsidR="002E4502">
        <w:rPr>
          <w:rFonts w:eastAsia="Times New Roman"/>
          <w:lang w:val="es-MX" w:eastAsia="es-MX"/>
        </w:rPr>
        <w:t xml:space="preserve"> </w:t>
      </w:r>
    </w:p>
    <w:p w:rsidR="00FA45FB" w:rsidRPr="00C664C3" w:rsidRDefault="00FA45FB" w:rsidP="00FA45FB">
      <w:pPr>
        <w:pStyle w:val="Estilo1"/>
        <w:numPr>
          <w:ilvl w:val="0"/>
          <w:numId w:val="0"/>
        </w:numPr>
        <w:spacing w:after="0"/>
        <w:rPr>
          <w:rFonts w:eastAsia="Times New Roman"/>
          <w:b/>
          <w:lang w:val="es-MX" w:eastAsia="es-MX"/>
        </w:rPr>
      </w:pPr>
    </w:p>
    <w:p w:rsidR="00FA45FB" w:rsidRPr="00A33895" w:rsidRDefault="00FA45FB" w:rsidP="00FA45FB">
      <w:pPr>
        <w:pStyle w:val="Estilo1"/>
        <w:tabs>
          <w:tab w:val="clear" w:pos="18282"/>
          <w:tab w:val="num" w:pos="18012"/>
        </w:tabs>
        <w:spacing w:after="0"/>
        <w:rPr>
          <w:rFonts w:eastAsia="Times New Roman"/>
          <w:b/>
          <w:lang w:val="es-MX" w:eastAsia="es-MX"/>
        </w:rPr>
      </w:pPr>
      <w:r w:rsidRPr="00A33895">
        <w:rPr>
          <w:rFonts w:eastAsia="Times New Roman"/>
          <w:lang w:val="es-MX" w:eastAsia="es-MX"/>
        </w:rPr>
        <w:t xml:space="preserve">El </w:t>
      </w:r>
      <w:r w:rsidRPr="00A33895">
        <w:rPr>
          <w:rFonts w:eastAsia="Times New Roman"/>
          <w:b/>
          <w:i/>
          <w:lang w:val="es-MX" w:eastAsia="es-MX"/>
        </w:rPr>
        <w:t>representante,</w:t>
      </w:r>
      <w:r w:rsidRPr="00A33895">
        <w:rPr>
          <w:rFonts w:eastAsia="Times New Roman"/>
          <w:i/>
          <w:lang w:val="es-MX" w:eastAsia="es-MX"/>
        </w:rPr>
        <w:t xml:space="preserve"> </w:t>
      </w:r>
      <w:r w:rsidRPr="00A33895">
        <w:rPr>
          <w:rFonts w:eastAsia="Times New Roman"/>
          <w:lang w:val="es-MX" w:eastAsia="es-MX"/>
        </w:rPr>
        <w:t>sin perjuicio de remitirse a los argumentos del Informe de Admisibilidad</w:t>
      </w:r>
      <w:r w:rsidR="00F171DA" w:rsidRPr="00A33895">
        <w:rPr>
          <w:rFonts w:eastAsia="Times New Roman"/>
          <w:lang w:val="es-MX" w:eastAsia="es-MX"/>
        </w:rPr>
        <w:t xml:space="preserve">, </w:t>
      </w:r>
      <w:r w:rsidRPr="00A33895">
        <w:t xml:space="preserve">no hizo referencia específica a los argumentos estatales sobre la alegada caducidad del plazo para presentar la petición inicial. </w:t>
      </w:r>
    </w:p>
    <w:p w:rsidR="00FA45FB" w:rsidRPr="009679AB" w:rsidRDefault="00FA45FB" w:rsidP="00FA45FB">
      <w:pPr>
        <w:pStyle w:val="ListParagraph"/>
        <w:tabs>
          <w:tab w:val="left" w:pos="540"/>
        </w:tabs>
        <w:outlineLvl w:val="1"/>
        <w:rPr>
          <w:b/>
          <w:i/>
          <w:sz w:val="20"/>
          <w:szCs w:val="20"/>
          <w:lang w:val="es-MX"/>
        </w:rPr>
      </w:pPr>
    </w:p>
    <w:p w:rsidR="00FA45FB" w:rsidRPr="00BE7307" w:rsidRDefault="00FA45FB" w:rsidP="00CE68AB">
      <w:pPr>
        <w:pStyle w:val="ListParagraph"/>
        <w:numPr>
          <w:ilvl w:val="0"/>
          <w:numId w:val="9"/>
        </w:numPr>
        <w:tabs>
          <w:tab w:val="left" w:pos="540"/>
        </w:tabs>
        <w:ind w:left="567" w:firstLine="0"/>
        <w:outlineLvl w:val="1"/>
        <w:rPr>
          <w:b/>
          <w:i/>
          <w:sz w:val="20"/>
          <w:szCs w:val="20"/>
          <w:lang w:val="es-CL"/>
        </w:rPr>
      </w:pPr>
      <w:bookmarkStart w:id="55" w:name="_Toc438129685"/>
      <w:r>
        <w:rPr>
          <w:b/>
          <w:i/>
          <w:sz w:val="20"/>
          <w:szCs w:val="20"/>
          <w:lang w:val="es-CL"/>
        </w:rPr>
        <w:t>Consideraciones de la Corte</w:t>
      </w:r>
      <w:bookmarkEnd w:id="55"/>
    </w:p>
    <w:p w:rsidR="00FA45FB" w:rsidRPr="00AE2A0E" w:rsidRDefault="00FA45FB" w:rsidP="00FA45FB">
      <w:pPr>
        <w:pStyle w:val="Estilo1"/>
        <w:numPr>
          <w:ilvl w:val="0"/>
          <w:numId w:val="0"/>
        </w:numPr>
        <w:spacing w:after="0"/>
        <w:rPr>
          <w:rFonts w:eastAsia="Times New Roman"/>
          <w:b/>
          <w:lang w:val="es-MX" w:eastAsia="es-MX"/>
        </w:rPr>
      </w:pPr>
    </w:p>
    <w:p w:rsidR="00FA45FB" w:rsidRPr="00AE2A0E" w:rsidRDefault="00FA45FB" w:rsidP="00FA45FB">
      <w:pPr>
        <w:pStyle w:val="Estilo1"/>
        <w:tabs>
          <w:tab w:val="clear" w:pos="18282"/>
          <w:tab w:val="num" w:pos="18012"/>
        </w:tabs>
        <w:spacing w:after="0"/>
        <w:rPr>
          <w:rFonts w:eastAsia="Times New Roman"/>
          <w:lang w:val="es-MX" w:eastAsia="es-MX"/>
        </w:rPr>
      </w:pPr>
      <w:r w:rsidRPr="00AE2A0E">
        <w:rPr>
          <w:rFonts w:eastAsia="Times New Roman"/>
          <w:b/>
          <w:lang w:val="es-CL" w:eastAsia="es-MX"/>
        </w:rPr>
        <w:t xml:space="preserve"> </w:t>
      </w:r>
      <w:r w:rsidRPr="00AE2A0E">
        <w:rPr>
          <w:rFonts w:eastAsia="Times New Roman"/>
          <w:lang w:val="es-MX" w:eastAsia="es-MX"/>
        </w:rPr>
        <w:t>El artículo 46.1.a) de la Convención Americana dispone que para que “sea admitida” una “petición o comunicación presentada” ante la Comisión Interamericana de conformidad con los artículos 44 o 45 de la Convención, es necesario que se “hayan interpuesto y agotado los recursos de la jurisdicción interna, conforme a los principios del Derecho Internacional generalmente reconocidos”. El inciso segundo del artículo 46 prevé excepciones a esa regla.</w:t>
      </w:r>
    </w:p>
    <w:p w:rsidR="007F6493" w:rsidRDefault="007F6493" w:rsidP="00C3491F">
      <w:pPr>
        <w:pStyle w:val="Estilo1"/>
        <w:numPr>
          <w:ilvl w:val="0"/>
          <w:numId w:val="0"/>
        </w:numPr>
        <w:spacing w:after="0"/>
        <w:rPr>
          <w:lang w:val="es-MX" w:eastAsia="es-MX"/>
        </w:rPr>
      </w:pPr>
    </w:p>
    <w:p w:rsidR="007F6493" w:rsidRDefault="00D40774" w:rsidP="00C3491F">
      <w:pPr>
        <w:pStyle w:val="Estilo1"/>
        <w:spacing w:after="0"/>
        <w:rPr>
          <w:rFonts w:eastAsia="Times New Roman"/>
          <w:lang w:val="es-MX" w:eastAsia="es-MX"/>
        </w:rPr>
      </w:pPr>
      <w:r w:rsidRPr="005E5940">
        <w:rPr>
          <w:rFonts w:eastAsia="Times New Roman"/>
          <w:lang w:val="es-MX" w:eastAsia="es-MX"/>
        </w:rPr>
        <w:t>Al respecto, en forma preliminar, la Corte advierte que la controversia planteada a partir de la primera excepción preliminar interpuesta por el Estado (falta de agotamiento de recursos internos) no se refiere a si los recursos de jurisdicción interna se agotaron o no. Conforme los argumentos presentados por las partes y la Comisión, no hay debate en cuanto a que tales recursos no se agotaron. La controversia, entonces, versa sobre la procedencia o improcedencia, en el caso, de excepciones a la regla establecida en el artículo 46 de la Convención Americana sobre el requerimiento de la interposición y agotamiento de los recursos de jurisdicción interna para que una “petición o comunicación presentada […] sea admitida por la Comisión</w:t>
      </w:r>
      <w:r w:rsidR="00FA45FB" w:rsidRPr="005E5940">
        <w:rPr>
          <w:rFonts w:eastAsia="Times New Roman"/>
          <w:lang w:val="es-MX" w:eastAsia="es-MX"/>
        </w:rPr>
        <w:t>”</w:t>
      </w:r>
      <w:r w:rsidR="00FA45FB" w:rsidRPr="009A1B82">
        <w:rPr>
          <w:rStyle w:val="FootnoteReference"/>
          <w:lang w:val="es-MX" w:eastAsia="es-MX"/>
        </w:rPr>
        <w:footnoteReference w:id="13"/>
      </w:r>
      <w:r w:rsidR="00FA45FB" w:rsidRPr="005E5940">
        <w:rPr>
          <w:rFonts w:eastAsia="Times New Roman"/>
          <w:lang w:val="es-MX" w:eastAsia="es-MX"/>
        </w:rPr>
        <w:t xml:space="preserve">. No resulta entonces pertinente el argumento de la segunda excepción preliminar interpuesta por Perú, sobre la supuesta “caducidad” del plazo de seis meses para presentar la petición inicial, pues ese plazo sólo es pertinente en casos en que hubiere una “decisión definitiva”. En efecto, según el inciso 1.b) del artículo 46 de la Convención Americana ese plazo debe computarse desde la “notificación al presunto lesionado] de la decisión definitiva”. El inciso 2 del mismo artículo establece que no se </w:t>
      </w:r>
      <w:r w:rsidR="00FA45FB" w:rsidRPr="005E5940">
        <w:rPr>
          <w:rFonts w:eastAsia="Times New Roman"/>
          <w:lang w:val="es-MX" w:eastAsia="es-MX"/>
        </w:rPr>
        <w:lastRenderedPageBreak/>
        <w:t>aplicará ese plazo en circunstancias en que tampoco aplica la exigencia del previo agotamiento de recursos de jurisdicción interna. Por ello, habiendo el Estado argumentado que en el caso no se agotaron tales recursos, es improcedente su alegato sobre la “caducidad”.</w:t>
      </w:r>
    </w:p>
    <w:p w:rsidR="000905B6" w:rsidRDefault="000905B6" w:rsidP="000905B6">
      <w:pPr>
        <w:pStyle w:val="Estilo1"/>
        <w:numPr>
          <w:ilvl w:val="0"/>
          <w:numId w:val="0"/>
        </w:numPr>
        <w:spacing w:after="0"/>
        <w:rPr>
          <w:rFonts w:eastAsia="Times New Roman"/>
          <w:lang w:val="es-MX" w:eastAsia="es-MX"/>
        </w:rPr>
      </w:pPr>
    </w:p>
    <w:p w:rsidR="007F6493" w:rsidRDefault="000905B6" w:rsidP="000905B6">
      <w:pPr>
        <w:pStyle w:val="Estilo1"/>
        <w:spacing w:after="0"/>
        <w:rPr>
          <w:lang w:val="es-CR"/>
        </w:rPr>
      </w:pPr>
      <w:r w:rsidRPr="000905B6">
        <w:rPr>
          <w:lang w:val="es-CR"/>
        </w:rPr>
        <w:t>Cabe recordar que la regla del previo agotamiento de los recursos internos es un requisito que debe cumplir la petición a fin de que pueda ser admitida, y está concebida en interés del Estado, pues busca dispensarlo de responder ante un órgano internacional por actos que se le imputen, antes de haber tenido la ocasión de remediarlos con sus propios medios</w:t>
      </w:r>
      <w:r>
        <w:rPr>
          <w:rStyle w:val="FootnoteReference"/>
          <w:lang w:val="es-CR"/>
        </w:rPr>
        <w:footnoteReference w:id="14"/>
      </w:r>
      <w:r w:rsidRPr="000905B6">
        <w:rPr>
          <w:lang w:val="es-CR"/>
        </w:rPr>
        <w:t>. Este Tribunal ha sostenido de manera consistente que una objeción al ejercicio de la jurisdicción de la Corte basada en la supuesta falta de agotamiento de los recursos internos debe ser presentada en el momento procesal oportuno</w:t>
      </w:r>
      <w:r>
        <w:rPr>
          <w:rStyle w:val="FootnoteReference"/>
          <w:lang w:val="es-CR"/>
        </w:rPr>
        <w:footnoteReference w:id="15"/>
      </w:r>
      <w:r w:rsidRPr="000905B6">
        <w:rPr>
          <w:lang w:val="es-CR"/>
        </w:rPr>
        <w:t>, esto es, durante la admisibilidad del procedimiento ante la Comisión</w:t>
      </w:r>
      <w:r>
        <w:rPr>
          <w:rStyle w:val="FootnoteReference"/>
          <w:lang w:val="es-CR"/>
        </w:rPr>
        <w:footnoteReference w:id="16"/>
      </w:r>
      <w:r w:rsidRPr="000905B6">
        <w:rPr>
          <w:lang w:val="es-CR"/>
        </w:rPr>
        <w:t>. En ese marco, la carga del Estado consiste en rebatir los argumentos esbozados en la petición o comunicación presentada, que de conformidad con normas convencionales, estatutarias y reglamentarias, debe exponer qué recursos se agotaron antes de la presentación o, en su defecto, explicar la procedencia de alguna de las excepciones referidas</w:t>
      </w:r>
      <w:r>
        <w:rPr>
          <w:rStyle w:val="FootnoteReference"/>
          <w:lang w:val="es-CR"/>
        </w:rPr>
        <w:footnoteReference w:id="17"/>
      </w:r>
      <w:r w:rsidRPr="000905B6">
        <w:rPr>
          <w:lang w:val="es-CR"/>
        </w:rPr>
        <w:t xml:space="preserve"> . Por otra parte, los argumentos que dan contenido </w:t>
      </w:r>
      <w:r w:rsidRPr="000905B6">
        <w:rPr>
          <w:lang w:val="es-CR"/>
        </w:rPr>
        <w:lastRenderedPageBreak/>
        <w:t>a la excepción preliminar interpuesta por el Estado ante la Comisión durante la etapa de admisibilidad deben corresponder a aquellos esgrimidos posteriormente ante la Corte</w:t>
      </w:r>
      <w:r>
        <w:rPr>
          <w:rStyle w:val="FootnoteReference"/>
          <w:lang w:val="es-CR"/>
        </w:rPr>
        <w:footnoteReference w:id="18"/>
      </w:r>
      <w:r w:rsidRPr="000905B6">
        <w:rPr>
          <w:lang w:val="es-CR"/>
        </w:rPr>
        <w:t>.</w:t>
      </w:r>
    </w:p>
    <w:p w:rsidR="000905B6" w:rsidRPr="000905B6" w:rsidRDefault="000905B6" w:rsidP="000905B6">
      <w:pPr>
        <w:pStyle w:val="Estilo1"/>
        <w:numPr>
          <w:ilvl w:val="0"/>
          <w:numId w:val="0"/>
        </w:numPr>
        <w:spacing w:after="0"/>
        <w:rPr>
          <w:lang w:val="es-CR"/>
        </w:rPr>
      </w:pPr>
    </w:p>
    <w:p w:rsidR="005E5940" w:rsidRDefault="00FA45FB" w:rsidP="005E5940">
      <w:pPr>
        <w:pStyle w:val="Estilo1"/>
        <w:tabs>
          <w:tab w:val="clear" w:pos="18282"/>
          <w:tab w:val="num" w:pos="18012"/>
        </w:tabs>
        <w:spacing w:after="0"/>
        <w:rPr>
          <w:lang w:val="es-CR"/>
        </w:rPr>
      </w:pPr>
      <w:r w:rsidRPr="00AE2A0E">
        <w:rPr>
          <w:rFonts w:eastAsia="Times New Roman"/>
          <w:lang w:val="es-MX" w:eastAsia="es-MX"/>
        </w:rPr>
        <w:t>Ahora bien, la carga del Estado de indicar recursos aptos para remediar los actos que se le imputan implica</w:t>
      </w:r>
      <w:r w:rsidRPr="00AE2A0E">
        <w:rPr>
          <w:lang w:val="es-CO"/>
        </w:rPr>
        <w:t xml:space="preserve"> que aquéllos no sólo deben existir formalmente, sino que también deben ser adecuados y efectivos, como resulta de las excepciones contempladas en el artículo 46.2 de la Convención</w:t>
      </w:r>
      <w:r w:rsidRPr="00AE2A0E">
        <w:rPr>
          <w:vertAlign w:val="superscript"/>
        </w:rPr>
        <w:footnoteReference w:id="19"/>
      </w:r>
      <w:r w:rsidRPr="00AE2A0E">
        <w:rPr>
          <w:lang w:val="es-CO"/>
        </w:rPr>
        <w:t>.</w:t>
      </w:r>
      <w:r w:rsidRPr="00AE2A0E">
        <w:rPr>
          <w:lang w:val="es-CR"/>
        </w:rPr>
        <w:t xml:space="preserve"> </w:t>
      </w:r>
      <w:r w:rsidRPr="00AE2A0E">
        <w:rPr>
          <w:lang w:val="es-CO"/>
        </w:rPr>
        <w:t xml:space="preserve">Al alegar la falta de agotamiento de los recursos de jurisdicción interna </w:t>
      </w:r>
      <w:r w:rsidRPr="00AE2A0E">
        <w:rPr>
          <w:rFonts w:cs="Arial"/>
          <w:lang w:val="es-CO"/>
        </w:rPr>
        <w:t xml:space="preserve">corresponde al Estado, entonces, </w:t>
      </w:r>
      <w:r w:rsidRPr="00AE2A0E">
        <w:rPr>
          <w:lang w:val="es-CO"/>
        </w:rPr>
        <w:t>señalar cuáles deben agotarse y su efectividad</w:t>
      </w:r>
      <w:r w:rsidRPr="00AE2A0E">
        <w:rPr>
          <w:rStyle w:val="FootnoteReference"/>
          <w:rFonts w:cs="Arial"/>
        </w:rPr>
        <w:footnoteReference w:id="20"/>
      </w:r>
      <w:r w:rsidRPr="00AE2A0E">
        <w:rPr>
          <w:rFonts w:cs="Arial"/>
          <w:lang w:val="es-CR"/>
        </w:rPr>
        <w:t>.</w:t>
      </w:r>
    </w:p>
    <w:p w:rsidR="007F6493" w:rsidRDefault="007F6493" w:rsidP="00C3491F">
      <w:pPr>
        <w:pStyle w:val="Estilo1"/>
        <w:numPr>
          <w:ilvl w:val="0"/>
          <w:numId w:val="0"/>
        </w:numPr>
        <w:spacing w:after="0"/>
        <w:rPr>
          <w:rFonts w:eastAsia="Times New Roman"/>
          <w:lang w:val="es-MX" w:eastAsia="es-MX"/>
        </w:rPr>
      </w:pPr>
    </w:p>
    <w:p w:rsidR="007F6493" w:rsidRPr="00E260A6" w:rsidRDefault="00FA45FB" w:rsidP="00C3491F">
      <w:pPr>
        <w:pStyle w:val="Estilo1"/>
        <w:tabs>
          <w:tab w:val="clear" w:pos="18282"/>
          <w:tab w:val="num" w:pos="18012"/>
        </w:tabs>
        <w:spacing w:after="0"/>
        <w:rPr>
          <w:rFonts w:eastAsia="Times New Roman"/>
          <w:lang w:val="es-MX" w:eastAsia="es-MX"/>
        </w:rPr>
      </w:pPr>
      <w:r w:rsidRPr="00AE2A0E">
        <w:rPr>
          <w:lang w:val="es-CR"/>
        </w:rPr>
        <w:t>Al respecto, desde su primer caso la Corte estableció que “[s]</w:t>
      </w:r>
      <w:r w:rsidRPr="00AE2A0E">
        <w:rPr>
          <w:rFonts w:cs="Arial"/>
          <w:lang w:val="es-CR" w:eastAsia="es-CR"/>
        </w:rPr>
        <w:t>i, en un caso específico, el recurso no es adecuado, es obvio que no hay que agotarlo”, y que tal adecuación significa que “la función de[l] recurso […], dentro del sistema del Derecho interno, sea idónea para proteger la situación jurídica infringida”</w:t>
      </w:r>
      <w:r w:rsidRPr="00AE2A0E">
        <w:rPr>
          <w:rStyle w:val="FootnoteReference"/>
        </w:rPr>
        <w:footnoteReference w:id="21"/>
      </w:r>
      <w:r w:rsidRPr="00AE2A0E">
        <w:rPr>
          <w:rFonts w:cs="Arial"/>
          <w:lang w:val="es-CR" w:eastAsia="es-CR"/>
        </w:rPr>
        <w:t xml:space="preserve">. </w:t>
      </w:r>
      <w:r w:rsidRPr="00AE2A0E">
        <w:rPr>
          <w:lang w:val="es-CR"/>
        </w:rPr>
        <w:t>Por ello, no es necesario el agotamiento de la vía interna respecto de todos o cualquiera de los recursos disponibles sino que, de acuerdo a jurisprudencia de este Tribunal, “los recursos que deben ser agotados son aquellos que resultan adecuados en la situación particular de la violación de derechos humanos alegada”</w:t>
      </w:r>
      <w:r w:rsidRPr="00AE2A0E">
        <w:rPr>
          <w:rStyle w:val="FootnoteReference"/>
        </w:rPr>
        <w:footnoteReference w:id="22"/>
      </w:r>
      <w:r w:rsidRPr="00AE2A0E">
        <w:rPr>
          <w:lang w:val="es-CR"/>
        </w:rPr>
        <w:t xml:space="preserve">. Al señalar lo anterior, </w:t>
      </w:r>
      <w:r w:rsidR="00A31663">
        <w:rPr>
          <w:lang w:val="es-CR"/>
        </w:rPr>
        <w:t xml:space="preserve">en un caso precedente, </w:t>
      </w:r>
      <w:r w:rsidRPr="00AE2A0E">
        <w:rPr>
          <w:lang w:val="es-CR"/>
        </w:rPr>
        <w:t>la Corte ha tenido oportunidad de advertir</w:t>
      </w:r>
      <w:r>
        <w:rPr>
          <w:lang w:val="es-CR"/>
        </w:rPr>
        <w:t xml:space="preserve"> </w:t>
      </w:r>
      <w:r w:rsidRPr="00AE2A0E">
        <w:rPr>
          <w:lang w:val="es-CR"/>
        </w:rPr>
        <w:t>la pertinencia del examen de recursos de jurisdicción interna que permitan “el cese o la reparación de aquellas violaciones alegadas por las presuntas víctimas”</w:t>
      </w:r>
      <w:r w:rsidRPr="00AE2A0E">
        <w:rPr>
          <w:rStyle w:val="FootnoteReference"/>
        </w:rPr>
        <w:footnoteReference w:id="23"/>
      </w:r>
      <w:r w:rsidRPr="00AE2A0E">
        <w:rPr>
          <w:lang w:val="es-CR"/>
        </w:rPr>
        <w:t xml:space="preserve">. </w:t>
      </w:r>
      <w:r w:rsidRPr="00AE2A0E">
        <w:rPr>
          <w:rFonts w:cs="Verdana"/>
          <w:lang w:val="es-CR" w:eastAsia="es-MX"/>
        </w:rPr>
        <w:t>En cuanto a la efectividad de los recursos, este Tribunal ha establecido que se trata de la “</w:t>
      </w:r>
      <w:proofErr w:type="gramStart"/>
      <w:r w:rsidRPr="00AE2A0E">
        <w:rPr>
          <w:lang w:val="es-CR"/>
        </w:rPr>
        <w:t>capa[</w:t>
      </w:r>
      <w:proofErr w:type="spellStart"/>
      <w:proofErr w:type="gramEnd"/>
      <w:r w:rsidRPr="00AE2A0E">
        <w:rPr>
          <w:lang w:val="es-CR"/>
        </w:rPr>
        <w:t>cidad</w:t>
      </w:r>
      <w:proofErr w:type="spellEnd"/>
      <w:r w:rsidRPr="00AE2A0E">
        <w:rPr>
          <w:lang w:val="es-CR"/>
        </w:rPr>
        <w:t>] de producir el resultado para el que ha[n] sido concebido[s]”</w:t>
      </w:r>
      <w:r w:rsidRPr="00AE2A0E">
        <w:rPr>
          <w:rStyle w:val="FootnoteReference"/>
        </w:rPr>
        <w:footnoteReference w:id="24"/>
      </w:r>
      <w:r w:rsidRPr="00AE2A0E">
        <w:rPr>
          <w:lang w:val="es-CR"/>
        </w:rPr>
        <w:t xml:space="preserve">. </w:t>
      </w:r>
    </w:p>
    <w:p w:rsidR="007F6493" w:rsidRPr="00E260A6" w:rsidRDefault="007F6493" w:rsidP="00E260A6">
      <w:pPr>
        <w:pStyle w:val="Estilo1"/>
        <w:numPr>
          <w:ilvl w:val="0"/>
          <w:numId w:val="0"/>
        </w:numPr>
        <w:spacing w:after="0"/>
        <w:contextualSpacing/>
        <w:rPr>
          <w:rFonts w:eastAsia="Times New Roman"/>
          <w:lang w:val="es-MX" w:eastAsia="es-MX"/>
        </w:rPr>
      </w:pPr>
    </w:p>
    <w:p w:rsidR="003417DB" w:rsidRPr="00033E64" w:rsidRDefault="00425148" w:rsidP="00033E64">
      <w:pPr>
        <w:pStyle w:val="Estilo1"/>
        <w:keepNext/>
        <w:tabs>
          <w:tab w:val="clear" w:pos="18282"/>
          <w:tab w:val="left" w:pos="720"/>
          <w:tab w:val="num" w:pos="18012"/>
        </w:tabs>
        <w:spacing w:after="0"/>
      </w:pPr>
      <w:r w:rsidRPr="00A9740C">
        <w:rPr>
          <w:rFonts w:eastAsia="Times New Roman"/>
          <w:lang w:val="es-MX" w:eastAsia="es-MX"/>
        </w:rPr>
        <w:t>La</w:t>
      </w:r>
      <w:r w:rsidRPr="00147835">
        <w:rPr>
          <w:rFonts w:eastAsia="Times New Roman"/>
          <w:lang w:val="es-MX" w:eastAsia="es-MX"/>
        </w:rPr>
        <w:t xml:space="preserve"> Corte constata que la petición inicial presentada expuso argumentos relativos a la regla de previo agotamiento de recursos de jurisdicción interna y la procedencia de excepciones a la misma</w:t>
      </w:r>
      <w:r>
        <w:rPr>
          <w:rFonts w:eastAsia="Times New Roman"/>
          <w:lang w:val="es-MX" w:eastAsia="es-MX"/>
        </w:rPr>
        <w:t xml:space="preserve">. </w:t>
      </w:r>
      <w:r w:rsidRPr="00A9740C">
        <w:rPr>
          <w:lang w:val="es-MX" w:eastAsia="es-MX"/>
        </w:rPr>
        <w:t>En efecto,</w:t>
      </w:r>
      <w:r>
        <w:rPr>
          <w:lang w:val="es-MX" w:eastAsia="es-MX"/>
        </w:rPr>
        <w:t xml:space="preserve"> en </w:t>
      </w:r>
      <w:r w:rsidRPr="00A33895">
        <w:rPr>
          <w:lang w:val="es-MX" w:eastAsia="es-MX"/>
        </w:rPr>
        <w:t xml:space="preserve">su </w:t>
      </w:r>
      <w:r>
        <w:rPr>
          <w:lang w:val="es-MX" w:eastAsia="es-MX"/>
        </w:rPr>
        <w:t>informe</w:t>
      </w:r>
      <w:r w:rsidRPr="00A33895">
        <w:rPr>
          <w:lang w:val="es-MX" w:eastAsia="es-MX"/>
        </w:rPr>
        <w:t xml:space="preserve"> de 2 de enero de 1996, anexo a su </w:t>
      </w:r>
      <w:r>
        <w:rPr>
          <w:lang w:val="es-MX" w:eastAsia="es-MX"/>
        </w:rPr>
        <w:t>escrito</w:t>
      </w:r>
      <w:r w:rsidRPr="00A33895">
        <w:rPr>
          <w:lang w:val="es-MX" w:eastAsia="es-MX"/>
        </w:rPr>
        <w:t xml:space="preserve"> de 3 de los mismos mes y año ante la Comisión, la presunta víctima </w:t>
      </w:r>
      <w:r w:rsidRPr="00147835">
        <w:rPr>
          <w:lang w:val="es-MX" w:eastAsia="es-MX"/>
        </w:rPr>
        <w:t>(</w:t>
      </w:r>
      <w:r w:rsidRPr="00A9740C">
        <w:rPr>
          <w:lang w:val="es-MX" w:eastAsia="es-MX"/>
        </w:rPr>
        <w:t>actuando como</w:t>
      </w:r>
      <w:r w:rsidRPr="00147835">
        <w:rPr>
          <w:lang w:val="es-MX" w:eastAsia="es-MX"/>
        </w:rPr>
        <w:t xml:space="preserve"> peticionari</w:t>
      </w:r>
      <w:r>
        <w:rPr>
          <w:lang w:val="es-MX" w:eastAsia="es-MX"/>
        </w:rPr>
        <w:t>a</w:t>
      </w:r>
      <w:r w:rsidRPr="00147835">
        <w:rPr>
          <w:lang w:val="es-MX" w:eastAsia="es-MX"/>
        </w:rPr>
        <w:t>)</w:t>
      </w:r>
      <w:r w:rsidRPr="00A33895">
        <w:rPr>
          <w:lang w:val="es-MX" w:eastAsia="es-MX"/>
        </w:rPr>
        <w:t xml:space="preserve"> expresó que</w:t>
      </w:r>
    </w:p>
    <w:p w:rsidR="00033E64" w:rsidRDefault="00033E64" w:rsidP="00033E64">
      <w:pPr>
        <w:pStyle w:val="Estilo1"/>
        <w:keepNext/>
        <w:numPr>
          <w:ilvl w:val="0"/>
          <w:numId w:val="0"/>
        </w:numPr>
        <w:tabs>
          <w:tab w:val="left" w:pos="720"/>
        </w:tabs>
        <w:spacing w:after="0"/>
      </w:pPr>
    </w:p>
    <w:p w:rsidR="007F6493" w:rsidRPr="003417DB" w:rsidRDefault="005D127B" w:rsidP="003417DB">
      <w:pPr>
        <w:pStyle w:val="Estilo1"/>
        <w:numPr>
          <w:ilvl w:val="0"/>
          <w:numId w:val="0"/>
        </w:numPr>
        <w:spacing w:after="0"/>
        <w:ind w:left="576" w:right="576"/>
        <w:contextualSpacing/>
        <w:rPr>
          <w:rFonts w:eastAsia="Times New Roman"/>
          <w:lang w:val="es-MX" w:eastAsia="es-MX"/>
        </w:rPr>
      </w:pPr>
      <w:proofErr w:type="gramStart"/>
      <w:r>
        <w:rPr>
          <w:sz w:val="16"/>
          <w:szCs w:val="16"/>
          <w:lang w:val="es-MX" w:eastAsia="es-MX"/>
        </w:rPr>
        <w:t>no</w:t>
      </w:r>
      <w:proofErr w:type="gramEnd"/>
      <w:r>
        <w:rPr>
          <w:sz w:val="16"/>
          <w:szCs w:val="16"/>
          <w:lang w:val="es-MX" w:eastAsia="es-MX"/>
        </w:rPr>
        <w:t xml:space="preserve"> </w:t>
      </w:r>
      <w:proofErr w:type="spellStart"/>
      <w:r>
        <w:rPr>
          <w:sz w:val="16"/>
          <w:szCs w:val="16"/>
          <w:lang w:val="es-MX" w:eastAsia="es-MX"/>
        </w:rPr>
        <w:t>interpus</w:t>
      </w:r>
      <w:proofErr w:type="spellEnd"/>
      <w:r>
        <w:rPr>
          <w:sz w:val="16"/>
          <w:szCs w:val="16"/>
          <w:lang w:val="es-MX" w:eastAsia="es-MX"/>
        </w:rPr>
        <w:t>[o] la acción de Há</w:t>
      </w:r>
      <w:r w:rsidR="00425148" w:rsidRPr="00A33895">
        <w:rPr>
          <w:sz w:val="16"/>
          <w:szCs w:val="16"/>
          <w:lang w:val="es-MX" w:eastAsia="es-MX"/>
        </w:rPr>
        <w:t xml:space="preserve">beas Corpus, durante [su] reclusión por espacio de 31 días, esto debido a la falta de garantías en </w:t>
      </w:r>
      <w:r w:rsidR="00425148">
        <w:rPr>
          <w:sz w:val="16"/>
          <w:szCs w:val="16"/>
          <w:lang w:val="es-MX" w:eastAsia="es-MX"/>
        </w:rPr>
        <w:t xml:space="preserve">[la] </w:t>
      </w:r>
      <w:r w:rsidR="00425148" w:rsidRPr="00A33895">
        <w:rPr>
          <w:sz w:val="16"/>
          <w:szCs w:val="16"/>
          <w:lang w:val="es-MX" w:eastAsia="es-MX"/>
        </w:rPr>
        <w:t>adm</w:t>
      </w:r>
      <w:r w:rsidR="00425148">
        <w:rPr>
          <w:sz w:val="16"/>
          <w:szCs w:val="16"/>
          <w:lang w:val="es-MX" w:eastAsia="es-MX"/>
        </w:rPr>
        <w:t xml:space="preserve">inistración de justicia ante el </w:t>
      </w:r>
      <w:r w:rsidR="00425148" w:rsidRPr="00A33895">
        <w:rPr>
          <w:sz w:val="16"/>
          <w:szCs w:val="16"/>
          <w:lang w:val="es-MX" w:eastAsia="es-MX"/>
        </w:rPr>
        <w:t xml:space="preserve">avasallamiento y control del Comando Político Militar </w:t>
      </w:r>
      <w:proofErr w:type="spellStart"/>
      <w:r w:rsidR="00425148" w:rsidRPr="00A33895">
        <w:rPr>
          <w:sz w:val="16"/>
          <w:szCs w:val="16"/>
          <w:lang w:val="es-MX" w:eastAsia="es-MX"/>
        </w:rPr>
        <w:t>jefaturado</w:t>
      </w:r>
      <w:proofErr w:type="spellEnd"/>
      <w:r w:rsidR="00425148" w:rsidRPr="00A33895">
        <w:rPr>
          <w:sz w:val="16"/>
          <w:szCs w:val="16"/>
          <w:lang w:val="es-MX" w:eastAsia="es-MX"/>
        </w:rPr>
        <w:t xml:space="preserve"> por el Coronel Negrón a los órganos y fiscalización de la ciudad de Huánuco (Poder Judicial y Ministerio Público)[.] En un marco y clima de acoso, amenaza y sometimiento a quienes administra</w:t>
      </w:r>
      <w:r w:rsidR="00425148">
        <w:rPr>
          <w:sz w:val="16"/>
          <w:szCs w:val="16"/>
          <w:lang w:val="es-MX" w:eastAsia="es-MX"/>
        </w:rPr>
        <w:t>ban</w:t>
      </w:r>
      <w:r w:rsidR="00425148" w:rsidRPr="00A33895">
        <w:rPr>
          <w:sz w:val="16"/>
          <w:szCs w:val="16"/>
          <w:lang w:val="es-MX" w:eastAsia="es-MX"/>
        </w:rPr>
        <w:t xml:space="preserve"> justicia, era lógico que la ciudadanía se encontrará totalmente desprotegida y en el caso particular del recurrente exigir una acción de garantías en esas circunstancias, sobre todo con la intervención</w:t>
      </w:r>
      <w:r w:rsidR="00425148">
        <w:rPr>
          <w:sz w:val="16"/>
          <w:szCs w:val="16"/>
          <w:lang w:val="es-MX" w:eastAsia="es-MX"/>
        </w:rPr>
        <w:t xml:space="preserve"> directa</w:t>
      </w:r>
      <w:r w:rsidR="00425148" w:rsidRPr="00A33895">
        <w:rPr>
          <w:sz w:val="16"/>
          <w:szCs w:val="16"/>
          <w:lang w:val="es-MX" w:eastAsia="es-MX"/>
        </w:rPr>
        <w:t xml:space="preserve"> del Presidente de la República, [su]</w:t>
      </w:r>
      <w:r w:rsidR="00425148" w:rsidRPr="00903070">
        <w:rPr>
          <w:sz w:val="16"/>
          <w:szCs w:val="16"/>
          <w:lang w:val="es-MX" w:eastAsia="es-MX"/>
        </w:rPr>
        <w:t xml:space="preserve"> pretensión iba a caer en saco roto; es por ello que no se interpuso la acción de garantía correspondiente</w:t>
      </w:r>
      <w:r w:rsidR="00425148">
        <w:rPr>
          <w:rStyle w:val="FootnoteReference"/>
          <w:sz w:val="16"/>
          <w:szCs w:val="16"/>
          <w:lang w:val="es-MX" w:eastAsia="es-MX"/>
        </w:rPr>
        <w:footnoteReference w:id="25"/>
      </w:r>
      <w:r w:rsidR="00425148" w:rsidRPr="00903070">
        <w:rPr>
          <w:sz w:val="16"/>
          <w:szCs w:val="16"/>
          <w:lang w:val="es-MX" w:eastAsia="es-MX"/>
        </w:rPr>
        <w:t>.</w:t>
      </w:r>
    </w:p>
    <w:p w:rsidR="00FA45FB" w:rsidRPr="00B327EE" w:rsidRDefault="00FA45FB" w:rsidP="00FA45FB">
      <w:pPr>
        <w:pStyle w:val="Estilo1"/>
        <w:keepNext/>
        <w:tabs>
          <w:tab w:val="clear" w:pos="18282"/>
          <w:tab w:val="left" w:pos="720"/>
          <w:tab w:val="num" w:pos="18012"/>
        </w:tabs>
        <w:spacing w:after="0"/>
        <w:ind w:right="29"/>
      </w:pPr>
      <w:r w:rsidRPr="00A9740C">
        <w:rPr>
          <w:rFonts w:eastAsia="Times New Roman"/>
          <w:lang w:val="es-MX" w:eastAsia="es-MX"/>
        </w:rPr>
        <w:lastRenderedPageBreak/>
        <w:t>Respecto a lo anterior, la</w:t>
      </w:r>
      <w:r w:rsidRPr="00B327EE">
        <w:rPr>
          <w:rFonts w:eastAsia="Times New Roman"/>
          <w:lang w:val="es-MX" w:eastAsia="es-MX"/>
        </w:rPr>
        <w:t xml:space="preserve"> Comisión, al igual que el Estado, indicó que Perú introdujo sus argumentos en forma oportuna (</w:t>
      </w:r>
      <w:r w:rsidRPr="00B327EE">
        <w:rPr>
          <w:rFonts w:eastAsia="Times New Roman"/>
          <w:i/>
          <w:lang w:val="es-MX" w:eastAsia="es-MX"/>
        </w:rPr>
        <w:t>supra</w:t>
      </w:r>
      <w:r w:rsidRPr="00B327EE">
        <w:rPr>
          <w:rFonts w:eastAsia="Times New Roman"/>
          <w:lang w:val="es-MX" w:eastAsia="es-MX"/>
        </w:rPr>
        <w:t xml:space="preserve"> </w:t>
      </w:r>
      <w:proofErr w:type="spellStart"/>
      <w:r w:rsidRPr="00B327EE">
        <w:rPr>
          <w:rFonts w:eastAsia="Times New Roman"/>
          <w:lang w:val="es-MX" w:eastAsia="es-MX"/>
        </w:rPr>
        <w:t>párrs</w:t>
      </w:r>
      <w:proofErr w:type="spellEnd"/>
      <w:r w:rsidRPr="00B327EE">
        <w:rPr>
          <w:rFonts w:eastAsia="Times New Roman"/>
          <w:lang w:val="es-MX" w:eastAsia="es-MX"/>
        </w:rPr>
        <w:t xml:space="preserve">. </w:t>
      </w:r>
      <w:r w:rsidR="0091557F">
        <w:rPr>
          <w:rFonts w:eastAsia="Times New Roman"/>
          <w:lang w:val="es-MX" w:eastAsia="es-MX"/>
        </w:rPr>
        <w:t>19 y 22</w:t>
      </w:r>
      <w:r w:rsidR="0091557F" w:rsidRPr="00B327EE">
        <w:rPr>
          <w:rFonts w:eastAsia="Times New Roman"/>
          <w:lang w:val="es-MX" w:eastAsia="es-MX"/>
        </w:rPr>
        <w:t xml:space="preserve">). </w:t>
      </w:r>
      <w:r w:rsidRPr="00B327EE">
        <w:rPr>
          <w:rFonts w:eastAsia="Times New Roman"/>
          <w:lang w:val="es-MX" w:eastAsia="es-MX"/>
        </w:rPr>
        <w:t>La Corte constata que</w:t>
      </w:r>
      <w:r w:rsidRPr="00A9740C">
        <w:rPr>
          <w:rFonts w:eastAsia="Times New Roman"/>
          <w:lang w:val="es-MX" w:eastAsia="es-MX"/>
        </w:rPr>
        <w:t>, ciertamente,</w:t>
      </w:r>
      <w:r w:rsidRPr="00B327EE">
        <w:rPr>
          <w:rFonts w:eastAsia="Times New Roman"/>
          <w:lang w:val="es-MX" w:eastAsia="es-MX"/>
        </w:rPr>
        <w:t xml:space="preserve"> el Estado presentó sus argumentos </w:t>
      </w:r>
      <w:r w:rsidRPr="00CC1DCF">
        <w:rPr>
          <w:rFonts w:eastAsia="Times New Roman"/>
          <w:lang w:val="es-MX" w:eastAsia="es-MX"/>
        </w:rPr>
        <w:t>por primera vez el 6</w:t>
      </w:r>
      <w:r w:rsidRPr="00CC1DCF">
        <w:rPr>
          <w:rFonts w:eastAsia="Times New Roman"/>
          <w:color w:val="FF0000"/>
          <w:lang w:val="es-MX" w:eastAsia="es-MX"/>
        </w:rPr>
        <w:t xml:space="preserve"> </w:t>
      </w:r>
      <w:r w:rsidRPr="00CC1DCF">
        <w:rPr>
          <w:rFonts w:eastAsia="Times New Roman"/>
          <w:lang w:val="es-MX" w:eastAsia="es-MX"/>
        </w:rPr>
        <w:t>de mayo de 1996,</w:t>
      </w:r>
      <w:r w:rsidRPr="00B327EE">
        <w:rPr>
          <w:rFonts w:eastAsia="Times New Roman"/>
          <w:lang w:val="es-MX" w:eastAsia="es-MX"/>
        </w:rPr>
        <w:t xml:space="preserve"> en su escrito de observaciones a la petición </w:t>
      </w:r>
      <w:r w:rsidRPr="00A9740C">
        <w:rPr>
          <w:rFonts w:eastAsia="Times New Roman"/>
          <w:lang w:val="es-MX" w:eastAsia="es-MX"/>
        </w:rPr>
        <w:t>inicial,</w:t>
      </w:r>
      <w:r w:rsidRPr="00432AC8">
        <w:rPr>
          <w:rFonts w:eastAsia="Times New Roman"/>
          <w:b/>
          <w:lang w:val="es-MX" w:eastAsia="es-MX"/>
        </w:rPr>
        <w:t xml:space="preserve"> </w:t>
      </w:r>
      <w:r w:rsidRPr="00A9740C">
        <w:rPr>
          <w:rFonts w:eastAsia="Times New Roman"/>
          <w:lang w:val="es-MX" w:eastAsia="es-MX"/>
        </w:rPr>
        <w:t>que fue recibido por la Comisión el 8 de los mismos mes y año.</w:t>
      </w:r>
      <w:r w:rsidRPr="0063322A">
        <w:rPr>
          <w:rFonts w:eastAsia="Times New Roman"/>
          <w:lang w:val="es-MX" w:eastAsia="es-MX"/>
        </w:rPr>
        <w:t xml:space="preserve"> </w:t>
      </w:r>
      <w:r w:rsidRPr="00A9740C">
        <w:rPr>
          <w:rFonts w:eastAsia="Times New Roman"/>
          <w:lang w:val="es-MX" w:eastAsia="es-MX"/>
        </w:rPr>
        <w:t>En esa oportunidad, Perú señaló que</w:t>
      </w:r>
      <w:r w:rsidRPr="00B327EE">
        <w:rPr>
          <w:rFonts w:eastAsia="Times New Roman"/>
          <w:lang w:val="es-MX" w:eastAsia="es-MX"/>
        </w:rPr>
        <w:t xml:space="preserve"> </w:t>
      </w:r>
    </w:p>
    <w:p w:rsidR="00FA45FB" w:rsidRPr="00777852" w:rsidRDefault="00FA45FB" w:rsidP="00FA45FB">
      <w:pPr>
        <w:pStyle w:val="ListParagraph"/>
        <w:ind w:left="0"/>
        <w:jc w:val="both"/>
        <w:rPr>
          <w:sz w:val="20"/>
          <w:szCs w:val="20"/>
          <w:lang w:val="es-MX" w:eastAsia="es-MX"/>
        </w:rPr>
      </w:pPr>
    </w:p>
    <w:p w:rsidR="00FA45FB" w:rsidRPr="00777852" w:rsidRDefault="00E260A6" w:rsidP="00EA3065">
      <w:pPr>
        <w:pStyle w:val="ListParagraph"/>
        <w:ind w:left="567" w:right="720"/>
        <w:jc w:val="both"/>
        <w:rPr>
          <w:sz w:val="16"/>
          <w:szCs w:val="16"/>
          <w:lang w:val="es-MX" w:eastAsia="es-MX"/>
        </w:rPr>
      </w:pPr>
      <w:r w:rsidRPr="008310B2">
        <w:rPr>
          <w:sz w:val="16"/>
          <w:szCs w:val="16"/>
          <w:lang w:val="es-MX" w:eastAsia="es-MX"/>
        </w:rPr>
        <w:t>[c]</w:t>
      </w:r>
      <w:proofErr w:type="spellStart"/>
      <w:r w:rsidRPr="008310B2">
        <w:rPr>
          <w:sz w:val="16"/>
          <w:szCs w:val="16"/>
          <w:lang w:val="es-MX" w:eastAsia="es-MX"/>
        </w:rPr>
        <w:t>onforme</w:t>
      </w:r>
      <w:proofErr w:type="spellEnd"/>
      <w:r w:rsidRPr="008310B2">
        <w:rPr>
          <w:sz w:val="16"/>
          <w:szCs w:val="16"/>
          <w:lang w:val="es-MX" w:eastAsia="es-MX"/>
        </w:rPr>
        <w:t xml:space="preserve"> </w:t>
      </w:r>
      <w:r w:rsidR="00FA45FB" w:rsidRPr="008310B2">
        <w:rPr>
          <w:sz w:val="16"/>
          <w:szCs w:val="16"/>
          <w:lang w:val="es-MX" w:eastAsia="es-MX"/>
        </w:rPr>
        <w:t>es</w:t>
      </w:r>
      <w:r w:rsidR="00FA45FB" w:rsidRPr="00777852">
        <w:rPr>
          <w:sz w:val="16"/>
          <w:szCs w:val="16"/>
          <w:lang w:val="es-MX" w:eastAsia="es-MX"/>
        </w:rPr>
        <w:t xml:space="preserve"> de apreciarse de los anexos de la denuncia, no aparece en parte alguna que el accionante haya cumplido con recurrir o interponer ante las instancias judiciales las garantías constitucionales arriba señaladas, o haya presentado ante el órgano jurisdiccional competente su denuncia o demanda; en efecto de toda la voluminosa denuncia aparece meridianamente que:</w:t>
      </w:r>
    </w:p>
    <w:p w:rsidR="00FA45FB" w:rsidRPr="00777852" w:rsidRDefault="00FA45FB" w:rsidP="00EA3065">
      <w:pPr>
        <w:ind w:left="567" w:right="720"/>
        <w:rPr>
          <w:rFonts w:eastAsia="Times New Roman"/>
          <w:sz w:val="16"/>
          <w:szCs w:val="16"/>
          <w:lang w:val="es-MX" w:eastAsia="es-MX"/>
        </w:rPr>
      </w:pPr>
      <w:r w:rsidRPr="00777852">
        <w:rPr>
          <w:rFonts w:eastAsia="Times New Roman"/>
          <w:sz w:val="16"/>
          <w:szCs w:val="16"/>
          <w:lang w:val="es-MX" w:eastAsia="es-MX"/>
        </w:rPr>
        <w:t>1.- El denunciante no interpuso el recurso de “Hábeas Corpus”.</w:t>
      </w:r>
    </w:p>
    <w:p w:rsidR="00FA45FB" w:rsidRPr="00777852" w:rsidRDefault="00FA45FB" w:rsidP="00EA3065">
      <w:pPr>
        <w:ind w:left="567" w:right="720"/>
        <w:rPr>
          <w:rFonts w:eastAsia="Times New Roman"/>
          <w:sz w:val="16"/>
          <w:szCs w:val="16"/>
          <w:lang w:val="es-MX" w:eastAsia="es-MX"/>
        </w:rPr>
      </w:pPr>
      <w:r w:rsidRPr="00777852">
        <w:rPr>
          <w:rFonts w:eastAsia="Times New Roman"/>
          <w:sz w:val="16"/>
          <w:szCs w:val="16"/>
          <w:lang w:val="es-MX" w:eastAsia="es-MX"/>
        </w:rPr>
        <w:t xml:space="preserve">2.- El denunciante </w:t>
      </w:r>
      <w:r>
        <w:rPr>
          <w:rFonts w:eastAsia="Times New Roman"/>
          <w:sz w:val="16"/>
          <w:szCs w:val="16"/>
          <w:lang w:val="es-MX" w:eastAsia="es-MX"/>
        </w:rPr>
        <w:t>n</w:t>
      </w:r>
      <w:r w:rsidRPr="00777852">
        <w:rPr>
          <w:rFonts w:eastAsia="Times New Roman"/>
          <w:sz w:val="16"/>
          <w:szCs w:val="16"/>
          <w:lang w:val="es-MX" w:eastAsia="es-MX"/>
        </w:rPr>
        <w:t xml:space="preserve">o interpuso acción penal </w:t>
      </w:r>
      <w:proofErr w:type="spellStart"/>
      <w:r w:rsidR="0091557F" w:rsidRPr="00777852">
        <w:rPr>
          <w:rFonts w:eastAsia="Times New Roman"/>
          <w:sz w:val="16"/>
          <w:szCs w:val="16"/>
          <w:lang w:val="es-MX" w:eastAsia="es-MX"/>
        </w:rPr>
        <w:t>algun</w:t>
      </w:r>
      <w:proofErr w:type="spellEnd"/>
      <w:r w:rsidR="0091557F">
        <w:rPr>
          <w:rFonts w:eastAsia="Times New Roman"/>
          <w:sz w:val="16"/>
          <w:szCs w:val="16"/>
          <w:lang w:val="es-MX" w:eastAsia="es-MX"/>
        </w:rPr>
        <w:t>[o]</w:t>
      </w:r>
      <w:r w:rsidR="0091557F" w:rsidRPr="00777852">
        <w:rPr>
          <w:rFonts w:eastAsia="Times New Roman"/>
          <w:sz w:val="16"/>
          <w:szCs w:val="16"/>
          <w:lang w:val="es-MX" w:eastAsia="es-MX"/>
        </w:rPr>
        <w:t xml:space="preserve"> </w:t>
      </w:r>
      <w:r w:rsidRPr="00777852">
        <w:rPr>
          <w:rFonts w:eastAsia="Times New Roman"/>
          <w:sz w:val="16"/>
          <w:szCs w:val="16"/>
          <w:lang w:val="es-MX" w:eastAsia="es-MX"/>
        </w:rPr>
        <w:t>contra las autoridades militares, policiales y/o políticas supuestamente implicadas en los hechos delictivos que denuncia haberse cometido en su contra.</w:t>
      </w:r>
    </w:p>
    <w:p w:rsidR="00FA45FB" w:rsidRPr="00777852" w:rsidRDefault="00FA45FB" w:rsidP="00EA3065">
      <w:pPr>
        <w:ind w:left="567" w:right="720"/>
        <w:rPr>
          <w:rFonts w:eastAsia="Times New Roman"/>
          <w:sz w:val="16"/>
          <w:szCs w:val="16"/>
          <w:lang w:val="es-MX" w:eastAsia="es-MX"/>
        </w:rPr>
      </w:pPr>
      <w:r w:rsidRPr="00777852">
        <w:rPr>
          <w:rFonts w:eastAsia="Times New Roman"/>
          <w:sz w:val="16"/>
          <w:szCs w:val="16"/>
          <w:lang w:val="es-MX" w:eastAsia="es-MX"/>
        </w:rPr>
        <w:t>3.- El denunciante no interpuso recurso impugnatorio alguna contra la decisión de la Fiscalía Superior que aprobó el cuestionado acogimiento a la Ley de Arrepentimiento.</w:t>
      </w:r>
    </w:p>
    <w:p w:rsidR="00FA45FB" w:rsidRPr="00777852" w:rsidRDefault="00FA45FB" w:rsidP="00EA3065">
      <w:pPr>
        <w:ind w:left="567" w:right="720"/>
        <w:rPr>
          <w:rFonts w:eastAsia="Times New Roman"/>
          <w:sz w:val="16"/>
          <w:szCs w:val="16"/>
          <w:lang w:val="es-MX" w:eastAsia="es-MX"/>
        </w:rPr>
      </w:pPr>
      <w:r w:rsidRPr="00777852">
        <w:rPr>
          <w:rFonts w:eastAsia="Times New Roman"/>
          <w:sz w:val="16"/>
          <w:szCs w:val="16"/>
          <w:lang w:val="es-MX" w:eastAsia="es-MX"/>
        </w:rPr>
        <w:t xml:space="preserve">4.- El denunciante, pese a su condición de Abogado y ex - magistrado, conocía y conoce perfectamente los recursos de la jurisdicción interna de nuestro país, no obstante, se limitó, </w:t>
      </w:r>
      <w:r>
        <w:rPr>
          <w:rFonts w:eastAsia="Times New Roman"/>
          <w:sz w:val="16"/>
          <w:szCs w:val="16"/>
          <w:lang w:val="es-MX" w:eastAsia="es-MX"/>
        </w:rPr>
        <w:t xml:space="preserve">como él mismo lo reconoce </w:t>
      </w:r>
      <w:r w:rsidRPr="00777852">
        <w:rPr>
          <w:rFonts w:eastAsia="Times New Roman"/>
          <w:sz w:val="16"/>
          <w:szCs w:val="16"/>
          <w:lang w:val="es-MX" w:eastAsia="es-MX"/>
        </w:rPr>
        <w:t>a diversas trámites administrativos como</w:t>
      </w:r>
    </w:p>
    <w:p w:rsidR="00FA45FB" w:rsidRPr="00777852" w:rsidRDefault="00FA45FB" w:rsidP="00EA3065">
      <w:pPr>
        <w:ind w:left="567" w:right="720"/>
        <w:rPr>
          <w:rFonts w:eastAsia="Times New Roman"/>
          <w:sz w:val="16"/>
          <w:szCs w:val="16"/>
          <w:lang w:val="es-MX" w:eastAsia="es-MX"/>
        </w:rPr>
      </w:pPr>
      <w:r w:rsidRPr="00777852">
        <w:rPr>
          <w:rFonts w:eastAsia="Times New Roman"/>
          <w:sz w:val="16"/>
          <w:szCs w:val="16"/>
          <w:lang w:val="es-MX" w:eastAsia="es-MX"/>
        </w:rPr>
        <w:t>a.- Presentar una queja – informe – por ante el Órgano de Control de la Magistratura del Poder Judicial.</w:t>
      </w:r>
    </w:p>
    <w:p w:rsidR="00FA45FB" w:rsidRPr="00777852" w:rsidRDefault="00FA45FB" w:rsidP="00EA3065">
      <w:pPr>
        <w:ind w:left="567" w:right="720"/>
        <w:rPr>
          <w:rFonts w:eastAsia="Times New Roman"/>
          <w:sz w:val="16"/>
          <w:szCs w:val="16"/>
          <w:lang w:val="es-MX" w:eastAsia="es-MX"/>
        </w:rPr>
      </w:pPr>
      <w:r w:rsidRPr="00777852">
        <w:rPr>
          <w:rFonts w:eastAsia="Times New Roman"/>
          <w:sz w:val="16"/>
          <w:szCs w:val="16"/>
          <w:lang w:val="es-MX" w:eastAsia="es-MX"/>
        </w:rPr>
        <w:t>b.- Presentar una denuncia ante el Ministerio de Defensa e Inspectoría General.</w:t>
      </w:r>
    </w:p>
    <w:p w:rsidR="00FA45FB" w:rsidRPr="00777852" w:rsidRDefault="00FA45FB" w:rsidP="00EA3065">
      <w:pPr>
        <w:ind w:left="567" w:right="720"/>
        <w:rPr>
          <w:rFonts w:eastAsia="Times New Roman"/>
          <w:sz w:val="16"/>
          <w:szCs w:val="16"/>
          <w:lang w:val="es-MX" w:eastAsia="es-MX"/>
        </w:rPr>
      </w:pPr>
      <w:r w:rsidRPr="00777852">
        <w:rPr>
          <w:rFonts w:eastAsia="Times New Roman"/>
          <w:sz w:val="16"/>
          <w:szCs w:val="16"/>
          <w:lang w:val="es-MX" w:eastAsia="es-MX"/>
        </w:rPr>
        <w:t>5.- El denunciante no ha acreditado en modo alguno que se le haya impedido el uso de los recursos de la jurisdicción interna, ni menos impedido el agotar tales recursos o que haya retardo en el pronunciamiento respectivo.</w:t>
      </w:r>
    </w:p>
    <w:p w:rsidR="00FA45FB" w:rsidRPr="00A9740C" w:rsidRDefault="00FA45FB" w:rsidP="00FA45FB">
      <w:pPr>
        <w:rPr>
          <w:lang w:val="es-MX" w:eastAsia="es-MX"/>
        </w:rPr>
      </w:pPr>
    </w:p>
    <w:p w:rsidR="00FA45FB" w:rsidRPr="00AE2A0E" w:rsidRDefault="00FA45FB" w:rsidP="00FA45FB">
      <w:pPr>
        <w:pStyle w:val="Estilo1"/>
        <w:tabs>
          <w:tab w:val="clear" w:pos="18282"/>
          <w:tab w:val="num" w:pos="18012"/>
        </w:tabs>
        <w:spacing w:after="0"/>
        <w:rPr>
          <w:rFonts w:eastAsia="Times New Roman"/>
          <w:lang w:val="es-MX" w:eastAsia="es-MX"/>
        </w:rPr>
      </w:pPr>
      <w:r w:rsidRPr="00AE2A0E">
        <w:rPr>
          <w:rFonts w:eastAsia="Times New Roman"/>
          <w:lang w:val="es-MX" w:eastAsia="es-MX"/>
        </w:rPr>
        <w:t xml:space="preserve">Surge del cotejo de los argumentos estatales planteados ante la Corte y del escrito estatal </w:t>
      </w:r>
      <w:r w:rsidR="00867DC1">
        <w:rPr>
          <w:rFonts w:eastAsia="Times New Roman"/>
          <w:lang w:val="es-MX" w:eastAsia="es-MX"/>
        </w:rPr>
        <w:t>de</w:t>
      </w:r>
      <w:r w:rsidRPr="00BE7307">
        <w:rPr>
          <w:rFonts w:eastAsia="Times New Roman"/>
          <w:lang w:val="es-MX" w:eastAsia="es-MX"/>
        </w:rPr>
        <w:t xml:space="preserve"> 6 de mayo de 1996 </w:t>
      </w:r>
      <w:r w:rsidRPr="00AE2A0E">
        <w:rPr>
          <w:rFonts w:eastAsia="Times New Roman"/>
          <w:lang w:val="es-MX" w:eastAsia="es-MX"/>
        </w:rPr>
        <w:t xml:space="preserve">y </w:t>
      </w:r>
      <w:r w:rsidR="00364F39">
        <w:rPr>
          <w:rFonts w:eastAsia="Times New Roman"/>
          <w:lang w:val="es-MX" w:eastAsia="es-MX"/>
        </w:rPr>
        <w:t>d</w:t>
      </w:r>
      <w:r w:rsidRPr="00AE2A0E">
        <w:rPr>
          <w:rFonts w:eastAsia="Times New Roman"/>
          <w:lang w:val="es-MX" w:eastAsia="es-MX"/>
        </w:rPr>
        <w:t>el Informe de Admisibilidad</w:t>
      </w:r>
      <w:r w:rsidRPr="00432AC8">
        <w:rPr>
          <w:rStyle w:val="FootnoteReference"/>
          <w:lang w:val="es-MX" w:eastAsia="es-MX"/>
        </w:rPr>
        <w:footnoteReference w:id="26"/>
      </w:r>
      <w:r w:rsidRPr="00AE2A0E">
        <w:rPr>
          <w:rFonts w:eastAsia="Times New Roman"/>
          <w:lang w:val="es-MX" w:eastAsia="es-MX"/>
        </w:rPr>
        <w:t xml:space="preserve"> que, aun no usando una terminología idéntica el Estado había argüido ante la Comisión lo mismo que ante </w:t>
      </w:r>
      <w:r w:rsidR="00C04F84" w:rsidRPr="00420EA7">
        <w:rPr>
          <w:rFonts w:eastAsia="Times New Roman"/>
          <w:lang w:val="es-MX" w:eastAsia="es-MX"/>
        </w:rPr>
        <w:t>este Tribunal</w:t>
      </w:r>
      <w:r w:rsidR="00BA4C0D" w:rsidRPr="00420EA7">
        <w:rPr>
          <w:rFonts w:eastAsia="Times New Roman"/>
          <w:lang w:val="es-MX" w:eastAsia="es-MX"/>
        </w:rPr>
        <w:t>.</w:t>
      </w:r>
      <w:r w:rsidRPr="00420EA7">
        <w:rPr>
          <w:rFonts w:eastAsia="Times New Roman"/>
          <w:lang w:val="es-MX" w:eastAsia="es-MX"/>
        </w:rPr>
        <w:t xml:space="preserve"> </w:t>
      </w:r>
      <w:r w:rsidR="00BA4C0D" w:rsidRPr="00420EA7">
        <w:rPr>
          <w:rFonts w:eastAsia="Times New Roman"/>
          <w:lang w:val="es-MX" w:eastAsia="es-MX"/>
        </w:rPr>
        <w:t xml:space="preserve">Además, ante la Corte alegó por primera vez </w:t>
      </w:r>
      <w:r w:rsidRPr="00420EA7">
        <w:rPr>
          <w:rFonts w:eastAsia="Times New Roman"/>
          <w:lang w:val="es-MX" w:eastAsia="es-MX"/>
        </w:rPr>
        <w:t>l</w:t>
      </w:r>
      <w:r w:rsidRPr="00AE2A0E">
        <w:rPr>
          <w:rFonts w:eastAsia="Times New Roman"/>
          <w:lang w:val="es-MX" w:eastAsia="es-MX"/>
        </w:rPr>
        <w:t>a posibilidad que el señor Galindo accediera a una reparación económica en el marco del proceso penal</w:t>
      </w:r>
      <w:r w:rsidR="00DC45F5">
        <w:rPr>
          <w:rFonts w:eastAsia="Times New Roman"/>
          <w:lang w:val="es-MX" w:eastAsia="es-MX"/>
        </w:rPr>
        <w:t xml:space="preserve">, </w:t>
      </w:r>
      <w:r w:rsidRPr="00AE2A0E">
        <w:rPr>
          <w:rFonts w:eastAsia="Times New Roman"/>
          <w:lang w:val="es-MX" w:eastAsia="es-MX"/>
        </w:rPr>
        <w:t>cuestión que no planteó oportunamente ante la Comisión (</w:t>
      </w:r>
      <w:r w:rsidRPr="00AE2A0E">
        <w:rPr>
          <w:rFonts w:eastAsia="Times New Roman"/>
          <w:i/>
          <w:lang w:val="es-MX" w:eastAsia="es-MX"/>
        </w:rPr>
        <w:t>supra</w:t>
      </w:r>
      <w:r w:rsidRPr="00AE2A0E">
        <w:rPr>
          <w:rFonts w:eastAsia="Times New Roman"/>
          <w:lang w:val="es-MX" w:eastAsia="es-MX"/>
        </w:rPr>
        <w:t xml:space="preserve"> párr.</w:t>
      </w:r>
      <w:r w:rsidR="00984AAD">
        <w:rPr>
          <w:rFonts w:eastAsia="Times New Roman"/>
          <w:lang w:val="es-MX" w:eastAsia="es-MX"/>
        </w:rPr>
        <w:t xml:space="preserve"> </w:t>
      </w:r>
      <w:r w:rsidR="00F171DA">
        <w:rPr>
          <w:rFonts w:eastAsia="Times New Roman"/>
          <w:lang w:val="es-MX" w:eastAsia="es-MX"/>
        </w:rPr>
        <w:t>19</w:t>
      </w:r>
      <w:r w:rsidR="0028076B">
        <w:rPr>
          <w:rFonts w:eastAsia="Times New Roman"/>
          <w:lang w:val="es-MX" w:eastAsia="es-MX"/>
        </w:rPr>
        <w:t xml:space="preserve"> y 35</w:t>
      </w:r>
      <w:r w:rsidR="00DC45F5">
        <w:rPr>
          <w:rFonts w:eastAsia="Times New Roman"/>
          <w:lang w:val="es-MX" w:eastAsia="es-MX"/>
        </w:rPr>
        <w:t>).</w:t>
      </w:r>
      <w:r w:rsidRPr="00AE2A0E">
        <w:rPr>
          <w:rFonts w:eastAsia="Times New Roman"/>
          <w:lang w:val="es-MX" w:eastAsia="es-MX"/>
        </w:rPr>
        <w:t xml:space="preserve"> </w:t>
      </w:r>
      <w:r w:rsidR="00BA4C0D" w:rsidRPr="00420EA7">
        <w:rPr>
          <w:rFonts w:eastAsia="Times New Roman"/>
          <w:lang w:val="es-MX" w:eastAsia="es-MX"/>
        </w:rPr>
        <w:t xml:space="preserve">Cabe señalar también que </w:t>
      </w:r>
      <w:r w:rsidRPr="00420EA7">
        <w:rPr>
          <w:rFonts w:eastAsia="Times New Roman"/>
          <w:lang w:val="es-MX" w:eastAsia="es-MX"/>
        </w:rPr>
        <w:t xml:space="preserve">el </w:t>
      </w:r>
      <w:r w:rsidRPr="00420EA7">
        <w:rPr>
          <w:rFonts w:eastAsia="Times New Roman"/>
          <w:lang w:val="es-MX" w:eastAsia="es-MX"/>
        </w:rPr>
        <w:lastRenderedPageBreak/>
        <w:t xml:space="preserve">27 de diciembre de 1996 </w:t>
      </w:r>
      <w:r w:rsidR="00BA4C0D" w:rsidRPr="00420EA7">
        <w:rPr>
          <w:rFonts w:eastAsia="Times New Roman"/>
          <w:lang w:val="es-MX" w:eastAsia="es-MX"/>
        </w:rPr>
        <w:t xml:space="preserve">el Estado </w:t>
      </w:r>
      <w:r w:rsidRPr="00420EA7">
        <w:rPr>
          <w:rFonts w:eastAsia="Times New Roman"/>
          <w:lang w:val="es-MX" w:eastAsia="es-MX"/>
        </w:rPr>
        <w:t>indicó a la Comisión</w:t>
      </w:r>
      <w:r w:rsidRPr="00AE2A0E">
        <w:rPr>
          <w:rFonts w:eastAsia="Times New Roman"/>
          <w:lang w:val="es-MX" w:eastAsia="es-MX"/>
        </w:rPr>
        <w:t xml:space="preserve"> que el señor Galindo no interpuso un recurso de hábeas data, pero no sostuvo ante la Corte en forma oportuna la pertinencia de tal recurso</w:t>
      </w:r>
      <w:r w:rsidRPr="00AE2A0E">
        <w:rPr>
          <w:rStyle w:val="FootnoteReference"/>
          <w:lang w:val="es-MX" w:eastAsia="es-MX"/>
        </w:rPr>
        <w:footnoteReference w:id="27"/>
      </w:r>
      <w:r w:rsidRPr="00AE2A0E">
        <w:rPr>
          <w:rFonts w:eastAsia="Times New Roman"/>
          <w:lang w:val="es-MX" w:eastAsia="es-MX"/>
        </w:rPr>
        <w:t xml:space="preserve">. </w:t>
      </w:r>
    </w:p>
    <w:p w:rsidR="00FA45FB" w:rsidRPr="00AE2A0E" w:rsidRDefault="00FA45FB" w:rsidP="00FA45FB">
      <w:pPr>
        <w:pStyle w:val="Estilo1"/>
        <w:numPr>
          <w:ilvl w:val="0"/>
          <w:numId w:val="0"/>
        </w:numPr>
        <w:spacing w:after="0"/>
        <w:rPr>
          <w:rFonts w:eastAsia="Times New Roman"/>
          <w:lang w:val="es-MX" w:eastAsia="es-MX"/>
        </w:rPr>
      </w:pPr>
    </w:p>
    <w:p w:rsidR="00FA45FB" w:rsidRPr="00AE2A0E" w:rsidRDefault="0028076B" w:rsidP="00FA45FB">
      <w:pPr>
        <w:pStyle w:val="Estilo1"/>
        <w:tabs>
          <w:tab w:val="clear" w:pos="18282"/>
          <w:tab w:val="num" w:pos="18012"/>
        </w:tabs>
        <w:spacing w:after="0"/>
        <w:rPr>
          <w:rFonts w:eastAsia="Times New Roman"/>
          <w:lang w:val="es-MX" w:eastAsia="es-MX"/>
        </w:rPr>
      </w:pPr>
      <w:r>
        <w:rPr>
          <w:rFonts w:eastAsia="Times New Roman"/>
          <w:lang w:val="es-MX" w:eastAsia="es-MX"/>
        </w:rPr>
        <w:t xml:space="preserve">Dado </w:t>
      </w:r>
      <w:r w:rsidRPr="00AE2A0E">
        <w:rPr>
          <w:rFonts w:eastAsia="Times New Roman"/>
          <w:lang w:val="es-MX" w:eastAsia="es-MX"/>
        </w:rPr>
        <w:t xml:space="preserve">lo anterior, debe examinarse si el Estado sustentó que los recursos internos que mencionó oportunamente resultaban adecuados y efectivos. </w:t>
      </w:r>
    </w:p>
    <w:p w:rsidR="00FA45FB" w:rsidRPr="00AE2A0E" w:rsidRDefault="00FA45FB" w:rsidP="00FA45FB">
      <w:pPr>
        <w:pStyle w:val="ListParagraph"/>
        <w:tabs>
          <w:tab w:val="left" w:pos="0"/>
        </w:tabs>
        <w:ind w:left="27"/>
        <w:jc w:val="both"/>
        <w:rPr>
          <w:b/>
          <w:lang w:val="es-MX" w:eastAsia="es-MX"/>
        </w:rPr>
      </w:pPr>
    </w:p>
    <w:p w:rsidR="00FA45FB" w:rsidRPr="00AE2A0E" w:rsidRDefault="00FA45FB" w:rsidP="00FA45FB">
      <w:pPr>
        <w:pStyle w:val="Estilo1"/>
        <w:tabs>
          <w:tab w:val="clear" w:pos="18282"/>
          <w:tab w:val="num" w:pos="18012"/>
        </w:tabs>
        <w:spacing w:after="0"/>
        <w:rPr>
          <w:rFonts w:eastAsia="Times New Roman"/>
          <w:lang w:val="es-MX" w:eastAsia="es-MX"/>
        </w:rPr>
      </w:pPr>
      <w:r w:rsidRPr="00AE2A0E">
        <w:rPr>
          <w:rFonts w:eastAsia="Times New Roman"/>
          <w:lang w:val="es-MX" w:eastAsia="es-MX"/>
        </w:rPr>
        <w:t>Al respecto, debe resolverse sobre argumentos de la Comisión de los que se desprende que, a su entender, en las circunstancias del caso sólo la investigación de los hechos</w:t>
      </w:r>
      <w:r w:rsidR="00F12EFA">
        <w:rPr>
          <w:rFonts w:eastAsia="Times New Roman"/>
          <w:lang w:val="es-MX" w:eastAsia="es-MX"/>
        </w:rPr>
        <w:t xml:space="preserve"> </w:t>
      </w:r>
      <w:r w:rsidR="008E6755">
        <w:rPr>
          <w:rFonts w:eastAsia="Times New Roman"/>
          <w:lang w:val="es-MX" w:eastAsia="es-MX"/>
        </w:rPr>
        <w:t xml:space="preserve">vinculada a </w:t>
      </w:r>
      <w:r w:rsidR="00F12EFA" w:rsidRPr="008E6755">
        <w:rPr>
          <w:rFonts w:eastAsia="Times New Roman"/>
          <w:lang w:val="es-MX" w:eastAsia="es-MX"/>
        </w:rPr>
        <w:t>un proceso penal</w:t>
      </w:r>
      <w:r w:rsidRPr="00AE2A0E">
        <w:rPr>
          <w:rFonts w:eastAsia="Times New Roman"/>
          <w:lang w:val="es-MX" w:eastAsia="es-MX"/>
        </w:rPr>
        <w:t xml:space="preserve"> podría constituir un recurso adecuado</w:t>
      </w:r>
      <w:r w:rsidRPr="00AE2A0E">
        <w:rPr>
          <w:rStyle w:val="FootnoteReference"/>
          <w:lang w:val="es-MX" w:eastAsia="es-MX"/>
        </w:rPr>
        <w:footnoteReference w:id="28"/>
      </w:r>
      <w:r w:rsidRPr="00AE2A0E">
        <w:rPr>
          <w:rFonts w:eastAsia="Times New Roman"/>
          <w:lang w:val="es-MX" w:eastAsia="es-MX"/>
        </w:rPr>
        <w:t>. La Comisión afirmó, además, que “cuando el peticionario agota una vía no resulta</w:t>
      </w:r>
      <w:r w:rsidR="00193DE9">
        <w:rPr>
          <w:rFonts w:eastAsia="Times New Roman"/>
          <w:lang w:val="es-MX" w:eastAsia="es-MX"/>
        </w:rPr>
        <w:t xml:space="preserve"> </w:t>
      </w:r>
      <w:r w:rsidRPr="00AE2A0E">
        <w:rPr>
          <w:rFonts w:eastAsia="Times New Roman"/>
          <w:lang w:val="es-MX" w:eastAsia="es-MX"/>
        </w:rPr>
        <w:t>exigirle que agote vías adicionales” (</w:t>
      </w:r>
      <w:r w:rsidRPr="00AE2A0E">
        <w:rPr>
          <w:rFonts w:eastAsia="Times New Roman"/>
          <w:i/>
          <w:lang w:val="es-MX" w:eastAsia="es-MX"/>
        </w:rPr>
        <w:t>supra</w:t>
      </w:r>
      <w:r w:rsidRPr="00AE2A0E">
        <w:rPr>
          <w:rFonts w:eastAsia="Times New Roman"/>
          <w:lang w:val="es-MX" w:eastAsia="es-MX"/>
        </w:rPr>
        <w:t xml:space="preserve"> párr. </w:t>
      </w:r>
      <w:r w:rsidR="00F171DA">
        <w:rPr>
          <w:rFonts w:eastAsia="Times New Roman"/>
          <w:lang w:val="es-MX" w:eastAsia="es-MX"/>
        </w:rPr>
        <w:t>24</w:t>
      </w:r>
      <w:r w:rsidR="00F171DA" w:rsidRPr="00AE2A0E">
        <w:rPr>
          <w:rFonts w:eastAsia="Times New Roman"/>
          <w:lang w:val="es-MX" w:eastAsia="es-MX"/>
        </w:rPr>
        <w:t>).</w:t>
      </w:r>
    </w:p>
    <w:p w:rsidR="00FA45FB" w:rsidRPr="00AE2A0E" w:rsidRDefault="00FA45FB" w:rsidP="00FA45FB">
      <w:pPr>
        <w:pStyle w:val="ListParagraph"/>
        <w:tabs>
          <w:tab w:val="left" w:pos="0"/>
        </w:tabs>
        <w:ind w:left="27"/>
        <w:contextualSpacing/>
        <w:jc w:val="both"/>
        <w:rPr>
          <w:lang w:val="es-MX" w:eastAsia="es-MX"/>
        </w:rPr>
      </w:pPr>
    </w:p>
    <w:p w:rsidR="00FA45FB" w:rsidRPr="00AE2A0E" w:rsidRDefault="00FA45FB" w:rsidP="00FA45FB">
      <w:pPr>
        <w:pStyle w:val="Estilo1"/>
        <w:tabs>
          <w:tab w:val="clear" w:pos="18282"/>
          <w:tab w:val="num" w:pos="18012"/>
        </w:tabs>
        <w:spacing w:after="0"/>
        <w:rPr>
          <w:rFonts w:eastAsia="Times New Roman"/>
          <w:lang w:val="es-MX" w:eastAsia="es-MX"/>
        </w:rPr>
      </w:pPr>
      <w:r w:rsidRPr="00AE2A0E">
        <w:rPr>
          <w:rFonts w:eastAsia="Times New Roman"/>
          <w:lang w:val="es-MX" w:eastAsia="es-MX"/>
        </w:rPr>
        <w:t>Este Tribunal entiende que si bien puede resultar acertado en general lo sostenido por la Comisión en cuanto a que el agotamiento de una vía interna exime del agotamiento de vías adicionales, ello no puede llevar a descartar automáticamente el análisis de argumentos estatales sobre los diversos recursos procedentes, al menos cuando existe una diferencia entre el objeto o fin de la vía interna instada o desarrollada y aquella aludida por el Estado</w:t>
      </w:r>
      <w:r w:rsidRPr="00AE2A0E">
        <w:rPr>
          <w:rStyle w:val="FootnoteReference"/>
          <w:lang w:val="es-MX" w:eastAsia="es-MX"/>
        </w:rPr>
        <w:footnoteReference w:id="29"/>
      </w:r>
      <w:r w:rsidRPr="00AE2A0E">
        <w:rPr>
          <w:rFonts w:eastAsia="Times New Roman"/>
          <w:lang w:val="es-MX" w:eastAsia="es-MX"/>
        </w:rPr>
        <w:t xml:space="preserve">. </w:t>
      </w:r>
    </w:p>
    <w:p w:rsidR="00FA45FB" w:rsidRPr="00AE2A0E" w:rsidRDefault="00FA45FB" w:rsidP="00FA45FB">
      <w:pPr>
        <w:pStyle w:val="ListParagraph"/>
        <w:tabs>
          <w:tab w:val="left" w:pos="0"/>
        </w:tabs>
        <w:ind w:left="27"/>
        <w:contextualSpacing/>
        <w:jc w:val="both"/>
        <w:rPr>
          <w:lang w:val="es-MX" w:eastAsia="es-MX"/>
        </w:rPr>
      </w:pPr>
    </w:p>
    <w:p w:rsidR="00FA45FB" w:rsidRPr="00AE2A0E" w:rsidRDefault="00FA45FB" w:rsidP="00FA45FB">
      <w:pPr>
        <w:pStyle w:val="Estilo1"/>
        <w:tabs>
          <w:tab w:val="clear" w:pos="18282"/>
          <w:tab w:val="num" w:pos="18012"/>
        </w:tabs>
        <w:spacing w:after="0"/>
        <w:rPr>
          <w:rFonts w:eastAsia="Times New Roman"/>
          <w:lang w:val="es-MX" w:eastAsia="es-MX"/>
        </w:rPr>
      </w:pPr>
      <w:r w:rsidRPr="00AE2A0E">
        <w:rPr>
          <w:rFonts w:eastAsia="Times New Roman"/>
          <w:lang w:val="es-MX" w:eastAsia="es-MX"/>
        </w:rPr>
        <w:t>En el caso, la Comisión centró su examen de admisibilidad en la investigación de los hechos, por tratarse según afirmó, de “delitos perseguibles de oficio”. Al respecto,</w:t>
      </w:r>
      <w:r w:rsidR="007E33AD">
        <w:rPr>
          <w:rFonts w:eastAsia="Times New Roman"/>
          <w:lang w:val="es-MX" w:eastAsia="es-MX"/>
        </w:rPr>
        <w:t xml:space="preserve"> al examinar un caso precedente,</w:t>
      </w:r>
      <w:r w:rsidRPr="00AE2A0E">
        <w:rPr>
          <w:rFonts w:eastAsia="Times New Roman"/>
          <w:lang w:val="es-MX" w:eastAsia="es-MX"/>
        </w:rPr>
        <w:t xml:space="preserve"> este Tribunal ha indicado que “los recursos penales tienen por objeto determinar la existencia de un hecho punible y, en su caso, la responsabilidad penal de los supuestos infractores” y que tienen “una finalidad diferente y complementaria” </w:t>
      </w:r>
      <w:r w:rsidRPr="00AE2A0E">
        <w:rPr>
          <w:rFonts w:eastAsia="Times New Roman"/>
          <w:lang w:val="es-MX" w:eastAsia="es-MX"/>
        </w:rPr>
        <w:lastRenderedPageBreak/>
        <w:t xml:space="preserve">a </w:t>
      </w:r>
      <w:r w:rsidRPr="00AE2A0E">
        <w:rPr>
          <w:lang w:val="es-CR"/>
        </w:rPr>
        <w:t>l</w:t>
      </w:r>
      <w:r w:rsidRPr="00AE2A0E">
        <w:rPr>
          <w:rFonts w:eastAsia="Times New Roman"/>
          <w:lang w:val="es-MX" w:eastAsia="es-MX"/>
        </w:rPr>
        <w:t>a perseguida por recursos que, de ser el caso, fueran aptos para lograr el cese de las violaciones</w:t>
      </w:r>
      <w:r w:rsidRPr="00AE2A0E">
        <w:rPr>
          <w:rStyle w:val="FootnoteReference"/>
          <w:lang w:val="es-MX" w:eastAsia="es-MX"/>
        </w:rPr>
        <w:footnoteReference w:id="30"/>
      </w:r>
      <w:r w:rsidRPr="00AE2A0E">
        <w:rPr>
          <w:rFonts w:eastAsia="Times New Roman"/>
          <w:lang w:val="es-MX" w:eastAsia="es-MX"/>
        </w:rPr>
        <w:t xml:space="preserve">. </w:t>
      </w:r>
    </w:p>
    <w:p w:rsidR="00FA45FB" w:rsidRPr="00AE2A0E" w:rsidRDefault="00FA45FB" w:rsidP="00FA45FB">
      <w:pPr>
        <w:pStyle w:val="ListParagraph"/>
        <w:rPr>
          <w:lang w:val="es-MX" w:eastAsia="es-MX"/>
        </w:rPr>
      </w:pPr>
    </w:p>
    <w:p w:rsidR="00FA45FB" w:rsidRPr="00E30D94" w:rsidRDefault="00FA45FB" w:rsidP="00FA45FB">
      <w:pPr>
        <w:pStyle w:val="Estilo1"/>
        <w:tabs>
          <w:tab w:val="clear" w:pos="18282"/>
          <w:tab w:val="num" w:pos="18012"/>
        </w:tabs>
        <w:spacing w:after="0"/>
        <w:rPr>
          <w:rFonts w:eastAsia="Times New Roman"/>
          <w:lang w:val="es-MX" w:eastAsia="es-MX"/>
        </w:rPr>
      </w:pPr>
      <w:r w:rsidRPr="001A4A05">
        <w:rPr>
          <w:rFonts w:eastAsia="Times New Roman"/>
          <w:lang w:val="es-MX" w:eastAsia="es-MX"/>
        </w:rPr>
        <w:t>La Corte considera que lo anterior debe ser tenido en consideración. Al respecto, el examen sobre el agotamiento de los recursos internos debe realizarse con cierto grado de flexibilidad</w:t>
      </w:r>
      <w:r w:rsidR="00F12EFA" w:rsidRPr="001A4A05">
        <w:rPr>
          <w:rStyle w:val="FootnoteReference"/>
          <w:lang w:val="es-MX" w:eastAsia="es-MX"/>
        </w:rPr>
        <w:footnoteReference w:id="31"/>
      </w:r>
      <w:r w:rsidRPr="001A4A05">
        <w:rPr>
          <w:rFonts w:eastAsia="Times New Roman"/>
          <w:lang w:val="es-MX" w:eastAsia="es-MX"/>
        </w:rPr>
        <w:t xml:space="preserve">, atendiendo a las circunstancias particulares de cada situación, de modo de poder evaluar si en el caso fue posible dar al Estado la oportunidad de resolver la situación en el ámbito interno. Por ello, la Corte considera que la circunstancia de que las violaciones a derechos humanos alegadas se vinculen a un delito </w:t>
      </w:r>
      <w:r w:rsidR="00793EB5">
        <w:rPr>
          <w:rFonts w:eastAsia="Times New Roman"/>
          <w:lang w:val="es-MX" w:eastAsia="es-MX"/>
        </w:rPr>
        <w:t>perseguible</w:t>
      </w:r>
      <w:r w:rsidR="00793EB5" w:rsidRPr="001A4A05">
        <w:rPr>
          <w:rFonts w:eastAsia="Times New Roman"/>
          <w:lang w:val="es-MX" w:eastAsia="es-MX"/>
        </w:rPr>
        <w:t xml:space="preserve"> </w:t>
      </w:r>
      <w:r w:rsidRPr="001A4A05">
        <w:rPr>
          <w:rFonts w:eastAsia="Times New Roman"/>
          <w:lang w:val="es-MX" w:eastAsia="es-MX"/>
        </w:rPr>
        <w:t xml:space="preserve">de oficio no exime por sí misma de la necesidad de evaluar argumentos estatales sobre otros recursos internos. Es que, aún de considerarse que son pertinentes deberes oficiosos del Estado, debe evaluarse en cada caso si el afectado (u otras personas o entidades en su nombre o interés) tuvo y ejerció la posibilidad, mediante el uso de recursos disponibles, </w:t>
      </w:r>
      <w:r w:rsidR="00D40774" w:rsidRPr="00E30D94">
        <w:rPr>
          <w:rFonts w:eastAsia="Times New Roman"/>
          <w:lang w:val="es-MX" w:eastAsia="es-MX"/>
        </w:rPr>
        <w:t xml:space="preserve">de dar oportunidad al Estado de solucionar el asunto por sus propios </w:t>
      </w:r>
      <w:proofErr w:type="spellStart"/>
      <w:r w:rsidR="00D40774" w:rsidRPr="00E30D94">
        <w:rPr>
          <w:rFonts w:eastAsia="Times New Roman"/>
          <w:lang w:val="es-MX" w:eastAsia="es-MX"/>
        </w:rPr>
        <w:t>medi</w:t>
      </w:r>
      <w:proofErr w:type="spellEnd"/>
      <w:r w:rsidR="00D40774" w:rsidRPr="00E30D94">
        <w:rPr>
          <w:lang w:val="es-CR"/>
        </w:rPr>
        <w:t>o</w:t>
      </w:r>
      <w:r w:rsidR="00D40774" w:rsidRPr="00E30D94">
        <w:rPr>
          <w:rFonts w:eastAsia="Times New Roman"/>
          <w:lang w:val="es-MX" w:eastAsia="es-MX"/>
        </w:rPr>
        <w:t>s</w:t>
      </w:r>
      <w:r w:rsidRPr="00E30D94">
        <w:rPr>
          <w:rFonts w:eastAsia="Times New Roman"/>
          <w:lang w:val="es-MX" w:eastAsia="es-MX"/>
        </w:rPr>
        <w:t xml:space="preserve">.  </w:t>
      </w:r>
    </w:p>
    <w:p w:rsidR="00FA45FB" w:rsidRPr="00AE2A0E" w:rsidRDefault="00FA45FB" w:rsidP="00FA45FB">
      <w:pPr>
        <w:pStyle w:val="ListParagraph"/>
        <w:rPr>
          <w:lang w:val="es-MX" w:eastAsia="es-MX"/>
        </w:rPr>
      </w:pPr>
    </w:p>
    <w:p w:rsidR="00FA45FB" w:rsidRPr="00AE2A0E" w:rsidRDefault="00FA45FB" w:rsidP="00FA45FB">
      <w:pPr>
        <w:pStyle w:val="Estilo1"/>
        <w:tabs>
          <w:tab w:val="clear" w:pos="18282"/>
          <w:tab w:val="num" w:pos="18012"/>
        </w:tabs>
        <w:spacing w:after="0"/>
        <w:rPr>
          <w:rFonts w:eastAsia="Times New Roman"/>
          <w:lang w:val="es-MX" w:eastAsia="es-MX"/>
        </w:rPr>
      </w:pPr>
      <w:r w:rsidRPr="00AE2A0E">
        <w:rPr>
          <w:rFonts w:eastAsia="Times New Roman"/>
          <w:lang w:val="es-MX" w:eastAsia="es-MX"/>
        </w:rPr>
        <w:t>En este sentido,</w:t>
      </w:r>
      <w:r>
        <w:rPr>
          <w:rFonts w:eastAsia="Times New Roman"/>
          <w:lang w:val="es-MX" w:eastAsia="es-MX"/>
        </w:rPr>
        <w:t xml:space="preserve"> </w:t>
      </w:r>
      <w:r w:rsidRPr="00AE2A0E">
        <w:rPr>
          <w:rFonts w:eastAsia="Times New Roman"/>
          <w:lang w:val="es-MX" w:eastAsia="es-MX"/>
        </w:rPr>
        <w:t xml:space="preserve">se advierte que en </w:t>
      </w:r>
      <w:r>
        <w:rPr>
          <w:rFonts w:eastAsia="Times New Roman"/>
          <w:lang w:val="es-MX" w:eastAsia="es-MX"/>
        </w:rPr>
        <w:t>su</w:t>
      </w:r>
      <w:r w:rsidRPr="008C4B24">
        <w:rPr>
          <w:rFonts w:eastAsia="Times New Roman"/>
          <w:b/>
          <w:lang w:val="es-MX" w:eastAsia="es-MX"/>
        </w:rPr>
        <w:t xml:space="preserve"> </w:t>
      </w:r>
      <w:r w:rsidRPr="009B308A">
        <w:rPr>
          <w:rFonts w:eastAsia="Times New Roman"/>
          <w:lang w:val="es-MX" w:eastAsia="es-MX"/>
        </w:rPr>
        <w:t>escrito de 6 de mayo de 1996</w:t>
      </w:r>
      <w:r w:rsidR="001676FF">
        <w:rPr>
          <w:rFonts w:eastAsia="Times New Roman"/>
          <w:lang w:val="es-MX" w:eastAsia="es-MX"/>
        </w:rPr>
        <w:t xml:space="preserve"> presentado el 8 de los mismos mes y año ante la Comisión,</w:t>
      </w:r>
      <w:r w:rsidRPr="009B308A">
        <w:rPr>
          <w:rFonts w:eastAsia="Times New Roman"/>
          <w:lang w:val="es-MX" w:eastAsia="es-MX"/>
        </w:rPr>
        <w:t xml:space="preserve"> el Estado indicó diversos recursos de jurisdicción interna. </w:t>
      </w:r>
      <w:r w:rsidRPr="009B308A">
        <w:rPr>
          <w:rFonts w:eastAsia="Times New Roman"/>
        </w:rPr>
        <w:t xml:space="preserve">Sin embargo, respecto a la mayor parte de los recursos que indicó, </w:t>
      </w:r>
      <w:r w:rsidRPr="009B308A">
        <w:rPr>
          <w:rFonts w:eastAsia="Times New Roman"/>
          <w:lang w:val="es-MX" w:eastAsia="es-MX"/>
        </w:rPr>
        <w:t>señaló sólo algunas c</w:t>
      </w:r>
      <w:r w:rsidRPr="00AE2A0E">
        <w:rPr>
          <w:rFonts w:eastAsia="Times New Roman"/>
          <w:lang w:val="es-MX" w:eastAsia="es-MX"/>
        </w:rPr>
        <w:t xml:space="preserve">aracterísticas genéricas de tales </w:t>
      </w:r>
      <w:r w:rsidRPr="009B308A">
        <w:rPr>
          <w:rFonts w:eastAsia="Times New Roman"/>
          <w:lang w:val="es-MX" w:eastAsia="es-MX"/>
        </w:rPr>
        <w:t>recursos y</w:t>
      </w:r>
      <w:r>
        <w:rPr>
          <w:rFonts w:eastAsia="Times New Roman"/>
          <w:lang w:val="es-MX" w:eastAsia="es-MX"/>
        </w:rPr>
        <w:t xml:space="preserve"> </w:t>
      </w:r>
      <w:r w:rsidRPr="00AE2A0E">
        <w:rPr>
          <w:rFonts w:eastAsia="Times New Roman"/>
          <w:lang w:val="es-MX" w:eastAsia="es-MX"/>
        </w:rPr>
        <w:t>no hizo una explicación detallada de su funcionamiento y el modo en que cada uno podría resultar efectivo para proteger o garantizar los derechos del señor Galindo o sus familiares, reparar o, en su caso y oportunidad, hacer cesar las supuestas violaciones a sus derechos</w:t>
      </w:r>
      <w:r w:rsidRPr="00AE2A0E">
        <w:rPr>
          <w:rStyle w:val="FootnoteReference"/>
          <w:lang w:val="es-MX" w:eastAsia="es-MX"/>
        </w:rPr>
        <w:footnoteReference w:id="32"/>
      </w:r>
      <w:r w:rsidRPr="00AE2A0E">
        <w:rPr>
          <w:rFonts w:eastAsia="Times New Roman"/>
          <w:lang w:val="es-MX" w:eastAsia="es-MX"/>
        </w:rPr>
        <w:t xml:space="preserve">. En un escrito presentado ante la Comisión el 27 de diciembre de 1996 Perú hizo consideraciones sobre esos recursos, </w:t>
      </w:r>
      <w:proofErr w:type="gramStart"/>
      <w:r w:rsidRPr="00AE2A0E">
        <w:rPr>
          <w:rFonts w:eastAsia="Times New Roman"/>
          <w:lang w:val="es-MX" w:eastAsia="es-MX"/>
        </w:rPr>
        <w:t>mas</w:t>
      </w:r>
      <w:proofErr w:type="gramEnd"/>
      <w:r w:rsidRPr="00AE2A0E">
        <w:rPr>
          <w:rFonts w:eastAsia="Times New Roman"/>
          <w:lang w:val="es-MX" w:eastAsia="es-MX"/>
        </w:rPr>
        <w:t xml:space="preserve"> sin profundizar en la información o descripción de su funcionamiento o </w:t>
      </w:r>
      <w:r w:rsidRPr="00AE2A0E">
        <w:rPr>
          <w:rFonts w:eastAsia="Times New Roman"/>
          <w:lang w:val="es-MX" w:eastAsia="es-MX"/>
        </w:rPr>
        <w:lastRenderedPageBreak/>
        <w:t>posibles efectos. De este modo, la Corte determina que el Estado no satisfizo la carga probatoria requerida respecto a la idoneidad y efectividad de los siguientes recursos de jurisdicción interna: “acción de amparo”, “leyes penales” y de un “cuerpo normativo civil” que posibilitaría el “resarcimiento económico”.</w:t>
      </w:r>
      <w:r w:rsidRPr="00A25F0F">
        <w:rPr>
          <w:rFonts w:eastAsia="Times New Roman"/>
          <w:b/>
          <w:sz w:val="16"/>
          <w:szCs w:val="16"/>
          <w:lang w:val="es-MX" w:eastAsia="es-MX"/>
        </w:rPr>
        <w:t xml:space="preserve"> </w:t>
      </w:r>
    </w:p>
    <w:p w:rsidR="00FA45FB" w:rsidRPr="00AE2A0E" w:rsidRDefault="00FA45FB" w:rsidP="00FA45FB">
      <w:pPr>
        <w:pStyle w:val="ListParagraph"/>
        <w:tabs>
          <w:tab w:val="left" w:pos="0"/>
        </w:tabs>
        <w:ind w:left="27"/>
        <w:contextualSpacing/>
        <w:jc w:val="both"/>
        <w:rPr>
          <w:lang w:val="es-MX" w:eastAsia="es-MX"/>
        </w:rPr>
      </w:pPr>
    </w:p>
    <w:p w:rsidR="00FA45FB" w:rsidRPr="00AE2A0E" w:rsidRDefault="00FA45FB" w:rsidP="00FA45FB">
      <w:pPr>
        <w:pStyle w:val="Estilo1"/>
        <w:tabs>
          <w:tab w:val="clear" w:pos="18282"/>
          <w:tab w:val="num" w:pos="18012"/>
        </w:tabs>
        <w:spacing w:after="0"/>
        <w:rPr>
          <w:rFonts w:eastAsia="Times New Roman"/>
          <w:lang w:val="es-MX" w:eastAsia="es-MX"/>
        </w:rPr>
      </w:pPr>
      <w:r w:rsidRPr="00AE2A0E">
        <w:rPr>
          <w:lang w:val="es-CL"/>
        </w:rPr>
        <w:t>Un exame</w:t>
      </w:r>
      <w:r>
        <w:rPr>
          <w:lang w:val="es-CL"/>
        </w:rPr>
        <w:t>n distinto merece la alusión al</w:t>
      </w:r>
      <w:r w:rsidRPr="00AE2A0E">
        <w:rPr>
          <w:lang w:val="es-CL"/>
        </w:rPr>
        <w:t xml:space="preserve"> hábeas corpus. Perú indicó a la Comisión, </w:t>
      </w:r>
      <w:r w:rsidR="00EA400B">
        <w:rPr>
          <w:lang w:val="es-CL"/>
        </w:rPr>
        <w:t xml:space="preserve">en </w:t>
      </w:r>
      <w:r w:rsidRPr="00AE2A0E">
        <w:rPr>
          <w:lang w:val="es-CL"/>
        </w:rPr>
        <w:t>el</w:t>
      </w:r>
      <w:r w:rsidR="00EA400B">
        <w:rPr>
          <w:lang w:val="es-CL"/>
        </w:rPr>
        <w:t xml:space="preserve"> escrito </w:t>
      </w:r>
      <w:r w:rsidR="001676FF">
        <w:rPr>
          <w:lang w:val="es-CL"/>
        </w:rPr>
        <w:t>presentado el</w:t>
      </w:r>
      <w:r w:rsidRPr="00AE2A0E">
        <w:rPr>
          <w:lang w:val="es-CL"/>
        </w:rPr>
        <w:t xml:space="preserve"> 8 de mayo de 1996, que el mismo estaba regulado constitucionalmente, y señaló sus “características”, dando cuenta del trámite del recurso y los deberes del “Juez recurrido”</w:t>
      </w:r>
      <w:r w:rsidRPr="00AE2A0E">
        <w:rPr>
          <w:rStyle w:val="FootnoteReference"/>
          <w:lang w:val="es-CL"/>
        </w:rPr>
        <w:footnoteReference w:id="33"/>
      </w:r>
      <w:r w:rsidRPr="00AE2A0E">
        <w:rPr>
          <w:lang w:val="es-CL"/>
        </w:rPr>
        <w:t>. Las explicaciones estatales resultaban suficientes para apreciar que Perú aludió a un recurso interno equivalente al normado en el inciso 6 del artículo 7 de la Convención Americana, relativo a la tutela de la libertad personal. Por ello, el Estado adujo en forma oportuna que disponía del medio que el propio tratado estableció como idóneo para proteger derechos de personas privadas de su libertad.</w:t>
      </w:r>
    </w:p>
    <w:p w:rsidR="00FA45FB" w:rsidRPr="00AE2A0E" w:rsidRDefault="00FA45FB" w:rsidP="00FA45FB">
      <w:pPr>
        <w:rPr>
          <w:szCs w:val="20"/>
          <w:lang w:val="es-CL"/>
        </w:rPr>
      </w:pPr>
    </w:p>
    <w:p w:rsidR="00FA45FB" w:rsidRPr="00AE2A0E" w:rsidRDefault="00FA45FB" w:rsidP="00FA45FB">
      <w:pPr>
        <w:pStyle w:val="Estilo1"/>
        <w:tabs>
          <w:tab w:val="clear" w:pos="18282"/>
          <w:tab w:val="num" w:pos="18012"/>
        </w:tabs>
        <w:spacing w:after="0"/>
        <w:rPr>
          <w:rFonts w:eastAsia="Times New Roman"/>
          <w:lang w:val="es-MX" w:eastAsia="es-MX"/>
        </w:rPr>
      </w:pPr>
      <w:r w:rsidRPr="00AE2A0E">
        <w:rPr>
          <w:lang w:val="es-CL"/>
        </w:rPr>
        <w:t xml:space="preserve">Sobre el particular, este Tribunal ha dicho que </w:t>
      </w:r>
    </w:p>
    <w:p w:rsidR="00FA45FB" w:rsidRPr="00703E35" w:rsidRDefault="00FA45FB" w:rsidP="00FA45FB">
      <w:pPr>
        <w:rPr>
          <w:rFonts w:cs="Verdana"/>
          <w:szCs w:val="20"/>
          <w:lang w:val="es-MX"/>
        </w:rPr>
      </w:pPr>
    </w:p>
    <w:p w:rsidR="00FA45FB" w:rsidRPr="00AE2A0E" w:rsidRDefault="00FA45FB" w:rsidP="00EA3065">
      <w:pPr>
        <w:pStyle w:val="ListParagraph"/>
        <w:tabs>
          <w:tab w:val="left" w:pos="0"/>
        </w:tabs>
        <w:ind w:left="567" w:right="720"/>
        <w:jc w:val="both"/>
        <w:rPr>
          <w:sz w:val="16"/>
          <w:szCs w:val="16"/>
          <w:lang w:val="es-MX" w:eastAsia="es-MX"/>
        </w:rPr>
      </w:pPr>
      <w:r w:rsidRPr="00AE2A0E">
        <w:rPr>
          <w:sz w:val="16"/>
          <w:szCs w:val="16"/>
          <w:lang w:val="es-MX"/>
        </w:rPr>
        <w:t>[</w:t>
      </w:r>
      <w:proofErr w:type="gramStart"/>
      <w:r w:rsidRPr="00AE2A0E">
        <w:rPr>
          <w:sz w:val="16"/>
          <w:szCs w:val="16"/>
          <w:lang w:val="es-MX"/>
        </w:rPr>
        <w:t>e]</w:t>
      </w:r>
      <w:proofErr w:type="gramEnd"/>
      <w:r w:rsidRPr="00AE2A0E">
        <w:rPr>
          <w:rFonts w:eastAsia="Batang"/>
          <w:sz w:val="16"/>
          <w:szCs w:val="16"/>
          <w:lang w:val="es-CR"/>
        </w:rPr>
        <w:t xml:space="preserve">l artículo 7.6 de la Convención tiene un contenido jurídico propio </w:t>
      </w:r>
      <w:r w:rsidRPr="00AE2A0E">
        <w:rPr>
          <w:rFonts w:eastAsia="Batang" w:cs="Verdana"/>
          <w:sz w:val="16"/>
          <w:szCs w:val="16"/>
          <w:lang w:val="es-CR"/>
        </w:rPr>
        <w:t xml:space="preserve">que consiste en </w:t>
      </w:r>
      <w:r w:rsidRPr="00AE2A0E">
        <w:rPr>
          <w:rFonts w:eastAsia="Batang"/>
          <w:sz w:val="16"/>
          <w:szCs w:val="16"/>
          <w:lang w:val="es-CR"/>
        </w:rPr>
        <w:t>tutelar de manera directa la libertad personal o física, por medio del mandato judicial dirigido a las autoridades correspondientes a fin de que se lleve al detenido a la presencia del juez para que éste pueda examinar la legalidad de la privación y, en su caso, decretar su libertad. La Corte ha considerado que el recurso de hábeas corpus o exhibición personal representa el medio idóneo para garantizar la libertad, controlar el respeto a la vida e integridad de la persona, e impedir su desaparición o la indeterminación de su lugar de detención</w:t>
      </w:r>
      <w:r w:rsidR="00D40774" w:rsidRPr="00287B06">
        <w:rPr>
          <w:rFonts w:eastAsia="Batang"/>
          <w:sz w:val="16"/>
          <w:szCs w:val="16"/>
          <w:vertAlign w:val="superscript"/>
        </w:rPr>
        <w:footnoteReference w:id="34"/>
      </w:r>
      <w:r w:rsidRPr="00AE2A0E">
        <w:rPr>
          <w:rFonts w:eastAsia="Batang"/>
          <w:sz w:val="16"/>
          <w:szCs w:val="16"/>
          <w:lang w:val="es-CR"/>
        </w:rPr>
        <w:t>. Al respecto, la jurisprudencia de la Corte ya ha referido que estos recursos no solo deben existir formalmente en la legislación sino que deben ser efectivos</w:t>
      </w:r>
      <w:r w:rsidRPr="00AE2A0E">
        <w:rPr>
          <w:rStyle w:val="FootnoteReference"/>
          <w:rFonts w:eastAsia="Batang"/>
          <w:sz w:val="16"/>
          <w:szCs w:val="16"/>
        </w:rPr>
        <w:footnoteReference w:id="35"/>
      </w:r>
      <w:r w:rsidRPr="00AE2A0E">
        <w:rPr>
          <w:rFonts w:eastAsia="Batang"/>
          <w:sz w:val="16"/>
          <w:szCs w:val="16"/>
          <w:lang w:val="es-CR"/>
        </w:rPr>
        <w:t>.</w:t>
      </w:r>
    </w:p>
    <w:p w:rsidR="00FA45FB" w:rsidRPr="00AE2A0E" w:rsidRDefault="00FA45FB" w:rsidP="00FA45FB">
      <w:pPr>
        <w:rPr>
          <w:rFonts w:cs="Verdana"/>
          <w:szCs w:val="20"/>
          <w:lang w:val="es-CR"/>
        </w:rPr>
      </w:pPr>
    </w:p>
    <w:p w:rsidR="00FA45FB" w:rsidRPr="00AE2A0E" w:rsidRDefault="00FA45FB" w:rsidP="00FA45FB">
      <w:pPr>
        <w:pStyle w:val="Estilo1"/>
        <w:tabs>
          <w:tab w:val="clear" w:pos="18282"/>
          <w:tab w:val="num" w:pos="18012"/>
        </w:tabs>
        <w:spacing w:after="0"/>
        <w:rPr>
          <w:rFonts w:eastAsia="Times New Roman"/>
          <w:lang w:val="es-MX" w:eastAsia="es-MX"/>
        </w:rPr>
      </w:pPr>
      <w:r w:rsidRPr="00AE2A0E">
        <w:rPr>
          <w:rFonts w:cs="Verdana"/>
          <w:lang w:val="es-CR"/>
        </w:rPr>
        <w:t>La Corte ha decidido anteriormente que “según el objeto y fin de la Convención, de acuerdo con una interpretación del artículo 46.1.a) de la misma, […] ‘</w:t>
      </w:r>
      <w:r w:rsidRPr="00AE2A0E">
        <w:rPr>
          <w:rFonts w:cs="Verdana"/>
          <w:iCs/>
          <w:lang w:val="es-CR"/>
        </w:rPr>
        <w:t xml:space="preserve">la exhibición personal o hábeas corpus sería, normalmente, el </w:t>
      </w:r>
      <w:r w:rsidRPr="00AE2A0E">
        <w:rPr>
          <w:rFonts w:cs="Verdana"/>
          <w:lang w:val="es-CR"/>
        </w:rPr>
        <w:t xml:space="preserve">[recurso] </w:t>
      </w:r>
      <w:r w:rsidRPr="00AE2A0E">
        <w:rPr>
          <w:rFonts w:cs="Verdana"/>
          <w:iCs/>
          <w:lang w:val="es-CR"/>
        </w:rPr>
        <w:t>adecuado para hallar a una persona presuntamente detenida por las autoridades, averiguar si lo está legalmente y, llegado el caso, lograr su libertad’”</w:t>
      </w:r>
      <w:r w:rsidRPr="00AE2A0E">
        <w:rPr>
          <w:rStyle w:val="FootnoteReference"/>
          <w:rFonts w:cs="Verdana"/>
          <w:iCs/>
        </w:rPr>
        <w:footnoteReference w:id="36"/>
      </w:r>
      <w:r w:rsidRPr="00AE2A0E">
        <w:rPr>
          <w:rFonts w:cs="Verdana"/>
          <w:iCs/>
          <w:lang w:val="es-CR"/>
        </w:rPr>
        <w:t>. También ha afirmado que “[e]</w:t>
      </w:r>
      <w:r w:rsidRPr="00AE2A0E">
        <w:rPr>
          <w:rFonts w:cs="Verdana"/>
          <w:lang w:val="es-CR"/>
        </w:rPr>
        <w:t xml:space="preserve">l hábeas corpus tiene como </w:t>
      </w:r>
      <w:r w:rsidRPr="00AE2A0E">
        <w:rPr>
          <w:rFonts w:cs="Verdana"/>
          <w:lang w:val="es-CR"/>
        </w:rPr>
        <w:lastRenderedPageBreak/>
        <w:t>finalidad, no solamente garantizar la libertad y la integridad personales, sino también prevenir la desaparición o indeterminación del lugar de detención y, en última instancia, asegurar el derecho a la vida”</w:t>
      </w:r>
      <w:r w:rsidRPr="00AE2A0E">
        <w:rPr>
          <w:rStyle w:val="FootnoteReference"/>
          <w:rFonts w:cs="Verdana"/>
        </w:rPr>
        <w:footnoteReference w:id="37"/>
      </w:r>
      <w:r w:rsidRPr="00AE2A0E">
        <w:rPr>
          <w:rFonts w:cs="Verdana"/>
          <w:lang w:val="es-CR"/>
        </w:rPr>
        <w:t xml:space="preserve">. </w:t>
      </w:r>
    </w:p>
    <w:p w:rsidR="00FA45FB" w:rsidRPr="00AE2A0E" w:rsidRDefault="00FA45FB" w:rsidP="00FA45FB">
      <w:pPr>
        <w:pStyle w:val="Estilo1"/>
        <w:numPr>
          <w:ilvl w:val="0"/>
          <w:numId w:val="0"/>
        </w:numPr>
        <w:spacing w:after="0"/>
        <w:rPr>
          <w:rFonts w:eastAsia="Times New Roman"/>
          <w:lang w:val="es-MX" w:eastAsia="es-MX"/>
        </w:rPr>
      </w:pPr>
    </w:p>
    <w:p w:rsidR="00FA45FB" w:rsidRPr="00E2331C" w:rsidRDefault="00384601" w:rsidP="00FA45FB">
      <w:pPr>
        <w:pStyle w:val="Estilo1"/>
        <w:tabs>
          <w:tab w:val="clear" w:pos="18282"/>
          <w:tab w:val="num" w:pos="18012"/>
        </w:tabs>
        <w:spacing w:after="0"/>
        <w:rPr>
          <w:rFonts w:eastAsia="Times New Roman"/>
          <w:lang w:val="es-MX" w:eastAsia="es-MX"/>
        </w:rPr>
      </w:pPr>
      <w:r>
        <w:rPr>
          <w:lang w:val="es-CL"/>
        </w:rPr>
        <w:t>P</w:t>
      </w:r>
      <w:r w:rsidR="00FA45FB" w:rsidRPr="00AE2A0E">
        <w:rPr>
          <w:lang w:val="es-CL"/>
        </w:rPr>
        <w:t>or lo expuesto, debe colegirse que el Estado indicó a la Comisión, oportunamente, que contaba con el recurso naturalmente idóneo en las circunstancias del caso. Una vez que el Esta</w:t>
      </w:r>
      <w:r w:rsidR="007B2392">
        <w:rPr>
          <w:lang w:val="es-CL"/>
        </w:rPr>
        <w:t>do ha señalado en modo oportuno</w:t>
      </w:r>
      <w:r w:rsidR="00FA45FB" w:rsidRPr="00AE2A0E">
        <w:rPr>
          <w:lang w:val="es-CL"/>
        </w:rPr>
        <w:t xml:space="preserve"> la existencia de un recurso que sería idóneo y aduce que el mismo no fue utilizado, es una carga del peticionario demostrar que tal recurso sí fue usado o, de lo contrario, que resultaba inadecuado o inefectivo</w:t>
      </w:r>
      <w:r w:rsidR="003B0237" w:rsidRPr="008D2D9F">
        <w:rPr>
          <w:rStyle w:val="FootnoteReference"/>
          <w:lang w:val="es-CL"/>
        </w:rPr>
        <w:footnoteReference w:id="38"/>
      </w:r>
      <w:r w:rsidR="00FA45FB" w:rsidRPr="00A33E0A">
        <w:rPr>
          <w:lang w:val="es-CL"/>
        </w:rPr>
        <w:t>.</w:t>
      </w:r>
      <w:r w:rsidR="00FA45FB" w:rsidRPr="00AE2A0E">
        <w:rPr>
          <w:lang w:val="es-CL"/>
        </w:rPr>
        <w:t xml:space="preserve"> </w:t>
      </w:r>
    </w:p>
    <w:p w:rsidR="00FA45FB" w:rsidRPr="00AE2A0E" w:rsidRDefault="00FA45FB" w:rsidP="00FA45FB">
      <w:pPr>
        <w:pStyle w:val="Estilo1"/>
        <w:numPr>
          <w:ilvl w:val="0"/>
          <w:numId w:val="0"/>
        </w:numPr>
        <w:spacing w:after="0"/>
        <w:rPr>
          <w:rFonts w:eastAsia="Times New Roman"/>
          <w:lang w:val="es-MX" w:eastAsia="es-MX"/>
        </w:rPr>
      </w:pPr>
    </w:p>
    <w:p w:rsidR="00384601" w:rsidRPr="00384601" w:rsidRDefault="00384601" w:rsidP="00384601">
      <w:pPr>
        <w:pStyle w:val="Estilo1"/>
        <w:tabs>
          <w:tab w:val="clear" w:pos="18282"/>
          <w:tab w:val="num" w:pos="18012"/>
        </w:tabs>
        <w:spacing w:after="0"/>
        <w:rPr>
          <w:rFonts w:eastAsia="Times New Roman"/>
          <w:lang w:val="es-MX" w:eastAsia="es-MX"/>
        </w:rPr>
      </w:pPr>
      <w:r>
        <w:rPr>
          <w:lang w:val="es-CL"/>
        </w:rPr>
        <w:t>P</w:t>
      </w:r>
      <w:r w:rsidR="00FA45FB" w:rsidRPr="00AE2A0E">
        <w:rPr>
          <w:lang w:val="es-CL"/>
        </w:rPr>
        <w:t>or otro lado, el señor Galindo, adujo</w:t>
      </w:r>
      <w:r w:rsidR="00FA45FB" w:rsidRPr="004454B8">
        <w:rPr>
          <w:lang w:val="es-CL"/>
        </w:rPr>
        <w:t xml:space="preserve"> </w:t>
      </w:r>
      <w:r w:rsidR="00364F39" w:rsidRPr="004454B8">
        <w:rPr>
          <w:lang w:val="es-CL"/>
        </w:rPr>
        <w:t xml:space="preserve">ciertas </w:t>
      </w:r>
      <w:r w:rsidR="00FA45FB" w:rsidRPr="00AE2A0E">
        <w:rPr>
          <w:lang w:val="es-CL"/>
        </w:rPr>
        <w:t>justificaciones sobre la no presentaci</w:t>
      </w:r>
      <w:r w:rsidR="00FA45FB">
        <w:rPr>
          <w:lang w:val="es-CL"/>
        </w:rPr>
        <w:t>ón del há</w:t>
      </w:r>
      <w:r w:rsidR="00FA45FB" w:rsidRPr="00AE2A0E">
        <w:rPr>
          <w:lang w:val="es-CL"/>
        </w:rPr>
        <w:t xml:space="preserve">beas corpus con anterioridad a que se emitiera el Informe de Admisibilidad. En un escrito recibido por la Comisión el 20 de junio de 1996, señaló que </w:t>
      </w:r>
    </w:p>
    <w:p w:rsidR="00384601" w:rsidRPr="00AE2A0E" w:rsidRDefault="00384601" w:rsidP="00384601">
      <w:pPr>
        <w:pStyle w:val="ListParagraph"/>
        <w:rPr>
          <w:lang w:val="es-CL"/>
        </w:rPr>
      </w:pPr>
    </w:p>
    <w:p w:rsidR="00384601" w:rsidRPr="00AE2A0E" w:rsidRDefault="00384601" w:rsidP="00EA3065">
      <w:pPr>
        <w:pStyle w:val="ListParagraph"/>
        <w:tabs>
          <w:tab w:val="left" w:pos="-142"/>
        </w:tabs>
        <w:ind w:left="567" w:right="720"/>
        <w:jc w:val="both"/>
        <w:rPr>
          <w:sz w:val="16"/>
          <w:szCs w:val="16"/>
          <w:lang w:val="es-CL"/>
        </w:rPr>
      </w:pPr>
      <w:r w:rsidRPr="00AE2A0E">
        <w:rPr>
          <w:sz w:val="16"/>
          <w:szCs w:val="16"/>
          <w:lang w:val="es-CL"/>
        </w:rPr>
        <w:t xml:space="preserve">[n]o </w:t>
      </w:r>
      <w:proofErr w:type="spellStart"/>
      <w:r w:rsidRPr="00AE2A0E">
        <w:rPr>
          <w:sz w:val="16"/>
          <w:szCs w:val="16"/>
          <w:lang w:val="es-CL"/>
        </w:rPr>
        <w:t>interpus</w:t>
      </w:r>
      <w:proofErr w:type="spellEnd"/>
      <w:r w:rsidRPr="00AE2A0E">
        <w:rPr>
          <w:sz w:val="16"/>
          <w:szCs w:val="16"/>
          <w:lang w:val="es-CL"/>
        </w:rPr>
        <w:t>[o] la acción de [h]</w:t>
      </w:r>
      <w:proofErr w:type="spellStart"/>
      <w:r w:rsidRPr="00AE2A0E">
        <w:rPr>
          <w:sz w:val="16"/>
          <w:szCs w:val="16"/>
          <w:lang w:val="es-CL"/>
        </w:rPr>
        <w:t>ábeas</w:t>
      </w:r>
      <w:proofErr w:type="spellEnd"/>
      <w:r w:rsidRPr="00AE2A0E">
        <w:rPr>
          <w:sz w:val="16"/>
          <w:szCs w:val="16"/>
          <w:lang w:val="es-CL"/>
        </w:rPr>
        <w:t xml:space="preserve"> [c]</w:t>
      </w:r>
      <w:proofErr w:type="spellStart"/>
      <w:r w:rsidR="00B31722">
        <w:rPr>
          <w:sz w:val="16"/>
          <w:szCs w:val="16"/>
          <w:lang w:val="es-CL"/>
        </w:rPr>
        <w:t>o</w:t>
      </w:r>
      <w:r w:rsidRPr="00AE2A0E">
        <w:rPr>
          <w:sz w:val="16"/>
          <w:szCs w:val="16"/>
          <w:lang w:val="es-CL"/>
        </w:rPr>
        <w:t>rpus</w:t>
      </w:r>
      <w:proofErr w:type="spellEnd"/>
      <w:r w:rsidR="00D337A5">
        <w:rPr>
          <w:sz w:val="16"/>
          <w:szCs w:val="16"/>
          <w:lang w:val="es-CL"/>
        </w:rPr>
        <w:t>;</w:t>
      </w:r>
      <w:r w:rsidRPr="00AE2A0E">
        <w:rPr>
          <w:sz w:val="16"/>
          <w:szCs w:val="16"/>
          <w:lang w:val="es-CL"/>
        </w:rPr>
        <w:t xml:space="preserve"> toda vez que la ciudad de Huánuco [había sido] declarada en estado de emergencia, por l[o] cual estaban suspendidas las más elementales [g]</w:t>
      </w:r>
      <w:proofErr w:type="spellStart"/>
      <w:r w:rsidRPr="00AE2A0E">
        <w:rPr>
          <w:sz w:val="16"/>
          <w:szCs w:val="16"/>
          <w:lang w:val="es-CL"/>
        </w:rPr>
        <w:t>arantías</w:t>
      </w:r>
      <w:proofErr w:type="spellEnd"/>
      <w:r w:rsidRPr="00AE2A0E">
        <w:rPr>
          <w:sz w:val="16"/>
          <w:szCs w:val="16"/>
          <w:lang w:val="es-CL"/>
        </w:rPr>
        <w:t xml:space="preserve"> </w:t>
      </w:r>
      <w:r w:rsidR="00D337A5">
        <w:rPr>
          <w:sz w:val="16"/>
          <w:szCs w:val="16"/>
          <w:lang w:val="es-CL"/>
        </w:rPr>
        <w:t>[</w:t>
      </w:r>
      <w:r w:rsidRPr="00AE2A0E">
        <w:rPr>
          <w:sz w:val="16"/>
          <w:szCs w:val="16"/>
          <w:lang w:val="es-CL"/>
        </w:rPr>
        <w:t>c</w:t>
      </w:r>
      <w:r w:rsidR="00D337A5">
        <w:rPr>
          <w:sz w:val="16"/>
          <w:szCs w:val="16"/>
          <w:lang w:val="es-CL"/>
        </w:rPr>
        <w:t>]</w:t>
      </w:r>
      <w:proofErr w:type="spellStart"/>
      <w:r w:rsidRPr="00AE2A0E">
        <w:rPr>
          <w:sz w:val="16"/>
          <w:szCs w:val="16"/>
          <w:lang w:val="es-CL"/>
        </w:rPr>
        <w:t>onstitucionales</w:t>
      </w:r>
      <w:proofErr w:type="spellEnd"/>
      <w:r w:rsidRPr="00AE2A0E">
        <w:rPr>
          <w:sz w:val="16"/>
          <w:szCs w:val="16"/>
          <w:lang w:val="es-CL"/>
        </w:rPr>
        <w:t xml:space="preserve"> y conforme lo </w:t>
      </w:r>
      <w:proofErr w:type="spellStart"/>
      <w:r w:rsidRPr="00AE2A0E">
        <w:rPr>
          <w:sz w:val="16"/>
          <w:szCs w:val="16"/>
          <w:lang w:val="es-CL"/>
        </w:rPr>
        <w:t>establec</w:t>
      </w:r>
      <w:proofErr w:type="spellEnd"/>
      <w:r w:rsidRPr="00AE2A0E">
        <w:rPr>
          <w:sz w:val="16"/>
          <w:szCs w:val="16"/>
          <w:lang w:val="es-CL"/>
        </w:rPr>
        <w:t>[</w:t>
      </w:r>
      <w:proofErr w:type="spellStart"/>
      <w:r w:rsidRPr="00AE2A0E">
        <w:rPr>
          <w:sz w:val="16"/>
          <w:szCs w:val="16"/>
          <w:lang w:val="es-CL"/>
        </w:rPr>
        <w:t>ía</w:t>
      </w:r>
      <w:proofErr w:type="spellEnd"/>
      <w:r w:rsidRPr="00AE2A0E">
        <w:rPr>
          <w:sz w:val="16"/>
          <w:szCs w:val="16"/>
          <w:lang w:val="es-CL"/>
        </w:rPr>
        <w:t>] la Ley 23506 en su […a]</w:t>
      </w:r>
      <w:proofErr w:type="spellStart"/>
      <w:r w:rsidRPr="00AE2A0E">
        <w:rPr>
          <w:sz w:val="16"/>
          <w:szCs w:val="16"/>
          <w:lang w:val="es-CL"/>
        </w:rPr>
        <w:t>rt</w:t>
      </w:r>
      <w:proofErr w:type="spellEnd"/>
      <w:r w:rsidRPr="00AE2A0E">
        <w:rPr>
          <w:sz w:val="16"/>
          <w:szCs w:val="16"/>
          <w:lang w:val="es-CL"/>
        </w:rPr>
        <w:t>[</w:t>
      </w:r>
      <w:proofErr w:type="spellStart"/>
      <w:r w:rsidRPr="00AE2A0E">
        <w:rPr>
          <w:sz w:val="16"/>
          <w:szCs w:val="16"/>
          <w:lang w:val="es-CL"/>
        </w:rPr>
        <w:t>ículo</w:t>
      </w:r>
      <w:proofErr w:type="spellEnd"/>
      <w:r w:rsidRPr="00AE2A0E">
        <w:rPr>
          <w:sz w:val="16"/>
          <w:szCs w:val="16"/>
          <w:lang w:val="es-CL"/>
        </w:rPr>
        <w:t>] 38 – Ley de Hábeas Corpus y Amparo- en concordancia con el [a]</w:t>
      </w:r>
      <w:proofErr w:type="spellStart"/>
      <w:r w:rsidRPr="00AE2A0E">
        <w:rPr>
          <w:sz w:val="16"/>
          <w:szCs w:val="16"/>
          <w:lang w:val="es-CL"/>
        </w:rPr>
        <w:t>rt</w:t>
      </w:r>
      <w:proofErr w:type="spellEnd"/>
      <w:r w:rsidRPr="00AE2A0E">
        <w:rPr>
          <w:sz w:val="16"/>
          <w:szCs w:val="16"/>
          <w:lang w:val="es-CL"/>
        </w:rPr>
        <w:t>[</w:t>
      </w:r>
      <w:proofErr w:type="spellStart"/>
      <w:r w:rsidRPr="00AE2A0E">
        <w:rPr>
          <w:sz w:val="16"/>
          <w:szCs w:val="16"/>
          <w:lang w:val="es-CL"/>
        </w:rPr>
        <w:t>ículo</w:t>
      </w:r>
      <w:proofErr w:type="spellEnd"/>
      <w:r w:rsidRPr="00AE2A0E">
        <w:rPr>
          <w:sz w:val="16"/>
          <w:szCs w:val="16"/>
          <w:lang w:val="es-CL"/>
        </w:rPr>
        <w:t>] 137 [i]</w:t>
      </w:r>
      <w:proofErr w:type="spellStart"/>
      <w:r w:rsidRPr="00AE2A0E">
        <w:rPr>
          <w:sz w:val="16"/>
          <w:szCs w:val="16"/>
          <w:lang w:val="es-CL"/>
        </w:rPr>
        <w:t>nc</w:t>
      </w:r>
      <w:proofErr w:type="spellEnd"/>
      <w:r w:rsidRPr="00AE2A0E">
        <w:rPr>
          <w:sz w:val="16"/>
          <w:szCs w:val="16"/>
          <w:lang w:val="es-CL"/>
        </w:rPr>
        <w:t>[</w:t>
      </w:r>
      <w:proofErr w:type="spellStart"/>
      <w:r w:rsidRPr="00AE2A0E">
        <w:rPr>
          <w:sz w:val="16"/>
          <w:szCs w:val="16"/>
          <w:lang w:val="es-CL"/>
        </w:rPr>
        <w:t>iso</w:t>
      </w:r>
      <w:proofErr w:type="spellEnd"/>
      <w:r w:rsidRPr="00AE2A0E">
        <w:rPr>
          <w:sz w:val="16"/>
          <w:szCs w:val="16"/>
          <w:lang w:val="es-CL"/>
        </w:rPr>
        <w:t xml:space="preserve">] 1 de la Constitución […] de 1993, […] no </w:t>
      </w:r>
      <w:proofErr w:type="spellStart"/>
      <w:r w:rsidRPr="00AE2A0E">
        <w:rPr>
          <w:sz w:val="16"/>
          <w:szCs w:val="16"/>
          <w:lang w:val="es-CL"/>
        </w:rPr>
        <w:t>proced</w:t>
      </w:r>
      <w:proofErr w:type="spellEnd"/>
      <w:r w:rsidRPr="00AE2A0E">
        <w:rPr>
          <w:sz w:val="16"/>
          <w:szCs w:val="16"/>
          <w:lang w:val="es-CL"/>
        </w:rPr>
        <w:t>[</w:t>
      </w:r>
      <w:proofErr w:type="spellStart"/>
      <w:r w:rsidRPr="00AE2A0E">
        <w:rPr>
          <w:sz w:val="16"/>
          <w:szCs w:val="16"/>
          <w:lang w:val="es-CL"/>
        </w:rPr>
        <w:t>ían</w:t>
      </w:r>
      <w:proofErr w:type="spellEnd"/>
      <w:r w:rsidRPr="00AE2A0E">
        <w:rPr>
          <w:sz w:val="16"/>
          <w:szCs w:val="16"/>
          <w:lang w:val="es-CL"/>
        </w:rPr>
        <w:t>] las acciones de [h]</w:t>
      </w:r>
      <w:proofErr w:type="spellStart"/>
      <w:r w:rsidRPr="00AE2A0E">
        <w:rPr>
          <w:sz w:val="16"/>
          <w:szCs w:val="16"/>
          <w:lang w:val="es-CL"/>
        </w:rPr>
        <w:t>ábeas</w:t>
      </w:r>
      <w:proofErr w:type="spellEnd"/>
      <w:r w:rsidRPr="00AE2A0E">
        <w:rPr>
          <w:sz w:val="16"/>
          <w:szCs w:val="16"/>
          <w:lang w:val="es-CL"/>
        </w:rPr>
        <w:t xml:space="preserve"> [c]</w:t>
      </w:r>
      <w:proofErr w:type="spellStart"/>
      <w:r w:rsidRPr="00AE2A0E">
        <w:rPr>
          <w:sz w:val="16"/>
          <w:szCs w:val="16"/>
          <w:lang w:val="es-CL"/>
        </w:rPr>
        <w:t>orpus</w:t>
      </w:r>
      <w:proofErr w:type="spellEnd"/>
      <w:r w:rsidRPr="00AE2A0E">
        <w:rPr>
          <w:sz w:val="16"/>
          <w:szCs w:val="16"/>
          <w:lang w:val="es-CL"/>
        </w:rPr>
        <w:t xml:space="preserve"> en zonas declaradas en estado de emergencia.  </w:t>
      </w:r>
    </w:p>
    <w:p w:rsidR="00384601" w:rsidRPr="00AE2A0E" w:rsidRDefault="00384601" w:rsidP="00384601">
      <w:pPr>
        <w:pStyle w:val="ListParagraph"/>
        <w:rPr>
          <w:lang w:val="es-CL"/>
        </w:rPr>
      </w:pPr>
    </w:p>
    <w:p w:rsidR="00384601" w:rsidRDefault="00384601" w:rsidP="00384601">
      <w:pPr>
        <w:tabs>
          <w:tab w:val="left" w:pos="0"/>
        </w:tabs>
        <w:rPr>
          <w:b/>
        </w:rPr>
      </w:pPr>
      <w:r w:rsidRPr="00AE2A0E">
        <w:rPr>
          <w:szCs w:val="20"/>
          <w:lang w:val="es-CL"/>
        </w:rPr>
        <w:t>Asimismo, afirmó que “no existían en la judicatura las garantías legales del caso”, y que “los jueces de la zona […] estaban amenazados”</w:t>
      </w:r>
      <w:r w:rsidRPr="00AE2A0E">
        <w:rPr>
          <w:rStyle w:val="FootnoteReference"/>
          <w:lang w:val="es-CL"/>
        </w:rPr>
        <w:footnoteReference w:id="39"/>
      </w:r>
      <w:r w:rsidRPr="00AE2A0E">
        <w:rPr>
          <w:szCs w:val="20"/>
          <w:lang w:val="es-CL"/>
        </w:rPr>
        <w:t>. El 11 de febrero de 1997 agregó que</w:t>
      </w:r>
      <w:r w:rsidRPr="00AE2A0E">
        <w:t xml:space="preserve"> pese al artículo 200 de la Constitución de Perú invocado por el Estado (</w:t>
      </w:r>
      <w:r w:rsidRPr="00AE2A0E">
        <w:rPr>
          <w:i/>
        </w:rPr>
        <w:t>infra</w:t>
      </w:r>
      <w:r w:rsidRPr="00AE2A0E">
        <w:t xml:space="preserve"> párr. </w:t>
      </w:r>
      <w:r w:rsidR="00BD1DDC">
        <w:t>17</w:t>
      </w:r>
      <w:r w:rsidR="001D3266">
        <w:t>7</w:t>
      </w:r>
      <w:r w:rsidR="00BD1DDC" w:rsidRPr="00AE2A0E">
        <w:t xml:space="preserve">), </w:t>
      </w:r>
      <w:r w:rsidRPr="00AE2A0E">
        <w:t xml:space="preserve">“en la práctica tales garantías no </w:t>
      </w:r>
      <w:proofErr w:type="gramStart"/>
      <w:r w:rsidRPr="00AE2A0E">
        <w:t>funciona[</w:t>
      </w:r>
      <w:proofErr w:type="spellStart"/>
      <w:proofErr w:type="gramEnd"/>
      <w:r w:rsidRPr="00AE2A0E">
        <w:t>ba</w:t>
      </w:r>
      <w:proofErr w:type="spellEnd"/>
      <w:r w:rsidRPr="00AE2A0E">
        <w:t>]n”.</w:t>
      </w:r>
      <w:r w:rsidRPr="00AE2A0E">
        <w:rPr>
          <w:b/>
        </w:rPr>
        <w:t xml:space="preserve"> </w:t>
      </w:r>
    </w:p>
    <w:p w:rsidR="00384601" w:rsidRDefault="00384601" w:rsidP="00384601">
      <w:pPr>
        <w:pStyle w:val="ListParagraph"/>
        <w:rPr>
          <w:b/>
        </w:rPr>
      </w:pPr>
    </w:p>
    <w:p w:rsidR="00384601" w:rsidRPr="00384601" w:rsidRDefault="00FA45FB" w:rsidP="00FA45FB">
      <w:pPr>
        <w:pStyle w:val="Estilo1"/>
        <w:tabs>
          <w:tab w:val="clear" w:pos="18282"/>
          <w:tab w:val="num" w:pos="18012"/>
        </w:tabs>
        <w:spacing w:after="0"/>
        <w:rPr>
          <w:rFonts w:eastAsia="Times New Roman"/>
          <w:lang w:val="es-MX" w:eastAsia="es-MX"/>
        </w:rPr>
      </w:pPr>
      <w:r w:rsidRPr="00EA3065">
        <w:t>Al respecto, en esa oportunidad</w:t>
      </w:r>
      <w:r w:rsidR="00384601">
        <w:rPr>
          <w:b/>
        </w:rPr>
        <w:t xml:space="preserve"> </w:t>
      </w:r>
      <w:r w:rsidRPr="00FB6E0C">
        <w:t xml:space="preserve">el señor Galindo agregó que para esa fecha “cientos de estos mecanismos de garantía se </w:t>
      </w:r>
      <w:proofErr w:type="gramStart"/>
      <w:r w:rsidRPr="00FB6E0C">
        <w:t>en[</w:t>
      </w:r>
      <w:proofErr w:type="spellStart"/>
      <w:proofErr w:type="gramEnd"/>
      <w:r w:rsidRPr="00FB6E0C">
        <w:t>contraban</w:t>
      </w:r>
      <w:proofErr w:type="spellEnd"/>
      <w:r w:rsidRPr="00FB6E0C">
        <w:t xml:space="preserve">] todavía pendientes de solución en el Tribunal de Garantías Constitucionales de reciente creación y función-, los que [habían sido] presentados […] 5 o 6 años [antes]”. </w:t>
      </w:r>
      <w:r w:rsidR="00D40774" w:rsidRPr="00F810F3">
        <w:t>T</w:t>
      </w:r>
      <w:r w:rsidRPr="00FB6E0C">
        <w:t xml:space="preserve">ambién </w:t>
      </w:r>
      <w:r w:rsidR="00D40774" w:rsidRPr="00F810F3">
        <w:t>afirmó ante</w:t>
      </w:r>
      <w:r w:rsidRPr="00A33E0A">
        <w:t xml:space="preserve"> </w:t>
      </w:r>
      <w:r w:rsidRPr="00FB6E0C">
        <w:t>la Comisión que</w:t>
      </w:r>
      <w:r w:rsidR="00DF5445">
        <w:t xml:space="preserve"> “debe tenerse presente que </w:t>
      </w:r>
      <w:r w:rsidR="005C119F">
        <w:t xml:space="preserve">la ciudad de Huánuco </w:t>
      </w:r>
      <w:r w:rsidR="00DF5445">
        <w:t xml:space="preserve">[…] </w:t>
      </w:r>
      <w:r w:rsidRPr="00FB6E0C">
        <w:t>se en[</w:t>
      </w:r>
      <w:proofErr w:type="spellStart"/>
      <w:r w:rsidRPr="00FB6E0C">
        <w:t>contraba</w:t>
      </w:r>
      <w:proofErr w:type="spellEnd"/>
      <w:r w:rsidRPr="00FB6E0C">
        <w:t>] declarada en [e]</w:t>
      </w:r>
      <w:proofErr w:type="spellStart"/>
      <w:r w:rsidRPr="00FB6E0C">
        <w:t>stado</w:t>
      </w:r>
      <w:proofErr w:type="spellEnd"/>
      <w:r w:rsidRPr="00FB6E0C">
        <w:t xml:space="preserve"> de [e]</w:t>
      </w:r>
      <w:proofErr w:type="spellStart"/>
      <w:r w:rsidRPr="00FB6E0C">
        <w:t>xcepción</w:t>
      </w:r>
      <w:proofErr w:type="spellEnd"/>
      <w:r w:rsidRPr="00FB6E0C">
        <w:t xml:space="preserve">, esto es que no se </w:t>
      </w:r>
      <w:proofErr w:type="spellStart"/>
      <w:r w:rsidRPr="000E494B">
        <w:t>enc</w:t>
      </w:r>
      <w:proofErr w:type="spellEnd"/>
      <w:r w:rsidRPr="000E494B">
        <w:t>[</w:t>
      </w:r>
      <w:proofErr w:type="spellStart"/>
      <w:r w:rsidRPr="000E494B">
        <w:t>contraba</w:t>
      </w:r>
      <w:r w:rsidR="00B76209" w:rsidRPr="000E494B">
        <w:t>n</w:t>
      </w:r>
      <w:proofErr w:type="spellEnd"/>
      <w:r w:rsidRPr="000E494B">
        <w:t>]</w:t>
      </w:r>
      <w:r w:rsidRPr="00FB6E0C">
        <w:t xml:space="preserve"> en vigencia las garantías constitucionales, y esta[</w:t>
      </w:r>
      <w:proofErr w:type="spellStart"/>
      <w:r w:rsidRPr="00FB6E0C">
        <w:t>ba</w:t>
      </w:r>
      <w:proofErr w:type="spellEnd"/>
      <w:r w:rsidRPr="00FB6E0C">
        <w:t>] bajo el control del Comando Político Militar, a cargo de</w:t>
      </w:r>
      <w:r>
        <w:t>l autor de la violación alegada</w:t>
      </w:r>
      <w:r w:rsidRPr="00FB6E0C">
        <w:t>[</w:t>
      </w:r>
      <w:r>
        <w:t>,</w:t>
      </w:r>
      <w:r w:rsidRPr="00FB6E0C">
        <w:t>…] máxima autoridad de la zona, existiendo una absoluta inseguridad jurídica, razón por la cual no se amparan las acciones de garantía”</w:t>
      </w:r>
      <w:r w:rsidRPr="00FB6E0C">
        <w:rPr>
          <w:rStyle w:val="FootnoteReference"/>
        </w:rPr>
        <w:footnoteReference w:id="40"/>
      </w:r>
      <w:r w:rsidRPr="00FB6E0C">
        <w:t xml:space="preserve">. </w:t>
      </w:r>
      <w:r w:rsidR="00D40774" w:rsidRPr="00F810F3">
        <w:t>Además</w:t>
      </w:r>
      <w:r w:rsidR="00912396" w:rsidRPr="00384601">
        <w:rPr>
          <w:b/>
        </w:rPr>
        <w:t xml:space="preserve"> </w:t>
      </w:r>
      <w:r w:rsidRPr="00FB6E0C">
        <w:t>el señor Galindo manifestó que “no se interpuso el recurso de h[á]</w:t>
      </w:r>
      <w:proofErr w:type="spellStart"/>
      <w:r w:rsidRPr="00FB6E0C">
        <w:t>beas</w:t>
      </w:r>
      <w:proofErr w:type="spellEnd"/>
      <w:r w:rsidRPr="00FB6E0C">
        <w:t xml:space="preserve"> corpus por la detención arbitraria, al advertir la total inseguridad jurídica para resolver las acciones de garantía”</w:t>
      </w:r>
      <w:r w:rsidRPr="00FB6E0C">
        <w:rPr>
          <w:rStyle w:val="FootnoteReference"/>
        </w:rPr>
        <w:footnoteReference w:id="41"/>
      </w:r>
      <w:r w:rsidRPr="00FB6E0C">
        <w:t xml:space="preserve">. </w:t>
      </w:r>
    </w:p>
    <w:p w:rsidR="00384601" w:rsidRPr="00384601" w:rsidRDefault="00384601" w:rsidP="00384601">
      <w:pPr>
        <w:pStyle w:val="Estilo1"/>
        <w:numPr>
          <w:ilvl w:val="0"/>
          <w:numId w:val="0"/>
        </w:numPr>
        <w:spacing w:after="0"/>
        <w:rPr>
          <w:rFonts w:eastAsia="Times New Roman"/>
          <w:lang w:val="es-MX" w:eastAsia="es-MX"/>
        </w:rPr>
      </w:pPr>
    </w:p>
    <w:p w:rsidR="00FA45FB" w:rsidRPr="00CE68AB" w:rsidRDefault="00FA45FB" w:rsidP="00FA45FB">
      <w:pPr>
        <w:pStyle w:val="Estilo1"/>
        <w:tabs>
          <w:tab w:val="clear" w:pos="18282"/>
          <w:tab w:val="left" w:pos="0"/>
          <w:tab w:val="num" w:pos="18012"/>
        </w:tabs>
        <w:spacing w:after="0"/>
        <w:ind w:left="27"/>
        <w:rPr>
          <w:lang w:val="es-MX" w:eastAsia="es-MX"/>
        </w:rPr>
      </w:pPr>
      <w:r w:rsidRPr="00144171">
        <w:lastRenderedPageBreak/>
        <w:t>Luego el señor Galindo presentó más información y argumentos.</w:t>
      </w:r>
      <w:r w:rsidRPr="00384601">
        <w:t xml:space="preserve"> </w:t>
      </w:r>
      <w:r w:rsidRPr="00144171">
        <w:t xml:space="preserve">El 19 de agosto </w:t>
      </w:r>
      <w:r w:rsidRPr="00384601">
        <w:t>de 1997 el señor Galindo manifestó a la Comisión</w:t>
      </w:r>
      <w:r w:rsidR="00D337A5">
        <w:t xml:space="preserve"> la existencia de</w:t>
      </w:r>
      <w:r w:rsidRPr="00384601">
        <w:t xml:space="preserve"> casos, según dijo, de “recursos de garantía [que] fueron declarados </w:t>
      </w:r>
      <w:r w:rsidR="00D337A5">
        <w:t>[</w:t>
      </w:r>
      <w:r w:rsidRPr="00384601">
        <w:t>fundados</w:t>
      </w:r>
      <w:r w:rsidR="00D337A5">
        <w:t>]</w:t>
      </w:r>
      <w:r w:rsidRPr="00384601">
        <w:t xml:space="preserve"> pero [que] nunca se cumplieron”</w:t>
      </w:r>
      <w:r w:rsidRPr="00EA3065">
        <w:t>.</w:t>
      </w:r>
      <w:r w:rsidRPr="00CE68AB">
        <w:rPr>
          <w:b/>
        </w:rPr>
        <w:t xml:space="preserve"> </w:t>
      </w:r>
      <w:r w:rsidRPr="00384601">
        <w:t xml:space="preserve">El 29 de octubre de 1997 señaló a la Comisión que por el hecho de declarar fundado un hábeas corpus el Ministerio del Interior </w:t>
      </w:r>
      <w:r w:rsidR="00D337A5">
        <w:t xml:space="preserve">“pretendió abrirle </w:t>
      </w:r>
      <w:r w:rsidRPr="00384601">
        <w:t>instrucción y/o proceso penal por el delito de terrorismo” contra una jueza. El 6 de julio de 1998 señaló “como una muestra reciente” de sus argumentos, “la acción de [</w:t>
      </w:r>
      <w:proofErr w:type="spellStart"/>
      <w:r w:rsidRPr="00384601">
        <w:t>há</w:t>
      </w:r>
      <w:proofErr w:type="spellEnd"/>
      <w:proofErr w:type="gramStart"/>
      <w:r w:rsidRPr="00384601">
        <w:t>]</w:t>
      </w:r>
      <w:proofErr w:type="spellStart"/>
      <w:r w:rsidRPr="00384601">
        <w:t>beas</w:t>
      </w:r>
      <w:proofErr w:type="spellEnd"/>
      <w:proofErr w:type="gramEnd"/>
      <w:r w:rsidRPr="00384601">
        <w:t xml:space="preserve"> [c]</w:t>
      </w:r>
      <w:proofErr w:type="spellStart"/>
      <w:r w:rsidRPr="00384601">
        <w:t>orpus</w:t>
      </w:r>
      <w:proofErr w:type="spellEnd"/>
      <w:r w:rsidRPr="00384601">
        <w:t xml:space="preserve"> interpuesta por el [c]</w:t>
      </w:r>
      <w:proofErr w:type="spellStart"/>
      <w:r w:rsidRPr="00384601">
        <w:t>iudadano</w:t>
      </w:r>
      <w:proofErr w:type="spellEnd"/>
      <w:r w:rsidRPr="00384601">
        <w:t xml:space="preserve"> [p]</w:t>
      </w:r>
      <w:proofErr w:type="spellStart"/>
      <w:r w:rsidRPr="00384601">
        <w:t>eruano</w:t>
      </w:r>
      <w:proofErr w:type="spellEnd"/>
      <w:r w:rsidRPr="00384601">
        <w:t xml:space="preserve"> </w:t>
      </w:r>
      <w:proofErr w:type="spellStart"/>
      <w:r w:rsidRPr="00384601">
        <w:t>Cesti</w:t>
      </w:r>
      <w:proofErr w:type="spellEnd"/>
      <w:r w:rsidRPr="00384601">
        <w:t xml:space="preserve"> Hurtado, tramitada desde ha[</w:t>
      </w:r>
      <w:proofErr w:type="spellStart"/>
      <w:r w:rsidRPr="00384601">
        <w:t>cía</w:t>
      </w:r>
      <w:proofErr w:type="spellEnd"/>
      <w:r w:rsidRPr="00384601">
        <w:t>] más de un año [antes de la fecha de la presentación], y […] que todavía [para esa fecha] s[</w:t>
      </w:r>
      <w:proofErr w:type="spellStart"/>
      <w:r w:rsidRPr="00384601">
        <w:t>eguía</w:t>
      </w:r>
      <w:proofErr w:type="spellEnd"/>
      <w:r w:rsidRPr="00384601">
        <w:t>] recluido en un [c]</w:t>
      </w:r>
      <w:proofErr w:type="spellStart"/>
      <w:r w:rsidRPr="00384601">
        <w:t>uartel</w:t>
      </w:r>
      <w:proofErr w:type="spellEnd"/>
      <w:r w:rsidRPr="00384601">
        <w:t xml:space="preserve"> [m]</w:t>
      </w:r>
      <w:proofErr w:type="spellStart"/>
      <w:r w:rsidRPr="00384601">
        <w:t>ilitar</w:t>
      </w:r>
      <w:proofErr w:type="spellEnd"/>
      <w:r w:rsidRPr="00384601">
        <w:t>”.</w:t>
      </w:r>
      <w:r w:rsidRPr="00CE68AB">
        <w:rPr>
          <w:b/>
        </w:rPr>
        <w:t xml:space="preserve"> </w:t>
      </w:r>
      <w:r w:rsidRPr="00384601">
        <w:t xml:space="preserve">Luego, el 14 de septiembre de 1998, el señor Galindo hizo llegar a la Comisión un recorte periodístico presuntamente de 10 de julio de 1998 (pues la fecha está puesta a mano) en el que se da cuenta de que el entonces Presidente </w:t>
      </w:r>
      <w:r w:rsidR="003B0237" w:rsidRPr="008D2D9F">
        <w:t xml:space="preserve">Alberto </w:t>
      </w:r>
      <w:proofErr w:type="spellStart"/>
      <w:r w:rsidR="003B0237" w:rsidRPr="008D2D9F">
        <w:t>Kenya</w:t>
      </w:r>
      <w:proofErr w:type="spellEnd"/>
      <w:r w:rsidR="003B0237" w:rsidRPr="008D2D9F">
        <w:t xml:space="preserve"> Fujimori</w:t>
      </w:r>
      <w:r w:rsidR="00DD27DD">
        <w:rPr>
          <w:rFonts w:ascii="Arial" w:hAnsi="Arial" w:cs="Arial"/>
          <w:b/>
          <w:bCs/>
          <w:color w:val="252525"/>
          <w:sz w:val="21"/>
          <w:szCs w:val="21"/>
          <w:shd w:val="clear" w:color="auto" w:fill="FFFFFF"/>
        </w:rPr>
        <w:t xml:space="preserve"> </w:t>
      </w:r>
      <w:proofErr w:type="spellStart"/>
      <w:r w:rsidRPr="00384601">
        <w:t>Fujimori</w:t>
      </w:r>
      <w:proofErr w:type="spellEnd"/>
      <w:r w:rsidRPr="00384601">
        <w:t xml:space="preserve"> </w:t>
      </w:r>
      <w:r w:rsidR="00DD27DD">
        <w:t xml:space="preserve">(en adelante </w:t>
      </w:r>
      <w:r w:rsidR="00524991">
        <w:t>“</w:t>
      </w:r>
      <w:r w:rsidR="00DD27DD">
        <w:t>Presidente Fujimori</w:t>
      </w:r>
      <w:r w:rsidR="00524991">
        <w:t>”</w:t>
      </w:r>
      <w:r w:rsidR="006E3AFE">
        <w:t xml:space="preserve"> o </w:t>
      </w:r>
      <w:r w:rsidR="00524991">
        <w:t>“</w:t>
      </w:r>
      <w:r w:rsidR="006E3AFE">
        <w:t>Alberto Fujimori</w:t>
      </w:r>
      <w:r w:rsidR="00524991">
        <w:t>”</w:t>
      </w:r>
      <w:r w:rsidR="00DD27DD">
        <w:t xml:space="preserve">) </w:t>
      </w:r>
      <w:r w:rsidRPr="00384601">
        <w:t>“dijo ‘ahora hay cada vez menos violaciones a derechos humanos’”, lo que, para el señor Galindo, constituyó una “</w:t>
      </w:r>
      <w:proofErr w:type="spellStart"/>
      <w:r w:rsidRPr="00384601">
        <w:t>admi</w:t>
      </w:r>
      <w:proofErr w:type="spellEnd"/>
      <w:r w:rsidRPr="00384601">
        <w:t>[</w:t>
      </w:r>
      <w:proofErr w:type="spellStart"/>
      <w:r w:rsidRPr="00384601">
        <w:t>sión</w:t>
      </w:r>
      <w:proofErr w:type="spellEnd"/>
      <w:r w:rsidRPr="00384601">
        <w:t xml:space="preserve">] de que en el Perú, bajo su gobierno se han perpetrado violaciones a los [derechos humanos]”. </w:t>
      </w:r>
      <w:r w:rsidR="00165259" w:rsidRPr="00384601">
        <w:t>En la misma oportunidad remitió a la Comisión un recorte de prensa, sin fecha, que indicaba que “[t]res congresistas de los Estados Unidos y</w:t>
      </w:r>
      <w:r w:rsidR="00165259">
        <w:t xml:space="preserve"> de</w:t>
      </w:r>
      <w:r w:rsidR="00165259" w:rsidRPr="00384601">
        <w:t xml:space="preserve"> la Asociación de Derechos Humanos, </w:t>
      </w:r>
      <w:proofErr w:type="spellStart"/>
      <w:r w:rsidR="00165259" w:rsidRPr="00384601">
        <w:t>Wola</w:t>
      </w:r>
      <w:proofErr w:type="spellEnd"/>
      <w:r w:rsidR="00165259" w:rsidRPr="00384601">
        <w:t xml:space="preserve">, exhortaron al [P]residente Fujimori y al Congreso </w:t>
      </w:r>
      <w:r w:rsidR="00165259">
        <w:t>[</w:t>
      </w:r>
      <w:r w:rsidR="00165259" w:rsidRPr="00384601">
        <w:t>P</w:t>
      </w:r>
      <w:r w:rsidR="00165259">
        <w:t>]</w:t>
      </w:r>
      <w:proofErr w:type="spellStart"/>
      <w:r w:rsidR="00165259" w:rsidRPr="00384601">
        <w:t>eruano</w:t>
      </w:r>
      <w:proofErr w:type="spellEnd"/>
      <w:r w:rsidR="00165259" w:rsidRPr="00384601">
        <w:t xml:space="preserve"> a que hagan cumplir las resoluciones de hábeas corpus”, sin señalar a qué resoluciones se aludía.</w:t>
      </w:r>
    </w:p>
    <w:p w:rsidR="00FA45FB" w:rsidRPr="009B308A" w:rsidRDefault="00FA45FB" w:rsidP="00FA45FB">
      <w:pPr>
        <w:rPr>
          <w:lang w:val="es-MX" w:eastAsia="es-MX"/>
        </w:rPr>
      </w:pPr>
    </w:p>
    <w:p w:rsidR="00FA45FB" w:rsidRPr="009B308A" w:rsidRDefault="00FA45FB" w:rsidP="00FA45FB">
      <w:pPr>
        <w:pStyle w:val="Estilo1"/>
        <w:tabs>
          <w:tab w:val="clear" w:pos="18282"/>
          <w:tab w:val="num" w:pos="18012"/>
        </w:tabs>
        <w:spacing w:after="0"/>
        <w:rPr>
          <w:lang w:val="es-MX" w:eastAsia="es-MX"/>
        </w:rPr>
      </w:pPr>
      <w:r w:rsidRPr="00144171">
        <w:rPr>
          <w:rFonts w:eastAsia="Times New Roman"/>
          <w:lang w:val="es-MX" w:eastAsia="es-MX"/>
        </w:rPr>
        <w:t>De</w:t>
      </w:r>
      <w:r w:rsidRPr="009B308A">
        <w:rPr>
          <w:rFonts w:eastAsia="Times New Roman"/>
          <w:lang w:val="es-MX" w:eastAsia="es-MX"/>
        </w:rPr>
        <w:t xml:space="preserve"> lo dicho surge que en el trámite del caso anterior a la decisión de admisibilidad, el señor Galindo adujo que no presentó un hábeas corpus porque no era un recurso efectivo en la época de los hechos, sustentando su aseveración</w:t>
      </w:r>
      <w:r>
        <w:rPr>
          <w:rFonts w:eastAsia="Times New Roman"/>
          <w:lang w:val="es-MX" w:eastAsia="es-MX"/>
        </w:rPr>
        <w:t xml:space="preserve"> </w:t>
      </w:r>
      <w:r w:rsidRPr="00144171">
        <w:rPr>
          <w:rFonts w:eastAsia="Times New Roman"/>
          <w:lang w:val="es-MX" w:eastAsia="es-MX"/>
        </w:rPr>
        <w:t>no solo en argumentos normativos, sino también fácticos. Así, adujo dos tipos de argumentos: a) normas infra-constitucionales que habrían hecho improcedentes</w:t>
      </w:r>
      <w:r w:rsidRPr="009B308A">
        <w:rPr>
          <w:rFonts w:eastAsia="Times New Roman"/>
          <w:lang w:val="es-MX" w:eastAsia="es-MX"/>
        </w:rPr>
        <w:t xml:space="preserve"> las acciones de hábeas corpus, y b) una presunta situación general de inefectividad práctica de tal tipo de acciones. En ese sentido, consta que entre sus argumentos hizo alusión a la vigencia de un estado de excepción en la ciudad de Huánuco. Asimismo, expresó que dicha ciudad estaba bajo control militar y que existía una “absoluta inseguridad jurídica” (</w:t>
      </w:r>
      <w:r w:rsidRPr="009B308A">
        <w:rPr>
          <w:rFonts w:eastAsia="Times New Roman"/>
          <w:i/>
          <w:lang w:val="es-MX" w:eastAsia="es-MX"/>
        </w:rPr>
        <w:t>supra</w:t>
      </w:r>
      <w:r w:rsidR="00A06A1C">
        <w:rPr>
          <w:rFonts w:eastAsia="Times New Roman"/>
          <w:lang w:val="es-MX" w:eastAsia="es-MX"/>
        </w:rPr>
        <w:t xml:space="preserve"> </w:t>
      </w:r>
      <w:r w:rsidRPr="00A06A1C">
        <w:rPr>
          <w:rFonts w:eastAsia="Times New Roman"/>
          <w:lang w:val="es-MX" w:eastAsia="es-MX"/>
        </w:rPr>
        <w:t>párr.</w:t>
      </w:r>
      <w:r w:rsidR="00912396" w:rsidRPr="00ED5F18">
        <w:rPr>
          <w:rFonts w:eastAsia="Times New Roman"/>
          <w:lang w:val="es-MX" w:eastAsia="es-MX"/>
        </w:rPr>
        <w:t xml:space="preserve"> </w:t>
      </w:r>
      <w:r w:rsidR="00D337A5">
        <w:rPr>
          <w:rFonts w:eastAsia="Times New Roman"/>
          <w:lang w:val="es-MX" w:eastAsia="es-MX"/>
        </w:rPr>
        <w:t>48</w:t>
      </w:r>
      <w:r w:rsidR="00D337A5" w:rsidRPr="009B308A">
        <w:rPr>
          <w:rFonts w:eastAsia="Times New Roman"/>
          <w:lang w:val="es-MX" w:eastAsia="es-MX"/>
        </w:rPr>
        <w:t xml:space="preserve">). </w:t>
      </w:r>
      <w:r w:rsidRPr="009B308A">
        <w:rPr>
          <w:rFonts w:eastAsia="Times New Roman"/>
          <w:lang w:val="es-MX" w:eastAsia="es-MX"/>
        </w:rPr>
        <w:t>También se manifestó sobre situación general de falta de garantías en la administración de justicia, hostigamiento y “sometimiento” de sus autoridades (</w:t>
      </w:r>
      <w:r w:rsidRPr="009B308A">
        <w:rPr>
          <w:rFonts w:eastAsia="Times New Roman"/>
          <w:i/>
          <w:lang w:val="es-MX" w:eastAsia="es-MX"/>
        </w:rPr>
        <w:t>supra</w:t>
      </w:r>
      <w:r w:rsidRPr="009B308A">
        <w:rPr>
          <w:rFonts w:eastAsia="Times New Roman"/>
          <w:lang w:val="es-MX" w:eastAsia="es-MX"/>
        </w:rPr>
        <w:t xml:space="preserve"> párr. </w:t>
      </w:r>
      <w:r w:rsidR="001676FF">
        <w:rPr>
          <w:rFonts w:eastAsia="Times New Roman"/>
          <w:lang w:val="es-MX" w:eastAsia="es-MX"/>
        </w:rPr>
        <w:t>34</w:t>
      </w:r>
      <w:r w:rsidR="001676FF" w:rsidRPr="009B308A">
        <w:rPr>
          <w:rFonts w:eastAsia="Times New Roman"/>
          <w:lang w:val="es-MX" w:eastAsia="es-MX"/>
        </w:rPr>
        <w:t xml:space="preserve">). </w:t>
      </w:r>
      <w:r w:rsidRPr="009B308A">
        <w:rPr>
          <w:rFonts w:eastAsia="Times New Roman"/>
          <w:lang w:val="es-MX" w:eastAsia="es-MX"/>
        </w:rPr>
        <w:t xml:space="preserve">Por otra parte, adicionalmente a esa situación, indicó que quien entonces era Presidente de Perú, el </w:t>
      </w:r>
      <w:r w:rsidR="00DD27DD">
        <w:rPr>
          <w:rFonts w:eastAsia="Times New Roman"/>
          <w:lang w:val="es-MX" w:eastAsia="es-MX"/>
        </w:rPr>
        <w:t>Presidente</w:t>
      </w:r>
      <w:r w:rsidR="003417DB">
        <w:rPr>
          <w:rFonts w:eastAsia="Times New Roman"/>
          <w:lang w:val="es-MX" w:eastAsia="es-MX"/>
        </w:rPr>
        <w:t xml:space="preserve"> Fujimori, había tenido intervención</w:t>
      </w:r>
      <w:r w:rsidRPr="009B308A">
        <w:rPr>
          <w:rFonts w:eastAsia="Times New Roman"/>
          <w:lang w:val="es-MX" w:eastAsia="es-MX"/>
        </w:rPr>
        <w:t xml:space="preserve"> en su caso (</w:t>
      </w:r>
      <w:r w:rsidRPr="009B308A">
        <w:rPr>
          <w:rFonts w:eastAsia="Times New Roman"/>
          <w:i/>
          <w:lang w:val="es-MX" w:eastAsia="es-MX"/>
        </w:rPr>
        <w:t>supra</w:t>
      </w:r>
      <w:r w:rsidRPr="009B308A">
        <w:rPr>
          <w:rFonts w:eastAsia="Times New Roman"/>
          <w:lang w:val="es-MX" w:eastAsia="es-MX"/>
        </w:rPr>
        <w:t xml:space="preserve"> párr.</w:t>
      </w:r>
      <w:r w:rsidR="00331204">
        <w:rPr>
          <w:rFonts w:eastAsia="Times New Roman"/>
          <w:lang w:val="es-MX" w:eastAsia="es-MX"/>
        </w:rPr>
        <w:t xml:space="preserve"> </w:t>
      </w:r>
      <w:r w:rsidR="00331204" w:rsidRPr="00420EA7">
        <w:rPr>
          <w:rFonts w:eastAsia="Times New Roman"/>
          <w:lang w:val="es-MX" w:eastAsia="es-MX"/>
        </w:rPr>
        <w:t>122</w:t>
      </w:r>
      <w:r w:rsidR="001676FF" w:rsidRPr="00420EA7">
        <w:rPr>
          <w:rFonts w:eastAsia="Times New Roman"/>
          <w:lang w:val="es-MX" w:eastAsia="es-MX"/>
        </w:rPr>
        <w:t>)</w:t>
      </w:r>
      <w:r w:rsidR="001676FF" w:rsidRPr="009B308A">
        <w:rPr>
          <w:rFonts w:eastAsia="Times New Roman"/>
          <w:lang w:val="es-MX" w:eastAsia="es-MX"/>
        </w:rPr>
        <w:t>.</w:t>
      </w:r>
      <w:r w:rsidR="00D54B3F">
        <w:rPr>
          <w:rFonts w:eastAsia="Times New Roman"/>
          <w:lang w:val="es-MX" w:eastAsia="es-MX"/>
        </w:rPr>
        <w:t xml:space="preserve"> </w:t>
      </w:r>
    </w:p>
    <w:p w:rsidR="00FA45FB" w:rsidRDefault="00FA45FB" w:rsidP="00FA45FB">
      <w:pPr>
        <w:pStyle w:val="ListParagraph"/>
        <w:rPr>
          <w:b/>
          <w:lang w:val="es-MX" w:eastAsia="es-MX"/>
        </w:rPr>
      </w:pPr>
    </w:p>
    <w:p w:rsidR="001A7316" w:rsidRDefault="00FA45FB" w:rsidP="001A7316">
      <w:pPr>
        <w:pStyle w:val="Estilo1"/>
        <w:tabs>
          <w:tab w:val="clear" w:pos="18282"/>
          <w:tab w:val="num" w:pos="18012"/>
        </w:tabs>
        <w:spacing w:after="0"/>
        <w:rPr>
          <w:rFonts w:eastAsia="Times New Roman"/>
          <w:lang w:val="es-MX" w:eastAsia="es-MX"/>
        </w:rPr>
      </w:pPr>
      <w:r w:rsidRPr="009B308A">
        <w:rPr>
          <w:rFonts w:eastAsia="Times New Roman"/>
          <w:lang w:val="es-MX" w:eastAsia="es-MX"/>
        </w:rPr>
        <w:t xml:space="preserve">Frente a ello, el Estado respondió con argumentos sobre la vigencia normativa formal del hábeas corpus, con referencia a la regulación de su procedimiento y a la normatividad </w:t>
      </w:r>
      <w:r w:rsidRPr="00144171">
        <w:rPr>
          <w:rFonts w:eastAsia="Times New Roman"/>
          <w:lang w:val="es-MX" w:eastAsia="es-MX"/>
        </w:rPr>
        <w:t>constitucional. Así, además de lo dicho en su escrito presentado el 8 de mayo de 1996</w:t>
      </w:r>
      <w:r w:rsidR="00912396" w:rsidRPr="00144171">
        <w:rPr>
          <w:rFonts w:eastAsia="Times New Roman"/>
          <w:lang w:val="es-MX" w:eastAsia="es-MX"/>
        </w:rPr>
        <w:t xml:space="preserve"> (</w:t>
      </w:r>
      <w:r w:rsidR="00912396" w:rsidRPr="00144171">
        <w:rPr>
          <w:rFonts w:eastAsia="Times New Roman"/>
          <w:i/>
          <w:lang w:val="es-MX" w:eastAsia="es-MX"/>
        </w:rPr>
        <w:t>supra</w:t>
      </w:r>
      <w:r w:rsidR="00912396" w:rsidRPr="00144171">
        <w:rPr>
          <w:rFonts w:eastAsia="Times New Roman"/>
          <w:lang w:val="es-MX" w:eastAsia="es-MX"/>
        </w:rPr>
        <w:t xml:space="preserve"> párr. </w:t>
      </w:r>
      <w:r w:rsidR="001676FF">
        <w:rPr>
          <w:rFonts w:eastAsia="Times New Roman"/>
          <w:lang w:val="es-MX" w:eastAsia="es-MX"/>
        </w:rPr>
        <w:t>43</w:t>
      </w:r>
      <w:r w:rsidR="001676FF" w:rsidRPr="00144171">
        <w:rPr>
          <w:rFonts w:eastAsia="Times New Roman"/>
          <w:lang w:val="es-MX" w:eastAsia="es-MX"/>
        </w:rPr>
        <w:t xml:space="preserve">), </w:t>
      </w:r>
      <w:r w:rsidRPr="00144171">
        <w:rPr>
          <w:rFonts w:eastAsia="Times New Roman"/>
          <w:lang w:val="es-MX" w:eastAsia="es-MX"/>
        </w:rPr>
        <w:t>en un escrito presentado a la Comisión el 27 de diciembre de 1996</w:t>
      </w:r>
      <w:r w:rsidR="00912396" w:rsidRPr="00144171">
        <w:rPr>
          <w:rFonts w:eastAsia="Times New Roman"/>
          <w:lang w:val="es-MX" w:eastAsia="es-MX"/>
        </w:rPr>
        <w:t>,</w:t>
      </w:r>
      <w:r w:rsidRPr="00144171">
        <w:rPr>
          <w:rFonts w:eastAsia="Times New Roman"/>
          <w:lang w:val="es-MX" w:eastAsia="es-MX"/>
        </w:rPr>
        <w:t xml:space="preserve"> señaló que “el artículo 200.6 de la Constitución […] aprobada en 1993 establece […] que la declaración de cualquier régimen de excepción no suspende el derecho de los particulares a interponer recursos de protección constitucional”. Además cuestionó la prueba presentada por el señor Galindo sobre un hecho puntual de</w:t>
      </w:r>
      <w:r w:rsidR="001A7316" w:rsidRPr="00144171">
        <w:rPr>
          <w:rFonts w:eastAsia="Times New Roman"/>
          <w:lang w:val="es-MX" w:eastAsia="es-MX"/>
        </w:rPr>
        <w:t xml:space="preserve"> </w:t>
      </w:r>
      <w:r w:rsidRPr="00144171">
        <w:rPr>
          <w:rFonts w:eastAsia="Times New Roman"/>
          <w:lang w:val="es-MX" w:eastAsia="es-MX"/>
        </w:rPr>
        <w:t>supuestas amenazas proferidas contra funcionarios judiciales</w:t>
      </w:r>
      <w:r w:rsidRPr="00144171">
        <w:rPr>
          <w:rStyle w:val="FootnoteReference"/>
          <w:lang w:val="es-MX" w:eastAsia="es-MX"/>
        </w:rPr>
        <w:footnoteReference w:id="42"/>
      </w:r>
      <w:r w:rsidRPr="00144171">
        <w:rPr>
          <w:rFonts w:eastAsia="Times New Roman"/>
          <w:lang w:val="es-MX" w:eastAsia="es-MX"/>
        </w:rPr>
        <w:t>.</w:t>
      </w:r>
      <w:r>
        <w:rPr>
          <w:rFonts w:eastAsia="Times New Roman"/>
          <w:lang w:val="es-MX" w:eastAsia="es-MX"/>
        </w:rPr>
        <w:t xml:space="preserve"> </w:t>
      </w:r>
    </w:p>
    <w:p w:rsidR="001A7316" w:rsidRDefault="001A7316" w:rsidP="001A7316">
      <w:pPr>
        <w:pStyle w:val="ListParagraph"/>
        <w:rPr>
          <w:lang w:val="es-MX" w:eastAsia="es-MX"/>
        </w:rPr>
      </w:pPr>
    </w:p>
    <w:p w:rsidR="001A7316" w:rsidRDefault="00FA45FB" w:rsidP="00FA45FB">
      <w:pPr>
        <w:pStyle w:val="Estilo1"/>
        <w:tabs>
          <w:tab w:val="clear" w:pos="18282"/>
          <w:tab w:val="num" w:pos="18012"/>
        </w:tabs>
        <w:spacing w:after="0"/>
        <w:rPr>
          <w:rFonts w:eastAsia="Times New Roman"/>
          <w:lang w:val="es-MX" w:eastAsia="es-MX"/>
        </w:rPr>
      </w:pPr>
      <w:r w:rsidRPr="001A7316">
        <w:rPr>
          <w:rFonts w:eastAsia="Times New Roman"/>
          <w:lang w:val="es-MX" w:eastAsia="es-MX"/>
        </w:rPr>
        <w:t>En el presente caso tal tipo de argumentos resultan insuficientes para colegir que Perú presentó en forma oportuna información</w:t>
      </w:r>
      <w:r w:rsidR="001A7316">
        <w:rPr>
          <w:rFonts w:eastAsia="Times New Roman"/>
          <w:lang w:val="es-MX" w:eastAsia="es-MX"/>
        </w:rPr>
        <w:t xml:space="preserve"> </w:t>
      </w:r>
      <w:r w:rsidRPr="001A7316">
        <w:rPr>
          <w:rFonts w:eastAsia="Times New Roman"/>
          <w:lang w:val="es-MX" w:eastAsia="es-MX"/>
        </w:rPr>
        <w:t xml:space="preserve">sobre la efectividad del recurso. Ello, dado que el entonces peticionario aludió no solo a problemas normativos, sino también a una situación </w:t>
      </w:r>
      <w:r w:rsidRPr="001A7316">
        <w:rPr>
          <w:rFonts w:eastAsia="Times New Roman"/>
          <w:lang w:val="es-MX" w:eastAsia="es-MX"/>
        </w:rPr>
        <w:lastRenderedPageBreak/>
        <w:t>fáctica en el momento de los hechos. En ese sentido, con anterioridad a la emisión del Informe de Admisibilidad, Perú no presentó información sobre el entendimiento o aplicación del hábeas corpus por las autoridades correspondientes en la época de los hechos. Aunado a ello, si bien cuestionó un hecho puntual referido por el señor Galindo respe</w:t>
      </w:r>
      <w:r w:rsidR="00F86625">
        <w:rPr>
          <w:rFonts w:eastAsia="Times New Roman"/>
          <w:lang w:val="es-MX" w:eastAsia="es-MX"/>
        </w:rPr>
        <w:t>c</w:t>
      </w:r>
      <w:r w:rsidRPr="001A7316">
        <w:rPr>
          <w:rFonts w:eastAsia="Times New Roman"/>
          <w:lang w:val="es-MX" w:eastAsia="es-MX"/>
        </w:rPr>
        <w:t>to a supuestas amenazas a funcionarios judiciales (</w:t>
      </w:r>
      <w:r w:rsidRPr="001A7316">
        <w:rPr>
          <w:rFonts w:eastAsia="Times New Roman"/>
          <w:i/>
          <w:lang w:val="es-MX" w:eastAsia="es-MX"/>
        </w:rPr>
        <w:t>supra</w:t>
      </w:r>
      <w:r w:rsidRPr="001A7316">
        <w:rPr>
          <w:rFonts w:eastAsia="Times New Roman"/>
          <w:lang w:val="es-MX" w:eastAsia="es-MX"/>
        </w:rPr>
        <w:t xml:space="preserve"> notas a pie de página </w:t>
      </w:r>
      <w:r w:rsidR="008310B2" w:rsidRPr="008E6755">
        <w:t>24, 38 y 41</w:t>
      </w:r>
      <w:r w:rsidRPr="001A7316">
        <w:rPr>
          <w:rFonts w:eastAsia="Times New Roman"/>
          <w:lang w:val="es-MX" w:eastAsia="es-MX"/>
        </w:rPr>
        <w:t xml:space="preserve">), no se refirió a los alegatos sobre una situación general de falta de garantías en </w:t>
      </w:r>
      <w:r w:rsidR="001A7316">
        <w:rPr>
          <w:rFonts w:eastAsia="Times New Roman"/>
          <w:lang w:val="es-MX" w:eastAsia="es-MX"/>
        </w:rPr>
        <w:t xml:space="preserve">la administración de justicia. </w:t>
      </w:r>
    </w:p>
    <w:p w:rsidR="001A7316" w:rsidRDefault="001A7316" w:rsidP="001A7316">
      <w:pPr>
        <w:pStyle w:val="ListParagraph"/>
        <w:rPr>
          <w:b/>
          <w:lang w:val="es-MX" w:eastAsia="es-MX"/>
        </w:rPr>
      </w:pPr>
    </w:p>
    <w:p w:rsidR="00FA45FB" w:rsidRPr="00144171" w:rsidRDefault="00FA45FB" w:rsidP="00FA45FB">
      <w:pPr>
        <w:pStyle w:val="Estilo1"/>
        <w:tabs>
          <w:tab w:val="clear" w:pos="18282"/>
          <w:tab w:val="num" w:pos="18012"/>
        </w:tabs>
        <w:spacing w:after="0"/>
        <w:rPr>
          <w:rFonts w:eastAsia="Times New Roman"/>
          <w:lang w:val="es-MX" w:eastAsia="es-MX"/>
        </w:rPr>
      </w:pPr>
      <w:r w:rsidRPr="00144171">
        <w:rPr>
          <w:lang w:val="es-MX" w:eastAsia="es-MX"/>
        </w:rPr>
        <w:t xml:space="preserve">Aunado a lo anterior, la Corte nota que pese a la </w:t>
      </w:r>
      <w:r w:rsidR="000806A9" w:rsidRPr="00144171">
        <w:rPr>
          <w:lang w:val="es-MX" w:eastAsia="es-MX"/>
        </w:rPr>
        <w:t>validez</w:t>
      </w:r>
      <w:r w:rsidRPr="00144171">
        <w:rPr>
          <w:lang w:val="es-MX" w:eastAsia="es-MX"/>
        </w:rPr>
        <w:t xml:space="preserve"> formal del hábeas corpus indicada por Perú (</w:t>
      </w:r>
      <w:r w:rsidRPr="00144171">
        <w:rPr>
          <w:i/>
          <w:lang w:val="es-MX" w:eastAsia="es-MX"/>
        </w:rPr>
        <w:t>supra</w:t>
      </w:r>
      <w:r w:rsidR="007B2392" w:rsidRPr="00144171">
        <w:rPr>
          <w:lang w:val="es-MX" w:eastAsia="es-MX"/>
        </w:rPr>
        <w:t xml:space="preserve"> párr. </w:t>
      </w:r>
      <w:r w:rsidR="001676FF">
        <w:rPr>
          <w:lang w:val="es-MX" w:eastAsia="es-MX"/>
        </w:rPr>
        <w:t>43</w:t>
      </w:r>
      <w:r w:rsidR="001676FF" w:rsidRPr="00144171">
        <w:rPr>
          <w:lang w:val="es-MX" w:eastAsia="es-MX"/>
        </w:rPr>
        <w:t xml:space="preserve">), </w:t>
      </w:r>
      <w:r w:rsidR="007B2392" w:rsidRPr="00144171">
        <w:rPr>
          <w:lang w:val="es-MX" w:eastAsia="es-MX"/>
        </w:rPr>
        <w:t>t</w:t>
      </w:r>
      <w:r w:rsidRPr="00144171">
        <w:rPr>
          <w:lang w:val="es-MX" w:eastAsia="es-MX"/>
        </w:rPr>
        <w:t>ambién se encontraba vigente un estado de excepción que, como surge de normas de público conocimiento, suspendía el requisito constitucional de orden judicial escrita o flagrancia</w:t>
      </w:r>
      <w:r w:rsidR="00912396" w:rsidRPr="00144171">
        <w:rPr>
          <w:lang w:val="es-MX" w:eastAsia="es-MX"/>
        </w:rPr>
        <w:t xml:space="preserve"> para la detención de personas</w:t>
      </w:r>
      <w:r w:rsidR="000806A9" w:rsidRPr="00144171">
        <w:rPr>
          <w:lang w:val="es-MX" w:eastAsia="es-MX"/>
        </w:rPr>
        <w:t xml:space="preserve"> y </w:t>
      </w:r>
      <w:r w:rsidR="00912396" w:rsidRPr="00144171">
        <w:rPr>
          <w:lang w:val="es-MX" w:eastAsia="es-MX"/>
        </w:rPr>
        <w:t>disponía</w:t>
      </w:r>
      <w:r w:rsidRPr="00144171">
        <w:rPr>
          <w:lang w:val="es-MX" w:eastAsia="es-MX"/>
        </w:rPr>
        <w:t xml:space="preserve"> el control del orden interno por las Fuerzas Armadas (</w:t>
      </w:r>
      <w:r w:rsidRPr="00144171">
        <w:rPr>
          <w:i/>
          <w:lang w:val="es-MX" w:eastAsia="es-MX"/>
        </w:rPr>
        <w:t>infra</w:t>
      </w:r>
      <w:r w:rsidRPr="00144171">
        <w:rPr>
          <w:lang w:val="es-MX" w:eastAsia="es-MX"/>
        </w:rPr>
        <w:t xml:space="preserve"> párr. </w:t>
      </w:r>
      <w:r w:rsidR="006A20F1">
        <w:rPr>
          <w:lang w:val="es-MX" w:eastAsia="es-MX"/>
        </w:rPr>
        <w:t>100</w:t>
      </w:r>
      <w:r w:rsidR="00BD1DDC" w:rsidRPr="00144171">
        <w:rPr>
          <w:lang w:val="es-MX" w:eastAsia="es-MX"/>
        </w:rPr>
        <w:t xml:space="preserve">). </w:t>
      </w:r>
      <w:r w:rsidRPr="00144171">
        <w:rPr>
          <w:lang w:val="es-MX" w:eastAsia="es-MX"/>
        </w:rPr>
        <w:t>Adicionalmente, en el caso</w:t>
      </w:r>
      <w:r w:rsidR="00543133">
        <w:rPr>
          <w:lang w:val="es-MX" w:eastAsia="es-MX"/>
        </w:rPr>
        <w:t>,</w:t>
      </w:r>
      <w:r w:rsidRPr="00144171">
        <w:rPr>
          <w:lang w:val="es-MX" w:eastAsia="es-MX"/>
        </w:rPr>
        <w:t xml:space="preserve"> el señor Galindo mencionó que el entonces Presidente de la República había tomado “intervención” en su caso y que la acción de hábeas corpus debía intentarse respecto a autoridades militares que tenían control de la zona (</w:t>
      </w:r>
      <w:r w:rsidRPr="00144171">
        <w:rPr>
          <w:i/>
          <w:lang w:val="es-MX" w:eastAsia="es-MX"/>
        </w:rPr>
        <w:t>supra</w:t>
      </w:r>
      <w:r w:rsidRPr="00144171">
        <w:rPr>
          <w:lang w:val="es-MX" w:eastAsia="es-MX"/>
        </w:rPr>
        <w:t xml:space="preserve"> párr. </w:t>
      </w:r>
      <w:r w:rsidR="0028076B">
        <w:rPr>
          <w:lang w:val="es-MX" w:eastAsia="es-MX"/>
        </w:rPr>
        <w:t>50</w:t>
      </w:r>
      <w:r w:rsidR="001676FF" w:rsidRPr="00144171">
        <w:rPr>
          <w:lang w:val="es-MX" w:eastAsia="es-MX"/>
        </w:rPr>
        <w:t xml:space="preserve">). </w:t>
      </w:r>
      <w:r w:rsidRPr="00144171">
        <w:rPr>
          <w:lang w:val="es-MX" w:eastAsia="es-MX"/>
        </w:rPr>
        <w:t>En ese marco, de la vigencia normativa del hábeas corpus referida por el Estado no se desprende que el recurso</w:t>
      </w:r>
      <w:r w:rsidR="007B2392" w:rsidRPr="00144171">
        <w:rPr>
          <w:lang w:val="es-MX" w:eastAsia="es-MX"/>
        </w:rPr>
        <w:t xml:space="preserve"> tuviera posibilidad </w:t>
      </w:r>
      <w:r w:rsidRPr="00144171">
        <w:rPr>
          <w:lang w:val="es-MX" w:eastAsia="es-MX"/>
        </w:rPr>
        <w:t>de ser efectivo en el caso.</w:t>
      </w:r>
    </w:p>
    <w:p w:rsidR="00FA45FB" w:rsidRPr="00C6713C" w:rsidRDefault="00FA45FB" w:rsidP="00FA45FB">
      <w:pPr>
        <w:rPr>
          <w:lang w:val="es-MX" w:eastAsia="es-MX"/>
        </w:rPr>
      </w:pPr>
    </w:p>
    <w:p w:rsidR="00FA45FB" w:rsidRPr="009B308A" w:rsidRDefault="00FA45FB" w:rsidP="00FA45FB">
      <w:pPr>
        <w:pStyle w:val="Estilo1"/>
        <w:tabs>
          <w:tab w:val="clear" w:pos="18282"/>
          <w:tab w:val="num" w:pos="18012"/>
        </w:tabs>
        <w:spacing w:after="0"/>
        <w:rPr>
          <w:rFonts w:eastAsia="Times New Roman"/>
          <w:lang w:val="es-MX" w:eastAsia="es-MX"/>
        </w:rPr>
      </w:pPr>
      <w:r w:rsidRPr="009B308A">
        <w:rPr>
          <w:rFonts w:eastAsia="Times New Roman"/>
          <w:lang w:val="es-MX" w:eastAsia="es-MX"/>
        </w:rPr>
        <w:t xml:space="preserve">Por lo expuesto, se colige que el Estado no cumplió con la carga de señalar de modo suficiente, en la etapa de admisibilidad del proceso ante la Comisión, que contaba con recursos adecuados y efectivos pertinentes para el caso. </w:t>
      </w:r>
    </w:p>
    <w:p w:rsidR="00FA45FB" w:rsidRPr="009B308A" w:rsidRDefault="00FA45FB" w:rsidP="00FA45FB">
      <w:pPr>
        <w:pStyle w:val="Estilo1"/>
        <w:numPr>
          <w:ilvl w:val="0"/>
          <w:numId w:val="0"/>
        </w:numPr>
        <w:spacing w:after="0"/>
        <w:rPr>
          <w:lang w:val="es-MX" w:eastAsia="es-MX"/>
        </w:rPr>
      </w:pPr>
    </w:p>
    <w:p w:rsidR="00FA45FB" w:rsidRPr="009B308A" w:rsidRDefault="00FA45FB" w:rsidP="00FA45FB">
      <w:pPr>
        <w:pStyle w:val="Estilo1"/>
        <w:tabs>
          <w:tab w:val="clear" w:pos="18282"/>
          <w:tab w:val="num" w:pos="18012"/>
        </w:tabs>
        <w:spacing w:after="0"/>
        <w:rPr>
          <w:rFonts w:eastAsia="Times New Roman"/>
          <w:lang w:val="es-MX" w:eastAsia="es-MX"/>
        </w:rPr>
      </w:pPr>
      <w:r w:rsidRPr="009B308A">
        <w:rPr>
          <w:rFonts w:eastAsia="Times New Roman"/>
          <w:lang w:val="es-MX" w:eastAsia="es-MX"/>
        </w:rPr>
        <w:t>Por todo lo anterior, la Corte desestima la excepción preliminar de falta de agotamiento de recursos internos planteada por el Estado.</w:t>
      </w:r>
    </w:p>
    <w:p w:rsidR="00E22EBD" w:rsidRPr="00DC06A0" w:rsidRDefault="00E22EBD" w:rsidP="00DC06A0">
      <w:pPr>
        <w:outlineLvl w:val="0"/>
        <w:rPr>
          <w:rFonts w:eastAsiaTheme="minorEastAsia"/>
          <w:b/>
          <w:szCs w:val="20"/>
          <w:lang w:val="es-MX" w:eastAsia="es-MX"/>
        </w:rPr>
      </w:pPr>
      <w:bookmarkStart w:id="56" w:name="_Toc425357763"/>
    </w:p>
    <w:p w:rsidR="009E2748" w:rsidRPr="00CD64A1" w:rsidRDefault="00453FA9" w:rsidP="00CD64A1">
      <w:pPr>
        <w:pStyle w:val="Estilo4"/>
        <w:spacing w:after="0"/>
        <w:ind w:right="29"/>
      </w:pPr>
      <w:bookmarkStart w:id="57" w:name="_Toc430869765"/>
      <w:bookmarkStart w:id="58" w:name="_Toc438129686"/>
      <w:r w:rsidRPr="00CD64A1">
        <w:t>V</w:t>
      </w:r>
      <w:bookmarkEnd w:id="56"/>
      <w:bookmarkEnd w:id="57"/>
      <w:bookmarkEnd w:id="58"/>
    </w:p>
    <w:p w:rsidR="009E2748" w:rsidRPr="00CD64A1" w:rsidRDefault="009E2748" w:rsidP="00CD64A1">
      <w:pPr>
        <w:pStyle w:val="Estilo4"/>
        <w:spacing w:after="0"/>
        <w:ind w:right="29"/>
      </w:pPr>
      <w:bookmarkStart w:id="59" w:name="_Toc400725002"/>
      <w:bookmarkStart w:id="60" w:name="_Toc415503954"/>
      <w:bookmarkStart w:id="61" w:name="_Toc415507359"/>
      <w:bookmarkStart w:id="62" w:name="_Toc418530449"/>
      <w:bookmarkStart w:id="63" w:name="_Toc420941711"/>
      <w:bookmarkStart w:id="64" w:name="_Toc424313464"/>
      <w:bookmarkStart w:id="65" w:name="_Toc430869766"/>
      <w:bookmarkStart w:id="66" w:name="_Toc438129687"/>
      <w:r>
        <w:t>CONSIDERACIONES</w:t>
      </w:r>
      <w:r w:rsidRPr="00FA11AC">
        <w:t xml:space="preserve"> PREVIAS</w:t>
      </w:r>
      <w:bookmarkEnd w:id="59"/>
      <w:bookmarkEnd w:id="60"/>
      <w:bookmarkEnd w:id="61"/>
      <w:bookmarkEnd w:id="62"/>
      <w:bookmarkEnd w:id="63"/>
      <w:bookmarkEnd w:id="64"/>
      <w:bookmarkEnd w:id="65"/>
      <w:bookmarkEnd w:id="66"/>
    </w:p>
    <w:p w:rsidR="009E2748" w:rsidRPr="00CD64A1" w:rsidRDefault="009E2748" w:rsidP="00CD64A1">
      <w:pPr>
        <w:pStyle w:val="Estilo4"/>
        <w:spacing w:after="0"/>
        <w:ind w:right="29"/>
      </w:pPr>
    </w:p>
    <w:p w:rsidR="009E2748" w:rsidRDefault="009E2748" w:rsidP="000806A9">
      <w:pPr>
        <w:pStyle w:val="Estilo1"/>
        <w:spacing w:after="0"/>
      </w:pPr>
      <w:r w:rsidRPr="00FA11AC">
        <w:rPr>
          <w:lang w:val="es-CR"/>
        </w:rPr>
        <w:t>E</w:t>
      </w:r>
      <w:r w:rsidRPr="00FA11AC">
        <w:t xml:space="preserve">l Estado presentó </w:t>
      </w:r>
      <w:r>
        <w:t>como consideraciones previas</w:t>
      </w:r>
      <w:r w:rsidRPr="00FA11AC">
        <w:t xml:space="preserve"> </w:t>
      </w:r>
      <w:r>
        <w:t>el aspecto procesal concerniente a la determinación de las presuntas víctimas y a inexactitudes contenidas en el Informe de Fondo No. 57/12</w:t>
      </w:r>
      <w:r w:rsidR="004A4B10">
        <w:t>.</w:t>
      </w:r>
      <w:r>
        <w:t xml:space="preserve"> La Corte procederá examinar dichas cuestiones en ese orden.</w:t>
      </w:r>
    </w:p>
    <w:p w:rsidR="009E2748" w:rsidRDefault="009E2748" w:rsidP="000806A9">
      <w:pPr>
        <w:pStyle w:val="Estilo1"/>
        <w:numPr>
          <w:ilvl w:val="0"/>
          <w:numId w:val="0"/>
        </w:numPr>
        <w:spacing w:after="0"/>
        <w:ind w:right="29"/>
      </w:pPr>
    </w:p>
    <w:p w:rsidR="009E2748" w:rsidRPr="00AF1BDD" w:rsidRDefault="009E2748" w:rsidP="00CE68AB">
      <w:pPr>
        <w:pStyle w:val="Heading2"/>
        <w:numPr>
          <w:ilvl w:val="0"/>
          <w:numId w:val="7"/>
        </w:numPr>
        <w:ind w:left="567" w:right="29" w:firstLine="0"/>
        <w:rPr>
          <w:spacing w:val="0"/>
          <w:w w:val="100"/>
        </w:rPr>
      </w:pPr>
      <w:bookmarkStart w:id="67" w:name="_Toc393212545"/>
      <w:bookmarkStart w:id="68" w:name="_Toc393227770"/>
      <w:bookmarkStart w:id="69" w:name="_Toc393232774"/>
      <w:bookmarkStart w:id="70" w:name="_Toc400725003"/>
      <w:bookmarkStart w:id="71" w:name="_Toc415503955"/>
      <w:bookmarkStart w:id="72" w:name="_Toc415507360"/>
      <w:bookmarkStart w:id="73" w:name="_Toc418530450"/>
      <w:bookmarkStart w:id="74" w:name="_Toc420941712"/>
      <w:bookmarkStart w:id="75" w:name="_Toc424313465"/>
      <w:bookmarkStart w:id="76" w:name="_Toc430869767"/>
      <w:bookmarkStart w:id="77" w:name="_Toc438129688"/>
      <w:r>
        <w:rPr>
          <w:spacing w:val="0"/>
          <w:w w:val="100"/>
        </w:rPr>
        <w:t>Determinación de las P</w:t>
      </w:r>
      <w:r w:rsidRPr="00FA11AC">
        <w:rPr>
          <w:spacing w:val="0"/>
          <w:w w:val="100"/>
        </w:rPr>
        <w:t>resuntas víctimas</w:t>
      </w:r>
      <w:bookmarkEnd w:id="67"/>
      <w:bookmarkEnd w:id="68"/>
      <w:bookmarkEnd w:id="69"/>
      <w:bookmarkEnd w:id="70"/>
      <w:bookmarkEnd w:id="71"/>
      <w:bookmarkEnd w:id="72"/>
      <w:bookmarkEnd w:id="73"/>
      <w:bookmarkEnd w:id="74"/>
      <w:bookmarkEnd w:id="75"/>
      <w:bookmarkEnd w:id="76"/>
      <w:bookmarkEnd w:id="77"/>
      <w:r w:rsidRPr="00FA11AC">
        <w:rPr>
          <w:spacing w:val="0"/>
          <w:w w:val="100"/>
        </w:rPr>
        <w:t xml:space="preserve"> </w:t>
      </w:r>
    </w:p>
    <w:p w:rsidR="009E2748" w:rsidRPr="00FA11AC" w:rsidRDefault="009E2748" w:rsidP="000806A9">
      <w:pPr>
        <w:pStyle w:val="Estilo1"/>
        <w:numPr>
          <w:ilvl w:val="0"/>
          <w:numId w:val="0"/>
        </w:numPr>
        <w:spacing w:after="0"/>
        <w:ind w:right="29"/>
      </w:pPr>
    </w:p>
    <w:p w:rsidR="009E2748" w:rsidRPr="001C3B9A" w:rsidRDefault="009E2748" w:rsidP="00CE68AB">
      <w:pPr>
        <w:pStyle w:val="Estilo1"/>
        <w:numPr>
          <w:ilvl w:val="0"/>
          <w:numId w:val="0"/>
        </w:numPr>
        <w:tabs>
          <w:tab w:val="clear" w:pos="567"/>
          <w:tab w:val="left" w:pos="0"/>
        </w:tabs>
        <w:spacing w:after="0"/>
        <w:ind w:left="851" w:right="29"/>
        <w:outlineLvl w:val="2"/>
        <w:rPr>
          <w:i/>
          <w:lang w:val="es-CR"/>
        </w:rPr>
      </w:pPr>
      <w:bookmarkStart w:id="78" w:name="_Toc393212546"/>
      <w:bookmarkStart w:id="79" w:name="_Toc393227771"/>
      <w:bookmarkStart w:id="80" w:name="_Toc393232775"/>
      <w:bookmarkStart w:id="81" w:name="_Toc400725004"/>
      <w:bookmarkStart w:id="82" w:name="_Toc415503956"/>
      <w:bookmarkStart w:id="83" w:name="_Toc415507361"/>
      <w:bookmarkStart w:id="84" w:name="_Toc418530451"/>
      <w:bookmarkStart w:id="85" w:name="_Toc420941713"/>
      <w:bookmarkStart w:id="86" w:name="_Toc424313466"/>
      <w:bookmarkStart w:id="87" w:name="_Toc430869768"/>
      <w:bookmarkStart w:id="88" w:name="_Toc438129689"/>
      <w:r w:rsidRPr="001C3B9A">
        <w:rPr>
          <w:i/>
          <w:lang w:val="es-CR"/>
        </w:rPr>
        <w:t xml:space="preserve">A.1. Argumentos </w:t>
      </w:r>
      <w:r w:rsidRPr="007148D3">
        <w:rPr>
          <w:i/>
          <w:lang w:val="es-CR"/>
        </w:rPr>
        <w:t>de</w:t>
      </w:r>
      <w:r w:rsidR="0028076B">
        <w:rPr>
          <w:i/>
          <w:lang w:val="es-CR"/>
        </w:rPr>
        <w:t>l Estado</w:t>
      </w:r>
      <w:bookmarkEnd w:id="78"/>
      <w:bookmarkEnd w:id="79"/>
      <w:bookmarkEnd w:id="80"/>
      <w:bookmarkEnd w:id="81"/>
      <w:bookmarkEnd w:id="82"/>
      <w:bookmarkEnd w:id="83"/>
      <w:bookmarkEnd w:id="84"/>
      <w:bookmarkEnd w:id="85"/>
      <w:bookmarkEnd w:id="86"/>
      <w:bookmarkEnd w:id="87"/>
      <w:bookmarkEnd w:id="88"/>
    </w:p>
    <w:p w:rsidR="009E2748" w:rsidRPr="00FA11AC" w:rsidRDefault="009E2748" w:rsidP="009E2748">
      <w:pPr>
        <w:pStyle w:val="Estilo1"/>
        <w:numPr>
          <w:ilvl w:val="0"/>
          <w:numId w:val="0"/>
        </w:numPr>
        <w:spacing w:after="0"/>
        <w:ind w:left="567" w:right="29"/>
        <w:outlineLvl w:val="2"/>
        <w:rPr>
          <w:b/>
          <w:i/>
          <w:lang w:val="es-CR"/>
        </w:rPr>
      </w:pPr>
    </w:p>
    <w:p w:rsidR="009E2748" w:rsidRPr="00AF1BDD" w:rsidRDefault="009E2748" w:rsidP="009E2748">
      <w:pPr>
        <w:pStyle w:val="Estilo1"/>
        <w:spacing w:after="0"/>
        <w:ind w:right="29"/>
      </w:pPr>
      <w:r w:rsidRPr="00FA11AC">
        <w:rPr>
          <w:lang w:val="es-CR"/>
        </w:rPr>
        <w:t xml:space="preserve">El </w:t>
      </w:r>
      <w:r w:rsidRPr="00FA11AC">
        <w:rPr>
          <w:b/>
          <w:i/>
          <w:lang w:val="es-CR"/>
        </w:rPr>
        <w:t>Estado</w:t>
      </w:r>
      <w:r w:rsidRPr="00FA11AC">
        <w:rPr>
          <w:lang w:val="es-CR"/>
        </w:rPr>
        <w:t xml:space="preserve">, en su contestación, expresó que </w:t>
      </w:r>
      <w:r>
        <w:rPr>
          <w:lang w:val="es-CR"/>
        </w:rPr>
        <w:t>el representante en el escrito de solicitudes y argumentos incluy</w:t>
      </w:r>
      <w:r w:rsidR="00B638CB">
        <w:rPr>
          <w:lang w:val="es-CR"/>
        </w:rPr>
        <w:t>ó</w:t>
      </w:r>
      <w:r>
        <w:rPr>
          <w:lang w:val="es-CR"/>
        </w:rPr>
        <w:t xml:space="preserve"> como presunta víctima a Beatriz Galindo Díaz, hija del señor Galindo Cárdenas, lo cual contraría, a juicio del Estado, la reiterada jurisprudencia de la Corte y se refirió a la sentencia del </w:t>
      </w:r>
      <w:r w:rsidRPr="001D0E35">
        <w:rPr>
          <w:i/>
          <w:lang w:val="es-CR"/>
        </w:rPr>
        <w:t>caso J. Vs. Perú</w:t>
      </w:r>
      <w:r w:rsidRPr="001D0E35">
        <w:rPr>
          <w:rStyle w:val="FootnoteReference"/>
          <w:lang w:val="es-CR"/>
        </w:rPr>
        <w:footnoteReference w:id="43"/>
      </w:r>
      <w:r w:rsidRPr="001D0E35">
        <w:rPr>
          <w:lang w:val="es-CR"/>
        </w:rPr>
        <w:t xml:space="preserve">. </w:t>
      </w:r>
      <w:r>
        <w:rPr>
          <w:lang w:val="es-CR"/>
        </w:rPr>
        <w:t xml:space="preserve">Al respecto, </w:t>
      </w:r>
      <w:r w:rsidRPr="001D0E35">
        <w:rPr>
          <w:lang w:val="es-CR"/>
        </w:rPr>
        <w:t xml:space="preserve">Perú </w:t>
      </w:r>
      <w:r>
        <w:rPr>
          <w:lang w:val="es-CR"/>
        </w:rPr>
        <w:t xml:space="preserve">señaló </w:t>
      </w:r>
      <w:r w:rsidRPr="001D0E35">
        <w:rPr>
          <w:lang w:val="es-CR"/>
        </w:rPr>
        <w:t>que</w:t>
      </w:r>
      <w:r>
        <w:rPr>
          <w:lang w:val="es-CR"/>
        </w:rPr>
        <w:t xml:space="preserve"> dicha persona no debe ser considerada por la Corte como presunta víctima para declarar una supuesta responsabilidad del Estado u otorgar algún tipo de reparación.</w:t>
      </w:r>
    </w:p>
    <w:p w:rsidR="008E6755" w:rsidRPr="00C138E5" w:rsidRDefault="008E6755" w:rsidP="009E2748">
      <w:pPr>
        <w:ind w:right="29"/>
        <w:outlineLvl w:val="2"/>
        <w:rPr>
          <w:i/>
          <w:szCs w:val="20"/>
          <w:lang w:val="es-CR"/>
        </w:rPr>
      </w:pPr>
      <w:bookmarkStart w:id="89" w:name="_Toc393212547"/>
      <w:bookmarkStart w:id="90" w:name="_Toc393227772"/>
      <w:bookmarkStart w:id="91" w:name="_Toc393232776"/>
      <w:bookmarkStart w:id="92" w:name="_Toc400725005"/>
    </w:p>
    <w:p w:rsidR="009E2748" w:rsidRPr="001C3B9A" w:rsidRDefault="009E2748" w:rsidP="00CE68AB">
      <w:pPr>
        <w:pStyle w:val="ListParagraph"/>
        <w:ind w:left="851" w:right="29"/>
        <w:jc w:val="both"/>
        <w:outlineLvl w:val="2"/>
        <w:rPr>
          <w:i/>
          <w:sz w:val="20"/>
          <w:szCs w:val="20"/>
          <w:lang w:val="es-CR"/>
        </w:rPr>
      </w:pPr>
      <w:bookmarkStart w:id="93" w:name="_Toc415503957"/>
      <w:bookmarkStart w:id="94" w:name="_Toc415507362"/>
      <w:bookmarkStart w:id="95" w:name="_Toc418530452"/>
      <w:bookmarkStart w:id="96" w:name="_Toc420941714"/>
      <w:bookmarkStart w:id="97" w:name="_Toc424313467"/>
      <w:bookmarkStart w:id="98" w:name="_Toc430869769"/>
      <w:bookmarkStart w:id="99" w:name="_Toc438129690"/>
      <w:r w:rsidRPr="001C3B9A">
        <w:rPr>
          <w:i/>
          <w:sz w:val="20"/>
          <w:szCs w:val="20"/>
          <w:lang w:val="es-CR"/>
        </w:rPr>
        <w:t>A.2. Consideraciones de la Corte</w:t>
      </w:r>
      <w:bookmarkEnd w:id="89"/>
      <w:bookmarkEnd w:id="90"/>
      <w:bookmarkEnd w:id="91"/>
      <w:bookmarkEnd w:id="92"/>
      <w:bookmarkEnd w:id="93"/>
      <w:bookmarkEnd w:id="94"/>
      <w:bookmarkEnd w:id="95"/>
      <w:bookmarkEnd w:id="96"/>
      <w:bookmarkEnd w:id="97"/>
      <w:bookmarkEnd w:id="98"/>
      <w:bookmarkEnd w:id="99"/>
      <w:r w:rsidRPr="001C3B9A">
        <w:rPr>
          <w:i/>
          <w:sz w:val="20"/>
          <w:szCs w:val="20"/>
          <w:lang w:val="es-CR"/>
        </w:rPr>
        <w:t xml:space="preserve">  </w:t>
      </w:r>
    </w:p>
    <w:p w:rsidR="009E2748" w:rsidRPr="00650C52" w:rsidRDefault="009E2748" w:rsidP="009E2748">
      <w:pPr>
        <w:pStyle w:val="ListParagraph"/>
        <w:ind w:left="567" w:right="29"/>
        <w:jc w:val="both"/>
        <w:outlineLvl w:val="2"/>
        <w:rPr>
          <w:i/>
          <w:sz w:val="20"/>
          <w:szCs w:val="20"/>
          <w:lang w:val="es-CR"/>
        </w:rPr>
      </w:pPr>
    </w:p>
    <w:p w:rsidR="009E2748" w:rsidRDefault="009E2748" w:rsidP="009E2748">
      <w:pPr>
        <w:pStyle w:val="Estilo1"/>
        <w:spacing w:after="0"/>
      </w:pPr>
      <w:r>
        <w:t xml:space="preserve">La Corte recuerda que, según su Reglamento, las presuntas víctimas deben estar señaladas en el Informe de Fondo de la Comisión, emitido conforme el artículo 50 de la Convención. El artículo 35.1 del Reglamento dispone que el caso será sometido a la Corte mediante la presentación de dicho Informe, el cual deberá contener la identificación de las </w:t>
      </w:r>
      <w:r>
        <w:lastRenderedPageBreak/>
        <w:t>presuntas víctimas. De conformidad con dicha norma, cor</w:t>
      </w:r>
      <w:r w:rsidR="004A4B10">
        <w:t>responde a la Comisión y no</w:t>
      </w:r>
      <w:r>
        <w:t xml:space="preserve"> a este Tribunal, identificar con precisión y en la debida oportunidad procesal a las presuntas víctimas en un caso ante la Corte</w:t>
      </w:r>
      <w:r>
        <w:rPr>
          <w:rStyle w:val="FootnoteReference"/>
        </w:rPr>
        <w:footnoteReference w:id="44"/>
      </w:r>
      <w:r>
        <w:t xml:space="preserve">. </w:t>
      </w:r>
    </w:p>
    <w:p w:rsidR="009E2748" w:rsidRDefault="009E2748" w:rsidP="009E2748">
      <w:pPr>
        <w:pStyle w:val="Estilo1"/>
        <w:numPr>
          <w:ilvl w:val="0"/>
          <w:numId w:val="0"/>
        </w:numPr>
        <w:spacing w:after="0"/>
      </w:pPr>
    </w:p>
    <w:p w:rsidR="009E2748" w:rsidRPr="001C3B9A" w:rsidRDefault="009E2748" w:rsidP="009E2748">
      <w:pPr>
        <w:pStyle w:val="Estilo1"/>
        <w:spacing w:after="0"/>
        <w:rPr>
          <w:lang w:val="es-CR"/>
        </w:rPr>
      </w:pPr>
      <w:r>
        <w:rPr>
          <w:lang w:val="es-CR"/>
        </w:rPr>
        <w:t>D</w:t>
      </w:r>
      <w:r w:rsidRPr="00D67B75">
        <w:rPr>
          <w:lang w:val="es-CR"/>
        </w:rPr>
        <w:t>el Informe de Fondo</w:t>
      </w:r>
      <w:r>
        <w:rPr>
          <w:lang w:val="es-CR"/>
        </w:rPr>
        <w:t xml:space="preserve"> surge que la Comisión concluyó, por un lado, que el Estado “violó la integridad personal de la esposa y el hijo del señor Galindo Cárdenas” y, por otro, recomendó al Estado, en el punto 1, que “[s]i la víctima así lo desea, disponer las medidas de rehabilitación pertinentes a su situación de salud </w:t>
      </w:r>
      <w:r w:rsidR="00A06A1C">
        <w:rPr>
          <w:lang w:val="es-CR"/>
        </w:rPr>
        <w:t>mental y la de sus familiares”</w:t>
      </w:r>
      <w:r w:rsidRPr="00D67B75">
        <w:rPr>
          <w:lang w:val="es-CR"/>
        </w:rPr>
        <w:t>, sin indicar los nombres de éstos últimos</w:t>
      </w:r>
      <w:r w:rsidRPr="001D0E35">
        <w:rPr>
          <w:lang w:val="es-CR"/>
        </w:rPr>
        <w:t>. Sin embargo, la propia Comisión en el escrito de sometimiento del caso</w:t>
      </w:r>
      <w:r w:rsidR="00F86625">
        <w:rPr>
          <w:lang w:val="es-CR"/>
        </w:rPr>
        <w:t xml:space="preserve"> (</w:t>
      </w:r>
      <w:r w:rsidR="00F86625">
        <w:rPr>
          <w:i/>
          <w:lang w:val="es-CR"/>
        </w:rPr>
        <w:t>supra</w:t>
      </w:r>
      <w:r w:rsidR="003E4B2C">
        <w:rPr>
          <w:lang w:val="es-CR"/>
        </w:rPr>
        <w:t xml:space="preserve"> </w:t>
      </w:r>
      <w:proofErr w:type="spellStart"/>
      <w:r w:rsidR="003E4B2C">
        <w:rPr>
          <w:lang w:val="es-CR"/>
        </w:rPr>
        <w:t>párrs</w:t>
      </w:r>
      <w:proofErr w:type="spellEnd"/>
      <w:r w:rsidR="003E4B2C">
        <w:rPr>
          <w:lang w:val="es-CR"/>
        </w:rPr>
        <w:t>. 1</w:t>
      </w:r>
      <w:r w:rsidR="00F86625">
        <w:rPr>
          <w:lang w:val="es-CR"/>
        </w:rPr>
        <w:t xml:space="preserve"> y </w:t>
      </w:r>
      <w:r w:rsidR="0028076B">
        <w:rPr>
          <w:lang w:val="es-CR"/>
        </w:rPr>
        <w:t>6</w:t>
      </w:r>
      <w:r w:rsidR="00F86625">
        <w:rPr>
          <w:lang w:val="es-CR"/>
        </w:rPr>
        <w:t>)</w:t>
      </w:r>
      <w:r w:rsidRPr="001D0E35">
        <w:rPr>
          <w:lang w:val="es-CR"/>
        </w:rPr>
        <w:t xml:space="preserve">, solicitó a la Corte que “establezca la violación del derecho a la integridad psíquica y moral en perjuicio de [la] esposa e hijo” del señor Galindo, y agregó en una nota a pie de página informando a este Tribunal que el representante, luego de transmitido el Informe de Fondo, había manifestado que consideraba a Beatriz </w:t>
      </w:r>
      <w:r w:rsidRPr="00286A53">
        <w:rPr>
          <w:lang w:val="es-CR"/>
        </w:rPr>
        <w:t>Galindo</w:t>
      </w:r>
      <w:r w:rsidR="00DD529E" w:rsidRPr="00286A53">
        <w:rPr>
          <w:lang w:val="es-CR"/>
        </w:rPr>
        <w:t xml:space="preserve"> D</w:t>
      </w:r>
      <w:r w:rsidR="00580317" w:rsidRPr="00286A53">
        <w:rPr>
          <w:lang w:val="es-CR"/>
        </w:rPr>
        <w:t>í</w:t>
      </w:r>
      <w:r w:rsidR="00DD529E" w:rsidRPr="00286A53">
        <w:rPr>
          <w:lang w:val="es-CR"/>
        </w:rPr>
        <w:t>az</w:t>
      </w:r>
      <w:r w:rsidRPr="00286A53">
        <w:rPr>
          <w:lang w:val="es-CR"/>
        </w:rPr>
        <w:t xml:space="preserve"> como presunta víctima</w:t>
      </w:r>
      <w:r w:rsidR="00BD1DDC" w:rsidRPr="00286A53">
        <w:rPr>
          <w:lang w:val="es-CR"/>
        </w:rPr>
        <w:t>.</w:t>
      </w:r>
      <w:r w:rsidR="00BD1DDC" w:rsidRPr="00286A53">
        <w:rPr>
          <w:b/>
          <w:lang w:val="es-CR"/>
        </w:rPr>
        <w:t xml:space="preserve"> </w:t>
      </w:r>
      <w:r w:rsidRPr="00286A53">
        <w:rPr>
          <w:lang w:val="es-CR"/>
        </w:rPr>
        <w:t xml:space="preserve">Al respecto, si bien esta Corte entiende que Beatriz Galindo </w:t>
      </w:r>
      <w:r w:rsidR="00DD529E" w:rsidRPr="00286A53">
        <w:rPr>
          <w:lang w:val="es-CR"/>
        </w:rPr>
        <w:t>D</w:t>
      </w:r>
      <w:r w:rsidR="00580317" w:rsidRPr="00286A53">
        <w:rPr>
          <w:lang w:val="es-CR"/>
        </w:rPr>
        <w:t>í</w:t>
      </w:r>
      <w:r w:rsidR="00DD529E" w:rsidRPr="00286A53">
        <w:rPr>
          <w:lang w:val="es-CR"/>
        </w:rPr>
        <w:t xml:space="preserve">az </w:t>
      </w:r>
      <w:r w:rsidRPr="00286A53">
        <w:rPr>
          <w:lang w:val="es-CR"/>
        </w:rPr>
        <w:t>es la hija</w:t>
      </w:r>
      <w:r>
        <w:rPr>
          <w:lang w:val="es-CR"/>
        </w:rPr>
        <w:t xml:space="preserve"> menor del señor Galindo y forma parte de su familia,</w:t>
      </w:r>
      <w:r w:rsidRPr="00D67B75">
        <w:rPr>
          <w:lang w:val="es-CR"/>
        </w:rPr>
        <w:t xml:space="preserve"> </w:t>
      </w:r>
      <w:r>
        <w:rPr>
          <w:lang w:val="es-CR"/>
        </w:rPr>
        <w:t xml:space="preserve">cabe señalar que </w:t>
      </w:r>
      <w:r>
        <w:t>el representante debía señalar a “todas las presuntas víctimas durante el trámite ante la Comisión y evitar hacerlo con posterioridad a la emisión del Informe de Fondo al que se refiere el artículo 50 de la Convención. Esto, pues la Comisión al momento de emitir el referido informe debe contar con todos los elementos para la determinación de las cuestiones de hecho y de derecho del caso, inclusive a quienes debe considerarse como víctimas”</w:t>
      </w:r>
      <w:r>
        <w:rPr>
          <w:rStyle w:val="FootnoteReference"/>
        </w:rPr>
        <w:footnoteReference w:id="45"/>
      </w:r>
      <w:r>
        <w:t xml:space="preserve">. </w:t>
      </w:r>
    </w:p>
    <w:p w:rsidR="009E2748" w:rsidRDefault="009E2748" w:rsidP="009E2748">
      <w:pPr>
        <w:pStyle w:val="Estilo1"/>
        <w:numPr>
          <w:ilvl w:val="0"/>
          <w:numId w:val="0"/>
        </w:numPr>
        <w:spacing w:after="0"/>
        <w:rPr>
          <w:lang w:val="es-CR"/>
        </w:rPr>
      </w:pPr>
    </w:p>
    <w:p w:rsidR="009E2748" w:rsidRPr="00075C43" w:rsidRDefault="009E2748" w:rsidP="009E2748">
      <w:pPr>
        <w:pStyle w:val="Estilo1"/>
        <w:spacing w:after="0"/>
        <w:rPr>
          <w:lang w:val="es-CR"/>
        </w:rPr>
      </w:pPr>
      <w:r>
        <w:t xml:space="preserve">Por lo tanto y en aplicación del artículo 35.1 de su Reglamento y de su jurisprudencia constante, la Corte considerará solamente como presuntas víctimas, y eventuales beneficiarios de las reparaciones que correspondan al señor Luis Antonio Galindo Cárdenas, a su esposa Irma Díaz de Galindo y a su hijo Luis </w:t>
      </w:r>
      <w:proofErr w:type="spellStart"/>
      <w:r>
        <w:t>Idelso</w:t>
      </w:r>
      <w:proofErr w:type="spellEnd"/>
      <w:r>
        <w:t xml:space="preserve"> Galindo Díaz, quienes fueron identificados como tales en el Informe de Fondo.</w:t>
      </w:r>
    </w:p>
    <w:p w:rsidR="009E2748" w:rsidRPr="00FA11AC" w:rsidRDefault="009E2748" w:rsidP="009E2748">
      <w:pPr>
        <w:pStyle w:val="Estilo1"/>
        <w:numPr>
          <w:ilvl w:val="0"/>
          <w:numId w:val="0"/>
        </w:numPr>
        <w:spacing w:after="0"/>
        <w:ind w:right="29"/>
        <w:rPr>
          <w:lang w:val="es-CR"/>
        </w:rPr>
      </w:pPr>
    </w:p>
    <w:p w:rsidR="009E2748" w:rsidRPr="00FA11AC" w:rsidRDefault="009E2748" w:rsidP="00CE68AB">
      <w:pPr>
        <w:pStyle w:val="Heading2"/>
        <w:ind w:left="567"/>
        <w:rPr>
          <w:spacing w:val="0"/>
          <w:w w:val="100"/>
        </w:rPr>
      </w:pPr>
      <w:bookmarkStart w:id="100" w:name="_Toc393212549"/>
      <w:bookmarkStart w:id="101" w:name="_Toc393227779"/>
      <w:bookmarkStart w:id="102" w:name="_Toc393232777"/>
      <w:bookmarkStart w:id="103" w:name="_Toc400725011"/>
      <w:bookmarkStart w:id="104" w:name="_Toc415503958"/>
      <w:bookmarkStart w:id="105" w:name="_Toc415507363"/>
      <w:bookmarkStart w:id="106" w:name="_Toc418530453"/>
      <w:bookmarkStart w:id="107" w:name="_Toc420941715"/>
      <w:bookmarkStart w:id="108" w:name="_Toc424313468"/>
      <w:bookmarkStart w:id="109" w:name="_Toc430869770"/>
      <w:bookmarkStart w:id="110" w:name="_Toc438129691"/>
      <w:r w:rsidRPr="00FA11AC">
        <w:rPr>
          <w:spacing w:val="0"/>
          <w:w w:val="100"/>
        </w:rPr>
        <w:t>B</w:t>
      </w:r>
      <w:r>
        <w:rPr>
          <w:spacing w:val="0"/>
          <w:w w:val="100"/>
        </w:rPr>
        <w:t>)</w:t>
      </w:r>
      <w:r w:rsidRPr="00FA11AC">
        <w:rPr>
          <w:spacing w:val="0"/>
          <w:w w:val="100"/>
        </w:rPr>
        <w:t xml:space="preserve"> </w:t>
      </w:r>
      <w:bookmarkEnd w:id="100"/>
      <w:bookmarkEnd w:id="101"/>
      <w:bookmarkEnd w:id="102"/>
      <w:bookmarkEnd w:id="103"/>
      <w:r>
        <w:rPr>
          <w:spacing w:val="0"/>
          <w:w w:val="100"/>
        </w:rPr>
        <w:t>Alegadas inexactitudes contenidas en el Informe de Fondo No. 57/12</w:t>
      </w:r>
      <w:bookmarkEnd w:id="104"/>
      <w:bookmarkEnd w:id="105"/>
      <w:bookmarkEnd w:id="106"/>
      <w:bookmarkEnd w:id="107"/>
      <w:bookmarkEnd w:id="108"/>
      <w:bookmarkEnd w:id="109"/>
      <w:bookmarkEnd w:id="110"/>
      <w:r w:rsidRPr="00FA11AC">
        <w:rPr>
          <w:spacing w:val="0"/>
          <w:w w:val="100"/>
        </w:rPr>
        <w:t xml:space="preserve"> </w:t>
      </w:r>
    </w:p>
    <w:p w:rsidR="009E2748" w:rsidRPr="00FA11AC" w:rsidRDefault="009E2748" w:rsidP="009E2748">
      <w:pPr>
        <w:ind w:right="29"/>
        <w:rPr>
          <w:b/>
          <w:szCs w:val="20"/>
          <w:lang w:val="es-CR"/>
        </w:rPr>
      </w:pPr>
    </w:p>
    <w:p w:rsidR="009E2748" w:rsidRPr="001C3B9A" w:rsidRDefault="009E2748" w:rsidP="00CE68AB">
      <w:pPr>
        <w:pStyle w:val="Default"/>
        <w:ind w:left="851" w:right="29"/>
        <w:jc w:val="both"/>
        <w:outlineLvl w:val="2"/>
        <w:rPr>
          <w:rFonts w:ascii="Verdana" w:hAnsi="Verdana"/>
          <w:i/>
          <w:strike/>
          <w:sz w:val="20"/>
          <w:szCs w:val="20"/>
        </w:rPr>
      </w:pPr>
      <w:bookmarkStart w:id="111" w:name="_Toc393212550"/>
      <w:bookmarkStart w:id="112" w:name="_Toc393227780"/>
      <w:bookmarkStart w:id="113" w:name="_Toc393232778"/>
      <w:bookmarkStart w:id="114" w:name="_Toc400725012"/>
      <w:bookmarkStart w:id="115" w:name="_Toc415503959"/>
      <w:bookmarkStart w:id="116" w:name="_Toc415507364"/>
      <w:bookmarkStart w:id="117" w:name="_Toc418530454"/>
      <w:bookmarkStart w:id="118" w:name="_Toc420941716"/>
      <w:bookmarkStart w:id="119" w:name="_Toc424313469"/>
      <w:bookmarkStart w:id="120" w:name="_Toc430869771"/>
      <w:bookmarkStart w:id="121" w:name="_Toc438129692"/>
      <w:r w:rsidRPr="001C3B9A">
        <w:rPr>
          <w:rFonts w:ascii="Verdana" w:hAnsi="Verdana"/>
          <w:i/>
          <w:sz w:val="20"/>
          <w:szCs w:val="20"/>
        </w:rPr>
        <w:t>B.1. Argumentos</w:t>
      </w:r>
      <w:r>
        <w:rPr>
          <w:rFonts w:ascii="Verdana" w:hAnsi="Verdana"/>
          <w:i/>
          <w:sz w:val="20"/>
          <w:szCs w:val="20"/>
        </w:rPr>
        <w:t xml:space="preserve"> </w:t>
      </w:r>
      <w:r w:rsidRPr="001D0E35">
        <w:rPr>
          <w:rFonts w:ascii="Verdana" w:hAnsi="Verdana"/>
          <w:i/>
          <w:sz w:val="20"/>
          <w:szCs w:val="20"/>
        </w:rPr>
        <w:t>del Estado</w:t>
      </w:r>
      <w:bookmarkEnd w:id="111"/>
      <w:bookmarkEnd w:id="112"/>
      <w:bookmarkEnd w:id="113"/>
      <w:bookmarkEnd w:id="114"/>
      <w:bookmarkEnd w:id="115"/>
      <w:bookmarkEnd w:id="116"/>
      <w:bookmarkEnd w:id="117"/>
      <w:bookmarkEnd w:id="118"/>
      <w:bookmarkEnd w:id="119"/>
      <w:bookmarkEnd w:id="120"/>
      <w:bookmarkEnd w:id="121"/>
    </w:p>
    <w:p w:rsidR="009E2748" w:rsidRPr="00FA11AC" w:rsidRDefault="009E2748" w:rsidP="009E2748">
      <w:pPr>
        <w:pStyle w:val="Estilo1"/>
        <w:numPr>
          <w:ilvl w:val="0"/>
          <w:numId w:val="0"/>
        </w:numPr>
        <w:spacing w:after="0"/>
        <w:ind w:right="29"/>
      </w:pPr>
    </w:p>
    <w:p w:rsidR="009E2748" w:rsidRPr="00731FD0" w:rsidRDefault="009E2748" w:rsidP="009E2748">
      <w:pPr>
        <w:pStyle w:val="Estilo1"/>
        <w:spacing w:after="0"/>
      </w:pPr>
      <w:r w:rsidRPr="00FA11AC">
        <w:t xml:space="preserve">El </w:t>
      </w:r>
      <w:r w:rsidRPr="00650C52">
        <w:rPr>
          <w:b/>
          <w:i/>
        </w:rPr>
        <w:t>Estado</w:t>
      </w:r>
      <w:r w:rsidRPr="00FA11AC">
        <w:t xml:space="preserve"> adujo que </w:t>
      </w:r>
      <w:r w:rsidR="00B638CB">
        <w:t>ha observado</w:t>
      </w:r>
      <w:r>
        <w:t xml:space="preserve"> “diversos errore</w:t>
      </w:r>
      <w:r w:rsidR="007144A4">
        <w:t xml:space="preserve">s materiales </w:t>
      </w:r>
      <w:r>
        <w:t>de fondo cometidos</w:t>
      </w:r>
      <w:r w:rsidR="00B638CB">
        <w:t>”</w:t>
      </w:r>
      <w:r>
        <w:t xml:space="preserve"> por la Comisión</w:t>
      </w:r>
      <w:r w:rsidRPr="00C84848">
        <w:t>, tales como errores de tipo tipográfico, además adujo errores en determinadas afirmaciones y deducciones realizadas por la Comisión en el Informe de Fondo, así como en el manejo incorrecto de fuentes.</w:t>
      </w:r>
      <w:r w:rsidR="00A06A1C">
        <w:rPr>
          <w:b/>
        </w:rPr>
        <w:t xml:space="preserve"> </w:t>
      </w:r>
    </w:p>
    <w:p w:rsidR="008E6755" w:rsidRDefault="008E6755" w:rsidP="009E2748">
      <w:pPr>
        <w:pStyle w:val="Estilo1"/>
        <w:numPr>
          <w:ilvl w:val="0"/>
          <w:numId w:val="0"/>
        </w:numPr>
        <w:spacing w:after="0"/>
        <w:ind w:right="29"/>
        <w:outlineLvl w:val="2"/>
        <w:rPr>
          <w:i/>
        </w:rPr>
      </w:pPr>
      <w:bookmarkStart w:id="122" w:name="_Toc393212551"/>
      <w:bookmarkStart w:id="123" w:name="_Toc393227781"/>
      <w:bookmarkStart w:id="124" w:name="_Toc393232779"/>
      <w:bookmarkStart w:id="125" w:name="_Toc400725013"/>
    </w:p>
    <w:p w:rsidR="009E2748" w:rsidRPr="001C3B9A" w:rsidRDefault="009E2748" w:rsidP="00CE68AB">
      <w:pPr>
        <w:pStyle w:val="Estilo1"/>
        <w:numPr>
          <w:ilvl w:val="0"/>
          <w:numId w:val="0"/>
        </w:numPr>
        <w:spacing w:after="0"/>
        <w:ind w:left="851" w:right="29"/>
        <w:outlineLvl w:val="2"/>
        <w:rPr>
          <w:i/>
        </w:rPr>
      </w:pPr>
      <w:bookmarkStart w:id="126" w:name="_Toc415503961"/>
      <w:bookmarkStart w:id="127" w:name="_Toc415507366"/>
      <w:r>
        <w:rPr>
          <w:i/>
        </w:rPr>
        <w:tab/>
      </w:r>
      <w:bookmarkStart w:id="128" w:name="_Toc418530455"/>
      <w:bookmarkStart w:id="129" w:name="_Toc420941717"/>
      <w:bookmarkStart w:id="130" w:name="_Toc424313470"/>
      <w:bookmarkStart w:id="131" w:name="_Toc430869772"/>
      <w:bookmarkStart w:id="132" w:name="_Toc438129693"/>
      <w:r w:rsidRPr="001C3B9A">
        <w:rPr>
          <w:i/>
        </w:rPr>
        <w:t>B.2. Consideraciones de la Corte</w:t>
      </w:r>
      <w:bookmarkEnd w:id="122"/>
      <w:bookmarkEnd w:id="123"/>
      <w:bookmarkEnd w:id="124"/>
      <w:bookmarkEnd w:id="125"/>
      <w:bookmarkEnd w:id="126"/>
      <w:bookmarkEnd w:id="127"/>
      <w:bookmarkEnd w:id="128"/>
      <w:bookmarkEnd w:id="129"/>
      <w:bookmarkEnd w:id="130"/>
      <w:bookmarkEnd w:id="131"/>
      <w:bookmarkEnd w:id="132"/>
    </w:p>
    <w:p w:rsidR="009E2748" w:rsidRPr="00FA11AC" w:rsidRDefault="009E2748" w:rsidP="009E2748">
      <w:pPr>
        <w:pStyle w:val="Estilo1"/>
        <w:numPr>
          <w:ilvl w:val="0"/>
          <w:numId w:val="0"/>
        </w:numPr>
        <w:spacing w:after="0"/>
        <w:ind w:right="29"/>
      </w:pPr>
    </w:p>
    <w:p w:rsidR="009E2748" w:rsidRPr="00FA11AC" w:rsidRDefault="009E2748" w:rsidP="009E2748">
      <w:pPr>
        <w:pStyle w:val="Estilo1"/>
        <w:spacing w:after="0"/>
      </w:pPr>
      <w:r>
        <w:t xml:space="preserve">Este Tribunal </w:t>
      </w:r>
      <w:r w:rsidRPr="00FA11AC">
        <w:t>ha estimado</w:t>
      </w:r>
      <w:r>
        <w:t xml:space="preserve"> en casos en que presentan consideraciones similares a las expuestas,</w:t>
      </w:r>
      <w:r w:rsidRPr="00FA11AC">
        <w:t xml:space="preserve"> que no le corresponde pronunciarse de forma preliminar sobre el marco fáctico del caso, ya que dicho análisis corresponde al fondo</w:t>
      </w:r>
      <w:r w:rsidRPr="00FA11AC">
        <w:rPr>
          <w:rStyle w:val="FootnoteReference"/>
        </w:rPr>
        <w:footnoteReference w:id="46"/>
      </w:r>
      <w:r w:rsidRPr="00FA11AC">
        <w:t xml:space="preserve">. </w:t>
      </w:r>
    </w:p>
    <w:p w:rsidR="009E2748" w:rsidRPr="00FA11AC" w:rsidRDefault="009E2748" w:rsidP="009E2748">
      <w:pPr>
        <w:pStyle w:val="Estilo1"/>
        <w:numPr>
          <w:ilvl w:val="0"/>
          <w:numId w:val="0"/>
        </w:numPr>
        <w:spacing w:after="0"/>
        <w:ind w:right="29"/>
      </w:pPr>
    </w:p>
    <w:p w:rsidR="009E2748" w:rsidRPr="00FA11AC" w:rsidRDefault="009E2748" w:rsidP="009E2748">
      <w:pPr>
        <w:pStyle w:val="Estilo1"/>
        <w:spacing w:after="0"/>
        <w:ind w:right="29"/>
      </w:pPr>
      <w:r>
        <w:rPr>
          <w:lang w:val="es-ES_tradnl"/>
        </w:rPr>
        <w:t>Dado lo anterior</w:t>
      </w:r>
      <w:r w:rsidRPr="00FA11AC">
        <w:rPr>
          <w:lang w:val="es-ES_tradnl"/>
        </w:rPr>
        <w:t xml:space="preserve">, en el presente caso los </w:t>
      </w:r>
      <w:r w:rsidRPr="00FA11AC">
        <w:t xml:space="preserve">planteamientos estatales </w:t>
      </w:r>
      <w:r>
        <w:t>se analizarán al momento de la determinación de los hechos, apegados</w:t>
      </w:r>
      <w:r w:rsidRPr="00FA11AC">
        <w:t xml:space="preserve"> al marco fáctico fijado por el </w:t>
      </w:r>
      <w:r w:rsidRPr="00FA11AC">
        <w:lastRenderedPageBreak/>
        <w:t>Informe de Fondo y a la prueba existente,</w:t>
      </w:r>
      <w:r>
        <w:t xml:space="preserve"> de modo que los aspectos </w:t>
      </w:r>
      <w:r w:rsidRPr="00FA11AC">
        <w:t xml:space="preserve">que el Estado cuestiona pueden resultar explicativas </w:t>
      </w:r>
      <w:r>
        <w:t>o aclaratorias de tales hechos</w:t>
      </w:r>
      <w:r>
        <w:rPr>
          <w:rStyle w:val="FootnoteReference"/>
        </w:rPr>
        <w:footnoteReference w:id="47"/>
      </w:r>
      <w:r>
        <w:t>, así como al momento de examinar el fondo del asunto.</w:t>
      </w:r>
    </w:p>
    <w:p w:rsidR="009E2748" w:rsidRPr="00FA11AC" w:rsidRDefault="009E2748" w:rsidP="009E2748">
      <w:pPr>
        <w:pStyle w:val="Estilo1"/>
        <w:numPr>
          <w:ilvl w:val="0"/>
          <w:numId w:val="0"/>
        </w:numPr>
        <w:spacing w:after="0"/>
        <w:ind w:right="29"/>
      </w:pPr>
    </w:p>
    <w:p w:rsidR="009E2748" w:rsidRDefault="009E2748" w:rsidP="009E2748">
      <w:pPr>
        <w:pStyle w:val="Estilo1"/>
        <w:spacing w:after="0"/>
        <w:ind w:right="29"/>
        <w:rPr>
          <w:b/>
        </w:rPr>
      </w:pPr>
      <w:bookmarkStart w:id="133" w:name="_Toc338072189"/>
      <w:r w:rsidRPr="00FA11AC">
        <w:t>En</w:t>
      </w:r>
      <w:r>
        <w:t xml:space="preserve"> consecuencia, no corresponde a este</w:t>
      </w:r>
      <w:r w:rsidRPr="00FA11AC">
        <w:t xml:space="preserve"> Tribunal pronunciarse de forma preliminar s</w:t>
      </w:r>
      <w:r>
        <w:t>obre las alegadas “inexactitudes” señaladas</w:t>
      </w:r>
      <w:r w:rsidRPr="00FA11AC">
        <w:t xml:space="preserve"> por el Estado</w:t>
      </w:r>
      <w:r w:rsidRPr="007144A4">
        <w:t>.</w:t>
      </w:r>
      <w:bookmarkEnd w:id="133"/>
    </w:p>
    <w:p w:rsidR="009E2748" w:rsidRDefault="009E2748" w:rsidP="009E2748">
      <w:pPr>
        <w:pStyle w:val="ListParagraph"/>
        <w:rPr>
          <w:lang w:val="es-CR"/>
        </w:rPr>
      </w:pPr>
    </w:p>
    <w:p w:rsidR="009E2748" w:rsidRPr="00A8371A" w:rsidRDefault="009E2748" w:rsidP="009E2748">
      <w:pPr>
        <w:pStyle w:val="Estilo1"/>
        <w:numPr>
          <w:ilvl w:val="0"/>
          <w:numId w:val="0"/>
        </w:numPr>
        <w:spacing w:after="0"/>
        <w:jc w:val="center"/>
        <w:outlineLvl w:val="0"/>
        <w:rPr>
          <w:b/>
        </w:rPr>
      </w:pPr>
      <w:bookmarkStart w:id="134" w:name="_Toc393212552"/>
      <w:bookmarkStart w:id="135" w:name="_Toc393227782"/>
      <w:bookmarkStart w:id="136" w:name="_Toc393232780"/>
      <w:bookmarkStart w:id="137" w:name="_Toc400725014"/>
      <w:bookmarkStart w:id="138" w:name="_Toc415507367"/>
      <w:bookmarkStart w:id="139" w:name="_Toc418530456"/>
      <w:bookmarkStart w:id="140" w:name="_Toc420941718"/>
      <w:bookmarkStart w:id="141" w:name="_Toc424313471"/>
      <w:bookmarkStart w:id="142" w:name="_Toc430869773"/>
      <w:bookmarkStart w:id="143" w:name="_Toc438129694"/>
      <w:r w:rsidRPr="00A8371A">
        <w:rPr>
          <w:b/>
        </w:rPr>
        <w:t>V</w:t>
      </w:r>
      <w:bookmarkStart w:id="144" w:name="_Toc338072190"/>
      <w:r w:rsidR="00CD64A1">
        <w:rPr>
          <w:b/>
        </w:rPr>
        <w:t>I</w:t>
      </w:r>
      <w:r w:rsidRPr="00A8371A">
        <w:rPr>
          <w:b/>
        </w:rPr>
        <w:br/>
        <w:t>PRUEBA</w:t>
      </w:r>
      <w:bookmarkEnd w:id="134"/>
      <w:bookmarkEnd w:id="135"/>
      <w:bookmarkEnd w:id="136"/>
      <w:bookmarkEnd w:id="137"/>
      <w:bookmarkEnd w:id="138"/>
      <w:bookmarkEnd w:id="139"/>
      <w:bookmarkEnd w:id="140"/>
      <w:bookmarkEnd w:id="141"/>
      <w:bookmarkEnd w:id="142"/>
      <w:bookmarkEnd w:id="143"/>
      <w:bookmarkEnd w:id="144"/>
    </w:p>
    <w:p w:rsidR="009E2748" w:rsidRDefault="009E2748" w:rsidP="009E2748">
      <w:pPr>
        <w:pStyle w:val="ListParagraph"/>
        <w:rPr>
          <w:lang w:val="es-CR"/>
        </w:rPr>
      </w:pPr>
    </w:p>
    <w:p w:rsidR="009E2748" w:rsidRPr="001C3B9A" w:rsidRDefault="009E2748" w:rsidP="009E2748">
      <w:pPr>
        <w:pStyle w:val="Estilo1"/>
        <w:spacing w:after="0"/>
        <w:ind w:right="29"/>
        <w:rPr>
          <w:b/>
        </w:rPr>
      </w:pPr>
      <w:r w:rsidRPr="001C3B9A">
        <w:rPr>
          <w:lang w:val="es-CR"/>
        </w:rPr>
        <w:t xml:space="preserve">Con base en lo establecido en los artículos 50, 57 y 58 del Reglamento, la Corte determinará la admisión de los elementos probatorios documentales remitidos por las partes en diversas oportunidades procesales, las declaraciones y </w:t>
      </w:r>
      <w:r w:rsidRPr="001C3B9A">
        <w:rPr>
          <w:rFonts w:cs="Verdana"/>
          <w:lang w:val="es-CR"/>
        </w:rPr>
        <w:t>testimonios rendidos mediante declaración jurada (affidávit) y en la audiencia pública, así como las pruebas para mejor resolver solicitadas por la Corte. También determinará la inco</w:t>
      </w:r>
      <w:r>
        <w:rPr>
          <w:rFonts w:cs="Verdana"/>
          <w:lang w:val="es-CR"/>
        </w:rPr>
        <w:t>rporación de prueba de oficio.</w:t>
      </w:r>
    </w:p>
    <w:p w:rsidR="00534732" w:rsidRPr="00CF0934" w:rsidRDefault="00534732" w:rsidP="009E2748">
      <w:pPr>
        <w:rPr>
          <w:rFonts w:cs="Verdana"/>
          <w:lang w:val="es-CR"/>
        </w:rPr>
      </w:pPr>
    </w:p>
    <w:p w:rsidR="009E2748" w:rsidRDefault="009E2748" w:rsidP="00CE68AB">
      <w:pPr>
        <w:pStyle w:val="Estilo5"/>
        <w:numPr>
          <w:ilvl w:val="0"/>
          <w:numId w:val="5"/>
        </w:numPr>
        <w:tabs>
          <w:tab w:val="clear" w:pos="426"/>
        </w:tabs>
        <w:spacing w:after="0"/>
        <w:ind w:left="567" w:right="29" w:firstLine="0"/>
        <w:outlineLvl w:val="1"/>
      </w:pPr>
      <w:bookmarkStart w:id="145" w:name="_Toc393212553"/>
      <w:bookmarkStart w:id="146" w:name="_Toc393227783"/>
      <w:bookmarkStart w:id="147" w:name="_Toc393232781"/>
      <w:bookmarkStart w:id="148" w:name="_Toc400725015"/>
      <w:bookmarkStart w:id="149" w:name="_Toc415503962"/>
      <w:bookmarkStart w:id="150" w:name="_Toc415507368"/>
      <w:bookmarkStart w:id="151" w:name="_Toc418530457"/>
      <w:bookmarkStart w:id="152" w:name="_Toc420941719"/>
      <w:bookmarkStart w:id="153" w:name="_Toc424313472"/>
      <w:bookmarkStart w:id="154" w:name="_Toc430869774"/>
      <w:bookmarkStart w:id="155" w:name="_Toc438129695"/>
      <w:r w:rsidRPr="00FA11AC">
        <w:t>Prueba documental, testimonial y pericial</w:t>
      </w:r>
      <w:bookmarkStart w:id="156" w:name="_Ref305145673"/>
      <w:bookmarkEnd w:id="145"/>
      <w:bookmarkEnd w:id="146"/>
      <w:bookmarkEnd w:id="147"/>
      <w:bookmarkEnd w:id="148"/>
      <w:bookmarkEnd w:id="149"/>
      <w:bookmarkEnd w:id="150"/>
      <w:bookmarkEnd w:id="151"/>
      <w:bookmarkEnd w:id="152"/>
      <w:bookmarkEnd w:id="153"/>
      <w:bookmarkEnd w:id="154"/>
      <w:bookmarkEnd w:id="155"/>
    </w:p>
    <w:p w:rsidR="009E2748" w:rsidRPr="00FA11AC" w:rsidRDefault="009E2748" w:rsidP="009E2748">
      <w:pPr>
        <w:pStyle w:val="Estilo5"/>
        <w:numPr>
          <w:ilvl w:val="0"/>
          <w:numId w:val="0"/>
        </w:numPr>
        <w:tabs>
          <w:tab w:val="clear" w:pos="426"/>
        </w:tabs>
        <w:spacing w:after="0"/>
        <w:ind w:right="29"/>
        <w:outlineLvl w:val="1"/>
      </w:pPr>
    </w:p>
    <w:p w:rsidR="009E2748" w:rsidRPr="00C238BC" w:rsidRDefault="009E2748" w:rsidP="009E2748">
      <w:pPr>
        <w:numPr>
          <w:ilvl w:val="0"/>
          <w:numId w:val="1"/>
        </w:numPr>
        <w:tabs>
          <w:tab w:val="left" w:pos="567"/>
          <w:tab w:val="left" w:pos="720"/>
          <w:tab w:val="left" w:pos="1134"/>
          <w:tab w:val="num" w:pos="1427"/>
        </w:tabs>
        <w:autoSpaceDE w:val="0"/>
        <w:autoSpaceDN w:val="0"/>
        <w:adjustRightInd w:val="0"/>
        <w:ind w:right="29"/>
        <w:rPr>
          <w:rStyle w:val="Estilo1Char"/>
          <w:rFonts w:eastAsia="Batang" w:cs="Verdana"/>
          <w:lang w:val="es-CR"/>
        </w:rPr>
      </w:pPr>
      <w:r w:rsidRPr="00694C84">
        <w:rPr>
          <w:rStyle w:val="Estilo1Char"/>
        </w:rPr>
        <w:t xml:space="preserve">La Corte recibió diversos documentos presentados como prueba por la Comisión Interamericana, </w:t>
      </w:r>
      <w:r>
        <w:rPr>
          <w:rStyle w:val="Estilo1Char"/>
        </w:rPr>
        <w:t>e</w:t>
      </w:r>
      <w:r w:rsidRPr="00694C84">
        <w:rPr>
          <w:rStyle w:val="Estilo1Char"/>
        </w:rPr>
        <w:t>l representante y el Estado, adjuntos a sus escritos principales (</w:t>
      </w:r>
      <w:r w:rsidRPr="00694C84">
        <w:rPr>
          <w:rStyle w:val="Estilo1Char"/>
          <w:i/>
        </w:rPr>
        <w:t>supra</w:t>
      </w:r>
      <w:r w:rsidRPr="00694C84">
        <w:rPr>
          <w:rStyle w:val="Estilo1Char"/>
        </w:rPr>
        <w:t xml:space="preserve"> </w:t>
      </w:r>
      <w:proofErr w:type="spellStart"/>
      <w:r w:rsidRPr="00694C84">
        <w:rPr>
          <w:rStyle w:val="Estilo1Char"/>
        </w:rPr>
        <w:t>párr</w:t>
      </w:r>
      <w:r>
        <w:rPr>
          <w:rStyle w:val="Estilo1Char"/>
        </w:rPr>
        <w:t>s</w:t>
      </w:r>
      <w:proofErr w:type="spellEnd"/>
      <w:r w:rsidRPr="00694C84">
        <w:rPr>
          <w:rStyle w:val="Estilo1Char"/>
        </w:rPr>
        <w:t>. 1, 8 y 9)</w:t>
      </w:r>
      <w:r>
        <w:rPr>
          <w:rStyle w:val="Estilo1Char"/>
        </w:rPr>
        <w:t>, así como prueba para mejor resolver solicitada por la Corte</w:t>
      </w:r>
      <w:r w:rsidRPr="00694C84">
        <w:rPr>
          <w:rStyle w:val="Estilo1Char"/>
        </w:rPr>
        <w:t xml:space="preserve">. </w:t>
      </w:r>
      <w:r>
        <w:rPr>
          <w:rStyle w:val="Estilo1Char"/>
        </w:rPr>
        <w:t>Asimismo, este</w:t>
      </w:r>
      <w:r w:rsidRPr="00952C1D">
        <w:rPr>
          <w:rStyle w:val="Estilo1Char"/>
        </w:rPr>
        <w:t xml:space="preserve"> </w:t>
      </w:r>
      <w:r>
        <w:rPr>
          <w:rStyle w:val="Estilo1Char"/>
        </w:rPr>
        <w:t xml:space="preserve">Tribunal </w:t>
      </w:r>
      <w:r w:rsidRPr="00952C1D">
        <w:rPr>
          <w:rStyle w:val="Estilo1Char"/>
        </w:rPr>
        <w:t xml:space="preserve">recibió las declaraciones rendidas por </w:t>
      </w:r>
      <w:bookmarkEnd w:id="156"/>
      <w:r>
        <w:rPr>
          <w:rStyle w:val="Estilo1Char"/>
        </w:rPr>
        <w:t>la señora María Luisa Galindo Cárdenas (en adelante también “señora Galindo Cárdenas”)</w:t>
      </w:r>
      <w:r w:rsidRPr="00952C1D">
        <w:rPr>
          <w:rStyle w:val="Estilo1Char"/>
        </w:rPr>
        <w:t xml:space="preserve">, ofrecida por </w:t>
      </w:r>
      <w:r>
        <w:rPr>
          <w:rStyle w:val="Estilo1Char"/>
        </w:rPr>
        <w:t>el</w:t>
      </w:r>
      <w:r w:rsidRPr="00952C1D">
        <w:rPr>
          <w:rStyle w:val="Estilo1Char"/>
        </w:rPr>
        <w:t xml:space="preserve"> representante</w:t>
      </w:r>
      <w:r>
        <w:rPr>
          <w:rStyle w:val="Estilo1Char"/>
        </w:rPr>
        <w:t xml:space="preserve"> y </w:t>
      </w:r>
      <w:r w:rsidR="00420EA7">
        <w:rPr>
          <w:rStyle w:val="Estilo1Char"/>
        </w:rPr>
        <w:t xml:space="preserve">por </w:t>
      </w:r>
      <w:r>
        <w:rPr>
          <w:rStyle w:val="Estilo1Char"/>
        </w:rPr>
        <w:t>el perito</w:t>
      </w:r>
      <w:r w:rsidRPr="00952C1D">
        <w:rPr>
          <w:rStyle w:val="Estilo1Char"/>
        </w:rPr>
        <w:t xml:space="preserve"> </w:t>
      </w:r>
      <w:r>
        <w:rPr>
          <w:rStyle w:val="Estilo1Char"/>
        </w:rPr>
        <w:t>Federico Andreu-Guzmán (en adelante también “señor Andreu-Guzmán”)</w:t>
      </w:r>
      <w:r w:rsidRPr="00952C1D">
        <w:rPr>
          <w:rStyle w:val="Estilo1Char"/>
        </w:rPr>
        <w:t xml:space="preserve">, ofrecido por </w:t>
      </w:r>
      <w:r>
        <w:rPr>
          <w:rStyle w:val="Estilo1Char"/>
        </w:rPr>
        <w:t>la Comisión</w:t>
      </w:r>
      <w:r w:rsidRPr="00952C1D">
        <w:rPr>
          <w:rStyle w:val="Estilo1Char"/>
        </w:rPr>
        <w:t>.</w:t>
      </w:r>
      <w:r w:rsidRPr="00694C84">
        <w:rPr>
          <w:rStyle w:val="Estilo1Char"/>
        </w:rPr>
        <w:t xml:space="preserve"> En cuanto a la prueba rendida en audiencia pública, la Corte escuchó las declaraci</w:t>
      </w:r>
      <w:r>
        <w:rPr>
          <w:rStyle w:val="Estilo1Char"/>
        </w:rPr>
        <w:t>o</w:t>
      </w:r>
      <w:r w:rsidRPr="00694C84">
        <w:rPr>
          <w:rStyle w:val="Estilo1Char"/>
        </w:rPr>
        <w:t>n</w:t>
      </w:r>
      <w:r>
        <w:rPr>
          <w:rStyle w:val="Estilo1Char"/>
        </w:rPr>
        <w:t>es</w:t>
      </w:r>
      <w:r w:rsidRPr="00694C84">
        <w:rPr>
          <w:rStyle w:val="Estilo1Char"/>
        </w:rPr>
        <w:t xml:space="preserve"> de la presunta víctima </w:t>
      </w:r>
      <w:r>
        <w:rPr>
          <w:rStyle w:val="Estilo1Char"/>
        </w:rPr>
        <w:t>Luis Antonio Galindo Cárdenas</w:t>
      </w:r>
      <w:r w:rsidRPr="00694C84">
        <w:rPr>
          <w:rStyle w:val="Estilo1Char"/>
        </w:rPr>
        <w:t xml:space="preserve">, ofrecida por </w:t>
      </w:r>
      <w:r>
        <w:rPr>
          <w:rStyle w:val="Estilo1Char"/>
        </w:rPr>
        <w:t xml:space="preserve">el representante, del </w:t>
      </w:r>
      <w:r w:rsidRPr="00694C84">
        <w:rPr>
          <w:rStyle w:val="Estilo1Char"/>
        </w:rPr>
        <w:t xml:space="preserve">perito </w:t>
      </w:r>
      <w:r>
        <w:rPr>
          <w:rStyle w:val="Estilo1Char"/>
        </w:rPr>
        <w:t xml:space="preserve">Martín </w:t>
      </w:r>
      <w:proofErr w:type="spellStart"/>
      <w:r>
        <w:rPr>
          <w:rStyle w:val="Estilo1Char"/>
        </w:rPr>
        <w:t>Scheinin</w:t>
      </w:r>
      <w:proofErr w:type="spellEnd"/>
      <w:r w:rsidRPr="00694C84">
        <w:rPr>
          <w:rStyle w:val="Estilo1Char"/>
        </w:rPr>
        <w:t>, ofrecido por la Comisión</w:t>
      </w:r>
      <w:r>
        <w:rPr>
          <w:rStyle w:val="Estilo1Char"/>
        </w:rPr>
        <w:t>, y de la te</w:t>
      </w:r>
      <w:r w:rsidR="0038424F">
        <w:rPr>
          <w:rStyle w:val="Estilo1Char"/>
        </w:rPr>
        <w:t>stigo Eneida Aguilar Solórzano</w:t>
      </w:r>
      <w:r>
        <w:rPr>
          <w:rStyle w:val="Estilo1Char"/>
        </w:rPr>
        <w:t>, ofrecida</w:t>
      </w:r>
      <w:r w:rsidRPr="00694C84">
        <w:rPr>
          <w:rStyle w:val="Estilo1Char"/>
        </w:rPr>
        <w:t xml:space="preserve"> por el Estado</w:t>
      </w:r>
      <w:bookmarkStart w:id="157" w:name="_Ref317363514"/>
      <w:r w:rsidRPr="00694C84">
        <w:rPr>
          <w:rStyle w:val="FootnoteReference"/>
          <w:szCs w:val="20"/>
          <w:lang w:val="es-CR"/>
        </w:rPr>
        <w:footnoteReference w:id="48"/>
      </w:r>
      <w:bookmarkEnd w:id="157"/>
      <w:r w:rsidRPr="00694C84">
        <w:rPr>
          <w:szCs w:val="20"/>
          <w:lang w:val="es-CR"/>
        </w:rPr>
        <w:t xml:space="preserve">. </w:t>
      </w:r>
    </w:p>
    <w:p w:rsidR="009E2748" w:rsidRPr="00FA11AC" w:rsidRDefault="009E2748" w:rsidP="009E2748">
      <w:pPr>
        <w:tabs>
          <w:tab w:val="left" w:pos="567"/>
          <w:tab w:val="left" w:pos="720"/>
          <w:tab w:val="left" w:pos="1134"/>
        </w:tabs>
        <w:autoSpaceDE w:val="0"/>
        <w:autoSpaceDN w:val="0"/>
        <w:adjustRightInd w:val="0"/>
        <w:ind w:right="29"/>
        <w:rPr>
          <w:rStyle w:val="Estilo1Char"/>
          <w:rFonts w:eastAsia="Batang" w:cs="Verdana"/>
          <w:lang w:val="es-CR"/>
        </w:rPr>
      </w:pPr>
    </w:p>
    <w:p w:rsidR="009E2748" w:rsidRDefault="009E2748" w:rsidP="00CE68AB">
      <w:pPr>
        <w:pStyle w:val="Estilo6"/>
        <w:tabs>
          <w:tab w:val="clear" w:pos="709"/>
          <w:tab w:val="left" w:pos="567"/>
        </w:tabs>
        <w:spacing w:after="0"/>
        <w:ind w:left="567" w:right="29" w:hanging="5"/>
        <w:outlineLvl w:val="1"/>
      </w:pPr>
      <w:bookmarkStart w:id="158" w:name="_Toc393227785"/>
      <w:bookmarkStart w:id="159" w:name="_Toc393232783"/>
      <w:bookmarkStart w:id="160" w:name="_Toc400725016"/>
      <w:bookmarkStart w:id="161" w:name="_Toc415503963"/>
      <w:bookmarkStart w:id="162" w:name="_Toc415507369"/>
      <w:bookmarkStart w:id="163" w:name="_Toc418530458"/>
      <w:bookmarkStart w:id="164" w:name="_Toc420941720"/>
      <w:bookmarkStart w:id="165" w:name="_Toc424313473"/>
      <w:bookmarkStart w:id="166" w:name="_Toc430869775"/>
      <w:bookmarkStart w:id="167" w:name="_Toc438129696"/>
      <w:r w:rsidRPr="00FA11AC">
        <w:t>B</w:t>
      </w:r>
      <w:r>
        <w:t>)</w:t>
      </w:r>
      <w:bookmarkStart w:id="168" w:name="_Toc393212555"/>
      <w:r w:rsidRPr="00FA11AC">
        <w:t xml:space="preserve"> Admisión de la prueba documental</w:t>
      </w:r>
      <w:bookmarkEnd w:id="158"/>
      <w:bookmarkEnd w:id="159"/>
      <w:bookmarkEnd w:id="160"/>
      <w:bookmarkEnd w:id="161"/>
      <w:bookmarkEnd w:id="162"/>
      <w:bookmarkEnd w:id="163"/>
      <w:bookmarkEnd w:id="164"/>
      <w:bookmarkEnd w:id="165"/>
      <w:bookmarkEnd w:id="166"/>
      <w:bookmarkEnd w:id="167"/>
      <w:bookmarkEnd w:id="168"/>
      <w:r w:rsidRPr="00FA11AC">
        <w:t xml:space="preserve"> </w:t>
      </w:r>
    </w:p>
    <w:p w:rsidR="009E2748" w:rsidRPr="00FA11AC" w:rsidRDefault="009E2748" w:rsidP="009E2748">
      <w:pPr>
        <w:pStyle w:val="Estilo6"/>
        <w:tabs>
          <w:tab w:val="clear" w:pos="709"/>
          <w:tab w:val="left" w:pos="567"/>
        </w:tabs>
        <w:spacing w:after="0"/>
        <w:ind w:left="0" w:right="29" w:firstLine="0"/>
        <w:outlineLvl w:val="1"/>
      </w:pPr>
    </w:p>
    <w:p w:rsidR="009E2748" w:rsidRPr="008356E7" w:rsidRDefault="009E2748" w:rsidP="009E2748">
      <w:pPr>
        <w:pStyle w:val="Estilo1"/>
        <w:spacing w:after="0"/>
      </w:pPr>
      <w:r w:rsidRPr="008356E7">
        <w:t>En el presente caso, como en otros</w:t>
      </w:r>
      <w:r w:rsidRPr="00F86625">
        <w:rPr>
          <w:rStyle w:val="FootnoteReference"/>
          <w:lang w:val="es-CR"/>
        </w:rPr>
        <w:footnoteReference w:id="49"/>
      </w:r>
      <w:r w:rsidRPr="008356E7">
        <w:t>, el Tribunal admite aquellos documentos remitidos por las partes y la Comisión en la debida oportunidad procesal que no fueron controvertidos ni objetados, ni cuya autenticidad fue puesta en duda, exclusivamente en la medida que sean pertinentes y útiles para la determinación de los hechos y sus eventuales consecuencias jurídicas. Sin perjuicio de ello, se realizan consideraciones puntuales y se resuelven las controversias planteadas sobre la admisibilidad de determinados documentos.</w:t>
      </w:r>
      <w:r w:rsidRPr="00694C84">
        <w:t xml:space="preserve"> </w:t>
      </w:r>
    </w:p>
    <w:p w:rsidR="009E2748" w:rsidRPr="00D42049" w:rsidRDefault="009E2748" w:rsidP="009E2748">
      <w:pPr>
        <w:pStyle w:val="Estilo1"/>
        <w:numPr>
          <w:ilvl w:val="0"/>
          <w:numId w:val="0"/>
        </w:numPr>
        <w:spacing w:after="0"/>
        <w:rPr>
          <w:w w:val="95"/>
        </w:rPr>
      </w:pPr>
    </w:p>
    <w:p w:rsidR="009E2748" w:rsidRDefault="009E2748" w:rsidP="009E2748">
      <w:pPr>
        <w:pStyle w:val="Estilo1"/>
        <w:spacing w:after="0"/>
        <w:ind w:right="29"/>
      </w:pPr>
      <w:r w:rsidRPr="00694C84">
        <w:rPr>
          <w:i/>
        </w:rPr>
        <w:t>Notas de prensa</w:t>
      </w:r>
      <w:r w:rsidRPr="00694C84">
        <w:rPr>
          <w:rStyle w:val="FootnoteReference"/>
        </w:rPr>
        <w:footnoteReference w:id="50"/>
      </w:r>
      <w:r>
        <w:t>.-</w:t>
      </w:r>
      <w:r w:rsidRPr="00694C84">
        <w:t xml:space="preserve"> Este Tribunal ha considerado que las notas de prensa podrán ser apreciadas cuando recojan hechos públicos y notorios o declaraciones de funcionarios del Estado o cuando corroboren aspectos relacionados con el caso. La Corte decide admitir aquellos documentos que se encuentren completos o que, por lo menos, permitan constatar su fuente y fecha de publicación</w:t>
      </w:r>
      <w:r w:rsidRPr="00694C84">
        <w:rPr>
          <w:rStyle w:val="FootnoteReference"/>
        </w:rPr>
        <w:footnoteReference w:id="51"/>
      </w:r>
      <w:r w:rsidRPr="00694C84">
        <w:t xml:space="preserve">. </w:t>
      </w:r>
    </w:p>
    <w:p w:rsidR="009E2748" w:rsidRDefault="009E2748" w:rsidP="009E2748"/>
    <w:p w:rsidR="009E2748" w:rsidRPr="00AB6632" w:rsidRDefault="009E2748" w:rsidP="009E2748">
      <w:pPr>
        <w:pStyle w:val="Estilo1"/>
        <w:spacing w:after="0"/>
        <w:ind w:right="29"/>
      </w:pPr>
      <w:r w:rsidRPr="00FA3B1B">
        <w:rPr>
          <w:i/>
        </w:rPr>
        <w:lastRenderedPageBreak/>
        <w:t>Documentos señalados por las partes y la Comisión por medio de enlaces electrónicos.-</w:t>
      </w:r>
      <w:r w:rsidRPr="00FA3B1B">
        <w:t xml:space="preserve"> Las partes y la Comisión han señalado diversos documentos por medio de enlaces electrónicos. La Corte ha establecido que si una parte o la Comisión proporciona al menos el enlace electrónico directo del documento que cita como prueba y es posible acceder a éste, no se ve afectada la seguridad jurídica ni el equilibrio procesal, porque es inmediatamente localizable por la Corte y por las otras partes o la Comisión</w:t>
      </w:r>
      <w:r w:rsidRPr="00FA3B1B">
        <w:rPr>
          <w:vertAlign w:val="superscript"/>
        </w:rPr>
        <w:footnoteReference w:id="52"/>
      </w:r>
      <w:r w:rsidRPr="00FA3B1B">
        <w:t>. En este caso, no hubo oposición u ob</w:t>
      </w:r>
      <w:r w:rsidRPr="00AB6632">
        <w:t xml:space="preserve">servaciones de las partes o la Comisión sobre el contenido y autenticidad de tales documentos. </w:t>
      </w:r>
    </w:p>
    <w:p w:rsidR="009E2748" w:rsidRPr="00AB6632" w:rsidRDefault="009E2748" w:rsidP="009E2748">
      <w:pPr>
        <w:pStyle w:val="ListParagraph"/>
      </w:pPr>
    </w:p>
    <w:p w:rsidR="009E2748" w:rsidRPr="001A4A05" w:rsidRDefault="009E2748" w:rsidP="009E2748">
      <w:pPr>
        <w:pStyle w:val="Estilo1"/>
        <w:spacing w:after="0"/>
        <w:ind w:right="29"/>
        <w:rPr>
          <w:lang w:val="es-CR" w:eastAsia="es-MX"/>
        </w:rPr>
      </w:pPr>
      <w:r w:rsidRPr="001A4A05">
        <w:t xml:space="preserve">En el transcurso de la audiencia pública, el señor Galindo y el representante presentaron varios documentos, de los cuales se entregó copia al Estado y a la Comisión. La admisibilidad de la documentación presentada no fue objetada, ni su autenticidad </w:t>
      </w:r>
      <w:r w:rsidR="004336F3">
        <w:t xml:space="preserve">fue </w:t>
      </w:r>
      <w:r w:rsidRPr="001A4A05">
        <w:t xml:space="preserve">puesta en duda. Por otra parte, se trata de documentos que ya constaban en el expediente antes de ser presentados en la audiencia. Por lo tanto, los mismos quedaron incorporados al trámite y resultan pertinentes para la resolución del presente caso. </w:t>
      </w:r>
    </w:p>
    <w:p w:rsidR="009E2748" w:rsidRPr="00486703" w:rsidRDefault="009E2748" w:rsidP="009E2748">
      <w:pPr>
        <w:pStyle w:val="Estilo1"/>
        <w:numPr>
          <w:ilvl w:val="0"/>
          <w:numId w:val="0"/>
        </w:numPr>
        <w:spacing w:after="0"/>
        <w:ind w:right="29"/>
        <w:rPr>
          <w:lang w:val="es-CR" w:eastAsia="es-MX"/>
        </w:rPr>
      </w:pPr>
    </w:p>
    <w:p w:rsidR="009E2748" w:rsidRPr="00BD3D8B" w:rsidRDefault="009E2748" w:rsidP="009E2748">
      <w:pPr>
        <w:pStyle w:val="Estilo1"/>
        <w:spacing w:after="0"/>
        <w:ind w:right="29"/>
      </w:pPr>
      <w:r>
        <w:rPr>
          <w:i/>
          <w:lang w:val="es-CR"/>
        </w:rPr>
        <w:t>P</w:t>
      </w:r>
      <w:proofErr w:type="spellStart"/>
      <w:r w:rsidRPr="00E23868">
        <w:rPr>
          <w:i/>
        </w:rPr>
        <w:t>rueba</w:t>
      </w:r>
      <w:proofErr w:type="spellEnd"/>
      <w:r w:rsidRPr="00E23868">
        <w:rPr>
          <w:i/>
        </w:rPr>
        <w:t xml:space="preserve"> para mejor resolver</w:t>
      </w:r>
      <w:r w:rsidRPr="00E23868">
        <w:t xml:space="preserve">.- </w:t>
      </w:r>
      <w:r>
        <w:t xml:space="preserve">El 5 de febrero de 2015 se solicitó a las partes y a la Comisión prueba para mejor resolver de conformidad con el artículo 58.b) del Reglamento, la cual fue presentada por ellos el 20 de febrero de 2015 y trasmitida a las partes y </w:t>
      </w:r>
      <w:r w:rsidR="00FA4AA7">
        <w:t xml:space="preserve">a </w:t>
      </w:r>
      <w:r>
        <w:t>la Comisión para que presentaran observaciones</w:t>
      </w:r>
      <w:r w:rsidR="00984AAD">
        <w:t xml:space="preserve">. </w:t>
      </w:r>
      <w:r>
        <w:t>El 9 de marzo de 2015</w:t>
      </w:r>
      <w:r w:rsidRPr="00E23868">
        <w:t xml:space="preserve"> </w:t>
      </w:r>
      <w:r w:rsidRPr="0057669A">
        <w:t xml:space="preserve">el </w:t>
      </w:r>
      <w:r w:rsidRPr="0057669A">
        <w:rPr>
          <w:b/>
          <w:i/>
        </w:rPr>
        <w:t>representante</w:t>
      </w:r>
      <w:r w:rsidRPr="00E23868">
        <w:rPr>
          <w:b/>
        </w:rPr>
        <w:t xml:space="preserve"> </w:t>
      </w:r>
      <w:r w:rsidRPr="00E23868">
        <w:t xml:space="preserve">en el plazo conferido para presentar observaciones a la prueba para mejor resolver, presentó un escrito de alegaciones </w:t>
      </w:r>
      <w:r>
        <w:rPr>
          <w:lang w:val="es-CR"/>
        </w:rPr>
        <w:t xml:space="preserve">sobre </w:t>
      </w:r>
      <w:r w:rsidRPr="00E23868">
        <w:rPr>
          <w:lang w:val="es-CR"/>
        </w:rPr>
        <w:t xml:space="preserve">la detención del señor Galindo Cárdenas y las acciones de hábeas corpus y amparo no </w:t>
      </w:r>
      <w:proofErr w:type="gramStart"/>
      <w:r w:rsidRPr="00E23868">
        <w:rPr>
          <w:lang w:val="es-CR"/>
        </w:rPr>
        <w:t>interpuestas</w:t>
      </w:r>
      <w:proofErr w:type="gramEnd"/>
      <w:r w:rsidRPr="00E23868">
        <w:rPr>
          <w:lang w:val="es-CR"/>
        </w:rPr>
        <w:t xml:space="preserve"> por dicho señor, y no propiamente observaciones a los anexos.</w:t>
      </w:r>
      <w:r>
        <w:rPr>
          <w:lang w:val="es-CR"/>
        </w:rPr>
        <w:t xml:space="preserve"> Dado lo anterior, </w:t>
      </w:r>
      <w:r w:rsidRPr="00910395">
        <w:rPr>
          <w:lang w:val="es-CR"/>
        </w:rPr>
        <w:t>la Corte</w:t>
      </w:r>
      <w:r>
        <w:rPr>
          <w:lang w:val="es-CR"/>
        </w:rPr>
        <w:t xml:space="preserve"> inadmite dicho escrito, dado que la </w:t>
      </w:r>
      <w:r w:rsidRPr="00E23868">
        <w:rPr>
          <w:lang w:val="es-CR"/>
        </w:rPr>
        <w:t xml:space="preserve">oportunidad otorgada </w:t>
      </w:r>
      <w:r>
        <w:rPr>
          <w:lang w:val="es-CR"/>
        </w:rPr>
        <w:t xml:space="preserve">a las partes y a la Comisión </w:t>
      </w:r>
      <w:r w:rsidRPr="00E23868">
        <w:rPr>
          <w:lang w:val="es-CR"/>
        </w:rPr>
        <w:t>no era par</w:t>
      </w:r>
      <w:r>
        <w:rPr>
          <w:lang w:val="es-CR"/>
        </w:rPr>
        <w:t xml:space="preserve">a presentar alegatos ni prueba. Asimismo, el 9 de los mismos mes y año el </w:t>
      </w:r>
      <w:r w:rsidRPr="008310B2">
        <w:rPr>
          <w:b/>
          <w:i/>
          <w:lang w:val="es-CR"/>
        </w:rPr>
        <w:t>Estado</w:t>
      </w:r>
      <w:r>
        <w:rPr>
          <w:lang w:val="es-CR"/>
        </w:rPr>
        <w:t xml:space="preserve"> </w:t>
      </w:r>
      <w:r w:rsidRPr="00DC06A0">
        <w:rPr>
          <w:lang w:val="es-CR"/>
        </w:rPr>
        <w:t xml:space="preserve">presentó sus observaciones, </w:t>
      </w:r>
      <w:r w:rsidR="00C95E02">
        <w:rPr>
          <w:lang w:val="es-CR"/>
        </w:rPr>
        <w:t xml:space="preserve">dentro de las cuales </w:t>
      </w:r>
      <w:r w:rsidRPr="00DC06A0">
        <w:rPr>
          <w:lang w:val="es-CR"/>
        </w:rPr>
        <w:t xml:space="preserve">se refirió a la traducción al español del documento presentado por el perito Martin </w:t>
      </w:r>
      <w:proofErr w:type="spellStart"/>
      <w:r w:rsidRPr="00DC06A0">
        <w:rPr>
          <w:lang w:val="es-CR"/>
        </w:rPr>
        <w:t>Scheinin</w:t>
      </w:r>
      <w:proofErr w:type="spellEnd"/>
      <w:r w:rsidRPr="00DC06A0">
        <w:rPr>
          <w:lang w:val="es-CR"/>
        </w:rPr>
        <w:t xml:space="preserve">, </w:t>
      </w:r>
      <w:r w:rsidRPr="00811AF1">
        <w:rPr>
          <w:lang w:val="es-CR"/>
        </w:rPr>
        <w:t xml:space="preserve">cuestión que no será considerada por el Tribunal, en tanto que no se había conferido </w:t>
      </w:r>
      <w:r w:rsidR="004A0D73" w:rsidRPr="00811AF1">
        <w:rPr>
          <w:lang w:val="es-CR"/>
        </w:rPr>
        <w:t>oportunidad</w:t>
      </w:r>
      <w:r w:rsidRPr="00811AF1">
        <w:rPr>
          <w:lang w:val="es-CR"/>
        </w:rPr>
        <w:t xml:space="preserve"> para presentar alegatos</w:t>
      </w:r>
      <w:r w:rsidR="004A0D73" w:rsidRPr="00811AF1">
        <w:rPr>
          <w:lang w:val="es-CR"/>
        </w:rPr>
        <w:t xml:space="preserve"> a tal documento</w:t>
      </w:r>
      <w:r w:rsidRPr="00811AF1">
        <w:rPr>
          <w:lang w:val="es-CR"/>
        </w:rPr>
        <w:t>.</w:t>
      </w:r>
      <w:r w:rsidRPr="00DF3EE2">
        <w:rPr>
          <w:lang w:val="es-CR"/>
        </w:rPr>
        <w:t xml:space="preserve"> Ese mismo día, la </w:t>
      </w:r>
      <w:r w:rsidRPr="00DF3EE2">
        <w:rPr>
          <w:b/>
          <w:i/>
          <w:lang w:val="es-CR"/>
        </w:rPr>
        <w:t>Comisión</w:t>
      </w:r>
      <w:r w:rsidRPr="00DF3EE2">
        <w:rPr>
          <w:lang w:val="es-CR"/>
        </w:rPr>
        <w:t xml:space="preserve"> solicitó una prórroga para la presentación de sus observaciones, las que fueron presentadas el 16 de marzo de 2015.</w:t>
      </w:r>
      <w:r>
        <w:rPr>
          <w:lang w:val="es-CR"/>
        </w:rPr>
        <w:t xml:space="preserve"> </w:t>
      </w:r>
    </w:p>
    <w:p w:rsidR="00243573" w:rsidRDefault="00243573" w:rsidP="009E2748">
      <w:pPr>
        <w:pStyle w:val="Estilo1"/>
        <w:numPr>
          <w:ilvl w:val="0"/>
          <w:numId w:val="0"/>
        </w:numPr>
        <w:spacing w:after="0"/>
        <w:ind w:right="29"/>
      </w:pPr>
    </w:p>
    <w:p w:rsidR="00243573" w:rsidRPr="007307EC" w:rsidRDefault="00243573" w:rsidP="00243573">
      <w:pPr>
        <w:pStyle w:val="Estilo1"/>
        <w:spacing w:after="0"/>
        <w:ind w:right="29"/>
      </w:pPr>
      <w:r w:rsidRPr="007307EC">
        <w:rPr>
          <w:lang w:val="es-CR"/>
        </w:rPr>
        <w:t>También el 12 de junio de 2015 se solicitó al Estado prueba para mejor resolver,</w:t>
      </w:r>
      <w:r w:rsidRPr="00442A4C">
        <w:rPr>
          <w:b/>
          <w:lang w:val="es-CR"/>
        </w:rPr>
        <w:t xml:space="preserve"> </w:t>
      </w:r>
      <w:r w:rsidRPr="007307EC">
        <w:rPr>
          <w:lang w:val="es-CR"/>
        </w:rPr>
        <w:t>la cual fue presentada el 25 de junio de 2015 y transmitida a las partes y a la Comisión para que pres</w:t>
      </w:r>
      <w:r w:rsidR="00A33E0A">
        <w:rPr>
          <w:lang w:val="es-CR"/>
        </w:rPr>
        <w:t xml:space="preserve">entaran observaciones. </w:t>
      </w:r>
      <w:r w:rsidRPr="007307EC">
        <w:rPr>
          <w:lang w:val="es-CR"/>
        </w:rPr>
        <w:t xml:space="preserve">La Comisión </w:t>
      </w:r>
      <w:r w:rsidR="0008148E">
        <w:rPr>
          <w:lang w:val="es-CR"/>
        </w:rPr>
        <w:t>presentó</w:t>
      </w:r>
      <w:r w:rsidRPr="007307EC">
        <w:rPr>
          <w:lang w:val="es-CR"/>
        </w:rPr>
        <w:t xml:space="preserve"> sus observaciones el 6 de julio de 2015</w:t>
      </w:r>
      <w:r w:rsidR="0008148E">
        <w:rPr>
          <w:lang w:val="es-CR"/>
        </w:rPr>
        <w:t>, por su parte el Estado</w:t>
      </w:r>
      <w:r w:rsidR="0008148E" w:rsidRPr="0008148E">
        <w:rPr>
          <w:lang w:val="es-CR"/>
        </w:rPr>
        <w:t xml:space="preserve"> </w:t>
      </w:r>
      <w:r w:rsidR="0008148E" w:rsidRPr="007307EC">
        <w:rPr>
          <w:lang w:val="es-CR"/>
        </w:rPr>
        <w:t>y el representante</w:t>
      </w:r>
      <w:r w:rsidR="0008148E">
        <w:rPr>
          <w:lang w:val="es-CR"/>
        </w:rPr>
        <w:t xml:space="preserve"> 7 de julio de 2015</w:t>
      </w:r>
      <w:r w:rsidRPr="007307EC">
        <w:rPr>
          <w:lang w:val="es-CR"/>
        </w:rPr>
        <w:t>. El 10 de julio de 2015 el Estado presentó dos documentos “complementarios” a su escrito de 25 de junio de 2015, y señaló que quedaba pendiente de recibir un tercero de parte de autoridades internas, para luego transmitirlo a la Corte. Se acusó recibo de tal comunicación y se indicó al Estado que la Secretaría de la Corte quedaba pendiente de la recepción del tercer documento</w:t>
      </w:r>
      <w:r w:rsidR="003B0237" w:rsidRPr="008D2D9F">
        <w:rPr>
          <w:lang w:val="es-CR"/>
        </w:rPr>
        <w:t>.</w:t>
      </w:r>
      <w:r w:rsidRPr="00442A4C">
        <w:rPr>
          <w:b/>
          <w:lang w:val="es-CR"/>
        </w:rPr>
        <w:t xml:space="preserve"> </w:t>
      </w:r>
      <w:r w:rsidRPr="007307EC">
        <w:rPr>
          <w:lang w:val="es-CR"/>
        </w:rPr>
        <w:t>Asimismo, los documentos fueron transmitidos a</w:t>
      </w:r>
      <w:r w:rsidR="00442A4C">
        <w:rPr>
          <w:lang w:val="es-CR"/>
        </w:rPr>
        <w:t xml:space="preserve"> la Comisión y al representante</w:t>
      </w:r>
      <w:r w:rsidRPr="007307EC">
        <w:rPr>
          <w:lang w:val="es-CR"/>
        </w:rPr>
        <w:t>, otorgándoles un plazo para que presenten observaciones.</w:t>
      </w:r>
      <w:r w:rsidRPr="007307EC">
        <w:rPr>
          <w:b/>
          <w:lang w:val="es-CR"/>
        </w:rPr>
        <w:t xml:space="preserve"> </w:t>
      </w:r>
      <w:r w:rsidRPr="007307EC">
        <w:rPr>
          <w:lang w:val="es-CR"/>
        </w:rPr>
        <w:t>Dicha observaciones fueron pre</w:t>
      </w:r>
      <w:r w:rsidR="00442A4C">
        <w:rPr>
          <w:lang w:val="es-CR"/>
        </w:rPr>
        <w:t xml:space="preserve">sentadas por el representante </w:t>
      </w:r>
      <w:r w:rsidR="004A0D73">
        <w:rPr>
          <w:lang w:val="es-CR"/>
        </w:rPr>
        <w:t xml:space="preserve">el </w:t>
      </w:r>
      <w:r w:rsidRPr="007307EC">
        <w:rPr>
          <w:lang w:val="es-CR"/>
        </w:rPr>
        <w:t>24 de julio de 2015</w:t>
      </w:r>
      <w:r w:rsidR="00BB26A6">
        <w:rPr>
          <w:lang w:val="es-CR"/>
        </w:rPr>
        <w:t>.</w:t>
      </w:r>
      <w:r w:rsidRPr="007307EC">
        <w:rPr>
          <w:lang w:val="es-CR"/>
        </w:rPr>
        <w:t xml:space="preserve"> La Comisión solicitó una prórroga, que fue concedida, y presentó sus observaciones el 27 de julio de 2015.</w:t>
      </w:r>
      <w:r w:rsidRPr="007307EC">
        <w:rPr>
          <w:b/>
          <w:lang w:val="es-CR"/>
        </w:rPr>
        <w:t xml:space="preserve"> </w:t>
      </w:r>
      <w:r w:rsidRPr="007307EC">
        <w:rPr>
          <w:lang w:val="es-CR"/>
        </w:rPr>
        <w:t>Dichas observaciones fueron transmitidas al Estado. El 10 de agosto de 2015 Perú remitió el documento que había indicado como faltante en su comunicación de 25 de junio de 2015. El mismo fue transmitido a la Comisión y al representante para que formulen obs</w:t>
      </w:r>
      <w:r w:rsidR="00E10777" w:rsidRPr="007307EC">
        <w:rPr>
          <w:lang w:val="es-CR"/>
        </w:rPr>
        <w:t>e</w:t>
      </w:r>
      <w:r w:rsidRPr="007307EC">
        <w:rPr>
          <w:lang w:val="es-CR"/>
        </w:rPr>
        <w:t>rvaciones, que fueron</w:t>
      </w:r>
      <w:r w:rsidR="00442A4C">
        <w:rPr>
          <w:lang w:val="es-CR"/>
        </w:rPr>
        <w:t xml:space="preserve"> presentadas, los días</w:t>
      </w:r>
      <w:r w:rsidRPr="007307EC">
        <w:rPr>
          <w:lang w:val="es-CR"/>
        </w:rPr>
        <w:t xml:space="preserve"> 13 y el 16 de agosto</w:t>
      </w:r>
      <w:r w:rsidR="003B0237" w:rsidRPr="008D2D9F">
        <w:rPr>
          <w:lang w:val="es-CR"/>
        </w:rPr>
        <w:t>,</w:t>
      </w:r>
      <w:r w:rsidR="00442A4C">
        <w:rPr>
          <w:b/>
          <w:lang w:val="es-CR"/>
        </w:rPr>
        <w:t xml:space="preserve"> </w:t>
      </w:r>
      <w:r w:rsidR="00442A4C">
        <w:rPr>
          <w:lang w:val="es-CR"/>
        </w:rPr>
        <w:t>respectivamente.</w:t>
      </w:r>
      <w:r w:rsidR="00442A4C" w:rsidRPr="007307EC">
        <w:rPr>
          <w:b/>
          <w:lang w:val="es-CR"/>
        </w:rPr>
        <w:t xml:space="preserve"> </w:t>
      </w:r>
      <w:r w:rsidRPr="007307EC">
        <w:rPr>
          <w:lang w:val="es-CR"/>
        </w:rPr>
        <w:t>En tanto responde a lo solicitado, la Corte admite las presentaciones estatales indicadas, y al analizar dicha prueba tendrá en cuenta las observaciones de la Comisión y el representante.</w:t>
      </w:r>
      <w:r w:rsidRPr="007307EC">
        <w:rPr>
          <w:b/>
          <w:lang w:val="es-CR"/>
        </w:rPr>
        <w:t xml:space="preserve">  </w:t>
      </w:r>
    </w:p>
    <w:p w:rsidR="00243573" w:rsidRPr="007307EC" w:rsidRDefault="00243573" w:rsidP="00243573">
      <w:pPr>
        <w:pStyle w:val="Estilo1"/>
        <w:numPr>
          <w:ilvl w:val="0"/>
          <w:numId w:val="0"/>
        </w:numPr>
        <w:spacing w:after="0"/>
        <w:ind w:right="29"/>
      </w:pPr>
    </w:p>
    <w:p w:rsidR="00243573" w:rsidRPr="007307EC" w:rsidRDefault="00243573" w:rsidP="00243573">
      <w:pPr>
        <w:pStyle w:val="Estilo1"/>
        <w:spacing w:after="0"/>
        <w:ind w:right="29"/>
      </w:pPr>
      <w:r w:rsidRPr="007307EC">
        <w:rPr>
          <w:i/>
        </w:rPr>
        <w:t>Prueba procurada de oficio</w:t>
      </w:r>
      <w:r w:rsidRPr="007307EC">
        <w:t>.- El 30 de junio de 2015 se informó a las partes y a la Comisión que, con base en lo</w:t>
      </w:r>
      <w:r w:rsidR="00012D5B" w:rsidRPr="007307EC">
        <w:t xml:space="preserve"> establecido en el artículo 58.</w:t>
      </w:r>
      <w:r w:rsidRPr="007307EC">
        <w:t>a) del Reglamento, “</w:t>
      </w:r>
      <w:proofErr w:type="gramStart"/>
      <w:r w:rsidRPr="007307EC">
        <w:t>ha[</w:t>
      </w:r>
      <w:proofErr w:type="spellStart"/>
      <w:proofErr w:type="gramEnd"/>
      <w:r w:rsidRPr="007307EC">
        <w:t>bían</w:t>
      </w:r>
      <w:proofErr w:type="spellEnd"/>
      <w:r w:rsidRPr="007307EC">
        <w:t>] sido incorporados al presente trámite como prueba procurada de oficio” ciertos documentos cuya copia se les transmitió</w:t>
      </w:r>
      <w:r w:rsidRPr="00FB49B3">
        <w:rPr>
          <w:vertAlign w:val="superscript"/>
        </w:rPr>
        <w:footnoteReference w:id="53"/>
      </w:r>
      <w:r w:rsidRPr="007307EC">
        <w:t>,</w:t>
      </w:r>
      <w:r w:rsidRPr="007307EC">
        <w:rPr>
          <w:rFonts w:ascii="Arial" w:eastAsiaTheme="minorHAnsi" w:hAnsi="Arial" w:cs="Arial"/>
          <w:sz w:val="21"/>
          <w:szCs w:val="21"/>
          <w:lang w:val="es-CR"/>
        </w:rPr>
        <w:t xml:space="preserve"> </w:t>
      </w:r>
      <w:r w:rsidR="003B0237" w:rsidRPr="008D2D9F">
        <w:t>y se les pidió observaciones al respecto</w:t>
      </w:r>
      <w:r w:rsidRPr="007307EC">
        <w:rPr>
          <w:rFonts w:ascii="Arial" w:eastAsiaTheme="minorHAnsi" w:hAnsi="Arial" w:cs="Arial"/>
          <w:sz w:val="21"/>
          <w:szCs w:val="21"/>
          <w:lang w:val="es-CR"/>
        </w:rPr>
        <w:t xml:space="preserve">. </w:t>
      </w:r>
      <w:r w:rsidRPr="007307EC">
        <w:t xml:space="preserve">La Comisión presentó sus observaciones el 6 de julio de 2015, sin oponerse a la incorporación de los documentos. El Estado lo hizo el 7 de julio de 2015 y se opuso a la </w:t>
      </w:r>
      <w:r w:rsidR="00FB49B3">
        <w:t>incorporación de los documentos</w:t>
      </w:r>
      <w:r w:rsidRPr="007307EC">
        <w:t xml:space="preserve"> “</w:t>
      </w:r>
      <w:r w:rsidRPr="007307EC">
        <w:rPr>
          <w:rFonts w:eastAsiaTheme="minorHAnsi"/>
          <w:lang w:val="es-CR"/>
        </w:rPr>
        <w:t>porque en sentido estricto ambos documentos no son prueba propiamente dicha pues no se refieren a hechos”. El representante no presentó observaciones</w:t>
      </w:r>
      <w:r w:rsidR="00FB49B3">
        <w:rPr>
          <w:rFonts w:eastAsiaTheme="minorHAnsi"/>
          <w:lang w:val="es-CR"/>
        </w:rPr>
        <w:t>.</w:t>
      </w:r>
      <w:r w:rsidRPr="007307EC">
        <w:rPr>
          <w:rFonts w:eastAsiaTheme="minorHAnsi"/>
          <w:b/>
          <w:lang w:val="es-CR"/>
        </w:rPr>
        <w:t xml:space="preserve"> </w:t>
      </w:r>
      <w:r w:rsidRPr="007307EC">
        <w:rPr>
          <w:rFonts w:eastAsiaTheme="minorHAnsi"/>
          <w:lang w:val="es-CR"/>
        </w:rPr>
        <w:t xml:space="preserve">La Corte considera que asiste razón al Estado y, por lo tanto, no utilizará los documentos referidos como prueba de hechos, </w:t>
      </w:r>
      <w:r w:rsidRPr="00DC06A0">
        <w:rPr>
          <w:rFonts w:eastAsiaTheme="minorHAnsi"/>
          <w:lang w:val="es-CR"/>
        </w:rPr>
        <w:t>sin perjuicio de la posibilidad de tenerlos en cuenta, en lo pertinente, como documentos de referencia útiles a efectos del análisis jurídico del caso.</w:t>
      </w:r>
      <w:r w:rsidRPr="007307EC">
        <w:rPr>
          <w:rFonts w:eastAsiaTheme="minorHAnsi"/>
          <w:i/>
          <w:sz w:val="16"/>
          <w:szCs w:val="16"/>
          <w:lang w:val="es-CR"/>
        </w:rPr>
        <w:t xml:space="preserve"> </w:t>
      </w:r>
    </w:p>
    <w:p w:rsidR="00243573" w:rsidRDefault="00243573" w:rsidP="00243573">
      <w:pPr>
        <w:pStyle w:val="Estilo1"/>
        <w:numPr>
          <w:ilvl w:val="0"/>
          <w:numId w:val="0"/>
        </w:numPr>
        <w:tabs>
          <w:tab w:val="clear" w:pos="567"/>
        </w:tabs>
        <w:spacing w:after="0"/>
        <w:ind w:right="29"/>
      </w:pPr>
    </w:p>
    <w:p w:rsidR="009E2748" w:rsidRPr="00E27584" w:rsidRDefault="009E2748" w:rsidP="009E2748">
      <w:pPr>
        <w:numPr>
          <w:ilvl w:val="0"/>
          <w:numId w:val="1"/>
        </w:numPr>
        <w:tabs>
          <w:tab w:val="left" w:pos="567"/>
          <w:tab w:val="left" w:pos="720"/>
          <w:tab w:val="left" w:pos="1134"/>
          <w:tab w:val="num" w:pos="1427"/>
        </w:tabs>
        <w:autoSpaceDE w:val="0"/>
        <w:autoSpaceDN w:val="0"/>
        <w:adjustRightInd w:val="0"/>
        <w:ind w:right="29"/>
        <w:rPr>
          <w:lang w:val="es-CR"/>
        </w:rPr>
      </w:pPr>
      <w:r w:rsidRPr="00E27584">
        <w:t>De otra parte, junto</w:t>
      </w:r>
      <w:r>
        <w:t xml:space="preserve"> con</w:t>
      </w:r>
      <w:r w:rsidRPr="00E27584">
        <w:t xml:space="preserve"> los alegatos finales escritos el </w:t>
      </w:r>
      <w:r w:rsidRPr="0057669A">
        <w:rPr>
          <w:b/>
          <w:i/>
        </w:rPr>
        <w:t>Estado</w:t>
      </w:r>
      <w:r w:rsidRPr="00E27584">
        <w:t xml:space="preserve"> </w:t>
      </w:r>
      <w:r>
        <w:t xml:space="preserve">y </w:t>
      </w:r>
      <w:r w:rsidRPr="00E27584">
        <w:t xml:space="preserve">el </w:t>
      </w:r>
      <w:r w:rsidRPr="00E27584">
        <w:rPr>
          <w:b/>
          <w:i/>
        </w:rPr>
        <w:t>representante</w:t>
      </w:r>
      <w:r w:rsidRPr="00E27584">
        <w:t xml:space="preserve"> </w:t>
      </w:r>
      <w:r>
        <w:t>remitieron</w:t>
      </w:r>
      <w:r w:rsidRPr="00E27584">
        <w:t xml:space="preserve"> determinados documentos como prueba</w:t>
      </w:r>
      <w:r>
        <w:t xml:space="preserve">. </w:t>
      </w:r>
      <w:r w:rsidRPr="00E27584">
        <w:t xml:space="preserve">Al respecto, se otorgó una oportunidad a las partes y a la Comisión para presentar las observaciones que estimaran pertinentes </w:t>
      </w:r>
      <w:r>
        <w:t xml:space="preserve">a dicha documentación </w:t>
      </w:r>
      <w:r w:rsidRPr="00E27584">
        <w:t>(</w:t>
      </w:r>
      <w:r w:rsidRPr="00E27584">
        <w:rPr>
          <w:i/>
        </w:rPr>
        <w:t xml:space="preserve">supra </w:t>
      </w:r>
      <w:r w:rsidRPr="00E27584">
        <w:t xml:space="preserve">párr. </w:t>
      </w:r>
      <w:r w:rsidR="00452E34">
        <w:t>13</w:t>
      </w:r>
      <w:r w:rsidR="00452E34" w:rsidRPr="00E27584">
        <w:t xml:space="preserve">). </w:t>
      </w:r>
    </w:p>
    <w:p w:rsidR="009E2748" w:rsidRDefault="009E2748" w:rsidP="009E2748">
      <w:pPr>
        <w:pStyle w:val="Estilo1"/>
        <w:numPr>
          <w:ilvl w:val="0"/>
          <w:numId w:val="0"/>
        </w:numPr>
        <w:spacing w:after="0"/>
        <w:ind w:right="29"/>
      </w:pPr>
    </w:p>
    <w:p w:rsidR="009E2748" w:rsidRPr="00DE5AB8" w:rsidRDefault="009E2748" w:rsidP="009E2748">
      <w:pPr>
        <w:numPr>
          <w:ilvl w:val="0"/>
          <w:numId w:val="1"/>
        </w:numPr>
        <w:tabs>
          <w:tab w:val="left" w:pos="567"/>
          <w:tab w:val="left" w:pos="720"/>
          <w:tab w:val="left" w:pos="1134"/>
          <w:tab w:val="num" w:pos="1427"/>
        </w:tabs>
        <w:autoSpaceDE w:val="0"/>
        <w:autoSpaceDN w:val="0"/>
        <w:adjustRightInd w:val="0"/>
        <w:ind w:right="29"/>
        <w:rPr>
          <w:b/>
        </w:rPr>
      </w:pPr>
      <w:r w:rsidRPr="008B7B4F">
        <w:rPr>
          <w:i/>
          <w:iCs/>
          <w:lang w:val="es-CR"/>
        </w:rPr>
        <w:t>Observaciones del Estado a los anexos presentados junto con los alegatos finales del representante.</w:t>
      </w:r>
      <w:r w:rsidRPr="008B7B4F">
        <w:rPr>
          <w:lang w:val="es-CR"/>
        </w:rPr>
        <w:t>- El 23 de marzo de 2015 el</w:t>
      </w:r>
      <w:r w:rsidRPr="008B7B4F">
        <w:rPr>
          <w:i/>
          <w:iCs/>
          <w:lang w:val="es-CR"/>
        </w:rPr>
        <w:t xml:space="preserve"> </w:t>
      </w:r>
      <w:r w:rsidRPr="008B7B4F">
        <w:rPr>
          <w:b/>
          <w:bCs/>
          <w:i/>
          <w:iCs/>
          <w:lang w:val="es-CR"/>
        </w:rPr>
        <w:t>Estado</w:t>
      </w:r>
      <w:r w:rsidRPr="008B7B4F">
        <w:rPr>
          <w:lang w:val="es-CR"/>
        </w:rPr>
        <w:t xml:space="preserve"> presentó sus observaciones a la documentación anexa a los alegatos finales escritos del representante (</w:t>
      </w:r>
      <w:r w:rsidRPr="008B7B4F">
        <w:rPr>
          <w:i/>
          <w:iCs/>
          <w:lang w:val="es-CR"/>
        </w:rPr>
        <w:t>supra</w:t>
      </w:r>
      <w:r>
        <w:rPr>
          <w:lang w:val="es-CR"/>
        </w:rPr>
        <w:t xml:space="preserve"> párr</w:t>
      </w:r>
      <w:r w:rsidR="00452E34">
        <w:rPr>
          <w:lang w:val="es-CR"/>
        </w:rPr>
        <w:t>.</w:t>
      </w:r>
      <w:r w:rsidR="00A63089">
        <w:rPr>
          <w:lang w:val="es-CR"/>
        </w:rPr>
        <w:t xml:space="preserve"> </w:t>
      </w:r>
      <w:r w:rsidR="00452E34">
        <w:rPr>
          <w:lang w:val="es-CR"/>
        </w:rPr>
        <w:t xml:space="preserve">13), </w:t>
      </w:r>
      <w:r>
        <w:rPr>
          <w:lang w:val="es-CR"/>
        </w:rPr>
        <w:t>y</w:t>
      </w:r>
      <w:r w:rsidRPr="008B7B4F">
        <w:rPr>
          <w:lang w:val="es-CR"/>
        </w:rPr>
        <w:t xml:space="preserve"> señaló que</w:t>
      </w:r>
      <w:r>
        <w:rPr>
          <w:lang w:val="es-CR"/>
        </w:rPr>
        <w:t xml:space="preserve"> en los documentos “denominados antecedentes del abogado Luis Antonio Galindo Cárdenas en temas de adopción internacional</w:t>
      </w:r>
      <w:r>
        <w:rPr>
          <w:szCs w:val="20"/>
        </w:rPr>
        <w:t>”,</w:t>
      </w:r>
      <w:r>
        <w:rPr>
          <w:lang w:val="es-CR"/>
        </w:rPr>
        <w:t xml:space="preserve"> los anexos 3, 4,</w:t>
      </w:r>
      <w:r w:rsidR="00EE498B">
        <w:rPr>
          <w:lang w:val="es-CR"/>
        </w:rPr>
        <w:t xml:space="preserve"> </w:t>
      </w:r>
      <w:r>
        <w:rPr>
          <w:lang w:val="es-CR"/>
        </w:rPr>
        <w:t xml:space="preserve">7 y 8 son reiterativos; los </w:t>
      </w:r>
      <w:r w:rsidRPr="00AB6632">
        <w:rPr>
          <w:lang w:val="es-CR"/>
        </w:rPr>
        <w:t>anexos 2, 5 y 6 son extemporáneos</w:t>
      </w:r>
      <w:r>
        <w:rPr>
          <w:lang w:val="es-CR"/>
        </w:rPr>
        <w:t xml:space="preserve"> y no guarda</w:t>
      </w:r>
      <w:r w:rsidR="004A0D73">
        <w:rPr>
          <w:lang w:val="es-CR"/>
        </w:rPr>
        <w:t>n</w:t>
      </w:r>
      <w:r>
        <w:rPr>
          <w:lang w:val="es-CR"/>
        </w:rPr>
        <w:t xml:space="preserve"> relación con los hechos del presente caso; el anexo 1 contiene diversas fotografías de menores de edad y no se tuvo el cuidado de cubrir sus rostros para brindarles la respectiva reserva y respeto a la integridad personal. En relación con los documentos denominados “Índice – Anexos” y respecto a los documentos allí incluidos indicó que los anexos 1</w:t>
      </w:r>
      <w:r w:rsidR="00395039">
        <w:rPr>
          <w:lang w:val="es-CR"/>
        </w:rPr>
        <w:t xml:space="preserve"> al </w:t>
      </w:r>
      <w:r>
        <w:rPr>
          <w:lang w:val="es-CR"/>
        </w:rPr>
        <w:t>13 son reiterativos; el anexo 14 no guarda relación con los hechos por lo que no se debe admitir y además manifestó que protesta por las calificaciones y afirmaciones irrespetu</w:t>
      </w:r>
      <w:r w:rsidR="004864A3">
        <w:rPr>
          <w:lang w:val="es-CR"/>
        </w:rPr>
        <w:t>osas que vierte el peticionario, y</w:t>
      </w:r>
      <w:r>
        <w:rPr>
          <w:lang w:val="es-CR"/>
        </w:rPr>
        <w:t xml:space="preserve"> en cuanto a la nota de prensa del Diario La República de 20 de enero de 2015 consideró que es extemporánea y no se debe admitir</w:t>
      </w:r>
      <w:r w:rsidRPr="00F63DAE">
        <w:rPr>
          <w:lang w:val="es-CR"/>
        </w:rPr>
        <w:t>.</w:t>
      </w:r>
      <w:r>
        <w:rPr>
          <w:lang w:val="es-CR"/>
        </w:rPr>
        <w:t xml:space="preserve"> </w:t>
      </w:r>
    </w:p>
    <w:p w:rsidR="009E2748" w:rsidRPr="00827C0C" w:rsidRDefault="009E2748" w:rsidP="009E2748">
      <w:pPr>
        <w:tabs>
          <w:tab w:val="left" w:pos="567"/>
          <w:tab w:val="left" w:pos="720"/>
          <w:tab w:val="left" w:pos="1134"/>
        </w:tabs>
        <w:autoSpaceDE w:val="0"/>
        <w:autoSpaceDN w:val="0"/>
        <w:adjustRightInd w:val="0"/>
        <w:ind w:right="29"/>
        <w:rPr>
          <w:b/>
        </w:rPr>
      </w:pPr>
    </w:p>
    <w:p w:rsidR="009E2748" w:rsidRPr="00AC644D" w:rsidRDefault="009E2748" w:rsidP="009E2748">
      <w:pPr>
        <w:numPr>
          <w:ilvl w:val="0"/>
          <w:numId w:val="1"/>
        </w:numPr>
        <w:tabs>
          <w:tab w:val="left" w:pos="567"/>
          <w:tab w:val="left" w:pos="720"/>
          <w:tab w:val="left" w:pos="1134"/>
          <w:tab w:val="num" w:pos="1427"/>
        </w:tabs>
        <w:autoSpaceDE w:val="0"/>
        <w:autoSpaceDN w:val="0"/>
        <w:adjustRightInd w:val="0"/>
        <w:ind w:right="29"/>
        <w:rPr>
          <w:b/>
        </w:rPr>
      </w:pPr>
      <w:r>
        <w:t>L</w:t>
      </w:r>
      <w:r w:rsidRPr="00A57633">
        <w:rPr>
          <w:lang w:val="es-CR"/>
        </w:rPr>
        <w:t>a</w:t>
      </w:r>
      <w:r w:rsidRPr="00A57633">
        <w:rPr>
          <w:b/>
          <w:i/>
          <w:lang w:val="es-CR"/>
        </w:rPr>
        <w:t xml:space="preserve"> Comisión</w:t>
      </w:r>
      <w:r w:rsidRPr="00A57633">
        <w:rPr>
          <w:lang w:val="es-CR"/>
        </w:rPr>
        <w:t xml:space="preserve"> </w:t>
      </w:r>
      <w:r>
        <w:rPr>
          <w:lang w:val="es-CR"/>
        </w:rPr>
        <w:t xml:space="preserve">en sus </w:t>
      </w:r>
      <w:r w:rsidRPr="00A57633">
        <w:rPr>
          <w:lang w:val="es-CR"/>
        </w:rPr>
        <w:t>observaciones</w:t>
      </w:r>
      <w:r>
        <w:rPr>
          <w:lang w:val="es-CR"/>
        </w:rPr>
        <w:t xml:space="preserve"> no se refirió a los documentos presentados por los representantes</w:t>
      </w:r>
      <w:r w:rsidRPr="00A57633">
        <w:rPr>
          <w:lang w:val="es-CR"/>
        </w:rPr>
        <w:t>.</w:t>
      </w:r>
    </w:p>
    <w:p w:rsidR="009E2748" w:rsidRPr="00AC644D" w:rsidRDefault="009E2748" w:rsidP="009E2748">
      <w:pPr>
        <w:tabs>
          <w:tab w:val="left" w:pos="567"/>
          <w:tab w:val="left" w:pos="720"/>
          <w:tab w:val="left" w:pos="1134"/>
        </w:tabs>
        <w:autoSpaceDE w:val="0"/>
        <w:autoSpaceDN w:val="0"/>
        <w:adjustRightInd w:val="0"/>
        <w:ind w:right="29"/>
        <w:rPr>
          <w:b/>
        </w:rPr>
      </w:pPr>
      <w:r w:rsidRPr="00AC644D">
        <w:rPr>
          <w:lang w:val="es-CR"/>
        </w:rPr>
        <w:t xml:space="preserve"> </w:t>
      </w:r>
    </w:p>
    <w:p w:rsidR="009E2748" w:rsidRPr="00DF3EE2" w:rsidRDefault="009E2748" w:rsidP="009E2748">
      <w:pPr>
        <w:numPr>
          <w:ilvl w:val="0"/>
          <w:numId w:val="1"/>
        </w:numPr>
        <w:tabs>
          <w:tab w:val="left" w:pos="567"/>
          <w:tab w:val="left" w:pos="720"/>
          <w:tab w:val="left" w:pos="1134"/>
          <w:tab w:val="num" w:pos="1427"/>
        </w:tabs>
        <w:autoSpaceDE w:val="0"/>
        <w:autoSpaceDN w:val="0"/>
        <w:adjustRightInd w:val="0"/>
        <w:ind w:right="29"/>
      </w:pPr>
      <w:r>
        <w:rPr>
          <w:lang w:val="es-CR"/>
        </w:rPr>
        <w:t xml:space="preserve"> </w:t>
      </w:r>
      <w:r w:rsidRPr="00811AF1">
        <w:rPr>
          <w:lang w:val="es-CR"/>
        </w:rPr>
        <w:t xml:space="preserve">La Corte </w:t>
      </w:r>
      <w:r w:rsidR="00EE498B" w:rsidRPr="00811AF1">
        <w:rPr>
          <w:lang w:val="es-CR"/>
        </w:rPr>
        <w:t>ha constatado</w:t>
      </w:r>
      <w:r w:rsidRPr="00811AF1">
        <w:rPr>
          <w:lang w:val="es-CR"/>
        </w:rPr>
        <w:t xml:space="preserve"> que la mayoría de los anexos presentados por el representante forman parte del acervo probatorio del presente caso</w:t>
      </w:r>
      <w:r w:rsidR="00EE498B" w:rsidRPr="00811AF1">
        <w:rPr>
          <w:lang w:val="es-CR"/>
        </w:rPr>
        <w:t xml:space="preserve">, por lo que los </w:t>
      </w:r>
      <w:r w:rsidR="0088542E" w:rsidRPr="00811AF1">
        <w:rPr>
          <w:lang w:val="es-CR"/>
        </w:rPr>
        <w:t xml:space="preserve">anexos </w:t>
      </w:r>
      <w:r w:rsidR="000556E0" w:rsidRPr="00811AF1">
        <w:rPr>
          <w:lang w:val="es-CR"/>
        </w:rPr>
        <w:t>mencionados por el Estado como reiterativos ya están incorporados al expedient</w:t>
      </w:r>
      <w:r w:rsidR="00C44681" w:rsidRPr="00811AF1">
        <w:rPr>
          <w:lang w:val="es-CR"/>
        </w:rPr>
        <w:t>e</w:t>
      </w:r>
      <w:r w:rsidRPr="00811AF1">
        <w:rPr>
          <w:lang w:val="es-CR"/>
        </w:rPr>
        <w:t xml:space="preserve">, </w:t>
      </w:r>
      <w:r w:rsidRPr="00DF3EE2">
        <w:rPr>
          <w:lang w:val="es-CR"/>
        </w:rPr>
        <w:t xml:space="preserve">excepto los siguientes anexos: Anexo 1.1 </w:t>
      </w:r>
      <w:r w:rsidR="00E80809" w:rsidRPr="00DF3EE2">
        <w:rPr>
          <w:lang w:val="es-CR"/>
        </w:rPr>
        <w:t>relativo</w:t>
      </w:r>
      <w:r w:rsidRPr="00DF3EE2">
        <w:rPr>
          <w:lang w:val="es-CR"/>
        </w:rPr>
        <w:t xml:space="preserve"> a los reportajes de la fecha de detención del señor Galindo; Anexo 2</w:t>
      </w:r>
      <w:r w:rsidR="004A0D73" w:rsidRPr="00811AF1">
        <w:rPr>
          <w:lang w:val="es-CR"/>
        </w:rPr>
        <w:t xml:space="preserve"> </w:t>
      </w:r>
      <w:r w:rsidRPr="00DF3EE2">
        <w:rPr>
          <w:lang w:val="es-CR"/>
        </w:rPr>
        <w:t>sobre un artículo periodístico publicado en el Diario “La República” el día 20 de enero de 2015, y Anexo 3.1, 3.2, 3.5 y 3.7 y la hoja de vida del señor Galindo Cárdenas. En cuanto a los anexos 1.1 y 3.1, 3.2, 3.5 y 3.7, este Tribunal nota que</w:t>
      </w:r>
      <w:r w:rsidR="000C3720" w:rsidRPr="00DF3EE2">
        <w:rPr>
          <w:lang w:val="es-CR"/>
        </w:rPr>
        <w:t>,</w:t>
      </w:r>
      <w:r w:rsidRPr="00DF3EE2">
        <w:rPr>
          <w:lang w:val="es-CR"/>
        </w:rPr>
        <w:t xml:space="preserve"> para el momento de la presentación del escrito de solicitudes y argumentos</w:t>
      </w:r>
      <w:r w:rsidR="000C3720" w:rsidRPr="00DF3EE2">
        <w:rPr>
          <w:lang w:val="es-CR"/>
        </w:rPr>
        <w:t>, éstos</w:t>
      </w:r>
      <w:r w:rsidRPr="00DF3EE2">
        <w:rPr>
          <w:lang w:val="es-CR"/>
        </w:rPr>
        <w:t xml:space="preserve"> no fueron presentados pese a su existencia, y tampoco fueron solicitados por la Corte, por lo que su presentación es extemporánea y no los admite dentro del acervo probatorio. El documento </w:t>
      </w:r>
      <w:r w:rsidRPr="00DF3EE2">
        <w:rPr>
          <w:lang w:val="es-CR"/>
        </w:rPr>
        <w:lastRenderedPageBreak/>
        <w:t>del anexo 2 es superviniente, en razón de lo cual</w:t>
      </w:r>
      <w:r w:rsidR="000C3720" w:rsidRPr="00DF3EE2">
        <w:rPr>
          <w:lang w:val="es-CR"/>
        </w:rPr>
        <w:t xml:space="preserve"> se</w:t>
      </w:r>
      <w:r w:rsidRPr="00DF3EE2">
        <w:rPr>
          <w:lang w:val="es-CR"/>
        </w:rPr>
        <w:t xml:space="preserve"> incorpora al acervo probatorio del caso</w:t>
      </w:r>
      <w:r w:rsidR="000C3720" w:rsidRPr="00DF3EE2">
        <w:rPr>
          <w:lang w:val="es-CR"/>
        </w:rPr>
        <w:t>,</w:t>
      </w:r>
      <w:r w:rsidRPr="00DF3EE2">
        <w:rPr>
          <w:lang w:val="es-CR"/>
        </w:rPr>
        <w:t xml:space="preserve"> de conformidad el artículo 58.b) del Reglamento. </w:t>
      </w:r>
    </w:p>
    <w:p w:rsidR="009E2748" w:rsidRPr="00DF3EE2" w:rsidRDefault="000556E0" w:rsidP="009E2748">
      <w:pPr>
        <w:pStyle w:val="Estilo1"/>
        <w:numPr>
          <w:ilvl w:val="0"/>
          <w:numId w:val="0"/>
        </w:numPr>
        <w:spacing w:after="0"/>
        <w:ind w:right="29"/>
        <w:rPr>
          <w:szCs w:val="22"/>
          <w:lang w:val="es-CR"/>
        </w:rPr>
      </w:pPr>
      <w:r w:rsidRPr="00DF3EE2">
        <w:rPr>
          <w:szCs w:val="22"/>
          <w:lang w:val="es-CR"/>
        </w:rPr>
        <w:t xml:space="preserve"> </w:t>
      </w:r>
    </w:p>
    <w:p w:rsidR="009E2748" w:rsidRPr="00DF3EE2" w:rsidRDefault="009E2748" w:rsidP="009E2748">
      <w:pPr>
        <w:numPr>
          <w:ilvl w:val="0"/>
          <w:numId w:val="1"/>
        </w:numPr>
        <w:tabs>
          <w:tab w:val="left" w:pos="567"/>
          <w:tab w:val="left" w:pos="720"/>
          <w:tab w:val="left" w:pos="1134"/>
          <w:tab w:val="num" w:pos="1427"/>
        </w:tabs>
        <w:autoSpaceDE w:val="0"/>
        <w:autoSpaceDN w:val="0"/>
        <w:adjustRightInd w:val="0"/>
        <w:ind w:right="29"/>
      </w:pPr>
      <w:r w:rsidRPr="00DF3EE2">
        <w:rPr>
          <w:i/>
          <w:lang w:val="es-CR"/>
        </w:rPr>
        <w:t>Observaciones del representante a los anexos presentados junto con los alegatos finales del Estado.</w:t>
      </w:r>
      <w:r w:rsidRPr="00DF3EE2">
        <w:rPr>
          <w:lang w:val="es-CR"/>
        </w:rPr>
        <w:t xml:space="preserve"> En sus observaciones, el </w:t>
      </w:r>
      <w:r w:rsidRPr="00DF3EE2">
        <w:rPr>
          <w:b/>
          <w:i/>
          <w:lang w:val="es-CR"/>
        </w:rPr>
        <w:t>representant</w:t>
      </w:r>
      <w:r w:rsidRPr="00DF3EE2">
        <w:rPr>
          <w:b/>
          <w:lang w:val="es-CR"/>
        </w:rPr>
        <w:t xml:space="preserve">e </w:t>
      </w:r>
      <w:r w:rsidRPr="00DF3EE2">
        <w:rPr>
          <w:lang w:val="es-CR"/>
        </w:rPr>
        <w:t xml:space="preserve">adujo </w:t>
      </w:r>
      <w:r w:rsidRPr="00DF3EE2">
        <w:t>que en “la [c]</w:t>
      </w:r>
      <w:proofErr w:type="spellStart"/>
      <w:r w:rsidRPr="00DF3EE2">
        <w:t>arpeta</w:t>
      </w:r>
      <w:proofErr w:type="spellEnd"/>
      <w:r w:rsidRPr="00DF3EE2">
        <w:t xml:space="preserve"> </w:t>
      </w:r>
      <w:r w:rsidR="00452E34" w:rsidRPr="00DF3EE2">
        <w:t>[</w:t>
      </w:r>
      <w:r w:rsidRPr="00DF3EE2">
        <w:t>f</w:t>
      </w:r>
      <w:r w:rsidR="00452E34" w:rsidRPr="00DF3EE2">
        <w:t>]</w:t>
      </w:r>
      <w:r w:rsidRPr="00DF3EE2">
        <w:t xml:space="preserve">iscal” presentada por el Estado se observa “falta de documentos fidedignos, documentos cuestionables, que se corrobora con su comunicación de 27 de </w:t>
      </w:r>
      <w:r w:rsidR="00452E34" w:rsidRPr="00DF3EE2">
        <w:t>[</w:t>
      </w:r>
      <w:r w:rsidRPr="00DF3EE2">
        <w:t>f</w:t>
      </w:r>
      <w:r w:rsidR="00452E34" w:rsidRPr="00DF3EE2">
        <w:t>]</w:t>
      </w:r>
      <w:proofErr w:type="spellStart"/>
      <w:r w:rsidRPr="00DF3EE2">
        <w:t>ebrero</w:t>
      </w:r>
      <w:proofErr w:type="spellEnd"/>
      <w:r w:rsidRPr="00DF3EE2">
        <w:t xml:space="preserve"> de 2015”, referente a los alegatos finales escritos. </w:t>
      </w:r>
    </w:p>
    <w:p w:rsidR="009E2748" w:rsidRDefault="009E2748" w:rsidP="009E2748">
      <w:pPr>
        <w:pStyle w:val="ListParagraph"/>
        <w:rPr>
          <w:lang w:val="es-CR"/>
        </w:rPr>
      </w:pPr>
    </w:p>
    <w:p w:rsidR="007F6493" w:rsidRPr="004454B8" w:rsidRDefault="009E2748" w:rsidP="005C119F">
      <w:pPr>
        <w:pStyle w:val="Estilo1"/>
        <w:spacing w:after="0"/>
        <w:rPr>
          <w:szCs w:val="22"/>
          <w:lang w:val="es-CR"/>
        </w:rPr>
      </w:pPr>
      <w:r w:rsidRPr="004454B8">
        <w:rPr>
          <w:lang w:val="es-CR"/>
        </w:rPr>
        <w:t>Por su parte, la</w:t>
      </w:r>
      <w:r w:rsidRPr="004454B8">
        <w:rPr>
          <w:b/>
          <w:bCs/>
          <w:i/>
          <w:iCs/>
          <w:lang w:val="es-CR"/>
        </w:rPr>
        <w:t xml:space="preserve"> Comisión</w:t>
      </w:r>
      <w:r w:rsidRPr="004454B8">
        <w:rPr>
          <w:lang w:val="es-CR"/>
        </w:rPr>
        <w:t xml:space="preserve"> presentó sus observaciones</w:t>
      </w:r>
      <w:r w:rsidR="00602245" w:rsidRPr="004454B8">
        <w:rPr>
          <w:lang w:val="es-CR"/>
        </w:rPr>
        <w:t xml:space="preserve"> e indicó que la </w:t>
      </w:r>
      <w:r w:rsidR="005C119F" w:rsidRPr="004454B8">
        <w:rPr>
          <w:lang w:val="es-CR"/>
        </w:rPr>
        <w:t>c</w:t>
      </w:r>
      <w:r w:rsidR="008310B2" w:rsidRPr="004454B8">
        <w:rPr>
          <w:lang w:val="es-CR"/>
        </w:rPr>
        <w:t xml:space="preserve">omunicación </w:t>
      </w:r>
      <w:r w:rsidR="005C119F" w:rsidRPr="004454B8">
        <w:rPr>
          <w:lang w:val="es-CR"/>
        </w:rPr>
        <w:t>sobre el</w:t>
      </w:r>
      <w:r w:rsidR="00602245" w:rsidRPr="004454B8">
        <w:rPr>
          <w:lang w:val="es-CR"/>
        </w:rPr>
        <w:t xml:space="preserve"> estado de excepción no hace parte de</w:t>
      </w:r>
      <w:r w:rsidRPr="004454B8">
        <w:rPr>
          <w:lang w:val="es-CR"/>
        </w:rPr>
        <w:t xml:space="preserve"> </w:t>
      </w:r>
      <w:r w:rsidR="00602245" w:rsidRPr="004454B8">
        <w:rPr>
          <w:lang w:val="es-CR"/>
        </w:rPr>
        <w:t>la prueba solicitada por la Corte</w:t>
      </w:r>
      <w:r w:rsidR="005C119F" w:rsidRPr="004454B8">
        <w:rPr>
          <w:lang w:val="es-CR"/>
        </w:rPr>
        <w:t>.</w:t>
      </w:r>
      <w:r w:rsidR="00602245" w:rsidRPr="004454B8">
        <w:rPr>
          <w:lang w:val="es-CR"/>
        </w:rPr>
        <w:t xml:space="preserve"> </w:t>
      </w:r>
    </w:p>
    <w:p w:rsidR="009E2748" w:rsidRPr="004454B8" w:rsidRDefault="009E2748" w:rsidP="009E2748">
      <w:pPr>
        <w:tabs>
          <w:tab w:val="left" w:pos="567"/>
          <w:tab w:val="left" w:pos="720"/>
          <w:tab w:val="left" w:pos="1134"/>
        </w:tabs>
        <w:autoSpaceDE w:val="0"/>
        <w:autoSpaceDN w:val="0"/>
        <w:adjustRightInd w:val="0"/>
        <w:ind w:right="29"/>
        <w:rPr>
          <w:lang w:val="es-CR"/>
        </w:rPr>
      </w:pPr>
      <w:r w:rsidRPr="004454B8">
        <w:rPr>
          <w:lang w:val="es-CR"/>
        </w:rPr>
        <w:t xml:space="preserve"> </w:t>
      </w:r>
    </w:p>
    <w:p w:rsidR="009E2748" w:rsidRPr="00FF2853" w:rsidRDefault="009E2748" w:rsidP="009E2748">
      <w:pPr>
        <w:numPr>
          <w:ilvl w:val="0"/>
          <w:numId w:val="1"/>
        </w:numPr>
        <w:tabs>
          <w:tab w:val="left" w:pos="567"/>
          <w:tab w:val="left" w:pos="720"/>
          <w:tab w:val="left" w:pos="1134"/>
          <w:tab w:val="num" w:pos="1427"/>
        </w:tabs>
        <w:autoSpaceDE w:val="0"/>
        <w:autoSpaceDN w:val="0"/>
        <w:adjustRightInd w:val="0"/>
        <w:ind w:right="29"/>
      </w:pPr>
      <w:r w:rsidRPr="00A57633">
        <w:t xml:space="preserve">La </w:t>
      </w:r>
      <w:r w:rsidRPr="008E6755">
        <w:rPr>
          <w:b/>
          <w:i/>
        </w:rPr>
        <w:t>Corte</w:t>
      </w:r>
      <w:r w:rsidRPr="00A57633">
        <w:t xml:space="preserve"> </w:t>
      </w:r>
      <w:r w:rsidRPr="00DF3EE2">
        <w:t>estima que las apreciaciones del representante respecto de algunos de los documentos se relacionan con el contenido de éstos y no con su admisibilidad.</w:t>
      </w:r>
      <w:r w:rsidRPr="00DF3EE2">
        <w:rPr>
          <w:lang w:val="es-CR"/>
        </w:rPr>
        <w:t xml:space="preserve"> Luego del examen de los documentos presentados por el Estado, se constató que los anexos 4, 5, 6, 9 </w:t>
      </w:r>
      <w:r w:rsidR="00E80809" w:rsidRPr="00DF3EE2">
        <w:rPr>
          <w:lang w:val="es-CR"/>
        </w:rPr>
        <w:t xml:space="preserve">a 13, 15 y </w:t>
      </w:r>
      <w:r w:rsidRPr="00DF3EE2">
        <w:rPr>
          <w:lang w:val="es-CR"/>
        </w:rPr>
        <w:t>16 para el momento de la presentación de la contestación del caso ya se habían emitido. En consideración de las observaciones del representante y la solicitud del Estado, así como del</w:t>
      </w:r>
      <w:r w:rsidRPr="007C5BA1">
        <w:rPr>
          <w:lang w:val="es-CR"/>
        </w:rPr>
        <w:t xml:space="preserve"> examen de los documentos, este Tribunal no admite dichos anexos porque no fueron solicitados por la Corte, y su presentación fue extemporánea. En lo que se refiere a los anexos</w:t>
      </w:r>
      <w:r>
        <w:rPr>
          <w:lang w:val="es-CR"/>
        </w:rPr>
        <w:t xml:space="preserve"> 2,</w:t>
      </w:r>
      <w:r w:rsidR="00C44681">
        <w:rPr>
          <w:lang w:val="es-CR"/>
        </w:rPr>
        <w:t xml:space="preserve"> </w:t>
      </w:r>
      <w:r>
        <w:rPr>
          <w:lang w:val="es-CR"/>
        </w:rPr>
        <w:t xml:space="preserve">3, </w:t>
      </w:r>
      <w:r w:rsidR="00C44681">
        <w:rPr>
          <w:lang w:val="es-CR"/>
        </w:rPr>
        <w:t xml:space="preserve">7, </w:t>
      </w:r>
      <w:r>
        <w:rPr>
          <w:lang w:val="es-CR"/>
        </w:rPr>
        <w:t>8</w:t>
      </w:r>
      <w:r w:rsidRPr="007C5BA1">
        <w:rPr>
          <w:lang w:val="es-CR"/>
        </w:rPr>
        <w:t xml:space="preserve">, </w:t>
      </w:r>
      <w:r w:rsidR="00074D8D">
        <w:rPr>
          <w:lang w:val="es-CR"/>
        </w:rPr>
        <w:t xml:space="preserve">17, </w:t>
      </w:r>
      <w:r w:rsidRPr="007C5BA1">
        <w:rPr>
          <w:lang w:val="es-CR"/>
        </w:rPr>
        <w:t>18, 19, 20 y 21 presentados por el Estado</w:t>
      </w:r>
      <w:r w:rsidRPr="007C5BA1">
        <w:rPr>
          <w:rStyle w:val="FootnoteReference"/>
          <w:lang w:val="es-CR"/>
        </w:rPr>
        <w:footnoteReference w:id="54"/>
      </w:r>
      <w:r w:rsidRPr="007C5BA1">
        <w:rPr>
          <w:lang w:val="es-CR"/>
        </w:rPr>
        <w:t xml:space="preserve">, enlistados en el pie de página, si bien no fueron solicitados por este Tribunal, se ha constatado que son supervinientes, por lo </w:t>
      </w:r>
      <w:r w:rsidR="000C3720">
        <w:rPr>
          <w:lang w:val="es-CR"/>
        </w:rPr>
        <w:t xml:space="preserve">que </w:t>
      </w:r>
      <w:r w:rsidRPr="007C5BA1">
        <w:rPr>
          <w:lang w:val="es-CR"/>
        </w:rPr>
        <w:t>esta</w:t>
      </w:r>
      <w:r w:rsidRPr="00786F79">
        <w:rPr>
          <w:lang w:val="es-CR"/>
        </w:rPr>
        <w:t xml:space="preserve"> Corte los admite de </w:t>
      </w:r>
      <w:r>
        <w:rPr>
          <w:lang w:val="es-CR"/>
        </w:rPr>
        <w:t>conformidad</w:t>
      </w:r>
      <w:r w:rsidR="000C3720">
        <w:rPr>
          <w:lang w:val="es-CR"/>
        </w:rPr>
        <w:t>,</w:t>
      </w:r>
      <w:r>
        <w:rPr>
          <w:lang w:val="es-CR"/>
        </w:rPr>
        <w:t xml:space="preserve"> con el artículo 58.b</w:t>
      </w:r>
      <w:r w:rsidRPr="00786F79">
        <w:rPr>
          <w:lang w:val="es-CR"/>
        </w:rPr>
        <w:t>)</w:t>
      </w:r>
      <w:r>
        <w:rPr>
          <w:lang w:val="es-CR"/>
        </w:rPr>
        <w:t xml:space="preserve"> del Reglamento</w:t>
      </w:r>
      <w:r w:rsidR="000C3720">
        <w:rPr>
          <w:lang w:val="es-CR"/>
        </w:rPr>
        <w:t>,</w:t>
      </w:r>
      <w:r w:rsidRPr="00786F79">
        <w:rPr>
          <w:lang w:val="es-CR"/>
        </w:rPr>
        <w:t xml:space="preserve"> por considerarlos útiles para la resolución del presente caso. </w:t>
      </w:r>
      <w:r w:rsidRPr="001A4A05">
        <w:rPr>
          <w:lang w:val="es-CR"/>
        </w:rPr>
        <w:t>Igualmente</w:t>
      </w:r>
      <w:r w:rsidR="000C3720">
        <w:rPr>
          <w:lang w:val="es-CR"/>
        </w:rPr>
        <w:t>,</w:t>
      </w:r>
      <w:r w:rsidR="00A63089">
        <w:rPr>
          <w:lang w:val="es-CR"/>
        </w:rPr>
        <w:t xml:space="preserve"> se admite el a</w:t>
      </w:r>
      <w:r w:rsidRPr="001A4A05">
        <w:rPr>
          <w:lang w:val="es-CR"/>
        </w:rPr>
        <w:t>nexo 14 presentado por el Estado, que corresponde al texto</w:t>
      </w:r>
      <w:r>
        <w:rPr>
          <w:lang w:val="es-CR"/>
        </w:rPr>
        <w:t xml:space="preserve"> </w:t>
      </w:r>
      <w:r w:rsidR="000C3720">
        <w:rPr>
          <w:lang w:val="es-CR"/>
        </w:rPr>
        <w:t xml:space="preserve">de </w:t>
      </w:r>
      <w:r w:rsidRPr="00786F79">
        <w:rPr>
          <w:lang w:val="es-CR"/>
        </w:rPr>
        <w:t>la Ley No. 26345 de 30 de agosto de 1994, que si bien no había sido presentada antes, siendo que es un hecho de conocimiento público, pese a su presentación extemporánea, este Tribunal la admite</w:t>
      </w:r>
      <w:r w:rsidRPr="00271C2E">
        <w:rPr>
          <w:lang w:val="es-CR"/>
        </w:rPr>
        <w:t xml:space="preserve">. </w:t>
      </w:r>
    </w:p>
    <w:p w:rsidR="009E2748" w:rsidRDefault="009E2748" w:rsidP="009E2748">
      <w:pPr>
        <w:tabs>
          <w:tab w:val="left" w:pos="567"/>
          <w:tab w:val="left" w:pos="720"/>
          <w:tab w:val="left" w:pos="1134"/>
        </w:tabs>
        <w:autoSpaceDE w:val="0"/>
        <w:autoSpaceDN w:val="0"/>
        <w:adjustRightInd w:val="0"/>
        <w:ind w:right="29"/>
      </w:pPr>
    </w:p>
    <w:p w:rsidR="00C44EDC" w:rsidRPr="00C44EDC" w:rsidRDefault="009E2748" w:rsidP="008E6755">
      <w:pPr>
        <w:numPr>
          <w:ilvl w:val="0"/>
          <w:numId w:val="1"/>
        </w:numPr>
        <w:tabs>
          <w:tab w:val="left" w:pos="567"/>
          <w:tab w:val="left" w:pos="720"/>
          <w:tab w:val="left" w:pos="1134"/>
          <w:tab w:val="num" w:pos="1427"/>
        </w:tabs>
        <w:autoSpaceDE w:val="0"/>
        <w:autoSpaceDN w:val="0"/>
        <w:adjustRightInd w:val="0"/>
        <w:ind w:right="29"/>
      </w:pPr>
      <w:r>
        <w:rPr>
          <w:i/>
          <w:lang w:val="es-ES_tradnl"/>
        </w:rPr>
        <w:t>Acta</w:t>
      </w:r>
      <w:r w:rsidRPr="001C2A87">
        <w:rPr>
          <w:i/>
          <w:lang w:val="es-ES_tradnl"/>
        </w:rPr>
        <w:t>s de arrepentimiento</w:t>
      </w:r>
      <w:r>
        <w:rPr>
          <w:lang w:val="es-ES_tradnl"/>
        </w:rPr>
        <w:t>. – Respecto a las actas de</w:t>
      </w:r>
      <w:r w:rsidRPr="00B1404B">
        <w:rPr>
          <w:lang w:val="es-ES_tradnl"/>
        </w:rPr>
        <w:t xml:space="preserve"> 15</w:t>
      </w:r>
      <w:r>
        <w:rPr>
          <w:rStyle w:val="FootnoteReference"/>
          <w:lang w:val="es-ES_tradnl"/>
        </w:rPr>
        <w:footnoteReference w:id="55"/>
      </w:r>
      <w:r w:rsidRPr="00B1404B">
        <w:rPr>
          <w:lang w:val="es-ES_tradnl"/>
        </w:rPr>
        <w:t xml:space="preserve"> y 29 de octubre de 1994, tanto el </w:t>
      </w:r>
      <w:r w:rsidRPr="008E6755">
        <w:rPr>
          <w:b/>
          <w:i/>
          <w:lang w:val="es-ES_tradnl"/>
        </w:rPr>
        <w:t>representante</w:t>
      </w:r>
      <w:r w:rsidRPr="00B1404B">
        <w:rPr>
          <w:lang w:val="es-ES_tradnl"/>
        </w:rPr>
        <w:t xml:space="preserve"> como la </w:t>
      </w:r>
      <w:r w:rsidRPr="008E6755">
        <w:rPr>
          <w:b/>
          <w:i/>
          <w:lang w:val="es-ES_tradnl"/>
        </w:rPr>
        <w:t>Comisión</w:t>
      </w:r>
      <w:r w:rsidR="000C3720">
        <w:rPr>
          <w:lang w:val="es-ES_tradnl"/>
        </w:rPr>
        <w:t xml:space="preserve"> han referido que éstas</w:t>
      </w:r>
      <w:r w:rsidRPr="00B1404B">
        <w:rPr>
          <w:lang w:val="es-ES_tradnl"/>
        </w:rPr>
        <w:t xml:space="preserve"> presentan varias inconsistencias</w:t>
      </w:r>
      <w:r>
        <w:rPr>
          <w:lang w:val="es-ES_tradnl"/>
        </w:rPr>
        <w:t xml:space="preserve"> en cuanto al contenido y no cumplen con requisitos mínimos requeridos por la Ley de Arrepentimiento. El represe</w:t>
      </w:r>
      <w:r w:rsidR="00A63089">
        <w:rPr>
          <w:lang w:val="es-ES_tradnl"/>
        </w:rPr>
        <w:t>ntante además ha alegado que l</w:t>
      </w:r>
      <w:r>
        <w:rPr>
          <w:lang w:val="es-ES_tradnl"/>
        </w:rPr>
        <w:t>as actas son falsas</w:t>
      </w:r>
      <w:r w:rsidRPr="00B1404B">
        <w:rPr>
          <w:lang w:val="es-ES_tradnl"/>
        </w:rPr>
        <w:t xml:space="preserve">. </w:t>
      </w:r>
      <w:r>
        <w:rPr>
          <w:lang w:val="es-ES_tradnl"/>
        </w:rPr>
        <w:t>E</w:t>
      </w:r>
      <w:r w:rsidRPr="00B1404B">
        <w:rPr>
          <w:lang w:val="es-ES_tradnl"/>
        </w:rPr>
        <w:t xml:space="preserve">l </w:t>
      </w:r>
      <w:r w:rsidRPr="008E6755">
        <w:rPr>
          <w:b/>
          <w:i/>
          <w:lang w:val="es-ES_tradnl"/>
        </w:rPr>
        <w:t>Estado</w:t>
      </w:r>
      <w:r w:rsidRPr="00B1404B">
        <w:rPr>
          <w:lang w:val="es-ES_tradnl"/>
        </w:rPr>
        <w:t xml:space="preserve"> alegó que el señor Galindo acudió </w:t>
      </w:r>
      <w:r w:rsidR="008E6930">
        <w:rPr>
          <w:lang w:val="es-ES_tradnl"/>
        </w:rPr>
        <w:t xml:space="preserve">a las oficinas de JECOTE </w:t>
      </w:r>
      <w:r w:rsidRPr="00B1404B">
        <w:rPr>
          <w:lang w:val="es-ES_tradnl"/>
        </w:rPr>
        <w:t>el 15 de octubre</w:t>
      </w:r>
      <w:r>
        <w:rPr>
          <w:lang w:val="es-ES_tradnl"/>
        </w:rPr>
        <w:t xml:space="preserve"> de 1994</w:t>
      </w:r>
      <w:r w:rsidRPr="00B1404B">
        <w:rPr>
          <w:lang w:val="es-ES_tradnl"/>
        </w:rPr>
        <w:t>, fecha en que se levantó el acta, cuya versión final es de esa fecha</w:t>
      </w:r>
      <w:r>
        <w:rPr>
          <w:lang w:val="es-ES_tradnl"/>
        </w:rPr>
        <w:t>.</w:t>
      </w:r>
      <w:r w:rsidRPr="00012E9C">
        <w:rPr>
          <w:lang w:val="es-ES_tradnl"/>
        </w:rPr>
        <w:t xml:space="preserve"> </w:t>
      </w:r>
    </w:p>
    <w:p w:rsidR="00C44EDC" w:rsidRDefault="00C44EDC" w:rsidP="00C44EDC">
      <w:pPr>
        <w:pStyle w:val="ListParagraph"/>
        <w:rPr>
          <w:szCs w:val="20"/>
        </w:rPr>
      </w:pPr>
    </w:p>
    <w:p w:rsidR="008E6755" w:rsidRPr="008E6755" w:rsidRDefault="009E2748" w:rsidP="008E6755">
      <w:pPr>
        <w:numPr>
          <w:ilvl w:val="0"/>
          <w:numId w:val="1"/>
        </w:numPr>
        <w:tabs>
          <w:tab w:val="left" w:pos="567"/>
          <w:tab w:val="left" w:pos="720"/>
          <w:tab w:val="left" w:pos="1134"/>
          <w:tab w:val="num" w:pos="1427"/>
        </w:tabs>
        <w:autoSpaceDE w:val="0"/>
        <w:autoSpaceDN w:val="0"/>
        <w:adjustRightInd w:val="0"/>
        <w:ind w:right="29"/>
      </w:pPr>
      <w:r w:rsidRPr="00DC45F5">
        <w:rPr>
          <w:szCs w:val="20"/>
        </w:rPr>
        <w:lastRenderedPageBreak/>
        <w:t xml:space="preserve">La </w:t>
      </w:r>
      <w:r w:rsidRPr="00DC45F5">
        <w:rPr>
          <w:b/>
          <w:i/>
          <w:szCs w:val="20"/>
        </w:rPr>
        <w:t>Corte</w:t>
      </w:r>
      <w:r w:rsidRPr="00DC45F5">
        <w:rPr>
          <w:szCs w:val="20"/>
        </w:rPr>
        <w:t xml:space="preserve"> </w:t>
      </w:r>
      <w:r>
        <w:rPr>
          <w:szCs w:val="20"/>
        </w:rPr>
        <w:t>considera que las consecuencias del eventual incumplimiento de requisitos exigidos por la legislación peruana, como sería la ausencia de huella digital, es materia de la jurisdicción interna. Por otra parte, este Tribunal no tiene en este caso elementos autónomos que le permitan evaluar, sin examinar el contexto factual, la veracidad o falsedad los hechos y circunstancias plasmados en las actas, tal como si la fecha real de su elaboración coincide o no con la expresada en ellas. La fecha y el modo en que ocurrieron los hechos son aspe</w:t>
      </w:r>
      <w:r w:rsidR="000C3720">
        <w:rPr>
          <w:szCs w:val="20"/>
        </w:rPr>
        <w:t>ctos relativos al fondo del caso</w:t>
      </w:r>
      <w:r>
        <w:rPr>
          <w:szCs w:val="20"/>
        </w:rPr>
        <w:t>. No procede entonces excluir prueba documental a partir de su inconsistencia con la versión de los hechos sostenida por una de las part</w:t>
      </w:r>
      <w:r w:rsidR="000C3720">
        <w:rPr>
          <w:szCs w:val="20"/>
        </w:rPr>
        <w:t>es, pues ello implicaría asumir</w:t>
      </w:r>
      <w:r>
        <w:rPr>
          <w:szCs w:val="20"/>
        </w:rPr>
        <w:t xml:space="preserve">la como cierta antes de haber hecho la evaluación correspondiente. </w:t>
      </w:r>
      <w:r w:rsidR="000C3720">
        <w:rPr>
          <w:szCs w:val="20"/>
        </w:rPr>
        <w:t>En consecuencia</w:t>
      </w:r>
      <w:r>
        <w:rPr>
          <w:szCs w:val="20"/>
        </w:rPr>
        <w:t>, la Corte no puede pronunciarse</w:t>
      </w:r>
      <w:r w:rsidR="000C3720">
        <w:rPr>
          <w:szCs w:val="20"/>
        </w:rPr>
        <w:t xml:space="preserve"> sobre</w:t>
      </w:r>
      <w:r>
        <w:rPr>
          <w:szCs w:val="20"/>
        </w:rPr>
        <w:t xml:space="preserve"> la validez o nulidad de las actas,</w:t>
      </w:r>
      <w:r w:rsidR="000C3720">
        <w:rPr>
          <w:szCs w:val="20"/>
        </w:rPr>
        <w:t xml:space="preserve"> por lo que</w:t>
      </w:r>
      <w:r>
        <w:rPr>
          <w:szCs w:val="20"/>
        </w:rPr>
        <w:t xml:space="preserve"> las admite como prueba documental y las considerará en el </w:t>
      </w:r>
      <w:r w:rsidRPr="004454B8">
        <w:rPr>
          <w:szCs w:val="20"/>
        </w:rPr>
        <w:t>marco del conjunto del acervo probatorio.</w:t>
      </w:r>
    </w:p>
    <w:p w:rsidR="008E6755" w:rsidRPr="008E6755" w:rsidRDefault="008E6755" w:rsidP="008E6755">
      <w:pPr>
        <w:tabs>
          <w:tab w:val="left" w:pos="567"/>
          <w:tab w:val="left" w:pos="720"/>
          <w:tab w:val="left" w:pos="1134"/>
        </w:tabs>
        <w:autoSpaceDE w:val="0"/>
        <w:autoSpaceDN w:val="0"/>
        <w:adjustRightInd w:val="0"/>
        <w:ind w:right="29"/>
      </w:pPr>
    </w:p>
    <w:p w:rsidR="00C44EDC" w:rsidRPr="00C44EDC" w:rsidRDefault="000806A9" w:rsidP="008E6755">
      <w:pPr>
        <w:numPr>
          <w:ilvl w:val="0"/>
          <w:numId w:val="1"/>
        </w:numPr>
        <w:tabs>
          <w:tab w:val="left" w:pos="567"/>
          <w:tab w:val="left" w:pos="720"/>
          <w:tab w:val="left" w:pos="1134"/>
          <w:tab w:val="num" w:pos="1427"/>
        </w:tabs>
        <w:autoSpaceDE w:val="0"/>
        <w:autoSpaceDN w:val="0"/>
        <w:adjustRightInd w:val="0"/>
        <w:ind w:right="29"/>
      </w:pPr>
      <w:r w:rsidRPr="008E6755">
        <w:rPr>
          <w:lang w:val="es-ES_tradnl"/>
        </w:rPr>
        <w:t>El</w:t>
      </w:r>
      <w:r w:rsidRPr="008E6755">
        <w:rPr>
          <w:b/>
          <w:lang w:val="es-ES_tradnl"/>
        </w:rPr>
        <w:t xml:space="preserve"> </w:t>
      </w:r>
      <w:r w:rsidRPr="008E6755">
        <w:rPr>
          <w:b/>
          <w:i/>
          <w:lang w:val="es-ES_tradnl"/>
        </w:rPr>
        <w:t>Estado</w:t>
      </w:r>
      <w:r w:rsidRPr="008E6755">
        <w:rPr>
          <w:b/>
          <w:lang w:val="es-ES_tradnl"/>
        </w:rPr>
        <w:t xml:space="preserve"> </w:t>
      </w:r>
      <w:r w:rsidRPr="008E6755">
        <w:rPr>
          <w:lang w:val="es-ES_tradnl"/>
        </w:rPr>
        <w:t>cuestionó l</w:t>
      </w:r>
      <w:r w:rsidR="009E2748" w:rsidRPr="008E6755">
        <w:rPr>
          <w:lang w:val="es-ES_tradnl"/>
        </w:rPr>
        <w:t xml:space="preserve">os informes médicos psicológicos elaborados por </w:t>
      </w:r>
      <w:r w:rsidR="009E2748" w:rsidRPr="008E6755">
        <w:rPr>
          <w:i/>
          <w:lang w:val="es-ES_tradnl"/>
        </w:rPr>
        <w:t>José Salomón Córdoba Zárate</w:t>
      </w:r>
      <w:r w:rsidRPr="008E6755">
        <w:rPr>
          <w:i/>
          <w:lang w:val="es-ES_tradnl"/>
        </w:rPr>
        <w:t xml:space="preserve"> </w:t>
      </w:r>
      <w:r w:rsidRPr="008E6755">
        <w:rPr>
          <w:lang w:val="es-ES_tradnl"/>
        </w:rPr>
        <w:t>que</w:t>
      </w:r>
      <w:r w:rsidRPr="008E6755">
        <w:rPr>
          <w:i/>
          <w:lang w:val="es-ES_tradnl"/>
        </w:rPr>
        <w:t xml:space="preserve"> </w:t>
      </w:r>
      <w:r w:rsidRPr="008E6755">
        <w:rPr>
          <w:lang w:val="es-ES_tradnl"/>
        </w:rPr>
        <w:t>fueron</w:t>
      </w:r>
      <w:r w:rsidR="009E2748" w:rsidRPr="008E6755">
        <w:rPr>
          <w:i/>
          <w:lang w:val="es-ES_tradnl"/>
        </w:rPr>
        <w:t xml:space="preserve"> </w:t>
      </w:r>
      <w:r w:rsidRPr="008E6755">
        <w:rPr>
          <w:lang w:val="es-ES_tradnl"/>
        </w:rPr>
        <w:t xml:space="preserve">aportados como prueba documental tanto por la Comisión como por el representante. Al respecto Perú manifestó </w:t>
      </w:r>
      <w:r w:rsidR="009E2748" w:rsidRPr="008E6755">
        <w:rPr>
          <w:lang w:val="es-ES_tradnl"/>
        </w:rPr>
        <w:t>en la audiencia pública y luego en los alegatos finales escritos que</w:t>
      </w:r>
      <w:r w:rsidR="009E2748" w:rsidRPr="008E6755">
        <w:rPr>
          <w:b/>
          <w:i/>
          <w:lang w:val="es-ES_tradnl"/>
        </w:rPr>
        <w:t xml:space="preserve"> </w:t>
      </w:r>
      <w:r w:rsidR="009E2748" w:rsidRPr="008E6755">
        <w:rPr>
          <w:lang w:val="es-ES_tradnl"/>
        </w:rPr>
        <w:t>realizó la verificación de los datos del médico Córdoba Zárate ante la</w:t>
      </w:r>
      <w:r w:rsidR="000C3720" w:rsidRPr="008E6755">
        <w:rPr>
          <w:lang w:val="es-ES_tradnl"/>
        </w:rPr>
        <w:t>s instancias pertinentes y que é</w:t>
      </w:r>
      <w:r w:rsidR="009E2748" w:rsidRPr="008E6755">
        <w:rPr>
          <w:lang w:val="es-ES_tradnl"/>
        </w:rPr>
        <w:t>l está registrado en el Colegio Médico del Perú. Sin embargo, al realizar la consulta al Colegio de Psicólogos del Perú</w:t>
      </w:r>
      <w:r w:rsidR="000C3720" w:rsidRPr="008E6755">
        <w:rPr>
          <w:lang w:val="es-ES_tradnl"/>
        </w:rPr>
        <w:t>, éste</w:t>
      </w:r>
      <w:r w:rsidR="009E2748" w:rsidRPr="008E6755">
        <w:rPr>
          <w:lang w:val="es-ES_tradnl"/>
        </w:rPr>
        <w:t xml:space="preserve"> informó que esa persona “no se encuentra inscrita en el Registro de Matrículas a nivel nacional, por lo </w:t>
      </w:r>
      <w:r w:rsidR="000C3720" w:rsidRPr="008E6755">
        <w:rPr>
          <w:lang w:val="es-ES_tradnl"/>
        </w:rPr>
        <w:t>que</w:t>
      </w:r>
      <w:r w:rsidR="009E2748" w:rsidRPr="008E6755">
        <w:rPr>
          <w:lang w:val="es-ES_tradnl"/>
        </w:rPr>
        <w:t xml:space="preserve"> no es miembro de [la] orden profesional” y que “la colegiación es un requisito indispensable para ejercer la profesión de Psicólogo”. El Estado consideró que</w:t>
      </w:r>
      <w:r w:rsidR="000C3720" w:rsidRPr="008E6755">
        <w:rPr>
          <w:lang w:val="es-ES_tradnl"/>
        </w:rPr>
        <w:t>,</w:t>
      </w:r>
      <w:r w:rsidR="009E2748" w:rsidRPr="008E6755">
        <w:rPr>
          <w:lang w:val="es-ES_tradnl"/>
        </w:rPr>
        <w:t xml:space="preserve"> al no estar inscrito el médico Córdoba Zárate en el respectivo Colegio, siendo la inscripción un requisito para ejercer la profesión, los informes elaborados por él carecen de validez y solicitó a </w:t>
      </w:r>
      <w:r w:rsidR="008E6755">
        <w:rPr>
          <w:lang w:val="es-ES_tradnl"/>
        </w:rPr>
        <w:t>este Tribunal</w:t>
      </w:r>
      <w:r w:rsidR="009E2748" w:rsidRPr="008E6755">
        <w:rPr>
          <w:lang w:val="es-ES_tradnl"/>
        </w:rPr>
        <w:t xml:space="preserve"> que no los tome en cuenta. </w:t>
      </w:r>
    </w:p>
    <w:p w:rsidR="00C44EDC" w:rsidRDefault="00C44EDC" w:rsidP="00C44EDC">
      <w:pPr>
        <w:pStyle w:val="ListParagraph"/>
      </w:pPr>
    </w:p>
    <w:p w:rsidR="009E2748" w:rsidRPr="008E6755" w:rsidRDefault="008E6755" w:rsidP="008E6755">
      <w:pPr>
        <w:numPr>
          <w:ilvl w:val="0"/>
          <w:numId w:val="1"/>
        </w:numPr>
        <w:tabs>
          <w:tab w:val="left" w:pos="567"/>
          <w:tab w:val="left" w:pos="720"/>
          <w:tab w:val="left" w:pos="1134"/>
          <w:tab w:val="num" w:pos="1427"/>
        </w:tabs>
        <w:autoSpaceDE w:val="0"/>
        <w:autoSpaceDN w:val="0"/>
        <w:adjustRightInd w:val="0"/>
        <w:ind w:right="29"/>
      </w:pPr>
      <w:r>
        <w:rPr>
          <w:lang w:val="es-ES_tradnl"/>
        </w:rPr>
        <w:t xml:space="preserve">La </w:t>
      </w:r>
      <w:r w:rsidRPr="008E6755">
        <w:rPr>
          <w:b/>
          <w:i/>
          <w:lang w:val="es-ES_tradnl"/>
        </w:rPr>
        <w:t>Corte</w:t>
      </w:r>
      <w:r w:rsidR="00DC06A0" w:rsidRPr="00144171">
        <w:t xml:space="preserve"> nota que las observaciones presentadas </w:t>
      </w:r>
      <w:r w:rsidR="00717252" w:rsidRPr="00144171">
        <w:t>por el Estado son extempo</w:t>
      </w:r>
      <w:r w:rsidR="007B2392" w:rsidRPr="00144171">
        <w:t>ráneas</w:t>
      </w:r>
      <w:r w:rsidR="00C87A4C" w:rsidRPr="00144171">
        <w:t xml:space="preserve"> para impugnar la admisibilidad de los informes</w:t>
      </w:r>
      <w:r w:rsidR="007B2392" w:rsidRPr="00144171">
        <w:t>, ya que el Estado conoció</w:t>
      </w:r>
      <w:r w:rsidR="00717252" w:rsidRPr="00144171">
        <w:t xml:space="preserve"> dichos documentos desde la presentación del sometimiento del caso y </w:t>
      </w:r>
      <w:r w:rsidR="007B2392" w:rsidRPr="00144171">
        <w:t>d</w:t>
      </w:r>
      <w:r w:rsidR="00717252" w:rsidRPr="00144171">
        <w:t>el escrito de solicitud</w:t>
      </w:r>
      <w:r w:rsidR="007B2392" w:rsidRPr="00144171">
        <w:t>es y argumentos.</w:t>
      </w:r>
      <w:r w:rsidR="00193DE9">
        <w:t xml:space="preserve"> </w:t>
      </w:r>
      <w:r w:rsidR="00471C59">
        <w:t>En consecuencia,</w:t>
      </w:r>
      <w:r w:rsidR="00C87A4C" w:rsidRPr="00144171">
        <w:t xml:space="preserve"> </w:t>
      </w:r>
      <w:r>
        <w:t>este Tribunal</w:t>
      </w:r>
      <w:r w:rsidR="00193DE9" w:rsidRPr="00144171">
        <w:t xml:space="preserve"> admite dichos documentos</w:t>
      </w:r>
      <w:r w:rsidR="005C119F">
        <w:t>.</w:t>
      </w:r>
      <w:r w:rsidR="00193DE9" w:rsidRPr="00144171">
        <w:t xml:space="preserve"> </w:t>
      </w:r>
    </w:p>
    <w:p w:rsidR="001A7316" w:rsidRPr="001A7316" w:rsidRDefault="001A7316" w:rsidP="001A7316">
      <w:pPr>
        <w:pStyle w:val="Estilo1"/>
        <w:numPr>
          <w:ilvl w:val="0"/>
          <w:numId w:val="0"/>
        </w:numPr>
        <w:tabs>
          <w:tab w:val="left" w:pos="720"/>
        </w:tabs>
        <w:autoSpaceDE w:val="0"/>
        <w:autoSpaceDN w:val="0"/>
        <w:adjustRightInd w:val="0"/>
        <w:spacing w:after="0"/>
        <w:ind w:right="29"/>
        <w:rPr>
          <w:i/>
        </w:rPr>
      </w:pPr>
    </w:p>
    <w:p w:rsidR="009E2748" w:rsidRPr="00BB1149" w:rsidRDefault="009E2748" w:rsidP="00CE68AB">
      <w:pPr>
        <w:pStyle w:val="ListParagraph"/>
        <w:ind w:left="567" w:right="-174"/>
        <w:contextualSpacing/>
        <w:jc w:val="both"/>
        <w:outlineLvl w:val="1"/>
        <w:rPr>
          <w:b/>
          <w:i/>
          <w:w w:val="95"/>
          <w:sz w:val="20"/>
          <w:szCs w:val="20"/>
          <w:lang w:val="es-ES"/>
        </w:rPr>
      </w:pPr>
      <w:bookmarkStart w:id="169" w:name="_Toc394313654"/>
      <w:bookmarkStart w:id="170" w:name="_Toc415503964"/>
      <w:bookmarkStart w:id="171" w:name="_Toc415507370"/>
      <w:bookmarkStart w:id="172" w:name="_Toc418530459"/>
      <w:bookmarkStart w:id="173" w:name="_Toc420941721"/>
      <w:bookmarkStart w:id="174" w:name="_Toc424313474"/>
      <w:bookmarkStart w:id="175" w:name="_Toc430869776"/>
      <w:bookmarkStart w:id="176" w:name="_Toc438129697"/>
      <w:r w:rsidRPr="00BB1149">
        <w:rPr>
          <w:b/>
          <w:i/>
          <w:w w:val="95"/>
          <w:sz w:val="20"/>
          <w:szCs w:val="20"/>
          <w:lang w:val="es-ES"/>
        </w:rPr>
        <w:t>C)</w:t>
      </w:r>
      <w:r w:rsidRPr="00BB1149">
        <w:rPr>
          <w:b/>
          <w:i/>
          <w:w w:val="95"/>
          <w:sz w:val="20"/>
          <w:szCs w:val="20"/>
          <w:lang w:val="es-ES"/>
        </w:rPr>
        <w:tab/>
      </w:r>
      <w:r w:rsidRPr="0022285C">
        <w:rPr>
          <w:rFonts w:eastAsia="Calibri" w:cs="Times New Roman"/>
          <w:b/>
          <w:i/>
          <w:sz w:val="20"/>
          <w:lang w:val="es-CR" w:eastAsia="es-MX"/>
        </w:rPr>
        <w:t>Admisión de la declaración de la prueba testimonial y pericial presentada mediante declaración rendida ante fedatario público</w:t>
      </w:r>
      <w:bookmarkEnd w:id="169"/>
      <w:bookmarkEnd w:id="170"/>
      <w:bookmarkEnd w:id="171"/>
      <w:bookmarkEnd w:id="172"/>
      <w:bookmarkEnd w:id="173"/>
      <w:bookmarkEnd w:id="174"/>
      <w:bookmarkEnd w:id="175"/>
      <w:bookmarkEnd w:id="176"/>
    </w:p>
    <w:p w:rsidR="009E2748" w:rsidRPr="009933BD" w:rsidRDefault="009E2748" w:rsidP="009E2748">
      <w:pPr>
        <w:pStyle w:val="ListParagraph"/>
        <w:rPr>
          <w:i/>
          <w:lang w:val="es-ES"/>
        </w:rPr>
      </w:pPr>
    </w:p>
    <w:p w:rsidR="00C44EDC" w:rsidRDefault="00BB4744" w:rsidP="005177E1">
      <w:pPr>
        <w:pStyle w:val="Estilo1"/>
        <w:tabs>
          <w:tab w:val="left" w:pos="720"/>
        </w:tabs>
        <w:autoSpaceDE w:val="0"/>
        <w:autoSpaceDN w:val="0"/>
        <w:adjustRightInd w:val="0"/>
        <w:spacing w:after="0"/>
        <w:ind w:right="29"/>
        <w:rPr>
          <w:lang w:val="es-ES_tradnl"/>
        </w:rPr>
      </w:pPr>
      <w:r w:rsidRPr="005C119F">
        <w:t xml:space="preserve">Respecto de la </w:t>
      </w:r>
      <w:r w:rsidR="00193DE9" w:rsidRPr="00193DE9">
        <w:rPr>
          <w:lang w:val="es-ES_tradnl"/>
        </w:rPr>
        <w:t>declaración</w:t>
      </w:r>
      <w:r w:rsidR="009E2748" w:rsidRPr="00193DE9">
        <w:rPr>
          <w:lang w:val="es-ES_tradnl"/>
        </w:rPr>
        <w:t xml:space="preserve"> testimonial de la señora María Luisa Galindo Cárdenas</w:t>
      </w:r>
      <w:r w:rsidR="00193DE9" w:rsidRPr="00193DE9">
        <w:rPr>
          <w:lang w:val="es-ES_tradnl"/>
        </w:rPr>
        <w:t>, e</w:t>
      </w:r>
      <w:r w:rsidR="009E2748" w:rsidRPr="00193DE9">
        <w:rPr>
          <w:lang w:val="es-ES_tradnl"/>
        </w:rPr>
        <w:t xml:space="preserve">n su escrito de alegatos finales el </w:t>
      </w:r>
      <w:r w:rsidRPr="008E6755">
        <w:rPr>
          <w:b/>
          <w:i/>
          <w:lang w:val="es-ES_tradnl"/>
        </w:rPr>
        <w:t>Estado</w:t>
      </w:r>
      <w:r w:rsidR="00CA521C" w:rsidRPr="00193DE9">
        <w:rPr>
          <w:lang w:val="es-ES_tradnl"/>
        </w:rPr>
        <w:t xml:space="preserve"> </w:t>
      </w:r>
      <w:r w:rsidR="009E2748" w:rsidRPr="00193DE9">
        <w:rPr>
          <w:lang w:val="es-ES_tradnl"/>
        </w:rPr>
        <w:t>sostuvo, en primer lugar, que “se encuentra</w:t>
      </w:r>
      <w:r w:rsidR="009E2748" w:rsidRPr="00864A10">
        <w:rPr>
          <w:lang w:val="es-ES_tradnl"/>
        </w:rPr>
        <w:t xml:space="preserve"> legalizado únicamente en cuanto a la firma de la declarante estampada en la última página de</w:t>
      </w:r>
      <w:r w:rsidR="009E2748">
        <w:rPr>
          <w:lang w:val="es-ES_tradnl"/>
        </w:rPr>
        <w:t>l texto por un notario público” y</w:t>
      </w:r>
      <w:r w:rsidR="009E2748" w:rsidRPr="00864A10">
        <w:rPr>
          <w:lang w:val="es-ES_tradnl"/>
        </w:rPr>
        <w:t xml:space="preserve"> no hay un refrendo de un fedatario público sobre el contenido del documento</w:t>
      </w:r>
      <w:r w:rsidR="009E2748">
        <w:rPr>
          <w:lang w:val="es-ES_tradnl"/>
        </w:rPr>
        <w:t xml:space="preserve">. </w:t>
      </w:r>
      <w:r w:rsidR="000C3720">
        <w:rPr>
          <w:lang w:val="es-ES_tradnl"/>
        </w:rPr>
        <w:t>C</w:t>
      </w:r>
      <w:r w:rsidR="009E2748">
        <w:rPr>
          <w:lang w:val="es-ES_tradnl"/>
        </w:rPr>
        <w:t xml:space="preserve">onsideró que </w:t>
      </w:r>
      <w:r w:rsidR="009E2748" w:rsidRPr="00864A10">
        <w:rPr>
          <w:lang w:val="es-ES_tradnl"/>
        </w:rPr>
        <w:t>la declaración</w:t>
      </w:r>
      <w:r w:rsidR="009E2748">
        <w:rPr>
          <w:lang w:val="es-ES_tradnl"/>
        </w:rPr>
        <w:t xml:space="preserve"> “</w:t>
      </w:r>
      <w:r w:rsidR="009E2748" w:rsidRPr="00864A10">
        <w:rPr>
          <w:lang w:val="es-ES_tradnl"/>
        </w:rPr>
        <w:t>no cumpliría con el requisito exigido por la Corte para ser aceptada, al no haber</w:t>
      </w:r>
      <w:r w:rsidR="00A63089">
        <w:rPr>
          <w:lang w:val="es-ES_tradnl"/>
        </w:rPr>
        <w:t xml:space="preserve"> sido rendida -en su integridad- </w:t>
      </w:r>
      <w:r w:rsidR="009E2748" w:rsidRPr="00864A10">
        <w:rPr>
          <w:lang w:val="es-ES_tradnl"/>
        </w:rPr>
        <w:t xml:space="preserve">ante fedatario público.” </w:t>
      </w:r>
      <w:r w:rsidR="009E2748" w:rsidRPr="005177E1">
        <w:rPr>
          <w:lang w:val="es-ES_tradnl"/>
        </w:rPr>
        <w:t xml:space="preserve">En segundo lugar, el Estado observó que la declarante </w:t>
      </w:r>
      <w:r w:rsidR="000C3720" w:rsidRPr="005177E1">
        <w:rPr>
          <w:lang w:val="es-ES_tradnl"/>
        </w:rPr>
        <w:t>só</w:t>
      </w:r>
      <w:r w:rsidR="009E2748" w:rsidRPr="005177E1">
        <w:rPr>
          <w:lang w:val="es-ES_tradnl"/>
        </w:rPr>
        <w:t>lo dio respuesta a las preguntas del Estado y no a las que formuló el representante. Agregó que</w:t>
      </w:r>
      <w:r w:rsidR="000C3720" w:rsidRPr="005177E1">
        <w:rPr>
          <w:lang w:val="es-ES_tradnl"/>
        </w:rPr>
        <w:t>,</w:t>
      </w:r>
      <w:r w:rsidR="009E2748" w:rsidRPr="005177E1">
        <w:rPr>
          <w:lang w:val="es-ES_tradnl"/>
        </w:rPr>
        <w:t xml:space="preserve"> sin perjuicio de dichas observaciones, hará referencia en el alegato final a la declaración efectuada por la señora Galindo </w:t>
      </w:r>
      <w:r w:rsidR="009E2748" w:rsidRPr="00144171">
        <w:rPr>
          <w:lang w:val="es-ES_tradnl"/>
        </w:rPr>
        <w:t>Cárdenas.</w:t>
      </w:r>
    </w:p>
    <w:p w:rsidR="00C44EDC" w:rsidRDefault="00C44EDC" w:rsidP="00C44EDC">
      <w:pPr>
        <w:pStyle w:val="Estilo1"/>
        <w:numPr>
          <w:ilvl w:val="0"/>
          <w:numId w:val="0"/>
        </w:numPr>
        <w:tabs>
          <w:tab w:val="left" w:pos="720"/>
        </w:tabs>
        <w:autoSpaceDE w:val="0"/>
        <w:autoSpaceDN w:val="0"/>
        <w:adjustRightInd w:val="0"/>
        <w:spacing w:after="0"/>
        <w:ind w:right="29"/>
        <w:rPr>
          <w:lang w:val="es-ES_tradnl"/>
        </w:rPr>
      </w:pPr>
    </w:p>
    <w:p w:rsidR="009E2748" w:rsidRPr="00DF3EE2" w:rsidRDefault="005E2DA4" w:rsidP="005177E1">
      <w:pPr>
        <w:pStyle w:val="Estilo1"/>
        <w:tabs>
          <w:tab w:val="left" w:pos="720"/>
        </w:tabs>
        <w:autoSpaceDE w:val="0"/>
        <w:autoSpaceDN w:val="0"/>
        <w:adjustRightInd w:val="0"/>
        <w:spacing w:after="0"/>
        <w:ind w:right="29"/>
        <w:rPr>
          <w:lang w:val="es-ES_tradnl"/>
        </w:rPr>
      </w:pPr>
      <w:r w:rsidRPr="00DF3EE2">
        <w:rPr>
          <w:lang w:val="es-ES_tradnl"/>
        </w:rPr>
        <w:t>Al respecto, si bien es cierto lo que dice el Estado, también es claro que la declaración escrita de la señora Galindo Cárdenas aportada tiene una firma legalizada.  Dado lo anterior, tomando en cuenta el marco de la flexibilidad que tiene la Corte para la recepción de la prueba así como el principio de buena fe procesal, este Tribunal admite dicha declaración.</w:t>
      </w:r>
    </w:p>
    <w:p w:rsidR="009E2748" w:rsidRPr="00227325" w:rsidRDefault="009E2748" w:rsidP="009E2748">
      <w:pPr>
        <w:pStyle w:val="Estilo1"/>
        <w:numPr>
          <w:ilvl w:val="0"/>
          <w:numId w:val="0"/>
        </w:numPr>
        <w:tabs>
          <w:tab w:val="clear" w:pos="1134"/>
        </w:tabs>
        <w:autoSpaceDE w:val="0"/>
        <w:autoSpaceDN w:val="0"/>
        <w:adjustRightInd w:val="0"/>
        <w:spacing w:after="0"/>
        <w:ind w:right="29"/>
        <w:rPr>
          <w:rFonts w:eastAsia="Batang" w:cs="Verdana"/>
          <w:lang w:val="es-CR"/>
        </w:rPr>
      </w:pPr>
    </w:p>
    <w:p w:rsidR="009E2748" w:rsidRDefault="00452E34" w:rsidP="009E2748">
      <w:pPr>
        <w:pStyle w:val="Estilo1"/>
        <w:tabs>
          <w:tab w:val="clear" w:pos="1134"/>
        </w:tabs>
        <w:autoSpaceDE w:val="0"/>
        <w:autoSpaceDN w:val="0"/>
        <w:adjustRightInd w:val="0"/>
        <w:spacing w:after="0"/>
        <w:ind w:right="29"/>
        <w:rPr>
          <w:rFonts w:eastAsia="Batang" w:cs="Verdana"/>
          <w:lang w:val="es-CR"/>
        </w:rPr>
      </w:pPr>
      <w:r>
        <w:rPr>
          <w:rFonts w:eastAsia="Batang" w:cs="Verdana"/>
          <w:lang w:val="es-CR"/>
        </w:rPr>
        <w:t>R</w:t>
      </w:r>
      <w:r w:rsidR="009E2748" w:rsidRPr="00864A10">
        <w:rPr>
          <w:rFonts w:eastAsia="Batang" w:cs="Verdana"/>
          <w:lang w:val="es-CR"/>
        </w:rPr>
        <w:t xml:space="preserve">especto al dictamen pericial rendido por el señor Federico Andreu-Guzmán, el </w:t>
      </w:r>
      <w:r w:rsidR="009E2748" w:rsidRPr="00757437">
        <w:rPr>
          <w:rFonts w:eastAsia="Batang" w:cs="Verdana"/>
          <w:b/>
          <w:i/>
          <w:lang w:val="es-CR"/>
        </w:rPr>
        <w:t>Estado</w:t>
      </w:r>
      <w:r w:rsidR="009E2748">
        <w:rPr>
          <w:rFonts w:eastAsia="Batang" w:cs="Verdana"/>
          <w:lang w:val="es-CR"/>
        </w:rPr>
        <w:t xml:space="preserve"> señaló que constató que </w:t>
      </w:r>
      <w:r w:rsidR="009E2748" w:rsidRPr="00864A10">
        <w:rPr>
          <w:rFonts w:eastAsia="Batang" w:cs="Verdana"/>
          <w:lang w:val="es-CR"/>
        </w:rPr>
        <w:t>no respondió a 17 de las 21 preguntas</w:t>
      </w:r>
      <w:r w:rsidR="009E2748">
        <w:rPr>
          <w:rFonts w:eastAsia="Batang" w:cs="Verdana"/>
          <w:lang w:val="es-CR"/>
        </w:rPr>
        <w:t xml:space="preserve"> formuladas por el </w:t>
      </w:r>
      <w:r w:rsidR="009E2748">
        <w:rPr>
          <w:rFonts w:eastAsia="Batang" w:cs="Verdana"/>
          <w:lang w:val="es-CR"/>
        </w:rPr>
        <w:lastRenderedPageBreak/>
        <w:t>Estado</w:t>
      </w:r>
      <w:r w:rsidR="009E2748" w:rsidRPr="00864A10">
        <w:rPr>
          <w:rFonts w:eastAsia="Batang" w:cs="Verdana"/>
          <w:lang w:val="es-CR"/>
        </w:rPr>
        <w:t xml:space="preserve">, </w:t>
      </w:r>
      <w:r w:rsidR="009E2748">
        <w:rPr>
          <w:rFonts w:eastAsia="Batang" w:cs="Verdana"/>
          <w:lang w:val="es-CR"/>
        </w:rPr>
        <w:t>e i</w:t>
      </w:r>
      <w:r w:rsidR="009E2748" w:rsidRPr="00864A10">
        <w:rPr>
          <w:rFonts w:eastAsia="Batang" w:cs="Verdana"/>
          <w:lang w:val="es-CR"/>
        </w:rPr>
        <w:t>ncluso “da por contestadas implícit</w:t>
      </w:r>
      <w:r w:rsidR="009E2748">
        <w:rPr>
          <w:rFonts w:eastAsia="Batang" w:cs="Verdana"/>
          <w:lang w:val="es-CR"/>
        </w:rPr>
        <w:t>amente algunas de las preguntas”,</w:t>
      </w:r>
      <w:r w:rsidR="009E2748" w:rsidRPr="00864A10">
        <w:rPr>
          <w:rFonts w:eastAsia="Batang" w:cs="Verdana"/>
          <w:lang w:val="es-CR"/>
        </w:rPr>
        <w:t xml:space="preserve"> y consideró</w:t>
      </w:r>
      <w:r w:rsidR="009E2748">
        <w:rPr>
          <w:rFonts w:eastAsia="Batang" w:cs="Verdana"/>
          <w:lang w:val="es-CR"/>
        </w:rPr>
        <w:t xml:space="preserve"> que ello </w:t>
      </w:r>
      <w:r w:rsidR="009E2748" w:rsidRPr="00864A10">
        <w:rPr>
          <w:rFonts w:eastAsia="Batang" w:cs="Verdana"/>
          <w:lang w:val="es-CR"/>
        </w:rPr>
        <w:t>refleja un abierto incumplimiento al mandato expreso de la Corte</w:t>
      </w:r>
      <w:r w:rsidR="009E2748">
        <w:rPr>
          <w:rFonts w:eastAsia="Batang" w:cs="Verdana"/>
          <w:lang w:val="es-CR"/>
        </w:rPr>
        <w:t xml:space="preserve"> </w:t>
      </w:r>
      <w:r w:rsidR="009E2748" w:rsidRPr="00864A10">
        <w:rPr>
          <w:rFonts w:eastAsia="Batang" w:cs="Verdana"/>
          <w:lang w:val="es-CR"/>
        </w:rPr>
        <w:t xml:space="preserve">y que afecta su derecho de defensa. </w:t>
      </w:r>
    </w:p>
    <w:p w:rsidR="009E2748" w:rsidRPr="001A7316" w:rsidRDefault="009E2748" w:rsidP="009E2748">
      <w:pPr>
        <w:pStyle w:val="ListParagraph"/>
        <w:rPr>
          <w:w w:val="95"/>
          <w:lang w:val="es-CR"/>
        </w:rPr>
      </w:pPr>
    </w:p>
    <w:p w:rsidR="009E2748" w:rsidRPr="001A4A05" w:rsidRDefault="000C3720" w:rsidP="009E2748">
      <w:pPr>
        <w:pStyle w:val="Estilo1"/>
        <w:tabs>
          <w:tab w:val="clear" w:pos="1134"/>
        </w:tabs>
        <w:autoSpaceDE w:val="0"/>
        <w:autoSpaceDN w:val="0"/>
        <w:adjustRightInd w:val="0"/>
        <w:spacing w:after="0"/>
        <w:ind w:right="29"/>
        <w:rPr>
          <w:rFonts w:eastAsia="Batang" w:cs="Verdana"/>
          <w:lang w:val="es-CR"/>
        </w:rPr>
      </w:pPr>
      <w:r>
        <w:rPr>
          <w:rFonts w:eastAsia="Batang" w:cs="Verdana"/>
          <w:lang w:val="es-CR"/>
        </w:rPr>
        <w:t>E</w:t>
      </w:r>
      <w:r w:rsidR="009E2748" w:rsidRPr="001A4A05">
        <w:rPr>
          <w:rFonts w:eastAsia="Batang" w:cs="Verdana"/>
          <w:lang w:val="es-CR"/>
        </w:rPr>
        <w:t xml:space="preserve">n cuanto a la estructura de las declaraciones juradas, </w:t>
      </w:r>
      <w:r w:rsidR="00757437">
        <w:rPr>
          <w:rFonts w:eastAsia="Batang" w:cs="Verdana"/>
          <w:lang w:val="es-CR"/>
        </w:rPr>
        <w:t xml:space="preserve">la </w:t>
      </w:r>
      <w:r w:rsidR="00757437" w:rsidRPr="00757437">
        <w:rPr>
          <w:rFonts w:eastAsia="Batang" w:cs="Verdana"/>
          <w:b/>
          <w:i/>
          <w:lang w:val="es-CR"/>
        </w:rPr>
        <w:t>Corte</w:t>
      </w:r>
      <w:r w:rsidR="009E2748" w:rsidRPr="001A4A05">
        <w:rPr>
          <w:rFonts w:eastAsia="Batang" w:cs="Verdana"/>
          <w:lang w:val="es-CR"/>
        </w:rPr>
        <w:t xml:space="preserve"> estima que no existen limitaciones convencionales o reglamentarias en cuanto a la forma en que se exponga el contenido de las mismas, de conformidad con el artículo 50 del Reglamento del Tribunal, siempre y cuando versen sobre el objeto definido por la Corte o su Presidencia y en ellas se respondan las preguntas realizadas por la contraparte</w:t>
      </w:r>
      <w:r w:rsidR="009E2748" w:rsidRPr="001A4A05">
        <w:rPr>
          <w:rStyle w:val="FootnoteReference"/>
          <w:rFonts w:eastAsia="Batang" w:cs="Verdana"/>
          <w:lang w:val="es-CR"/>
        </w:rPr>
        <w:footnoteReference w:id="56"/>
      </w:r>
      <w:r w:rsidR="009E2748" w:rsidRPr="001A4A05">
        <w:rPr>
          <w:rFonts w:eastAsia="Batang" w:cs="Verdana"/>
          <w:lang w:val="es-CR"/>
        </w:rPr>
        <w:t xml:space="preserve">. </w:t>
      </w:r>
    </w:p>
    <w:p w:rsidR="009E2748" w:rsidRPr="001A4A05" w:rsidRDefault="009E2748" w:rsidP="009E2748">
      <w:pPr>
        <w:pStyle w:val="ListParagraph"/>
        <w:rPr>
          <w:rFonts w:eastAsia="Batang" w:cs="Verdana"/>
          <w:lang w:val="es-CR"/>
        </w:rPr>
      </w:pPr>
    </w:p>
    <w:p w:rsidR="009E2748" w:rsidRPr="00864A10" w:rsidRDefault="009E2748" w:rsidP="009E2748">
      <w:pPr>
        <w:pStyle w:val="Estilo1"/>
        <w:tabs>
          <w:tab w:val="clear" w:pos="1134"/>
        </w:tabs>
        <w:autoSpaceDE w:val="0"/>
        <w:autoSpaceDN w:val="0"/>
        <w:adjustRightInd w:val="0"/>
        <w:spacing w:after="0"/>
        <w:ind w:right="29"/>
        <w:rPr>
          <w:rFonts w:eastAsia="Batang" w:cs="Verdana"/>
          <w:lang w:val="es-CR"/>
        </w:rPr>
      </w:pPr>
      <w:r w:rsidRPr="001A4A05">
        <w:rPr>
          <w:rFonts w:eastAsia="Batang" w:cs="Verdana"/>
          <w:lang w:val="es-CR"/>
        </w:rPr>
        <w:t>Ahora bien, el hecho de que se encuentre contemplado en el Reglamento la posibilidad de que las partes puedan</w:t>
      </w:r>
      <w:r w:rsidRPr="00864A10">
        <w:rPr>
          <w:rFonts w:eastAsia="Batang" w:cs="Verdana"/>
          <w:lang w:val="es-CR"/>
        </w:rPr>
        <w:t xml:space="preserve"> formular preguntas por escrito a los declarantes ofrecidos por la contraparte y, en su caso, por la Comisión, impone el deber correlativo de la parte que ofreció la declaración de coordinar y realizar las diligencias necesarias para que se trasladen las preguntas a los declarantes y se incluyan las respuestas respectivas. En ciertas circunstancias, el no contestar diversas preguntas puede resultar incompatible con el deber de cooperación procesal y con el principio de buena fe que rige en el procedimiento internacional</w:t>
      </w:r>
      <w:r w:rsidRPr="002B1610">
        <w:rPr>
          <w:rStyle w:val="FootnoteReference"/>
          <w:w w:val="95"/>
        </w:rPr>
        <w:footnoteReference w:id="57"/>
      </w:r>
      <w:r w:rsidRPr="00A94FC4">
        <w:rPr>
          <w:w w:val="95"/>
          <w:lang w:val="es-CR"/>
        </w:rPr>
        <w:t xml:space="preserve">. </w:t>
      </w:r>
      <w:r w:rsidR="006E2C69">
        <w:rPr>
          <w:rFonts w:eastAsia="Batang" w:cs="Verdana"/>
          <w:lang w:val="es-CR"/>
        </w:rPr>
        <w:t>Sin perjuicio de ello, este</w:t>
      </w:r>
      <w:r w:rsidRPr="00864A10">
        <w:rPr>
          <w:rFonts w:eastAsia="Batang" w:cs="Verdana"/>
          <w:lang w:val="es-CR"/>
        </w:rPr>
        <w:t xml:space="preserve"> Tribunal considera que la no presentación de respuestas a las preguntas de la contraparte no afecta la admisibilidad de una declaración y es un aspecto que, según los alcances de los silencios de un declarante, podría llegar a impactar en el peso probatorio que puede alcanzar una declaración o un peritaje, aspecto que corresponde valorar en el fondo del caso</w:t>
      </w:r>
      <w:r w:rsidR="00BB4744" w:rsidRPr="005C119F">
        <w:rPr>
          <w:rFonts w:eastAsia="Batang" w:cs="Verdana"/>
          <w:vertAlign w:val="superscript"/>
        </w:rPr>
        <w:footnoteReference w:id="58"/>
      </w:r>
      <w:r w:rsidR="00BB4744" w:rsidRPr="005C119F">
        <w:rPr>
          <w:rFonts w:eastAsia="Batang" w:cs="Verdana"/>
          <w:lang w:val="es-CR"/>
        </w:rPr>
        <w:t xml:space="preserve">. </w:t>
      </w:r>
      <w:r w:rsidRPr="00864A10">
        <w:rPr>
          <w:rFonts w:eastAsia="Batang" w:cs="Verdana"/>
          <w:lang w:val="es-CR"/>
        </w:rPr>
        <w:t>Las demás observaciones del Estado versan sobre el contenido de la declaración y su valor probatorio, por lo que no se genera problema en su admisibilidad</w:t>
      </w:r>
      <w:r w:rsidR="000C3720">
        <w:rPr>
          <w:rFonts w:eastAsia="Batang" w:cs="Verdana"/>
          <w:lang w:val="es-CR"/>
        </w:rPr>
        <w:t>. Por lo tanto, este Tribunal la</w:t>
      </w:r>
      <w:r w:rsidRPr="00864A10">
        <w:rPr>
          <w:rFonts w:eastAsia="Batang" w:cs="Verdana"/>
          <w:lang w:val="es-CR"/>
        </w:rPr>
        <w:t xml:space="preserve"> admite. </w:t>
      </w:r>
    </w:p>
    <w:p w:rsidR="009E2748" w:rsidRPr="005C119F" w:rsidRDefault="009E2748" w:rsidP="009E2748">
      <w:pPr>
        <w:pStyle w:val="Estilo1"/>
        <w:numPr>
          <w:ilvl w:val="0"/>
          <w:numId w:val="0"/>
        </w:numPr>
        <w:tabs>
          <w:tab w:val="clear" w:pos="1134"/>
        </w:tabs>
        <w:autoSpaceDE w:val="0"/>
        <w:autoSpaceDN w:val="0"/>
        <w:adjustRightInd w:val="0"/>
        <w:spacing w:after="0"/>
        <w:ind w:right="29"/>
        <w:rPr>
          <w:rFonts w:eastAsia="Batang" w:cs="Verdana"/>
          <w:lang w:val="es-CR"/>
        </w:rPr>
      </w:pPr>
    </w:p>
    <w:p w:rsidR="009E2748" w:rsidRPr="0022285C" w:rsidRDefault="009E2748" w:rsidP="005D3491">
      <w:pPr>
        <w:pStyle w:val="Estilo1"/>
        <w:numPr>
          <w:ilvl w:val="0"/>
          <w:numId w:val="14"/>
        </w:numPr>
        <w:spacing w:after="0"/>
        <w:ind w:left="567" w:firstLine="0"/>
        <w:outlineLvl w:val="1"/>
        <w:rPr>
          <w:b/>
          <w:i/>
          <w:szCs w:val="22"/>
          <w:lang w:val="es-CR" w:eastAsia="es-MX"/>
        </w:rPr>
      </w:pPr>
      <w:bookmarkStart w:id="177" w:name="_Toc394313655"/>
      <w:bookmarkStart w:id="178" w:name="_Toc415507371"/>
      <w:bookmarkStart w:id="179" w:name="_Toc418530460"/>
      <w:bookmarkStart w:id="180" w:name="_Toc420941722"/>
      <w:bookmarkStart w:id="181" w:name="_Toc424313475"/>
      <w:bookmarkStart w:id="182" w:name="_Toc430869777"/>
      <w:bookmarkStart w:id="183" w:name="_Toc438129698"/>
      <w:r w:rsidRPr="0022285C">
        <w:rPr>
          <w:b/>
          <w:i/>
          <w:szCs w:val="22"/>
          <w:lang w:val="es-CR" w:eastAsia="es-MX"/>
        </w:rPr>
        <w:t>Admisión de la declaración testimonial y prueba pericial rendidas en audiencia pública</w:t>
      </w:r>
      <w:bookmarkEnd w:id="177"/>
      <w:bookmarkEnd w:id="178"/>
      <w:bookmarkEnd w:id="179"/>
      <w:bookmarkEnd w:id="180"/>
      <w:bookmarkEnd w:id="181"/>
      <w:bookmarkEnd w:id="182"/>
      <w:bookmarkEnd w:id="183"/>
    </w:p>
    <w:p w:rsidR="009E2748" w:rsidRPr="00F368D5" w:rsidRDefault="009E2748" w:rsidP="00CE68AB">
      <w:pPr>
        <w:pStyle w:val="Estilo1"/>
        <w:numPr>
          <w:ilvl w:val="0"/>
          <w:numId w:val="0"/>
        </w:numPr>
        <w:spacing w:after="0"/>
        <w:ind w:left="567"/>
        <w:rPr>
          <w:rFonts w:eastAsia="Times New Roman" w:cstheme="minorBidi"/>
          <w:b/>
          <w:w w:val="95"/>
        </w:rPr>
      </w:pPr>
    </w:p>
    <w:p w:rsidR="009E2748" w:rsidRPr="00864A10" w:rsidRDefault="009E2748" w:rsidP="009E2748">
      <w:pPr>
        <w:pStyle w:val="Estilo1"/>
        <w:tabs>
          <w:tab w:val="clear" w:pos="1134"/>
        </w:tabs>
        <w:autoSpaceDE w:val="0"/>
        <w:autoSpaceDN w:val="0"/>
        <w:adjustRightInd w:val="0"/>
        <w:spacing w:after="0"/>
        <w:ind w:right="29"/>
        <w:rPr>
          <w:rFonts w:eastAsia="Batang" w:cs="Verdana"/>
          <w:lang w:val="es-CR"/>
        </w:rPr>
      </w:pPr>
      <w:r w:rsidRPr="00864A10">
        <w:rPr>
          <w:rFonts w:eastAsia="Batang" w:cs="Verdana"/>
          <w:lang w:val="es-CR"/>
        </w:rPr>
        <w:t xml:space="preserve">En cuanto a la declaración testimonial de la fiscal Eneida Aguilar Solórzano, el </w:t>
      </w:r>
      <w:r w:rsidRPr="00864A10">
        <w:rPr>
          <w:rFonts w:eastAsia="Batang" w:cs="Verdana"/>
          <w:b/>
          <w:i/>
          <w:lang w:val="es-CR"/>
        </w:rPr>
        <w:t>representante</w:t>
      </w:r>
      <w:r w:rsidRPr="00864A10">
        <w:rPr>
          <w:rFonts w:eastAsia="Batang" w:cs="Verdana"/>
          <w:lang w:val="es-CR"/>
        </w:rPr>
        <w:t xml:space="preserve"> reiteró algunas de las observaciones presentadas a la lista definitiva de declarantes para la audiencia pública, </w:t>
      </w:r>
      <w:r>
        <w:rPr>
          <w:rFonts w:eastAsia="Batang" w:cs="Verdana"/>
          <w:lang w:val="es-CR"/>
        </w:rPr>
        <w:t xml:space="preserve">por lo que sobre </w:t>
      </w:r>
      <w:r w:rsidRPr="00864A10">
        <w:rPr>
          <w:rFonts w:eastAsia="Batang" w:cs="Verdana"/>
          <w:lang w:val="es-CR"/>
        </w:rPr>
        <w:t xml:space="preserve">este punto </w:t>
      </w:r>
      <w:r>
        <w:rPr>
          <w:rFonts w:eastAsia="Batang" w:cs="Verdana"/>
          <w:lang w:val="es-CR"/>
        </w:rPr>
        <w:t xml:space="preserve">la </w:t>
      </w:r>
      <w:r w:rsidRPr="00864A10">
        <w:rPr>
          <w:rFonts w:eastAsia="Batang" w:cs="Verdana"/>
          <w:b/>
          <w:i/>
          <w:lang w:val="es-CR"/>
        </w:rPr>
        <w:t>Corte</w:t>
      </w:r>
      <w:r w:rsidRPr="00864A10">
        <w:rPr>
          <w:rFonts w:eastAsia="Batang" w:cs="Verdana"/>
          <w:lang w:val="es-CR"/>
        </w:rPr>
        <w:t xml:space="preserve"> se remite a la Resolución de</w:t>
      </w:r>
      <w:r>
        <w:rPr>
          <w:rFonts w:eastAsia="Batang" w:cs="Verdana"/>
          <w:lang w:val="es-CR"/>
        </w:rPr>
        <w:t>l Presidente de</w:t>
      </w:r>
      <w:r w:rsidRPr="00864A10">
        <w:rPr>
          <w:rFonts w:eastAsia="Batang" w:cs="Verdana"/>
          <w:lang w:val="es-CR"/>
        </w:rPr>
        <w:t xml:space="preserve"> 28 de noviembre de 2015. </w:t>
      </w:r>
      <w:r>
        <w:rPr>
          <w:rFonts w:eastAsia="Batang" w:cs="Verdana"/>
          <w:lang w:val="es-CR"/>
        </w:rPr>
        <w:t xml:space="preserve">Además, </w:t>
      </w:r>
      <w:r w:rsidRPr="00864A10">
        <w:rPr>
          <w:rFonts w:eastAsia="Batang" w:cs="Verdana"/>
          <w:lang w:val="es-CR"/>
        </w:rPr>
        <w:t xml:space="preserve">el </w:t>
      </w:r>
      <w:r w:rsidRPr="00757437">
        <w:rPr>
          <w:rFonts w:eastAsia="Batang" w:cs="Verdana"/>
          <w:b/>
          <w:i/>
          <w:lang w:val="es-CR"/>
        </w:rPr>
        <w:t>representante</w:t>
      </w:r>
      <w:r>
        <w:rPr>
          <w:rFonts w:eastAsia="Batang" w:cs="Verdana"/>
          <w:lang w:val="es-CR"/>
        </w:rPr>
        <w:t xml:space="preserve"> </w:t>
      </w:r>
      <w:r w:rsidRPr="00864A10">
        <w:rPr>
          <w:rFonts w:eastAsia="Batang" w:cs="Verdana"/>
          <w:lang w:val="es-CR"/>
        </w:rPr>
        <w:t>cuestionó el anál</w:t>
      </w:r>
      <w:r>
        <w:rPr>
          <w:rFonts w:eastAsia="Batang" w:cs="Verdana"/>
          <w:lang w:val="es-CR"/>
        </w:rPr>
        <w:t xml:space="preserve">isis jurídico efectuado por ella en su declaración, y siendo que las </w:t>
      </w:r>
      <w:r w:rsidRPr="00864A10">
        <w:rPr>
          <w:rFonts w:eastAsia="Batang" w:cs="Verdana"/>
          <w:lang w:val="es-CR"/>
        </w:rPr>
        <w:t xml:space="preserve">observaciones se refieren al contenido de la declaración, </w:t>
      </w:r>
      <w:r w:rsidR="00757437">
        <w:rPr>
          <w:rFonts w:eastAsia="Batang" w:cs="Verdana"/>
          <w:lang w:val="es-CR"/>
        </w:rPr>
        <w:t xml:space="preserve">la </w:t>
      </w:r>
      <w:r w:rsidR="00757437" w:rsidRPr="00757437">
        <w:rPr>
          <w:rFonts w:eastAsia="Batang" w:cs="Verdana"/>
          <w:b/>
          <w:i/>
          <w:lang w:val="es-CR"/>
        </w:rPr>
        <w:t>Corte</w:t>
      </w:r>
      <w:r>
        <w:rPr>
          <w:rFonts w:eastAsia="Batang" w:cs="Verdana"/>
          <w:lang w:val="es-CR"/>
        </w:rPr>
        <w:t xml:space="preserve"> considera que no afecta su admisibilidad, por lo que </w:t>
      </w:r>
      <w:r w:rsidRPr="00864A10">
        <w:rPr>
          <w:rFonts w:eastAsia="Batang" w:cs="Verdana"/>
          <w:lang w:val="es-CR"/>
        </w:rPr>
        <w:t>la admite.</w:t>
      </w:r>
    </w:p>
    <w:p w:rsidR="009E2748" w:rsidRPr="00B81094" w:rsidRDefault="009E2748" w:rsidP="009E2748">
      <w:pPr>
        <w:pStyle w:val="Estilo1"/>
        <w:numPr>
          <w:ilvl w:val="0"/>
          <w:numId w:val="0"/>
        </w:numPr>
        <w:tabs>
          <w:tab w:val="clear" w:pos="1134"/>
        </w:tabs>
        <w:autoSpaceDE w:val="0"/>
        <w:autoSpaceDN w:val="0"/>
        <w:adjustRightInd w:val="0"/>
        <w:spacing w:after="0"/>
        <w:ind w:right="29"/>
        <w:rPr>
          <w:i/>
          <w:lang w:val="es-ES_tradnl"/>
        </w:rPr>
      </w:pPr>
    </w:p>
    <w:p w:rsidR="009E2748" w:rsidRPr="00864A10" w:rsidRDefault="009E2748" w:rsidP="009E2748">
      <w:pPr>
        <w:pStyle w:val="Estilo1"/>
        <w:tabs>
          <w:tab w:val="clear" w:pos="1134"/>
        </w:tabs>
        <w:autoSpaceDE w:val="0"/>
        <w:autoSpaceDN w:val="0"/>
        <w:adjustRightInd w:val="0"/>
        <w:spacing w:after="0"/>
        <w:ind w:right="29"/>
        <w:rPr>
          <w:rFonts w:eastAsia="Batang" w:cs="Verdana"/>
          <w:lang w:val="es-CR"/>
        </w:rPr>
      </w:pPr>
      <w:r w:rsidRPr="00864A10">
        <w:rPr>
          <w:rFonts w:eastAsia="Batang" w:cs="Verdana"/>
          <w:lang w:val="es-CR"/>
        </w:rPr>
        <w:t xml:space="preserve">En cuanto al peritaje rendido por Martin </w:t>
      </w:r>
      <w:proofErr w:type="spellStart"/>
      <w:r w:rsidRPr="00864A10">
        <w:rPr>
          <w:rFonts w:eastAsia="Batang" w:cs="Verdana"/>
          <w:lang w:val="es-CR"/>
        </w:rPr>
        <w:t>Scheinin</w:t>
      </w:r>
      <w:proofErr w:type="spellEnd"/>
      <w:r w:rsidRPr="00864A10">
        <w:rPr>
          <w:rFonts w:eastAsia="Batang" w:cs="Verdana"/>
          <w:lang w:val="es-CR"/>
        </w:rPr>
        <w:t xml:space="preserve">, el </w:t>
      </w:r>
      <w:r w:rsidRPr="00864A10">
        <w:rPr>
          <w:rFonts w:eastAsia="Batang" w:cs="Verdana"/>
          <w:b/>
          <w:i/>
          <w:lang w:val="es-CR"/>
        </w:rPr>
        <w:t>Estado</w:t>
      </w:r>
      <w:r w:rsidRPr="00864A10">
        <w:rPr>
          <w:rFonts w:eastAsia="Batang" w:cs="Verdana"/>
          <w:lang w:val="es-CR"/>
        </w:rPr>
        <w:t xml:space="preserve"> señaló </w:t>
      </w:r>
      <w:r>
        <w:rPr>
          <w:rFonts w:eastAsia="Batang" w:cs="Verdana"/>
          <w:lang w:val="es-CR"/>
        </w:rPr>
        <w:t xml:space="preserve">que si bien </w:t>
      </w:r>
      <w:r w:rsidRPr="00864A10">
        <w:rPr>
          <w:rFonts w:eastAsia="Batang" w:cs="Verdana"/>
          <w:lang w:val="es-CR"/>
        </w:rPr>
        <w:t>se permite señalar algunos aspectos que podrían contribuir a una apreciación ponderada</w:t>
      </w:r>
      <w:r>
        <w:rPr>
          <w:rFonts w:eastAsia="Batang" w:cs="Verdana"/>
          <w:lang w:val="es-CR"/>
        </w:rPr>
        <w:t xml:space="preserve"> de la situación del Estado</w:t>
      </w:r>
      <w:r w:rsidRPr="00864A10">
        <w:rPr>
          <w:rFonts w:eastAsia="Batang" w:cs="Verdana"/>
          <w:lang w:val="es-CR"/>
        </w:rPr>
        <w:t xml:space="preserve"> en relación con los hechos del presente caso</w:t>
      </w:r>
      <w:r>
        <w:rPr>
          <w:rFonts w:eastAsia="Batang" w:cs="Verdana"/>
          <w:lang w:val="es-CR"/>
        </w:rPr>
        <w:t>, eso no significa que admita en forma acrítica el informe en su conjunto</w:t>
      </w:r>
      <w:r w:rsidRPr="00864A10">
        <w:rPr>
          <w:rFonts w:eastAsia="Batang" w:cs="Verdana"/>
          <w:lang w:val="es-CR"/>
        </w:rPr>
        <w:t xml:space="preserve">. La </w:t>
      </w:r>
      <w:r w:rsidRPr="00864A10">
        <w:rPr>
          <w:rFonts w:eastAsia="Batang" w:cs="Verdana"/>
          <w:b/>
          <w:i/>
          <w:lang w:val="es-CR"/>
        </w:rPr>
        <w:t xml:space="preserve">Corte </w:t>
      </w:r>
      <w:r w:rsidRPr="00864A10">
        <w:rPr>
          <w:rFonts w:eastAsia="Batang" w:cs="Verdana"/>
          <w:lang w:val="es-CR"/>
        </w:rPr>
        <w:t xml:space="preserve">entiende que las observaciones del Estado apuntan a cuestionar su peso probatorio. </w:t>
      </w:r>
      <w:r w:rsidR="000C3720">
        <w:rPr>
          <w:rFonts w:eastAsia="Batang" w:cs="Verdana"/>
          <w:lang w:val="es-CR"/>
        </w:rPr>
        <w:t>E</w:t>
      </w:r>
      <w:r w:rsidRPr="00864A10">
        <w:rPr>
          <w:rFonts w:eastAsia="Batang" w:cs="Verdana"/>
          <w:lang w:val="es-CR"/>
        </w:rPr>
        <w:t>ste Tribunal admite el dictamen pericial en la medida en que aporte información o explicaciones concordantes y complementarias a las que surgen de otros medios de prueba allegados a la Corte, teniendo en cuenta las observaciones del Estado.</w:t>
      </w:r>
    </w:p>
    <w:p w:rsidR="009E2748" w:rsidRDefault="009E2748" w:rsidP="009E2748">
      <w:pPr>
        <w:tabs>
          <w:tab w:val="left" w:pos="4150"/>
        </w:tabs>
        <w:ind w:right="-174"/>
        <w:rPr>
          <w:b/>
          <w:w w:val="95"/>
          <w:szCs w:val="20"/>
        </w:rPr>
      </w:pPr>
    </w:p>
    <w:p w:rsidR="009E2748" w:rsidRDefault="009E2748" w:rsidP="005D3491">
      <w:pPr>
        <w:pStyle w:val="Heading2"/>
        <w:numPr>
          <w:ilvl w:val="0"/>
          <w:numId w:val="14"/>
        </w:numPr>
        <w:ind w:left="567" w:firstLine="0"/>
        <w:rPr>
          <w:lang w:eastAsia="es-CR"/>
        </w:rPr>
      </w:pPr>
      <w:bookmarkStart w:id="184" w:name="_Toc405857807"/>
      <w:bookmarkStart w:id="185" w:name="_Toc415503965"/>
      <w:bookmarkStart w:id="186" w:name="_Toc415507372"/>
      <w:bookmarkStart w:id="187" w:name="_Toc418530461"/>
      <w:bookmarkStart w:id="188" w:name="_Toc420941723"/>
      <w:bookmarkStart w:id="189" w:name="_Toc424313476"/>
      <w:bookmarkStart w:id="190" w:name="_Toc430869778"/>
      <w:bookmarkStart w:id="191" w:name="_Toc438129699"/>
      <w:r w:rsidRPr="0022285C">
        <w:rPr>
          <w:rFonts w:eastAsia="Calibri"/>
          <w:bCs w:val="0"/>
          <w:color w:val="auto"/>
          <w:spacing w:val="0"/>
          <w:w w:val="100"/>
          <w:szCs w:val="22"/>
          <w:lang w:eastAsia="es-MX"/>
        </w:rPr>
        <w:t>Valoración de la prueba</w:t>
      </w:r>
      <w:bookmarkEnd w:id="184"/>
      <w:bookmarkEnd w:id="185"/>
      <w:bookmarkEnd w:id="186"/>
      <w:bookmarkEnd w:id="187"/>
      <w:bookmarkEnd w:id="188"/>
      <w:bookmarkEnd w:id="189"/>
      <w:bookmarkEnd w:id="190"/>
      <w:bookmarkEnd w:id="191"/>
    </w:p>
    <w:p w:rsidR="009E2748" w:rsidRPr="0057669A" w:rsidRDefault="009E2748" w:rsidP="009E2748">
      <w:pPr>
        <w:rPr>
          <w:lang w:val="es-CR" w:eastAsia="es-CR"/>
        </w:rPr>
      </w:pPr>
    </w:p>
    <w:p w:rsidR="001A7316" w:rsidRPr="001A7316" w:rsidRDefault="009E2748" w:rsidP="001A7316">
      <w:pPr>
        <w:widowControl w:val="0"/>
        <w:numPr>
          <w:ilvl w:val="0"/>
          <w:numId w:val="1"/>
        </w:numPr>
        <w:tabs>
          <w:tab w:val="left" w:pos="567"/>
          <w:tab w:val="num" w:pos="1427"/>
          <w:tab w:val="num" w:pos="11028"/>
        </w:tabs>
        <w:adjustRightInd w:val="0"/>
        <w:textAlignment w:val="baseline"/>
        <w:rPr>
          <w:rFonts w:cs="Verdana"/>
          <w:szCs w:val="20"/>
        </w:rPr>
      </w:pPr>
      <w:bookmarkStart w:id="192" w:name="_Ref402038868"/>
      <w:r w:rsidRPr="001A7316">
        <w:rPr>
          <w:rFonts w:eastAsia="Batang" w:cs="Verdana"/>
          <w:spacing w:val="-2"/>
          <w:szCs w:val="20"/>
          <w:lang w:eastAsia="es-CR"/>
        </w:rPr>
        <w:lastRenderedPageBreak/>
        <w:t>Con base en lo establecido en los artículos 46, 50, 51, 57 y 58 del Reglamento, así como en su jurisprudencia constante respecto de la prueba y su apreciación</w:t>
      </w:r>
      <w:r w:rsidRPr="002A101E">
        <w:rPr>
          <w:rFonts w:eastAsia="Batang" w:cs="Verdana"/>
          <w:spacing w:val="-2"/>
          <w:szCs w:val="20"/>
          <w:vertAlign w:val="superscript"/>
          <w:lang w:eastAsia="es-CR"/>
        </w:rPr>
        <w:footnoteReference w:id="59"/>
      </w:r>
      <w:r w:rsidRPr="001A7316">
        <w:rPr>
          <w:rFonts w:eastAsia="Batang" w:cs="Verdana"/>
          <w:spacing w:val="-2"/>
          <w:szCs w:val="20"/>
          <w:lang w:eastAsia="es-CR"/>
        </w:rPr>
        <w:t xml:space="preserve">, la Corte examinará y valorará los elementos probatorios documentales remitidos por las partes y la Comisión, </w:t>
      </w:r>
      <w:r w:rsidRPr="001A7316">
        <w:rPr>
          <w:rFonts w:eastAsia="Batang"/>
          <w:spacing w:val="-2"/>
          <w:szCs w:val="20"/>
          <w:lang w:eastAsia="es-CR"/>
        </w:rPr>
        <w:t xml:space="preserve">las declaraciones, testimonios y dictámenes periciales, </w:t>
      </w:r>
      <w:r w:rsidRPr="001A7316">
        <w:rPr>
          <w:rFonts w:eastAsia="Batang" w:cs="Verdana"/>
          <w:spacing w:val="-2"/>
          <w:szCs w:val="20"/>
          <w:lang w:eastAsia="es-CR"/>
        </w:rPr>
        <w:t xml:space="preserve">así </w:t>
      </w:r>
      <w:r w:rsidRPr="001A7316">
        <w:rPr>
          <w:rFonts w:cs="Verdana"/>
          <w:spacing w:val="-2"/>
          <w:szCs w:val="20"/>
          <w:lang w:eastAsia="es-CR"/>
        </w:rPr>
        <w:t xml:space="preserve">como las pruebas para mejor resolver </w:t>
      </w:r>
      <w:r w:rsidRPr="001A7316">
        <w:rPr>
          <w:rFonts w:eastAsia="Times New Roman"/>
          <w:spacing w:val="-2"/>
          <w:szCs w:val="20"/>
          <w:lang w:eastAsia="es-CR"/>
        </w:rPr>
        <w:t xml:space="preserve">solicitadas e incorporadas por este Tribunal </w:t>
      </w:r>
      <w:r w:rsidRPr="001A7316">
        <w:rPr>
          <w:rFonts w:eastAsia="Batang" w:cs="Verdana"/>
          <w:spacing w:val="-2"/>
          <w:szCs w:val="20"/>
          <w:lang w:val="es-ES_tradnl" w:eastAsia="es-CR"/>
        </w:rPr>
        <w:t>al establecer los hechos del caso y pronunciarse sobre el fondo</w:t>
      </w:r>
      <w:r w:rsidRPr="001A7316">
        <w:rPr>
          <w:rFonts w:eastAsia="Batang" w:cs="Verdana"/>
          <w:spacing w:val="-2"/>
          <w:szCs w:val="20"/>
          <w:lang w:eastAsia="es-CR"/>
        </w:rPr>
        <w:t xml:space="preserve">. Para ello se sujeta a los principios de la sana crítica, dentro del marco normativo correspondiente, </w:t>
      </w:r>
      <w:r w:rsidRPr="001A7316">
        <w:rPr>
          <w:rFonts w:cs="Verdana"/>
          <w:szCs w:val="20"/>
        </w:rPr>
        <w:t>teniendo en cuenta el conjunto del acervo probatorio y lo alegado en la causa</w:t>
      </w:r>
      <w:r w:rsidRPr="002A101E">
        <w:rPr>
          <w:rFonts w:eastAsia="Batang" w:cs="Verdana"/>
          <w:spacing w:val="-2"/>
          <w:szCs w:val="20"/>
          <w:vertAlign w:val="superscript"/>
          <w:lang w:eastAsia="es-CR"/>
        </w:rPr>
        <w:footnoteReference w:id="60"/>
      </w:r>
      <w:r w:rsidRPr="001A7316">
        <w:rPr>
          <w:rFonts w:cs="Verdana"/>
          <w:szCs w:val="20"/>
        </w:rPr>
        <w:t>.</w:t>
      </w:r>
      <w:bookmarkEnd w:id="192"/>
      <w:r w:rsidRPr="001A7316">
        <w:rPr>
          <w:rFonts w:cs="Verdana"/>
          <w:szCs w:val="20"/>
        </w:rPr>
        <w:t xml:space="preserve"> </w:t>
      </w:r>
    </w:p>
    <w:p w:rsidR="001A7316" w:rsidRDefault="001A7316" w:rsidP="001A7316">
      <w:pPr>
        <w:pStyle w:val="Heading1"/>
        <w:ind w:right="29"/>
      </w:pPr>
      <w:bookmarkStart w:id="193" w:name="_Toc393212557"/>
      <w:bookmarkStart w:id="194" w:name="_Toc393227787"/>
      <w:bookmarkStart w:id="195" w:name="_Toc393232785"/>
      <w:bookmarkStart w:id="196" w:name="_Toc400725020"/>
      <w:bookmarkStart w:id="197" w:name="_Toc415503966"/>
      <w:bookmarkStart w:id="198" w:name="_Toc415507373"/>
      <w:bookmarkStart w:id="199" w:name="_Toc418530462"/>
      <w:bookmarkStart w:id="200" w:name="_Toc420941724"/>
      <w:bookmarkStart w:id="201" w:name="_Toc424313477"/>
    </w:p>
    <w:p w:rsidR="001A7316" w:rsidRPr="00FA11AC" w:rsidRDefault="001A7316" w:rsidP="001A7316">
      <w:pPr>
        <w:pStyle w:val="Heading1"/>
        <w:ind w:right="29"/>
      </w:pPr>
      <w:bookmarkStart w:id="202" w:name="_Toc430869779"/>
      <w:bookmarkStart w:id="203" w:name="_Toc438129700"/>
      <w:r w:rsidRPr="00FA11AC">
        <w:t>VI</w:t>
      </w:r>
      <w:bookmarkEnd w:id="193"/>
      <w:bookmarkEnd w:id="194"/>
      <w:bookmarkEnd w:id="195"/>
      <w:bookmarkEnd w:id="196"/>
      <w:bookmarkEnd w:id="197"/>
      <w:bookmarkEnd w:id="198"/>
      <w:bookmarkEnd w:id="199"/>
      <w:bookmarkEnd w:id="200"/>
      <w:bookmarkEnd w:id="201"/>
      <w:r>
        <w:t>I</w:t>
      </w:r>
      <w:bookmarkEnd w:id="202"/>
      <w:bookmarkEnd w:id="203"/>
    </w:p>
    <w:p w:rsidR="001A7316" w:rsidRPr="00E80B60" w:rsidRDefault="001A7316" w:rsidP="001A7316">
      <w:pPr>
        <w:jc w:val="center"/>
        <w:rPr>
          <w:b/>
        </w:rPr>
      </w:pPr>
      <w:bookmarkStart w:id="204" w:name="_Toc393212558"/>
      <w:bookmarkStart w:id="205" w:name="_Toc393227788"/>
      <w:bookmarkStart w:id="206" w:name="_Toc393232786"/>
      <w:bookmarkStart w:id="207" w:name="_Toc400725021"/>
      <w:r w:rsidRPr="00E80B60">
        <w:rPr>
          <w:b/>
        </w:rPr>
        <w:t>HECHOS</w:t>
      </w:r>
      <w:bookmarkEnd w:id="204"/>
      <w:bookmarkEnd w:id="205"/>
      <w:bookmarkEnd w:id="206"/>
      <w:bookmarkEnd w:id="207"/>
    </w:p>
    <w:p w:rsidR="001A7316" w:rsidRPr="00393FC8" w:rsidRDefault="001A7316" w:rsidP="00CE68AB">
      <w:pPr>
        <w:pStyle w:val="ListParagraph"/>
        <w:numPr>
          <w:ilvl w:val="0"/>
          <w:numId w:val="10"/>
        </w:numPr>
        <w:ind w:left="567" w:firstLine="0"/>
        <w:outlineLvl w:val="1"/>
        <w:rPr>
          <w:b/>
          <w:i/>
          <w:sz w:val="20"/>
          <w:szCs w:val="20"/>
          <w:lang w:val="es-CR"/>
        </w:rPr>
      </w:pPr>
      <w:bookmarkStart w:id="208" w:name="_Toc415507374"/>
      <w:r w:rsidRPr="00393FC8">
        <w:rPr>
          <w:b/>
          <w:i/>
          <w:sz w:val="20"/>
          <w:szCs w:val="20"/>
          <w:lang w:val="es-CR"/>
        </w:rPr>
        <w:t xml:space="preserve"> </w:t>
      </w:r>
      <w:bookmarkStart w:id="209" w:name="_Toc418530463"/>
      <w:bookmarkStart w:id="210" w:name="_Toc420941725"/>
      <w:bookmarkStart w:id="211" w:name="_Toc424313478"/>
      <w:bookmarkStart w:id="212" w:name="_Toc430869780"/>
      <w:bookmarkStart w:id="213" w:name="_Toc438129701"/>
      <w:r w:rsidRPr="00393FC8">
        <w:rPr>
          <w:b/>
          <w:i/>
          <w:sz w:val="20"/>
          <w:szCs w:val="20"/>
          <w:lang w:val="es-CR"/>
        </w:rPr>
        <w:t>Contexto</w:t>
      </w:r>
      <w:bookmarkEnd w:id="208"/>
      <w:bookmarkEnd w:id="209"/>
      <w:bookmarkEnd w:id="210"/>
      <w:bookmarkEnd w:id="211"/>
      <w:bookmarkEnd w:id="212"/>
      <w:bookmarkEnd w:id="213"/>
    </w:p>
    <w:p w:rsidR="001A7316" w:rsidRDefault="001A7316" w:rsidP="001A7316">
      <w:pPr>
        <w:widowControl w:val="0"/>
        <w:tabs>
          <w:tab w:val="left" w:pos="567"/>
          <w:tab w:val="num" w:pos="18282"/>
        </w:tabs>
        <w:adjustRightInd w:val="0"/>
        <w:textAlignment w:val="baseline"/>
        <w:rPr>
          <w:rFonts w:cs="Verdana"/>
          <w:spacing w:val="-2"/>
          <w:szCs w:val="20"/>
          <w:lang w:eastAsia="es-CR"/>
        </w:rPr>
      </w:pPr>
    </w:p>
    <w:p w:rsidR="001A7316" w:rsidRPr="001A7316" w:rsidRDefault="009E2748" w:rsidP="00C367C5">
      <w:pPr>
        <w:widowControl w:val="0"/>
        <w:numPr>
          <w:ilvl w:val="0"/>
          <w:numId w:val="1"/>
        </w:numPr>
        <w:tabs>
          <w:tab w:val="left" w:pos="567"/>
          <w:tab w:val="num" w:pos="1427"/>
          <w:tab w:val="num" w:pos="11028"/>
        </w:tabs>
        <w:adjustRightInd w:val="0"/>
        <w:textAlignment w:val="baseline"/>
        <w:rPr>
          <w:rFonts w:cs="Verdana"/>
          <w:spacing w:val="-2"/>
          <w:szCs w:val="20"/>
          <w:lang w:eastAsia="es-CR"/>
        </w:rPr>
      </w:pPr>
      <w:r w:rsidRPr="001A7316">
        <w:rPr>
          <w:spacing w:val="-2"/>
          <w:szCs w:val="20"/>
        </w:rPr>
        <w:t>Este Tribunal ya se ha pronunciado sobre la situación de contexto aducida en relación con el presente caso</w:t>
      </w:r>
      <w:r w:rsidRPr="001D0E35">
        <w:rPr>
          <w:rStyle w:val="FootnoteReference"/>
          <w:spacing w:val="-2"/>
          <w:szCs w:val="20"/>
          <w:lang w:val="es-CR"/>
        </w:rPr>
        <w:footnoteReference w:id="61"/>
      </w:r>
      <w:r w:rsidRPr="001A7316">
        <w:rPr>
          <w:spacing w:val="-2"/>
          <w:szCs w:val="20"/>
        </w:rPr>
        <w:t>. En efecto, la Corte, respecto a casos decididos con anterioridad, ha constatado que “desde comienzos de la década de los ochenta hasta finales del año 2000, se vivió en el Perú un conflicto entre grupos armados y agentes de las fuerzas policiales y militares</w:t>
      </w:r>
      <w:r w:rsidRPr="001D0E35">
        <w:rPr>
          <w:spacing w:val="-2"/>
          <w:szCs w:val="20"/>
          <w:vertAlign w:val="superscript"/>
        </w:rPr>
        <w:footnoteReference w:id="62"/>
      </w:r>
      <w:r w:rsidRPr="001A7316">
        <w:rPr>
          <w:spacing w:val="-2"/>
          <w:szCs w:val="20"/>
        </w:rPr>
        <w:t>”. También ha expresado que el “conflicto se agudizó en medio de una práctica sistemática de violaciones de los</w:t>
      </w:r>
      <w:r w:rsidRPr="001A7316">
        <w:rPr>
          <w:b/>
          <w:spacing w:val="-2"/>
          <w:szCs w:val="20"/>
        </w:rPr>
        <w:t xml:space="preserve"> </w:t>
      </w:r>
      <w:r w:rsidRPr="001A7316">
        <w:rPr>
          <w:spacing w:val="-2"/>
          <w:szCs w:val="20"/>
        </w:rPr>
        <w:t>derechos humanos […] realizadas por agentes estatales siguiendo órdenes de jefes militares y policiales”</w:t>
      </w:r>
      <w:r w:rsidRPr="001D0E35">
        <w:rPr>
          <w:spacing w:val="-2"/>
          <w:szCs w:val="20"/>
          <w:vertAlign w:val="superscript"/>
        </w:rPr>
        <w:footnoteReference w:id="63"/>
      </w:r>
      <w:r w:rsidRPr="001A7316">
        <w:rPr>
          <w:spacing w:val="-2"/>
          <w:szCs w:val="20"/>
        </w:rPr>
        <w:t xml:space="preserve">. </w:t>
      </w:r>
    </w:p>
    <w:p w:rsidR="001A7316" w:rsidRDefault="001A7316" w:rsidP="001A7316">
      <w:pPr>
        <w:widowControl w:val="0"/>
        <w:tabs>
          <w:tab w:val="left" w:pos="567"/>
          <w:tab w:val="num" w:pos="18282"/>
        </w:tabs>
        <w:adjustRightInd w:val="0"/>
        <w:textAlignment w:val="baseline"/>
        <w:rPr>
          <w:rFonts w:cs="Verdana"/>
          <w:spacing w:val="-2"/>
          <w:szCs w:val="20"/>
          <w:lang w:eastAsia="es-CR"/>
        </w:rPr>
      </w:pPr>
    </w:p>
    <w:p w:rsidR="001A7316" w:rsidRPr="00144171" w:rsidRDefault="00C367C5" w:rsidP="00C367C5">
      <w:pPr>
        <w:widowControl w:val="0"/>
        <w:numPr>
          <w:ilvl w:val="0"/>
          <w:numId w:val="1"/>
        </w:numPr>
        <w:tabs>
          <w:tab w:val="left" w:pos="567"/>
          <w:tab w:val="num" w:pos="1427"/>
          <w:tab w:val="num" w:pos="11028"/>
        </w:tabs>
        <w:adjustRightInd w:val="0"/>
        <w:textAlignment w:val="baseline"/>
        <w:rPr>
          <w:rFonts w:cs="Verdana"/>
          <w:spacing w:val="-2"/>
          <w:szCs w:val="20"/>
          <w:lang w:eastAsia="es-CR"/>
        </w:rPr>
      </w:pPr>
      <w:r w:rsidRPr="00144171">
        <w:t>La</w:t>
      </w:r>
      <w:r w:rsidRPr="00144171">
        <w:rPr>
          <w:spacing w:val="-2"/>
          <w:szCs w:val="20"/>
        </w:rPr>
        <w:t xml:space="preserve"> </w:t>
      </w:r>
      <w:r w:rsidRPr="00144171">
        <w:rPr>
          <w:rFonts w:cs="Verdana"/>
          <w:spacing w:val="-2"/>
          <w:szCs w:val="20"/>
        </w:rPr>
        <w:t>Comisión de la Verdad y Reconciliación del Perú (en adelante “CVR”)</w:t>
      </w:r>
      <w:r w:rsidRPr="00144171">
        <w:t xml:space="preserve"> en su informe final señaló que “el inicio de la década del noventa encontró al país en una grave crisis económica y social</w:t>
      </w:r>
      <w:r w:rsidR="005177E1" w:rsidRPr="00144171">
        <w:t>”. La misma entidad señaló que en el marco de esa situación, en 1990</w:t>
      </w:r>
      <w:r w:rsidRPr="00144171">
        <w:t xml:space="preserve"> </w:t>
      </w:r>
      <w:r w:rsidR="005177E1" w:rsidRPr="00144171">
        <w:t>fue electo</w:t>
      </w:r>
      <w:r w:rsidR="00CC1DCF">
        <w:t xml:space="preserve"> como Presidente del Perú</w:t>
      </w:r>
      <w:r w:rsidRPr="00144171">
        <w:t xml:space="preserve"> </w:t>
      </w:r>
      <w:r w:rsidR="00A63089">
        <w:t xml:space="preserve">Alberto </w:t>
      </w:r>
      <w:r w:rsidRPr="00144171">
        <w:t>Fujimori</w:t>
      </w:r>
      <w:r w:rsidR="005177E1" w:rsidRPr="00144171">
        <w:t>, quien</w:t>
      </w:r>
      <w:r w:rsidRPr="00144171">
        <w:t xml:space="preserve"> el 5 de abril de 1992 </w:t>
      </w:r>
      <w:r w:rsidR="005177E1" w:rsidRPr="00144171">
        <w:t>“realizó [un]</w:t>
      </w:r>
      <w:r w:rsidRPr="00144171">
        <w:t xml:space="preserve"> golpe de Estado</w:t>
      </w:r>
      <w:r w:rsidR="005177E1" w:rsidRPr="00144171">
        <w:t>”</w:t>
      </w:r>
      <w:r w:rsidRPr="00144171">
        <w:rPr>
          <w:rStyle w:val="FootnoteReference"/>
        </w:rPr>
        <w:footnoteReference w:id="64"/>
      </w:r>
      <w:r w:rsidRPr="00144171">
        <w:t>.</w:t>
      </w:r>
      <w:r w:rsidR="00D21882" w:rsidRPr="00144171">
        <w:t xml:space="preserve"> El 6 de abril de 1992 se promulgó el Decreto Ley No. 25.418, con el cual se instituyó transitoriamente el llamado “Gobierno de Emergencia y Reconstrucción Nacional”</w:t>
      </w:r>
      <w:r w:rsidR="00D21882" w:rsidRPr="00144171">
        <w:rPr>
          <w:rStyle w:val="FootnoteReference"/>
        </w:rPr>
        <w:footnoteReference w:id="65"/>
      </w:r>
      <w:r w:rsidR="00D21882" w:rsidRPr="00144171">
        <w:t>.</w:t>
      </w:r>
    </w:p>
    <w:p w:rsidR="001A7316" w:rsidRPr="00144171" w:rsidRDefault="001A7316" w:rsidP="001A7316">
      <w:pPr>
        <w:pStyle w:val="ListParagraph"/>
      </w:pPr>
    </w:p>
    <w:p w:rsidR="001A7316" w:rsidRPr="00144171" w:rsidRDefault="007B2392" w:rsidP="00C367C5">
      <w:pPr>
        <w:widowControl w:val="0"/>
        <w:numPr>
          <w:ilvl w:val="0"/>
          <w:numId w:val="1"/>
        </w:numPr>
        <w:tabs>
          <w:tab w:val="left" w:pos="567"/>
          <w:tab w:val="num" w:pos="1427"/>
          <w:tab w:val="num" w:pos="11028"/>
        </w:tabs>
        <w:adjustRightInd w:val="0"/>
        <w:textAlignment w:val="baseline"/>
        <w:rPr>
          <w:rFonts w:cs="Verdana"/>
          <w:spacing w:val="-2"/>
          <w:szCs w:val="20"/>
          <w:lang w:eastAsia="es-CR"/>
        </w:rPr>
      </w:pPr>
      <w:r w:rsidRPr="00144171">
        <w:t>L</w:t>
      </w:r>
      <w:r w:rsidR="00C367C5" w:rsidRPr="00144171">
        <w:t xml:space="preserve">a Corte ha señalado que </w:t>
      </w:r>
      <w:r w:rsidR="005177E1" w:rsidRPr="00144171">
        <w:t>dicho</w:t>
      </w:r>
      <w:r w:rsidR="00C367C5" w:rsidRPr="00144171">
        <w:t xml:space="preserve"> mandatario anunc</w:t>
      </w:r>
      <w:r w:rsidR="005177E1" w:rsidRPr="00144171">
        <w:t xml:space="preserve">ió un conjunto de medidas para </w:t>
      </w:r>
      <w:r w:rsidR="00C367C5" w:rsidRPr="00144171">
        <w:t>aligerar el proceso de reconstrucción nacional, incluyendo la disolución temporal del Congreso de la República y la reorganización total del Poder Judicial, del Consejo Nacional de la Magistratura, del Tribunal de Garantías Constitucionales y del Ministerio Público. Asimismo, señaló que quedaban en suspenso los artículos de la Constitución que no fueran compatibles con estos objetivos de gobierno. Simultáneamente, las tropas del Ejército, la Marina de Guerra, la Fuerza Aérea y de la Policía Nacional, tomaron el control de la capital y de las principales ciudades del interior, y ocuparon el Congreso, el Palacio de Justicia, medios de comunicación y locales públicos</w:t>
      </w:r>
      <w:r w:rsidR="00C367C5" w:rsidRPr="00144171">
        <w:rPr>
          <w:rStyle w:val="FootnoteReference"/>
        </w:rPr>
        <w:footnoteReference w:id="66"/>
      </w:r>
      <w:r w:rsidR="00C367C5" w:rsidRPr="00144171">
        <w:t xml:space="preserve">. </w:t>
      </w:r>
    </w:p>
    <w:p w:rsidR="001A7316" w:rsidRPr="00144171" w:rsidRDefault="001A7316" w:rsidP="001A7316">
      <w:pPr>
        <w:pStyle w:val="ListParagraph"/>
      </w:pPr>
    </w:p>
    <w:p w:rsidR="001A7316" w:rsidRPr="00144171" w:rsidRDefault="00C70EAF" w:rsidP="001A7316">
      <w:pPr>
        <w:widowControl w:val="0"/>
        <w:numPr>
          <w:ilvl w:val="0"/>
          <w:numId w:val="1"/>
        </w:numPr>
        <w:tabs>
          <w:tab w:val="left" w:pos="567"/>
          <w:tab w:val="num" w:pos="1427"/>
          <w:tab w:val="num" w:pos="11028"/>
        </w:tabs>
        <w:adjustRightInd w:val="0"/>
        <w:textAlignment w:val="baseline"/>
        <w:rPr>
          <w:rFonts w:cs="Verdana"/>
          <w:spacing w:val="-2"/>
          <w:szCs w:val="20"/>
          <w:lang w:eastAsia="es-CR"/>
        </w:rPr>
      </w:pPr>
      <w:r w:rsidRPr="00144171">
        <w:t>Además</w:t>
      </w:r>
      <w:r w:rsidR="00C367C5" w:rsidRPr="00144171">
        <w:t xml:space="preserve">, la CVR en su informe final señaló que el </w:t>
      </w:r>
      <w:r w:rsidR="00D21882" w:rsidRPr="00144171">
        <w:t>Decreto Ley No. 25.418</w:t>
      </w:r>
      <w:r w:rsidR="00C367C5" w:rsidRPr="00144171">
        <w:t xml:space="preserve"> </w:t>
      </w:r>
      <w:r w:rsidR="00D21882" w:rsidRPr="00144171">
        <w:t xml:space="preserve">conllevó a que </w:t>
      </w:r>
      <w:r w:rsidR="00DD27DD">
        <w:t xml:space="preserve">el Presidente </w:t>
      </w:r>
      <w:r w:rsidR="00D21882" w:rsidRPr="00144171">
        <w:t xml:space="preserve">Fujimori </w:t>
      </w:r>
      <w:r w:rsidR="00C367C5" w:rsidRPr="00144171">
        <w:t>tuviera poder absoluto sobre el país por nueve meses</w:t>
      </w:r>
      <w:r w:rsidR="00C367C5" w:rsidRPr="00144171">
        <w:rPr>
          <w:rStyle w:val="FootnoteReference"/>
        </w:rPr>
        <w:footnoteReference w:id="67"/>
      </w:r>
      <w:r w:rsidR="00C367C5" w:rsidRPr="00144171">
        <w:t>. Sin embargo, el Presidente Fujimori en un intento por el restablecimiento de los derechos con</w:t>
      </w:r>
      <w:r w:rsidR="00D21882" w:rsidRPr="00144171">
        <w:t>stitucionales en Perú, estableció</w:t>
      </w:r>
      <w:r w:rsidR="00C367C5" w:rsidRPr="00144171">
        <w:t xml:space="preserve"> el Congreso Constituyen</w:t>
      </w:r>
      <w:r w:rsidR="00D21882" w:rsidRPr="00144171">
        <w:t>te Democrático</w:t>
      </w:r>
      <w:r w:rsidR="006648DF">
        <w:t xml:space="preserve"> del Perú</w:t>
      </w:r>
      <w:r w:rsidR="00D21882" w:rsidRPr="00144171">
        <w:t>. Dicho Congreso,</w:t>
      </w:r>
      <w:r w:rsidR="00C367C5" w:rsidRPr="00144171">
        <w:t xml:space="preserve"> el 4 de septiembre de 1993</w:t>
      </w:r>
      <w:r w:rsidR="00D21882" w:rsidRPr="00144171">
        <w:t xml:space="preserve"> sometió</w:t>
      </w:r>
      <w:r w:rsidR="00C367C5" w:rsidRPr="00144171">
        <w:t xml:space="preserve"> a referéndum la nueva Constitución Política</w:t>
      </w:r>
      <w:r w:rsidR="00D21882" w:rsidRPr="00144171">
        <w:t>, que fue</w:t>
      </w:r>
      <w:r w:rsidR="00C367C5" w:rsidRPr="00144171">
        <w:t xml:space="preserve"> aprobada el 31 de diciembre del mismo año. </w:t>
      </w:r>
      <w:r w:rsidR="00D21882" w:rsidRPr="00144171">
        <w:t>Este</w:t>
      </w:r>
      <w:r w:rsidR="00C367C5" w:rsidRPr="00144171">
        <w:t xml:space="preserve"> cuerpo normativo establecía la posibilidad de la reelección presidencial inmediata por un solo período</w:t>
      </w:r>
      <w:r w:rsidR="00C367C5" w:rsidRPr="00144171">
        <w:rPr>
          <w:rStyle w:val="FootnoteReference"/>
        </w:rPr>
        <w:footnoteReference w:id="68"/>
      </w:r>
      <w:r w:rsidR="00C367C5" w:rsidRPr="00144171">
        <w:t xml:space="preserve">, por lo que </w:t>
      </w:r>
      <w:r w:rsidR="00BB26A6">
        <w:t xml:space="preserve">el Presidente </w:t>
      </w:r>
      <w:r w:rsidR="00C367C5" w:rsidRPr="00144171">
        <w:t xml:space="preserve">Fujimori </w:t>
      </w:r>
      <w:r w:rsidR="00D21882" w:rsidRPr="00144171">
        <w:t xml:space="preserve">fue reelecto </w:t>
      </w:r>
      <w:r w:rsidR="00C367C5" w:rsidRPr="00144171">
        <w:t xml:space="preserve">en 1995, </w:t>
      </w:r>
      <w:r w:rsidR="00D21882" w:rsidRPr="00144171">
        <w:t xml:space="preserve">permaneciendo </w:t>
      </w:r>
      <w:r w:rsidR="00C367C5" w:rsidRPr="00144171">
        <w:t>en el poder hasta el año 2000</w:t>
      </w:r>
      <w:r w:rsidR="00C367C5" w:rsidRPr="00144171">
        <w:rPr>
          <w:rStyle w:val="FootnoteReference"/>
        </w:rPr>
        <w:footnoteReference w:id="69"/>
      </w:r>
      <w:r w:rsidR="00C367C5" w:rsidRPr="00144171">
        <w:t xml:space="preserve">.  </w:t>
      </w:r>
    </w:p>
    <w:p w:rsidR="001A7316" w:rsidRPr="00144171" w:rsidRDefault="001A7316" w:rsidP="001A7316">
      <w:pPr>
        <w:pStyle w:val="ListParagraph"/>
        <w:rPr>
          <w:spacing w:val="-2"/>
          <w:szCs w:val="20"/>
        </w:rPr>
      </w:pPr>
    </w:p>
    <w:p w:rsidR="001A7316" w:rsidRPr="00144171" w:rsidRDefault="00C70EAF" w:rsidP="001A7316">
      <w:pPr>
        <w:widowControl w:val="0"/>
        <w:numPr>
          <w:ilvl w:val="0"/>
          <w:numId w:val="1"/>
        </w:numPr>
        <w:tabs>
          <w:tab w:val="left" w:pos="567"/>
          <w:tab w:val="num" w:pos="1427"/>
          <w:tab w:val="num" w:pos="11028"/>
        </w:tabs>
        <w:adjustRightInd w:val="0"/>
        <w:textAlignment w:val="baseline"/>
        <w:rPr>
          <w:rFonts w:cs="Verdana"/>
          <w:spacing w:val="-2"/>
          <w:szCs w:val="20"/>
          <w:lang w:eastAsia="es-CR"/>
        </w:rPr>
      </w:pPr>
      <w:r w:rsidRPr="00144171">
        <w:rPr>
          <w:spacing w:val="-2"/>
          <w:szCs w:val="20"/>
        </w:rPr>
        <w:t>Por otra parte</w:t>
      </w:r>
      <w:r w:rsidR="009E2748" w:rsidRPr="00144171">
        <w:rPr>
          <w:spacing w:val="-2"/>
          <w:szCs w:val="20"/>
        </w:rPr>
        <w:t xml:space="preserve">, este Tribunal dio cuenta de que </w:t>
      </w:r>
      <w:r w:rsidRPr="00144171">
        <w:rPr>
          <w:spacing w:val="-2"/>
          <w:szCs w:val="20"/>
        </w:rPr>
        <w:t xml:space="preserve">la </w:t>
      </w:r>
      <w:r w:rsidRPr="00144171">
        <w:rPr>
          <w:rFonts w:cs="Verdana"/>
          <w:spacing w:val="-2"/>
          <w:szCs w:val="20"/>
        </w:rPr>
        <w:t>CVR “</w:t>
      </w:r>
      <w:r w:rsidR="009E2748" w:rsidRPr="00144171">
        <w:rPr>
          <w:rFonts w:cs="Verdana"/>
          <w:spacing w:val="-2"/>
          <w:szCs w:val="20"/>
        </w:rPr>
        <w:t>recibió miles de denuncias sobre actos de tortura y tratos o penas crueles, inhumanos o degradantes producidos durante el período comprendido entre 1980 y 2000”, en su mayoría, cometidos por funcionarios del Estado o “bajo s</w:t>
      </w:r>
      <w:r w:rsidRPr="00144171">
        <w:rPr>
          <w:rFonts w:cs="Verdana"/>
          <w:spacing w:val="-2"/>
          <w:szCs w:val="20"/>
        </w:rPr>
        <w:t>u autorización o aquiescencia”</w:t>
      </w:r>
      <w:r w:rsidR="00C44BA4" w:rsidRPr="00144171">
        <w:rPr>
          <w:rFonts w:cs="Verdana"/>
          <w:spacing w:val="-2"/>
          <w:szCs w:val="20"/>
        </w:rPr>
        <w:t xml:space="preserve">.  </w:t>
      </w:r>
      <w:r w:rsidR="00174115" w:rsidRPr="00144171">
        <w:rPr>
          <w:spacing w:val="-4"/>
          <w:szCs w:val="20"/>
          <w:lang w:val="es-PR"/>
        </w:rPr>
        <w:t xml:space="preserve">Asimismo, </w:t>
      </w:r>
      <w:r w:rsidRPr="00144171">
        <w:rPr>
          <w:spacing w:val="-4"/>
          <w:szCs w:val="20"/>
          <w:lang w:val="es-PR"/>
        </w:rPr>
        <w:t>“</w:t>
      </w:r>
      <w:r w:rsidR="00174115" w:rsidRPr="00144171">
        <w:rPr>
          <w:rFonts w:cs="Verdana"/>
          <w:spacing w:val="-2"/>
          <w:szCs w:val="20"/>
        </w:rPr>
        <w:t xml:space="preserve">afirmó que, de 6.443 actos de tortura y tratos o penas crueles, inhumanos o degradantes registrados por dicho órgano, el ‘75% </w:t>
      </w:r>
      <w:proofErr w:type="spellStart"/>
      <w:proofErr w:type="gramStart"/>
      <w:r w:rsidR="00174115" w:rsidRPr="00144171">
        <w:rPr>
          <w:rFonts w:cs="Verdana"/>
          <w:spacing w:val="-2"/>
          <w:szCs w:val="20"/>
        </w:rPr>
        <w:t>correspond</w:t>
      </w:r>
      <w:proofErr w:type="spellEnd"/>
      <w:r w:rsidR="00174115" w:rsidRPr="00144171">
        <w:rPr>
          <w:rFonts w:cs="Verdana"/>
          <w:spacing w:val="-2"/>
          <w:szCs w:val="20"/>
        </w:rPr>
        <w:t>[</w:t>
      </w:r>
      <w:proofErr w:type="spellStart"/>
      <w:proofErr w:type="gramEnd"/>
      <w:r w:rsidR="00174115" w:rsidRPr="00144171">
        <w:rPr>
          <w:rFonts w:cs="Verdana"/>
          <w:spacing w:val="-2"/>
          <w:szCs w:val="20"/>
        </w:rPr>
        <w:t>ió</w:t>
      </w:r>
      <w:proofErr w:type="spellEnd"/>
      <w:r w:rsidR="00174115" w:rsidRPr="00144171">
        <w:rPr>
          <w:rFonts w:cs="Verdana"/>
          <w:spacing w:val="-2"/>
          <w:szCs w:val="20"/>
        </w:rPr>
        <w:t>] a acciones atribuidas a funcionarios del [E]</w:t>
      </w:r>
      <w:proofErr w:type="spellStart"/>
      <w:r w:rsidR="00174115" w:rsidRPr="00144171">
        <w:rPr>
          <w:rFonts w:cs="Verdana"/>
          <w:spacing w:val="-2"/>
          <w:szCs w:val="20"/>
        </w:rPr>
        <w:t>stado</w:t>
      </w:r>
      <w:proofErr w:type="spellEnd"/>
      <w:r w:rsidR="00174115" w:rsidRPr="00144171">
        <w:rPr>
          <w:rFonts w:cs="Verdana"/>
          <w:spacing w:val="-2"/>
          <w:szCs w:val="20"/>
        </w:rPr>
        <w:t xml:space="preserve"> o personas que actuaron bajo su autorización y/o aquiescencia’, mientras que el 23% correspondió al grupo subversivo Sendero Luminoso”.</w:t>
      </w:r>
      <w:r w:rsidR="00174115" w:rsidRPr="00144171">
        <w:rPr>
          <w:spacing w:val="-4"/>
          <w:szCs w:val="20"/>
          <w:lang w:val="es-PR"/>
        </w:rPr>
        <w:t xml:space="preserve"> </w:t>
      </w:r>
      <w:r w:rsidR="00174115" w:rsidRPr="00144171">
        <w:rPr>
          <w:color w:val="000000"/>
          <w:spacing w:val="-2"/>
          <w:szCs w:val="20"/>
        </w:rPr>
        <w:t xml:space="preserve">Sin perjuicio de lo anterior, la Corte también toma nota de lo advertido por el Estado en su escrito de contestación, respecto a que la CVR también afirmó que hubo “un descenso de víctimas por acción de agentes del Estado […] en los años más intensos del conflicto armado interno (1989 – 1993), mientras que durante esos mismos años Sendero Luminoso desplegaba una desbordante violencia terrorista contra los pueblos quechua y </w:t>
      </w:r>
      <w:proofErr w:type="spellStart"/>
      <w:r w:rsidR="00174115" w:rsidRPr="00144171">
        <w:rPr>
          <w:color w:val="000000"/>
          <w:spacing w:val="-2"/>
          <w:szCs w:val="20"/>
        </w:rPr>
        <w:t>asháninka</w:t>
      </w:r>
      <w:proofErr w:type="spellEnd"/>
      <w:r w:rsidR="00174115" w:rsidRPr="00144171">
        <w:rPr>
          <w:color w:val="000000"/>
          <w:spacing w:val="-2"/>
          <w:szCs w:val="20"/>
        </w:rPr>
        <w:t>, y también contra la población urbana”</w:t>
      </w:r>
      <w:r w:rsidR="00174115" w:rsidRPr="00144171">
        <w:rPr>
          <w:rFonts w:cs="Verdana"/>
          <w:spacing w:val="-2"/>
          <w:szCs w:val="20"/>
          <w:vertAlign w:val="superscript"/>
        </w:rPr>
        <w:footnoteReference w:id="70"/>
      </w:r>
      <w:r w:rsidR="00174115" w:rsidRPr="00144171">
        <w:rPr>
          <w:color w:val="000000"/>
          <w:spacing w:val="-2"/>
          <w:szCs w:val="20"/>
        </w:rPr>
        <w:t>.</w:t>
      </w:r>
      <w:r w:rsidR="00174115" w:rsidRPr="00144171">
        <w:rPr>
          <w:color w:val="000000"/>
          <w:spacing w:val="-2"/>
          <w:sz w:val="16"/>
          <w:szCs w:val="16"/>
        </w:rPr>
        <w:t xml:space="preserve"> </w:t>
      </w:r>
    </w:p>
    <w:p w:rsidR="001A7316" w:rsidRPr="00144171" w:rsidRDefault="001A7316" w:rsidP="001A7316">
      <w:pPr>
        <w:widowControl w:val="0"/>
        <w:tabs>
          <w:tab w:val="left" w:pos="567"/>
          <w:tab w:val="num" w:pos="18282"/>
        </w:tabs>
        <w:adjustRightInd w:val="0"/>
        <w:textAlignment w:val="baseline"/>
        <w:rPr>
          <w:rFonts w:cs="Verdana"/>
          <w:spacing w:val="-2"/>
          <w:szCs w:val="20"/>
          <w:lang w:eastAsia="es-CR"/>
        </w:rPr>
      </w:pPr>
    </w:p>
    <w:p w:rsidR="00174115" w:rsidRPr="00144171" w:rsidRDefault="00174115" w:rsidP="001A7316">
      <w:pPr>
        <w:widowControl w:val="0"/>
        <w:numPr>
          <w:ilvl w:val="0"/>
          <w:numId w:val="1"/>
        </w:numPr>
        <w:tabs>
          <w:tab w:val="left" w:pos="567"/>
          <w:tab w:val="num" w:pos="1427"/>
          <w:tab w:val="num" w:pos="11028"/>
        </w:tabs>
        <w:adjustRightInd w:val="0"/>
        <w:textAlignment w:val="baseline"/>
        <w:rPr>
          <w:rFonts w:cs="Verdana"/>
          <w:spacing w:val="-2"/>
          <w:szCs w:val="20"/>
          <w:lang w:eastAsia="es-CR"/>
        </w:rPr>
      </w:pPr>
      <w:r w:rsidRPr="00144171">
        <w:rPr>
          <w:color w:val="000000"/>
          <w:spacing w:val="-2"/>
          <w:szCs w:val="20"/>
        </w:rPr>
        <w:t>También señaló</w:t>
      </w:r>
      <w:r w:rsidR="00D21882" w:rsidRPr="00144171">
        <w:rPr>
          <w:color w:val="000000"/>
          <w:spacing w:val="-2"/>
          <w:szCs w:val="20"/>
        </w:rPr>
        <w:t xml:space="preserve"> la CVR</w:t>
      </w:r>
      <w:r w:rsidRPr="00144171">
        <w:rPr>
          <w:color w:val="000000"/>
          <w:spacing w:val="-2"/>
          <w:szCs w:val="20"/>
        </w:rPr>
        <w:t xml:space="preserve"> la existencia de “detenciones ilegales o de hecho”.</w:t>
      </w:r>
      <w:r w:rsidRPr="00144171">
        <w:rPr>
          <w:spacing w:val="-4"/>
        </w:rPr>
        <w:t xml:space="preserve"> </w:t>
      </w:r>
      <w:r w:rsidR="00D21882" w:rsidRPr="00144171">
        <w:rPr>
          <w:spacing w:val="-4"/>
        </w:rPr>
        <w:t>I</w:t>
      </w:r>
      <w:r w:rsidRPr="00144171">
        <w:rPr>
          <w:spacing w:val="-4"/>
        </w:rPr>
        <w:t xml:space="preserve">ndicó que “existió [un] universo de carácter oculto constituido por miles de personas detenidas cuya magnitud es imposible de calcular. Se trata de probablemente </w:t>
      </w:r>
      <w:r w:rsidR="00D21882" w:rsidRPr="00144171">
        <w:rPr>
          <w:spacing w:val="-4"/>
        </w:rPr>
        <w:t xml:space="preserve">de </w:t>
      </w:r>
      <w:r w:rsidRPr="00144171">
        <w:rPr>
          <w:spacing w:val="-4"/>
        </w:rPr>
        <w:t>varias decenas de miles de personas cuya detención nunca fue reportada ni al Ministerio Público ni al Juez Penal, a pesar de existir un mandato expreso en tal sentido establecido por la Constitución Política del Perú e inclusive por las leyes especiales que regularon la lucha contrasubversiva. Los agentes de este tipo de detención ilegal o de hecho fueron miembros de las Fuerzas Armadas pero también de las Fuerzas Policiales”. También que, en relación con los “[e]</w:t>
      </w:r>
      <w:proofErr w:type="spellStart"/>
      <w:r w:rsidRPr="00144171">
        <w:rPr>
          <w:spacing w:val="-4"/>
        </w:rPr>
        <w:t>stados</w:t>
      </w:r>
      <w:proofErr w:type="spellEnd"/>
      <w:r w:rsidRPr="00144171">
        <w:rPr>
          <w:spacing w:val="-4"/>
        </w:rPr>
        <w:t xml:space="preserve"> de emergencia”, que “[l]as detenciones ilegales o de hecho, en tanto no se ajustaban a una duración determinada por ley, se prolongaban según la voluntad de los captores. Esta situación acompañada de la </w:t>
      </w:r>
      <w:r w:rsidRPr="00144171">
        <w:rPr>
          <w:spacing w:val="-4"/>
        </w:rPr>
        <w:lastRenderedPageBreak/>
        <w:t>incomunicación a nivel policial o militar, aisló al detenido del mundo exterior</w:t>
      </w:r>
      <w:r w:rsidR="00433C91">
        <w:rPr>
          <w:spacing w:val="-4"/>
        </w:rPr>
        <w:t>”</w:t>
      </w:r>
      <w:r w:rsidRPr="00144171">
        <w:rPr>
          <w:rStyle w:val="FootnoteReference"/>
          <w:color w:val="000000"/>
          <w:spacing w:val="-2"/>
          <w:szCs w:val="20"/>
        </w:rPr>
        <w:footnoteReference w:id="71"/>
      </w:r>
      <w:r w:rsidRPr="00144171">
        <w:rPr>
          <w:color w:val="000000"/>
          <w:spacing w:val="-2"/>
          <w:szCs w:val="20"/>
        </w:rPr>
        <w:t>.</w:t>
      </w:r>
    </w:p>
    <w:p w:rsidR="00174115" w:rsidRPr="00594314" w:rsidRDefault="00174115" w:rsidP="00174115">
      <w:pPr>
        <w:tabs>
          <w:tab w:val="left" w:pos="426"/>
        </w:tabs>
        <w:autoSpaceDE w:val="0"/>
        <w:autoSpaceDN w:val="0"/>
        <w:rPr>
          <w:rFonts w:cs="Verdana"/>
          <w:spacing w:val="-4"/>
          <w:sz w:val="16"/>
          <w:szCs w:val="16"/>
        </w:rPr>
      </w:pPr>
    </w:p>
    <w:p w:rsidR="00BF71E5" w:rsidRPr="00BF71E5" w:rsidRDefault="009E2748" w:rsidP="00E44FB3">
      <w:pPr>
        <w:widowControl w:val="0"/>
        <w:numPr>
          <w:ilvl w:val="0"/>
          <w:numId w:val="1"/>
        </w:numPr>
        <w:tabs>
          <w:tab w:val="left" w:pos="567"/>
          <w:tab w:val="num" w:pos="1427"/>
          <w:tab w:val="num" w:pos="11028"/>
        </w:tabs>
        <w:adjustRightInd w:val="0"/>
        <w:textAlignment w:val="baseline"/>
        <w:rPr>
          <w:rFonts w:cs="Verdana"/>
          <w:spacing w:val="-2"/>
          <w:szCs w:val="20"/>
          <w:lang w:eastAsia="es-CR"/>
        </w:rPr>
      </w:pPr>
      <w:r w:rsidRPr="00BF71E5">
        <w:rPr>
          <w:rFonts w:cs="Verdana"/>
          <w:spacing w:val="-2"/>
          <w:szCs w:val="20"/>
        </w:rPr>
        <w:t>La CVR concluyó que “</w:t>
      </w:r>
      <w:r w:rsidRPr="00BF71E5">
        <w:rPr>
          <w:color w:val="000000"/>
          <w:spacing w:val="-2"/>
          <w:szCs w:val="20"/>
        </w:rPr>
        <w:t>‘la tortura y otros tratos o penas crueles, inhumanos o degradantes constituyeron una práctica sistemática y generalizada en el contexto de la lucha contrasubversiva’”</w:t>
      </w:r>
      <w:r w:rsidRPr="003137EA">
        <w:rPr>
          <w:rFonts w:cs="Verdana"/>
          <w:spacing w:val="-2"/>
          <w:vertAlign w:val="superscript"/>
        </w:rPr>
        <w:footnoteReference w:id="72"/>
      </w:r>
      <w:r w:rsidRPr="00BF71E5">
        <w:rPr>
          <w:color w:val="000000"/>
          <w:spacing w:val="-2"/>
          <w:szCs w:val="20"/>
        </w:rPr>
        <w:t>. También señaló la existencia de “detenciones ilegales o de hecho”</w:t>
      </w:r>
      <w:r w:rsidRPr="00701DE6">
        <w:rPr>
          <w:rStyle w:val="FootnoteReference"/>
          <w:color w:val="000000"/>
          <w:spacing w:val="-2"/>
          <w:szCs w:val="20"/>
        </w:rPr>
        <w:footnoteReference w:id="73"/>
      </w:r>
      <w:r w:rsidRPr="00BF71E5">
        <w:rPr>
          <w:color w:val="000000"/>
          <w:spacing w:val="-2"/>
          <w:szCs w:val="20"/>
        </w:rPr>
        <w:t>.</w:t>
      </w:r>
      <w:r w:rsidR="00E44FB3" w:rsidRPr="00BF71E5">
        <w:rPr>
          <w:color w:val="000000"/>
          <w:spacing w:val="-2"/>
          <w:szCs w:val="20"/>
        </w:rPr>
        <w:t xml:space="preserve"> Además, expresó que</w:t>
      </w:r>
    </w:p>
    <w:p w:rsidR="00BF71E5" w:rsidRDefault="00BF71E5" w:rsidP="00BF71E5">
      <w:pPr>
        <w:widowControl w:val="0"/>
        <w:tabs>
          <w:tab w:val="left" w:pos="567"/>
          <w:tab w:val="num" w:pos="11028"/>
        </w:tabs>
        <w:adjustRightInd w:val="0"/>
        <w:textAlignment w:val="baseline"/>
        <w:rPr>
          <w:color w:val="000000"/>
          <w:spacing w:val="-2"/>
          <w:szCs w:val="20"/>
        </w:rPr>
      </w:pPr>
    </w:p>
    <w:p w:rsidR="00BF71E5" w:rsidRDefault="00E44FB3" w:rsidP="001A547E">
      <w:pPr>
        <w:widowControl w:val="0"/>
        <w:tabs>
          <w:tab w:val="left" w:pos="567"/>
          <w:tab w:val="num" w:pos="11028"/>
        </w:tabs>
        <w:adjustRightInd w:val="0"/>
        <w:ind w:left="567" w:right="720"/>
        <w:textAlignment w:val="baseline"/>
        <w:rPr>
          <w:sz w:val="16"/>
          <w:szCs w:val="16"/>
        </w:rPr>
      </w:pPr>
      <w:proofErr w:type="gramStart"/>
      <w:r w:rsidRPr="00BF71E5">
        <w:rPr>
          <w:sz w:val="16"/>
          <w:szCs w:val="16"/>
        </w:rPr>
        <w:t>durante</w:t>
      </w:r>
      <w:proofErr w:type="gramEnd"/>
      <w:r w:rsidRPr="00BF71E5">
        <w:rPr>
          <w:sz w:val="16"/>
          <w:szCs w:val="16"/>
        </w:rPr>
        <w:t xml:space="preserve"> el período 1980-2000 se configuró una situación caracterizada por el estado de indefensión de las personas detenidas ilegalmente o de hecho y a quienes se les imputaba el delito de terrorismo. En esto contribuyeron diversos factores: por un lado, el desconocimiento por parte de las víctimas, en su mayoría campesinos, tanto de sus derechos fundamentales legalmente reconocidos como de los mecanismos de protección de éstos; y, por el otro, debido a que las autoridades civiles (jueces y fiscales) fueron renuentes generalmente en asegurar una eficaz aplicación de las acciones de garantía. De esta forma, las acciones de garantía tuvieron en la realidad una vigencia meramente formal[. …H]</w:t>
      </w:r>
      <w:proofErr w:type="spellStart"/>
      <w:r w:rsidRPr="00BF71E5">
        <w:rPr>
          <w:bCs/>
          <w:sz w:val="16"/>
          <w:szCs w:val="16"/>
        </w:rPr>
        <w:t>a</w:t>
      </w:r>
      <w:proofErr w:type="spellEnd"/>
      <w:r w:rsidRPr="00BF71E5">
        <w:rPr>
          <w:bCs/>
          <w:sz w:val="16"/>
          <w:szCs w:val="16"/>
        </w:rPr>
        <w:t xml:space="preserve"> sido posible identificar prácticas que en razón de su frecuencia e intensidad evidencian la ineficacia de las garantías judiciales durante los Estados de Emergencia[. …] La abstención del Poder Judicial en aquellos casos en los que se interpusieron acciones de Hábeas Corpus, se justificó, generalmente, en la prohibición impuesta mediante Ley 23506, de dar curso a las acciones de Hábeas Corpus y de Amparo</w:t>
      </w:r>
      <w:r w:rsidR="00BF71E5" w:rsidRPr="00BF71E5">
        <w:rPr>
          <w:bCs/>
          <w:sz w:val="16"/>
          <w:szCs w:val="16"/>
        </w:rPr>
        <w:t>[. …]</w:t>
      </w:r>
      <w:r w:rsidRPr="00BF71E5">
        <w:rPr>
          <w:sz w:val="16"/>
          <w:szCs w:val="16"/>
        </w:rPr>
        <w:t xml:space="preserve"> La prohibición estuvo vigente desde diciembre de 1982 hasta diciembre de 1993.</w:t>
      </w:r>
      <w:r w:rsidR="00BF71E5">
        <w:rPr>
          <w:sz w:val="16"/>
          <w:szCs w:val="16"/>
        </w:rPr>
        <w:t xml:space="preserve"> </w:t>
      </w:r>
    </w:p>
    <w:p w:rsidR="00BF71E5" w:rsidRDefault="00BF71E5" w:rsidP="00BF71E5">
      <w:pPr>
        <w:widowControl w:val="0"/>
        <w:tabs>
          <w:tab w:val="left" w:pos="567"/>
          <w:tab w:val="num" w:pos="11028"/>
        </w:tabs>
        <w:adjustRightInd w:val="0"/>
        <w:ind w:left="567" w:right="855"/>
        <w:textAlignment w:val="baseline"/>
        <w:rPr>
          <w:sz w:val="16"/>
          <w:szCs w:val="16"/>
        </w:rPr>
      </w:pPr>
    </w:p>
    <w:p w:rsidR="009E2748" w:rsidRPr="00B72D8C" w:rsidRDefault="009E2748" w:rsidP="00722414">
      <w:pPr>
        <w:pStyle w:val="ListParagraph"/>
        <w:numPr>
          <w:ilvl w:val="0"/>
          <w:numId w:val="10"/>
        </w:numPr>
        <w:ind w:left="567" w:firstLine="0"/>
        <w:outlineLvl w:val="1"/>
        <w:rPr>
          <w:b/>
          <w:i/>
          <w:sz w:val="20"/>
          <w:szCs w:val="20"/>
          <w:lang w:val="es-CR"/>
        </w:rPr>
      </w:pPr>
      <w:bookmarkStart w:id="214" w:name="_Toc415507375"/>
      <w:bookmarkStart w:id="215" w:name="_Toc418530464"/>
      <w:bookmarkStart w:id="216" w:name="_Toc420941726"/>
      <w:bookmarkStart w:id="217" w:name="_Toc424313479"/>
      <w:bookmarkStart w:id="218" w:name="_Toc430869781"/>
      <w:bookmarkStart w:id="219" w:name="_Toc438129702"/>
      <w:r w:rsidRPr="00B72D8C">
        <w:rPr>
          <w:b/>
          <w:i/>
          <w:sz w:val="20"/>
          <w:szCs w:val="20"/>
          <w:lang w:val="es-CR"/>
        </w:rPr>
        <w:t>Marco Normativo Interno Pertinente</w:t>
      </w:r>
      <w:bookmarkEnd w:id="214"/>
      <w:bookmarkEnd w:id="215"/>
      <w:bookmarkEnd w:id="216"/>
      <w:bookmarkEnd w:id="217"/>
      <w:bookmarkEnd w:id="218"/>
      <w:bookmarkEnd w:id="219"/>
    </w:p>
    <w:p w:rsidR="009E2748" w:rsidRDefault="009E2748" w:rsidP="009E2748">
      <w:pPr>
        <w:pStyle w:val="ListParagraph"/>
        <w:ind w:left="0"/>
        <w:jc w:val="both"/>
        <w:rPr>
          <w:lang w:val="es-CR"/>
        </w:rPr>
      </w:pPr>
    </w:p>
    <w:p w:rsidR="009E2748" w:rsidRPr="009C2178" w:rsidRDefault="009E2748" w:rsidP="00272138">
      <w:pPr>
        <w:pStyle w:val="Estilo1"/>
        <w:spacing w:after="0"/>
        <w:rPr>
          <w:lang w:val="es-CR"/>
        </w:rPr>
      </w:pPr>
      <w:r w:rsidRPr="009C2178">
        <w:rPr>
          <w:lang w:val="es-CR"/>
        </w:rPr>
        <w:t>Al momento de los hechos del caso, que ocurrieron a partir de mediados de septiembre de 1994, se encontraba vigente en Perú normativa que establecía un “estado de emergencia”. El régimen de excepción estuvo vigente desde el 11 de agosto de 1994 hasta el 6 de febrero de 1995</w:t>
      </w:r>
      <w:r w:rsidRPr="00242AA4">
        <w:rPr>
          <w:rStyle w:val="FootnoteReference"/>
          <w:lang w:val="es-CR"/>
        </w:rPr>
        <w:footnoteReference w:id="74"/>
      </w:r>
      <w:r w:rsidRPr="009C2178">
        <w:rPr>
          <w:lang w:val="es-CR"/>
        </w:rPr>
        <w:t xml:space="preserve">, el cual suspendió las garantías constitucionales contempladas, entre otras, en el artículo 2.24 inciso f) de la Constitución Política del Perú y dispuso que las Fuerzas Armadas asumieran el control del orden público. Asimismo, la legislación penal que tipifica el delito “terrorismo”, así como un régimen de “arrepentimiento” mediante el cual se otorgaban determinados beneficios relativos al régimen penal aplicable a quienes brindaran información sobre actos terroristas. </w:t>
      </w:r>
      <w:r w:rsidRPr="001A4A05">
        <w:rPr>
          <w:lang w:val="es-CR"/>
        </w:rPr>
        <w:t>Posteriormente</w:t>
      </w:r>
      <w:r w:rsidR="00BF4146">
        <w:rPr>
          <w:lang w:val="es-CR"/>
        </w:rPr>
        <w:t>,</w:t>
      </w:r>
      <w:r w:rsidRPr="001A4A05">
        <w:rPr>
          <w:lang w:val="es-CR"/>
        </w:rPr>
        <w:t xml:space="preserve"> se sancionó</w:t>
      </w:r>
      <w:r w:rsidRPr="009C2178">
        <w:rPr>
          <w:lang w:val="es-CR"/>
        </w:rPr>
        <w:t xml:space="preserve"> legislación que amnistiaba a personas vinculadas a hechos cometidos en el marco de la “lucha contra el terrorismo y que pudieran haber sido cometidos […] desde mayo de 1980” hasta junio de 1995. </w:t>
      </w:r>
    </w:p>
    <w:p w:rsidR="00757437" w:rsidRPr="00DF3EE2" w:rsidRDefault="00757437" w:rsidP="00DF3EE2">
      <w:pPr>
        <w:rPr>
          <w:b/>
          <w:szCs w:val="20"/>
          <w:lang w:val="es-CR"/>
        </w:rPr>
      </w:pPr>
    </w:p>
    <w:p w:rsidR="00757437" w:rsidRPr="00135986" w:rsidRDefault="00757437" w:rsidP="00272138">
      <w:pPr>
        <w:pStyle w:val="ListParagraph"/>
        <w:jc w:val="both"/>
        <w:rPr>
          <w:b/>
          <w:sz w:val="20"/>
          <w:szCs w:val="20"/>
          <w:lang w:val="es-CR"/>
        </w:rPr>
      </w:pPr>
    </w:p>
    <w:p w:rsidR="009E2748" w:rsidRPr="00144171" w:rsidRDefault="009E2748" w:rsidP="00722414">
      <w:pPr>
        <w:pStyle w:val="Heading3"/>
        <w:ind w:left="851"/>
        <w:rPr>
          <w:spacing w:val="0"/>
          <w:w w:val="100"/>
        </w:rPr>
      </w:pPr>
      <w:bookmarkStart w:id="220" w:name="_Toc415507376"/>
      <w:bookmarkStart w:id="221" w:name="_Toc418530465"/>
      <w:bookmarkStart w:id="222" w:name="_Toc420941727"/>
      <w:bookmarkStart w:id="223" w:name="_Toc424313480"/>
      <w:bookmarkStart w:id="224" w:name="_Toc430869782"/>
      <w:bookmarkStart w:id="225" w:name="_Toc438129703"/>
      <w:r>
        <w:rPr>
          <w:b w:val="0"/>
          <w:spacing w:val="0"/>
          <w:w w:val="100"/>
        </w:rPr>
        <w:t>B.1</w:t>
      </w:r>
      <w:r w:rsidR="00067CB9">
        <w:rPr>
          <w:b w:val="0"/>
          <w:spacing w:val="0"/>
          <w:w w:val="100"/>
        </w:rPr>
        <w:t>.</w:t>
      </w:r>
      <w:r>
        <w:rPr>
          <w:b w:val="0"/>
          <w:spacing w:val="0"/>
          <w:w w:val="100"/>
        </w:rPr>
        <w:t xml:space="preserve"> </w:t>
      </w:r>
      <w:r>
        <w:rPr>
          <w:b w:val="0"/>
          <w:spacing w:val="0"/>
          <w:w w:val="100"/>
        </w:rPr>
        <w:tab/>
        <w:t>Normativa</w:t>
      </w:r>
      <w:r w:rsidRPr="000F56FB">
        <w:rPr>
          <w:b w:val="0"/>
          <w:spacing w:val="0"/>
          <w:w w:val="100"/>
        </w:rPr>
        <w:t xml:space="preserve"> referida a la Constitución y la declaración del “Régimen de Excepción</w:t>
      </w:r>
      <w:r w:rsidRPr="00144171">
        <w:rPr>
          <w:b w:val="0"/>
          <w:spacing w:val="0"/>
          <w:w w:val="100"/>
        </w:rPr>
        <w:t>”</w:t>
      </w:r>
      <w:bookmarkEnd w:id="220"/>
      <w:bookmarkEnd w:id="221"/>
      <w:bookmarkEnd w:id="222"/>
      <w:bookmarkEnd w:id="223"/>
      <w:bookmarkEnd w:id="224"/>
      <w:r w:rsidR="00E072C0" w:rsidRPr="00144171">
        <w:rPr>
          <w:b w:val="0"/>
          <w:spacing w:val="0"/>
          <w:w w:val="100"/>
        </w:rPr>
        <w:t xml:space="preserve"> vigente al momento de los hechos</w:t>
      </w:r>
      <w:bookmarkEnd w:id="225"/>
    </w:p>
    <w:p w:rsidR="009E2748" w:rsidRPr="00144171" w:rsidRDefault="009E2748" w:rsidP="00272138">
      <w:pPr>
        <w:pStyle w:val="ListParagraph"/>
        <w:ind w:left="0"/>
        <w:jc w:val="both"/>
        <w:rPr>
          <w:b/>
          <w:sz w:val="20"/>
          <w:szCs w:val="20"/>
          <w:lang w:val="es-CR"/>
        </w:rPr>
      </w:pPr>
    </w:p>
    <w:p w:rsidR="009E2748" w:rsidRDefault="000C3720" w:rsidP="009E2748">
      <w:pPr>
        <w:pStyle w:val="Estilo1"/>
        <w:spacing w:after="0"/>
        <w:rPr>
          <w:lang w:val="es-CR"/>
        </w:rPr>
      </w:pPr>
      <w:r w:rsidRPr="00951BD8">
        <w:rPr>
          <w:lang w:val="es-CR"/>
        </w:rPr>
        <w:t>El 6 de abril de 1992</w:t>
      </w:r>
      <w:r w:rsidR="009E2748" w:rsidRPr="00951BD8">
        <w:rPr>
          <w:lang w:val="es-CR"/>
        </w:rPr>
        <w:t xml:space="preserve"> el entonces Presidente de Perú, Alberto Fujimori, expidió el Decreto-Ley No. 25418: “Ley de bases del Gobierno de Emergencia y Reconstrucción </w:t>
      </w:r>
      <w:r w:rsidR="009E2748" w:rsidRPr="00951BD8">
        <w:rPr>
          <w:lang w:val="es-CR"/>
        </w:rPr>
        <w:lastRenderedPageBreak/>
        <w:t>Nacional”</w:t>
      </w:r>
      <w:r w:rsidR="009E2748" w:rsidRPr="00135986">
        <w:rPr>
          <w:rStyle w:val="FootnoteReference"/>
          <w:lang w:val="es-CR"/>
        </w:rPr>
        <w:footnoteReference w:id="75"/>
      </w:r>
      <w:r w:rsidR="009E2748" w:rsidRPr="00951BD8">
        <w:rPr>
          <w:lang w:val="es-CR"/>
        </w:rPr>
        <w:t xml:space="preserve">, que dispuso la disolución temporal del Congreso y la intervención del Poder Judicial, Ministerio Público y Contraloría General de la República. </w:t>
      </w:r>
    </w:p>
    <w:p w:rsidR="00951BD8" w:rsidRPr="00951BD8" w:rsidRDefault="00951BD8" w:rsidP="00951BD8">
      <w:pPr>
        <w:pStyle w:val="Estilo1"/>
        <w:numPr>
          <w:ilvl w:val="0"/>
          <w:numId w:val="0"/>
        </w:numPr>
        <w:spacing w:after="0"/>
        <w:rPr>
          <w:lang w:val="es-CR"/>
        </w:rPr>
      </w:pPr>
    </w:p>
    <w:p w:rsidR="009E2748" w:rsidRPr="00834F27" w:rsidRDefault="009E2748" w:rsidP="00272138">
      <w:pPr>
        <w:pStyle w:val="Estilo1"/>
        <w:spacing w:after="0"/>
        <w:rPr>
          <w:sz w:val="16"/>
          <w:szCs w:val="16"/>
          <w:lang w:val="es-CR"/>
        </w:rPr>
      </w:pPr>
      <w:r w:rsidRPr="00135986">
        <w:rPr>
          <w:lang w:val="es-CR"/>
        </w:rPr>
        <w:t>El 1 de enero de 1994 entró en vigencia la nueva Constitución del Perú</w:t>
      </w:r>
      <w:r w:rsidRPr="00135986">
        <w:rPr>
          <w:rStyle w:val="FootnoteReference"/>
          <w:lang w:val="es-CR"/>
        </w:rPr>
        <w:footnoteReference w:id="76"/>
      </w:r>
      <w:r w:rsidRPr="00135986">
        <w:rPr>
          <w:lang w:val="es-CR"/>
        </w:rPr>
        <w:t>, y el Gobierno decidió declarar el Estado de Emergencia primero en Ayacucho y luego progresivamente en una parte importante del territorio nacional</w:t>
      </w:r>
      <w:r w:rsidRPr="00135986">
        <w:rPr>
          <w:rStyle w:val="FootnoteReference"/>
          <w:lang w:val="es-CR"/>
        </w:rPr>
        <w:footnoteReference w:id="77"/>
      </w:r>
      <w:r>
        <w:rPr>
          <w:lang w:val="es-CR"/>
        </w:rPr>
        <w:t>, con fundamento</w:t>
      </w:r>
      <w:r w:rsidRPr="00135986">
        <w:rPr>
          <w:lang w:val="es-CR"/>
        </w:rPr>
        <w:t xml:space="preserve"> en el </w:t>
      </w:r>
      <w:r>
        <w:rPr>
          <w:lang w:val="es-CR"/>
        </w:rPr>
        <w:t xml:space="preserve">artículo </w:t>
      </w:r>
      <w:r w:rsidRPr="00135986">
        <w:rPr>
          <w:lang w:val="es-CR"/>
        </w:rPr>
        <w:t>137 de la Constitución</w:t>
      </w:r>
      <w:r w:rsidR="00575887">
        <w:rPr>
          <w:lang w:val="es-CR"/>
        </w:rPr>
        <w:t xml:space="preserve"> que preveía tal facultad</w:t>
      </w:r>
      <w:r w:rsidR="00433C91">
        <w:rPr>
          <w:lang w:val="es-CR"/>
        </w:rPr>
        <w:t>.</w:t>
      </w:r>
    </w:p>
    <w:p w:rsidR="009E2748" w:rsidRDefault="009E2748" w:rsidP="00272138">
      <w:pPr>
        <w:pStyle w:val="ListParagraph"/>
        <w:rPr>
          <w:iCs/>
        </w:rPr>
      </w:pPr>
    </w:p>
    <w:p w:rsidR="009E2748" w:rsidRPr="00834F27" w:rsidRDefault="009E2748" w:rsidP="00272138">
      <w:pPr>
        <w:pStyle w:val="Estilo1"/>
        <w:spacing w:after="0"/>
        <w:rPr>
          <w:sz w:val="16"/>
          <w:szCs w:val="16"/>
          <w:lang w:val="es-CR"/>
        </w:rPr>
      </w:pPr>
      <w:r w:rsidRPr="00834F27">
        <w:rPr>
          <w:iCs/>
        </w:rPr>
        <w:t xml:space="preserve">El 10 de octubre de 1994 se publicó en el Diario Oficial “El Peruano” el Decreto Supremo No. 084 DE/CCFFAA, que </w:t>
      </w:r>
      <w:r w:rsidR="00D21882" w:rsidRPr="00144171">
        <w:rPr>
          <w:iCs/>
        </w:rPr>
        <w:t xml:space="preserve">determinó </w:t>
      </w:r>
      <w:r w:rsidRPr="00834F27">
        <w:rPr>
          <w:iCs/>
        </w:rPr>
        <w:t>una prórroga del estado de emergencia por el término de sesenta días a partir del 10 de octubre de 1994 en diversos</w:t>
      </w:r>
      <w:r w:rsidR="00D21882">
        <w:rPr>
          <w:iCs/>
        </w:rPr>
        <w:t xml:space="preserve"> d</w:t>
      </w:r>
      <w:r w:rsidRPr="00834F27">
        <w:rPr>
          <w:iCs/>
        </w:rPr>
        <w:t>epartamentos del país, entre ellos, Huánuco. El segundo artículo de la norma determinó la suspensión de la garantía constitucional</w:t>
      </w:r>
      <w:r w:rsidR="00D21882">
        <w:rPr>
          <w:iCs/>
        </w:rPr>
        <w:t xml:space="preserve"> </w:t>
      </w:r>
      <w:r w:rsidRPr="00834F27">
        <w:rPr>
          <w:iCs/>
        </w:rPr>
        <w:t>contemplada en el artículo 2 inciso 24, apartado f</w:t>
      </w:r>
      <w:r w:rsidR="0093672C">
        <w:rPr>
          <w:iCs/>
        </w:rPr>
        <w:t>)</w:t>
      </w:r>
      <w:r w:rsidRPr="00834F27">
        <w:rPr>
          <w:iCs/>
        </w:rPr>
        <w:t xml:space="preserve"> de la Constitución Política del Perú, que indica que “</w:t>
      </w:r>
      <w:r w:rsidR="006D7848">
        <w:rPr>
          <w:rFonts w:eastAsiaTheme="minorHAnsi" w:cs="Tahoma"/>
          <w:lang w:val="es-CR"/>
        </w:rPr>
        <w:t>[n]</w:t>
      </w:r>
      <w:proofErr w:type="spellStart"/>
      <w:r w:rsidRPr="00834F27">
        <w:rPr>
          <w:rFonts w:eastAsiaTheme="minorHAnsi" w:cs="Tahoma"/>
          <w:lang w:val="es-CR"/>
        </w:rPr>
        <w:t>adie</w:t>
      </w:r>
      <w:proofErr w:type="spellEnd"/>
      <w:r w:rsidRPr="00834F27">
        <w:rPr>
          <w:rFonts w:eastAsiaTheme="minorHAnsi" w:cs="Tahoma"/>
          <w:lang w:val="es-CR"/>
        </w:rPr>
        <w:t xml:space="preserve"> puede ser detenido sino por mandamiento escrito y motivado del Juez o por las autoridades policiales en caso de flagrante delito”</w:t>
      </w:r>
      <w:r w:rsidRPr="00834F27">
        <w:rPr>
          <w:iCs/>
        </w:rPr>
        <w:t xml:space="preserve">. El artículo siguiente del Decreto No. 084 DE/CCFFAA ordenó que “[l]as Fuerzas Armadas </w:t>
      </w:r>
      <w:proofErr w:type="spellStart"/>
      <w:r w:rsidRPr="00834F27">
        <w:rPr>
          <w:iCs/>
        </w:rPr>
        <w:t>asumi</w:t>
      </w:r>
      <w:proofErr w:type="spellEnd"/>
      <w:r w:rsidRPr="00834F27">
        <w:rPr>
          <w:iCs/>
        </w:rPr>
        <w:t>[e]r[a]n el control del [o]</w:t>
      </w:r>
      <w:proofErr w:type="spellStart"/>
      <w:r w:rsidRPr="00834F27">
        <w:rPr>
          <w:iCs/>
        </w:rPr>
        <w:t>rden</w:t>
      </w:r>
      <w:proofErr w:type="spellEnd"/>
      <w:r w:rsidRPr="00834F27">
        <w:rPr>
          <w:iCs/>
        </w:rPr>
        <w:t xml:space="preserve"> [i]</w:t>
      </w:r>
      <w:proofErr w:type="spellStart"/>
      <w:r w:rsidRPr="00834F27">
        <w:rPr>
          <w:iCs/>
        </w:rPr>
        <w:t>nterno</w:t>
      </w:r>
      <w:proofErr w:type="spellEnd"/>
      <w:r w:rsidRPr="00834F27">
        <w:rPr>
          <w:iCs/>
        </w:rPr>
        <w:t xml:space="preserve"> de conformidad con lo dispuesto en la Ley No. 24150, ampliada y modificada con el Decreto Legislativo [N</w:t>
      </w:r>
      <w:proofErr w:type="gramStart"/>
      <w:r w:rsidRPr="00834F27">
        <w:rPr>
          <w:iCs/>
        </w:rPr>
        <w:t>]o</w:t>
      </w:r>
      <w:proofErr w:type="gramEnd"/>
      <w:r w:rsidRPr="00834F27">
        <w:rPr>
          <w:iCs/>
        </w:rPr>
        <w:t xml:space="preserve">. 749”.  </w:t>
      </w:r>
    </w:p>
    <w:p w:rsidR="009E2748" w:rsidRPr="000F56FB" w:rsidRDefault="009E2748" w:rsidP="00272138">
      <w:pPr>
        <w:pStyle w:val="ListParagraph"/>
        <w:ind w:left="0"/>
        <w:rPr>
          <w:lang w:val="es-CR"/>
        </w:rPr>
      </w:pPr>
    </w:p>
    <w:p w:rsidR="009E2748" w:rsidRPr="000F56FB" w:rsidRDefault="009E2748" w:rsidP="00272138">
      <w:pPr>
        <w:pStyle w:val="Estilo1"/>
        <w:spacing w:after="0"/>
        <w:rPr>
          <w:lang w:val="es-CR"/>
        </w:rPr>
      </w:pPr>
      <w:r w:rsidRPr="000F56FB">
        <w:rPr>
          <w:lang w:val="es-CR"/>
        </w:rPr>
        <w:t>Antes de lo anter</w:t>
      </w:r>
      <w:r w:rsidR="000C3720">
        <w:rPr>
          <w:lang w:val="es-CR"/>
        </w:rPr>
        <w:t>ior, el 12 de noviembre de 1991</w:t>
      </w:r>
      <w:r w:rsidRPr="000F56FB">
        <w:rPr>
          <w:lang w:val="es-CR"/>
        </w:rPr>
        <w:t xml:space="preserve"> se había expedido el Decreto Legislativo No. 749</w:t>
      </w:r>
      <w:r w:rsidRPr="00135986">
        <w:rPr>
          <w:rStyle w:val="FootnoteReference"/>
          <w:lang w:val="es-CR"/>
        </w:rPr>
        <w:footnoteReference w:id="78"/>
      </w:r>
      <w:r w:rsidRPr="000F56FB">
        <w:rPr>
          <w:lang w:val="es-CR"/>
        </w:rPr>
        <w:t>, que confo</w:t>
      </w:r>
      <w:r>
        <w:rPr>
          <w:lang w:val="es-CR"/>
        </w:rPr>
        <w:t xml:space="preserve">rme </w:t>
      </w:r>
      <w:r w:rsidR="000C3720">
        <w:rPr>
          <w:lang w:val="es-CR"/>
        </w:rPr>
        <w:t xml:space="preserve">a </w:t>
      </w:r>
      <w:r>
        <w:rPr>
          <w:lang w:val="es-CR"/>
        </w:rPr>
        <w:t xml:space="preserve">su título modificó el artículo 5 de la Ley No. 24150 </w:t>
      </w:r>
      <w:r w:rsidRPr="000F56FB">
        <w:rPr>
          <w:lang w:val="es-CR"/>
        </w:rPr>
        <w:t>de 1985, relativa a estados de excepción</w:t>
      </w:r>
      <w:r w:rsidRPr="00135986">
        <w:rPr>
          <w:rStyle w:val="FootnoteReference"/>
          <w:lang w:val="es-CR"/>
        </w:rPr>
        <w:footnoteReference w:id="79"/>
      </w:r>
      <w:r>
        <w:rPr>
          <w:lang w:val="es-CR"/>
        </w:rPr>
        <w:t>.</w:t>
      </w:r>
      <w:r w:rsidRPr="000F56FB">
        <w:rPr>
          <w:lang w:val="es-CR"/>
        </w:rPr>
        <w:t xml:space="preserve"> </w:t>
      </w:r>
      <w:r>
        <w:rPr>
          <w:lang w:val="es-CR"/>
        </w:rPr>
        <w:t xml:space="preserve">La Comisión, con </w:t>
      </w:r>
      <w:r w:rsidRPr="000F56FB">
        <w:rPr>
          <w:lang w:val="es-CR"/>
        </w:rPr>
        <w:t>base en el Informe Final de la Comisión de la Verdad y Reconciliación de Perú, señaló que el Decreto Legislativo No. 749 “estableció ya no la coordinación sino la conducción por el Jefe Político-Militar de todas las acciones de Gobierno en todos los niv</w:t>
      </w:r>
      <w:r>
        <w:rPr>
          <w:lang w:val="es-CR"/>
        </w:rPr>
        <w:t xml:space="preserve">eles”. El artículo 5 de la Ley No. </w:t>
      </w:r>
      <w:r w:rsidRPr="000F56FB">
        <w:rPr>
          <w:lang w:val="es-CR"/>
        </w:rPr>
        <w:t>24150 en su inciso j), de acuerdo al texto “</w:t>
      </w:r>
      <w:proofErr w:type="spellStart"/>
      <w:r w:rsidRPr="000F56FB">
        <w:rPr>
          <w:lang w:val="es-CR"/>
        </w:rPr>
        <w:t>adici</w:t>
      </w:r>
      <w:proofErr w:type="spellEnd"/>
      <w:r w:rsidRPr="000F56FB">
        <w:rPr>
          <w:lang w:val="es-CR"/>
        </w:rPr>
        <w:t xml:space="preserve">[o]na[do]” por mandato del artículo 3 del Decreto Legislativo No. 749, indicaba, </w:t>
      </w:r>
      <w:r w:rsidRPr="000F56FB">
        <w:rPr>
          <w:i/>
          <w:lang w:val="es-CR"/>
        </w:rPr>
        <w:t xml:space="preserve">inter </w:t>
      </w:r>
      <w:proofErr w:type="spellStart"/>
      <w:r w:rsidRPr="000F56FB">
        <w:rPr>
          <w:i/>
          <w:lang w:val="es-CR"/>
        </w:rPr>
        <w:t>alia</w:t>
      </w:r>
      <w:proofErr w:type="spellEnd"/>
      <w:r w:rsidRPr="000F56FB">
        <w:rPr>
          <w:lang w:val="es-CR"/>
        </w:rPr>
        <w:t>, que</w:t>
      </w:r>
    </w:p>
    <w:p w:rsidR="009E2748" w:rsidRPr="00E207A2" w:rsidRDefault="009E2748" w:rsidP="009E2748">
      <w:pPr>
        <w:pStyle w:val="ListParagraph"/>
        <w:rPr>
          <w:sz w:val="20"/>
          <w:lang w:val="es-CR"/>
        </w:rPr>
      </w:pPr>
    </w:p>
    <w:p w:rsidR="009E2748" w:rsidRDefault="009E2748" w:rsidP="001A547E">
      <w:pPr>
        <w:pStyle w:val="ListParagraph"/>
        <w:ind w:left="567" w:right="720"/>
        <w:jc w:val="both"/>
        <w:rPr>
          <w:sz w:val="16"/>
          <w:szCs w:val="16"/>
          <w:lang w:val="es-CR"/>
        </w:rPr>
      </w:pPr>
      <w:r w:rsidRPr="00262904">
        <w:rPr>
          <w:sz w:val="16"/>
          <w:szCs w:val="16"/>
          <w:lang w:val="es-CR"/>
        </w:rPr>
        <w:t xml:space="preserve">Son atribuciones del Comando Político Militar: […] Tener bajo su comando a los miembros de la Policía Nacional del Perú que presten servicios en las zonas de su respectiva jurisdicción, quienes cumplirán las instrucciones y disposiciones que en materia de lucha contra el terrorismo y el narcotráfico </w:t>
      </w:r>
      <w:r>
        <w:rPr>
          <w:sz w:val="16"/>
          <w:szCs w:val="16"/>
          <w:lang w:val="es-CR"/>
        </w:rPr>
        <w:t>e</w:t>
      </w:r>
      <w:r w:rsidRPr="00262904">
        <w:rPr>
          <w:sz w:val="16"/>
          <w:szCs w:val="16"/>
          <w:lang w:val="es-CR"/>
        </w:rPr>
        <w:t>mita el Comando Militar.</w:t>
      </w:r>
    </w:p>
    <w:p w:rsidR="006169C9" w:rsidRDefault="006169C9" w:rsidP="009E2748">
      <w:pPr>
        <w:contextualSpacing/>
        <w:rPr>
          <w:rFonts w:eastAsia="Times New Roman" w:cstheme="minorBidi"/>
          <w:szCs w:val="20"/>
          <w:lang w:val="es-CR"/>
        </w:rPr>
      </w:pPr>
    </w:p>
    <w:p w:rsidR="009E2748" w:rsidRPr="00E072C0" w:rsidRDefault="009E2748" w:rsidP="00722414">
      <w:pPr>
        <w:pStyle w:val="Heading3"/>
        <w:ind w:left="851"/>
        <w:rPr>
          <w:spacing w:val="0"/>
          <w:w w:val="100"/>
        </w:rPr>
      </w:pPr>
      <w:bookmarkStart w:id="226" w:name="_Toc415507377"/>
      <w:bookmarkStart w:id="227" w:name="_Toc418530466"/>
      <w:bookmarkStart w:id="228" w:name="_Toc420941728"/>
      <w:bookmarkStart w:id="229" w:name="_Toc424313481"/>
      <w:bookmarkStart w:id="230" w:name="_Toc430869783"/>
      <w:bookmarkStart w:id="231" w:name="_Toc438129704"/>
      <w:r w:rsidRPr="000F56FB">
        <w:rPr>
          <w:rFonts w:cstheme="minorBidi"/>
          <w:b w:val="0"/>
          <w:spacing w:val="0"/>
          <w:w w:val="100"/>
        </w:rPr>
        <w:t>B.2</w:t>
      </w:r>
      <w:r w:rsidR="00067CB9">
        <w:rPr>
          <w:rFonts w:cstheme="minorBidi"/>
          <w:b w:val="0"/>
          <w:spacing w:val="0"/>
          <w:w w:val="100"/>
        </w:rPr>
        <w:t>.</w:t>
      </w:r>
      <w:r w:rsidRPr="000F56FB">
        <w:rPr>
          <w:rFonts w:cstheme="minorBidi"/>
          <w:b w:val="0"/>
          <w:spacing w:val="0"/>
          <w:w w:val="100"/>
        </w:rPr>
        <w:tab/>
      </w:r>
      <w:r w:rsidRPr="000F56FB">
        <w:rPr>
          <w:b w:val="0"/>
          <w:spacing w:val="0"/>
          <w:w w:val="100"/>
        </w:rPr>
        <w:t>Normatividad sobre las “actividades terroristas”</w:t>
      </w:r>
      <w:bookmarkEnd w:id="226"/>
      <w:bookmarkEnd w:id="227"/>
      <w:bookmarkEnd w:id="228"/>
      <w:bookmarkEnd w:id="229"/>
      <w:bookmarkEnd w:id="230"/>
      <w:r w:rsidR="00E072C0">
        <w:rPr>
          <w:b w:val="0"/>
          <w:spacing w:val="0"/>
          <w:w w:val="100"/>
        </w:rPr>
        <w:t xml:space="preserve"> </w:t>
      </w:r>
      <w:r w:rsidR="00E072C0" w:rsidRPr="00144171">
        <w:rPr>
          <w:b w:val="0"/>
          <w:spacing w:val="0"/>
          <w:w w:val="100"/>
        </w:rPr>
        <w:t>vigente al momento de los hechos</w:t>
      </w:r>
      <w:bookmarkEnd w:id="231"/>
    </w:p>
    <w:p w:rsidR="009E2748" w:rsidRPr="008E26C6" w:rsidRDefault="009E2748" w:rsidP="009E2748">
      <w:pPr>
        <w:pStyle w:val="ListParagraph"/>
        <w:ind w:left="0"/>
        <w:jc w:val="both"/>
        <w:rPr>
          <w:sz w:val="20"/>
          <w:szCs w:val="20"/>
          <w:lang w:val="es-CR"/>
        </w:rPr>
      </w:pPr>
    </w:p>
    <w:p w:rsidR="007F6493" w:rsidRDefault="009E2748" w:rsidP="00E207A2">
      <w:pPr>
        <w:pStyle w:val="Estilo1"/>
        <w:spacing w:after="0"/>
        <w:rPr>
          <w:lang w:val="es-CR"/>
        </w:rPr>
      </w:pPr>
      <w:r w:rsidRPr="008E26C6">
        <w:rPr>
          <w:lang w:val="es-CR"/>
        </w:rPr>
        <w:lastRenderedPageBreak/>
        <w:t>El 6 de may</w:t>
      </w:r>
      <w:r>
        <w:rPr>
          <w:lang w:val="es-CR"/>
        </w:rPr>
        <w:t>o de 1992 se expidió el Decreto-</w:t>
      </w:r>
      <w:r w:rsidRPr="008E26C6">
        <w:rPr>
          <w:lang w:val="es-CR"/>
        </w:rPr>
        <w:t>Ley No. 25475</w:t>
      </w:r>
      <w:r w:rsidRPr="008E26C6">
        <w:rPr>
          <w:rStyle w:val="FootnoteReference"/>
          <w:lang w:val="es-CR"/>
        </w:rPr>
        <w:footnoteReference w:id="80"/>
      </w:r>
      <w:r w:rsidRPr="008E26C6">
        <w:rPr>
          <w:lang w:val="es-CR"/>
        </w:rPr>
        <w:t>, que “</w:t>
      </w:r>
      <w:proofErr w:type="spellStart"/>
      <w:proofErr w:type="gramStart"/>
      <w:r w:rsidRPr="008E26C6">
        <w:rPr>
          <w:lang w:val="es-CR"/>
        </w:rPr>
        <w:t>establec</w:t>
      </w:r>
      <w:proofErr w:type="spellEnd"/>
      <w:r w:rsidRPr="008E26C6">
        <w:rPr>
          <w:lang w:val="es-CR"/>
        </w:rPr>
        <w:t>[</w:t>
      </w:r>
      <w:proofErr w:type="spellStart"/>
      <w:proofErr w:type="gramEnd"/>
      <w:r w:rsidRPr="008E26C6">
        <w:rPr>
          <w:lang w:val="es-CR"/>
        </w:rPr>
        <w:t>ió</w:t>
      </w:r>
      <w:proofErr w:type="spellEnd"/>
      <w:r w:rsidRPr="008E26C6">
        <w:rPr>
          <w:lang w:val="es-CR"/>
        </w:rPr>
        <w:t xml:space="preserve">] la penalidad para los delitos de terrorismo y los procedimientos para la investigación, la instrucción y el juicio”. </w:t>
      </w:r>
      <w:r>
        <w:rPr>
          <w:lang w:val="es-CR"/>
        </w:rPr>
        <w:t>E</w:t>
      </w:r>
      <w:r w:rsidRPr="008E26C6">
        <w:rPr>
          <w:lang w:val="es-CR"/>
        </w:rPr>
        <w:t xml:space="preserve">n su artículo 2 </w:t>
      </w:r>
      <w:r>
        <w:rPr>
          <w:lang w:val="es-CR"/>
        </w:rPr>
        <w:t>tipific</w:t>
      </w:r>
      <w:r w:rsidRPr="008E26C6">
        <w:rPr>
          <w:lang w:val="es-CR"/>
        </w:rPr>
        <w:t>ó el “terrorismo” como un acto que</w:t>
      </w:r>
    </w:p>
    <w:p w:rsidR="009E2748" w:rsidRDefault="009E2748" w:rsidP="009E2748">
      <w:pPr>
        <w:pStyle w:val="ListParagraph"/>
        <w:ind w:left="0"/>
        <w:jc w:val="both"/>
        <w:rPr>
          <w:sz w:val="20"/>
          <w:szCs w:val="20"/>
          <w:lang w:val="es-CR"/>
        </w:rPr>
      </w:pPr>
    </w:p>
    <w:p w:rsidR="009E2748" w:rsidRDefault="009E2748" w:rsidP="001A547E">
      <w:pPr>
        <w:ind w:left="567" w:right="720"/>
        <w:rPr>
          <w:sz w:val="16"/>
          <w:szCs w:val="16"/>
          <w:lang w:val="es-CR"/>
        </w:rPr>
      </w:pPr>
      <w:r w:rsidRPr="000F2A94">
        <w:rPr>
          <w:sz w:val="16"/>
          <w:szCs w:val="16"/>
          <w:lang w:val="es-CR"/>
        </w:rPr>
        <w:t>provoca, crea o mantiene un estado de zozobra, alarma o temor en la población o en un sector de ella, realiza actos contra la vida, el cuerpo, la salud, la libertad y seguridad personales o contra el patrimonio, contra la seguridad de los edificios públicos, vías o medios de comunicación o de transporte de cualquier índole, torres de energía o transmisión, instalaciones motrices o cualquier otro bien o servicio, empleando armamentos, materias o artefactos explosivos o cualquier otro medio capaz de causar estragos o grave perturbación de la tranquilidad pública o afectar las relaciones internacionales o la seguridad de la sociedad y del Estado, será reprimido con pena privativa de libertad no menor de veinte años.</w:t>
      </w:r>
    </w:p>
    <w:p w:rsidR="009E2748" w:rsidRPr="008E26C6" w:rsidRDefault="009E2748" w:rsidP="009E2748">
      <w:pPr>
        <w:pStyle w:val="ListParagraph"/>
        <w:ind w:left="0"/>
        <w:jc w:val="both"/>
        <w:rPr>
          <w:sz w:val="20"/>
          <w:szCs w:val="20"/>
          <w:lang w:val="es-CR"/>
        </w:rPr>
      </w:pPr>
    </w:p>
    <w:p w:rsidR="009E2748" w:rsidRPr="008E26C6" w:rsidRDefault="009E2748" w:rsidP="00272138">
      <w:pPr>
        <w:pStyle w:val="Estilo1"/>
        <w:spacing w:after="0"/>
        <w:rPr>
          <w:lang w:val="es-CR"/>
        </w:rPr>
      </w:pPr>
      <w:r w:rsidRPr="008E26C6">
        <w:rPr>
          <w:lang w:val="es-CR"/>
        </w:rPr>
        <w:t>E</w:t>
      </w:r>
      <w:r>
        <w:rPr>
          <w:lang w:val="es-CR"/>
        </w:rPr>
        <w:t>l artículo 12 del Decreto-</w:t>
      </w:r>
      <w:r w:rsidRPr="008E26C6">
        <w:rPr>
          <w:lang w:val="es-CR"/>
        </w:rPr>
        <w:t xml:space="preserve">Ley No. 25475 </w:t>
      </w:r>
      <w:r w:rsidR="000C3720">
        <w:rPr>
          <w:lang w:val="es-CR"/>
        </w:rPr>
        <w:t>establecía</w:t>
      </w:r>
      <w:r>
        <w:rPr>
          <w:lang w:val="es-CR"/>
        </w:rPr>
        <w:t xml:space="preserve"> </w:t>
      </w:r>
      <w:r w:rsidR="00E072C0">
        <w:rPr>
          <w:lang w:val="es-CR"/>
        </w:rPr>
        <w:t xml:space="preserve">que </w:t>
      </w:r>
      <w:r w:rsidR="00E072C0" w:rsidRPr="00144171">
        <w:rPr>
          <w:lang w:val="es-CR"/>
        </w:rPr>
        <w:t>la Policía Nacional asumiera</w:t>
      </w:r>
      <w:r w:rsidRPr="00144171">
        <w:rPr>
          <w:lang w:val="es-CR"/>
        </w:rPr>
        <w:t xml:space="preserve"> la investigación de los delitos de terrorismo a nivel nacional, disponiendo que su personal intervenga sin ninguna restricción que estuviere prevista en sus </w:t>
      </w:r>
      <w:r w:rsidR="000C3720" w:rsidRPr="00144171">
        <w:rPr>
          <w:lang w:val="es-CR"/>
        </w:rPr>
        <w:t>reglamentos institucio</w:t>
      </w:r>
      <w:r w:rsidR="00E072C0" w:rsidRPr="00144171">
        <w:rPr>
          <w:lang w:val="es-CR"/>
        </w:rPr>
        <w:t>nales</w:t>
      </w:r>
      <w:r w:rsidR="000C3720" w:rsidRPr="00144171">
        <w:rPr>
          <w:lang w:val="es-CR"/>
        </w:rPr>
        <w:t>. Dicho</w:t>
      </w:r>
      <w:r w:rsidR="00E072C0" w:rsidRPr="00144171">
        <w:rPr>
          <w:lang w:val="es-CR"/>
        </w:rPr>
        <w:t xml:space="preserve"> artículo preveía c</w:t>
      </w:r>
      <w:r w:rsidRPr="00144171">
        <w:rPr>
          <w:lang w:val="es-CR"/>
        </w:rPr>
        <w:t>aut</w:t>
      </w:r>
      <w:r w:rsidR="00E072C0" w:rsidRPr="00144171">
        <w:rPr>
          <w:lang w:val="es-CR"/>
        </w:rPr>
        <w:t>elar la defensa de la legalidad durante la investigación</w:t>
      </w:r>
      <w:r w:rsidR="002E6D7E" w:rsidRPr="00144171">
        <w:rPr>
          <w:lang w:val="es-CR"/>
        </w:rPr>
        <w:t xml:space="preserve"> a través de</w:t>
      </w:r>
      <w:r w:rsidR="00E072C0" w:rsidRPr="00144171">
        <w:rPr>
          <w:lang w:val="es-CR"/>
        </w:rPr>
        <w:t xml:space="preserve"> la </w:t>
      </w:r>
      <w:r w:rsidRPr="00144171">
        <w:rPr>
          <w:lang w:val="es-CR"/>
        </w:rPr>
        <w:t>presencia de un repre</w:t>
      </w:r>
      <w:r w:rsidR="00E072C0" w:rsidRPr="00144171">
        <w:rPr>
          <w:lang w:val="es-CR"/>
        </w:rPr>
        <w:t>sentante del Ministerio Público</w:t>
      </w:r>
      <w:r w:rsidRPr="00144171">
        <w:rPr>
          <w:lang w:val="es-CR"/>
        </w:rPr>
        <w:t>. Por otra parte,</w:t>
      </w:r>
      <w:r w:rsidR="00E072C0" w:rsidRPr="00144171">
        <w:rPr>
          <w:lang w:val="es-CR"/>
        </w:rPr>
        <w:t xml:space="preserve"> contemplaba la posibilidad de </w:t>
      </w:r>
      <w:r w:rsidRPr="00144171">
        <w:rPr>
          <w:lang w:val="es-CR"/>
        </w:rPr>
        <w:t xml:space="preserve">detención de presuntos implicados </w:t>
      </w:r>
      <w:r w:rsidR="00E072C0" w:rsidRPr="00144171">
        <w:rPr>
          <w:lang w:val="es-CR"/>
        </w:rPr>
        <w:t>por un</w:t>
      </w:r>
      <w:r w:rsidRPr="00144171">
        <w:rPr>
          <w:lang w:val="es-CR"/>
        </w:rPr>
        <w:t xml:space="preserve"> término no</w:t>
      </w:r>
      <w:r w:rsidR="00E072C0" w:rsidRPr="00144171">
        <w:rPr>
          <w:lang w:val="es-CR"/>
        </w:rPr>
        <w:t xml:space="preserve"> mayor de quince días naturales, de lo cual debía darse cuenta, en un </w:t>
      </w:r>
      <w:r w:rsidRPr="00144171">
        <w:rPr>
          <w:lang w:val="es-CR"/>
        </w:rPr>
        <w:t>plazo de veinticuatro horas por escrito al Ministerio Pú</w:t>
      </w:r>
      <w:r w:rsidR="00E072C0" w:rsidRPr="00144171">
        <w:rPr>
          <w:lang w:val="es-CR"/>
        </w:rPr>
        <w:t xml:space="preserve">blico y al Juez Penal. Asimismo, </w:t>
      </w:r>
      <w:r w:rsidRPr="00144171">
        <w:rPr>
          <w:lang w:val="es-CR"/>
        </w:rPr>
        <w:t>cua</w:t>
      </w:r>
      <w:r w:rsidR="00E072C0" w:rsidRPr="00144171">
        <w:rPr>
          <w:lang w:val="es-CR"/>
        </w:rPr>
        <w:t>ndo las circunstancias lo requi</w:t>
      </w:r>
      <w:r w:rsidRPr="00144171">
        <w:rPr>
          <w:lang w:val="es-CR"/>
        </w:rPr>
        <w:t xml:space="preserve">rieran </w:t>
      </w:r>
      <w:r w:rsidR="00E072C0" w:rsidRPr="00144171">
        <w:rPr>
          <w:lang w:val="es-CR"/>
        </w:rPr>
        <w:t>podía disponerse</w:t>
      </w:r>
      <w:r w:rsidRPr="00144171">
        <w:rPr>
          <w:lang w:val="es-CR"/>
        </w:rPr>
        <w:t xml:space="preserve"> la incomunicación absoluta de los detenidos hasta el máximo de ley, con conocimiento del Ministerio Público y</w:t>
      </w:r>
      <w:r w:rsidR="00E072C0" w:rsidRPr="00144171">
        <w:rPr>
          <w:lang w:val="es-CR"/>
        </w:rPr>
        <w:t xml:space="preserve"> de la autoridad jurisdiccional</w:t>
      </w:r>
      <w:r w:rsidRPr="00144171">
        <w:rPr>
          <w:lang w:val="es-CR"/>
        </w:rPr>
        <w:t>. La norma indicada reglaba</w:t>
      </w:r>
      <w:r w:rsidR="00E072C0" w:rsidRPr="00144171">
        <w:rPr>
          <w:lang w:val="es-CR"/>
        </w:rPr>
        <w:t xml:space="preserve"> también la intervención de un abogado defensor, </w:t>
      </w:r>
      <w:r w:rsidRPr="00144171">
        <w:rPr>
          <w:lang w:val="es-CR"/>
        </w:rPr>
        <w:t>desig</w:t>
      </w:r>
      <w:r w:rsidR="00E072C0" w:rsidRPr="00144171">
        <w:rPr>
          <w:lang w:val="es-CR"/>
        </w:rPr>
        <w:t>nado por los encausados o asignado de oficio</w:t>
      </w:r>
      <w:r w:rsidR="000C3720" w:rsidRPr="00144171">
        <w:rPr>
          <w:lang w:val="es-CR"/>
        </w:rPr>
        <w:t>,</w:t>
      </w:r>
      <w:r w:rsidRPr="00144171">
        <w:rPr>
          <w:lang w:val="es-CR"/>
        </w:rPr>
        <w:t xml:space="preserve"> </w:t>
      </w:r>
      <w:r w:rsidR="000C3720" w:rsidRPr="00144171">
        <w:rPr>
          <w:lang w:val="es-CR"/>
        </w:rPr>
        <w:t xml:space="preserve">quien </w:t>
      </w:r>
      <w:r w:rsidR="00E072C0" w:rsidRPr="00144171">
        <w:rPr>
          <w:lang w:val="es-CR"/>
        </w:rPr>
        <w:t>sólo podía</w:t>
      </w:r>
      <w:r w:rsidRPr="00144171">
        <w:rPr>
          <w:lang w:val="es-CR"/>
        </w:rPr>
        <w:t xml:space="preserve"> intervenir a partir del </w:t>
      </w:r>
      <w:r w:rsidR="00E072C0" w:rsidRPr="00144171">
        <w:rPr>
          <w:lang w:val="es-CR"/>
        </w:rPr>
        <w:t>momento en que el detenido rindiera</w:t>
      </w:r>
      <w:r w:rsidRPr="00144171">
        <w:rPr>
          <w:lang w:val="es-CR"/>
        </w:rPr>
        <w:t xml:space="preserve"> su manifestación en presencia del repre</w:t>
      </w:r>
      <w:r w:rsidR="00E072C0" w:rsidRPr="00144171">
        <w:rPr>
          <w:lang w:val="es-CR"/>
        </w:rPr>
        <w:t>sentante del Ministerio Público</w:t>
      </w:r>
      <w:r w:rsidRPr="00144171">
        <w:rPr>
          <w:lang w:val="es-CR"/>
        </w:rPr>
        <w:t xml:space="preserve">. </w:t>
      </w:r>
    </w:p>
    <w:p w:rsidR="009E2748" w:rsidRPr="008E26C6" w:rsidRDefault="009E2748" w:rsidP="00272138">
      <w:pPr>
        <w:pStyle w:val="ListParagraph"/>
        <w:ind w:left="0"/>
        <w:jc w:val="both"/>
        <w:rPr>
          <w:sz w:val="20"/>
          <w:szCs w:val="20"/>
          <w:lang w:val="es-CR"/>
        </w:rPr>
      </w:pPr>
    </w:p>
    <w:p w:rsidR="009E2748" w:rsidRPr="008E26C6" w:rsidRDefault="009E2748" w:rsidP="00272138">
      <w:pPr>
        <w:pStyle w:val="Estilo1"/>
        <w:spacing w:after="0"/>
        <w:rPr>
          <w:lang w:val="es-CR"/>
        </w:rPr>
      </w:pPr>
      <w:r w:rsidRPr="008E26C6">
        <w:rPr>
          <w:lang w:val="es-CR"/>
        </w:rPr>
        <w:t xml:space="preserve">El régimen </w:t>
      </w:r>
      <w:r>
        <w:rPr>
          <w:lang w:val="es-CR"/>
        </w:rPr>
        <w:t xml:space="preserve">descrito </w:t>
      </w:r>
      <w:r w:rsidRPr="008E26C6">
        <w:rPr>
          <w:lang w:val="es-CR"/>
        </w:rPr>
        <w:t>anterior</w:t>
      </w:r>
      <w:r>
        <w:rPr>
          <w:lang w:val="es-CR"/>
        </w:rPr>
        <w:t>mente</w:t>
      </w:r>
      <w:r w:rsidRPr="008E26C6">
        <w:rPr>
          <w:lang w:val="es-CR"/>
        </w:rPr>
        <w:t xml:space="preserve"> perdió vigencia</w:t>
      </w:r>
      <w:r>
        <w:rPr>
          <w:lang w:val="es-CR"/>
        </w:rPr>
        <w:t xml:space="preserve"> a partir d</w:t>
      </w:r>
      <w:r w:rsidRPr="008E26C6">
        <w:rPr>
          <w:lang w:val="es-CR"/>
        </w:rPr>
        <w:t>el 3 de enero de 2003</w:t>
      </w:r>
      <w:r>
        <w:rPr>
          <w:lang w:val="es-CR"/>
        </w:rPr>
        <w:t>, cuando</w:t>
      </w:r>
      <w:r w:rsidRPr="008E26C6">
        <w:rPr>
          <w:lang w:val="es-CR"/>
        </w:rPr>
        <w:t xml:space="preserve"> el Tribunal Constitucional de Perú lo declaró inconstitucional. E</w:t>
      </w:r>
      <w:r>
        <w:rPr>
          <w:lang w:val="es-CR"/>
        </w:rPr>
        <w:t>se</w:t>
      </w:r>
      <w:r w:rsidRPr="008E26C6">
        <w:rPr>
          <w:lang w:val="es-CR"/>
        </w:rPr>
        <w:t xml:space="preserve"> órgano judicial, no obstante, mantuvo la vigencia del artículo 2 de</w:t>
      </w:r>
      <w:r>
        <w:rPr>
          <w:lang w:val="es-CR"/>
        </w:rPr>
        <w:t>l</w:t>
      </w:r>
      <w:r w:rsidRPr="008E26C6">
        <w:rPr>
          <w:lang w:val="es-CR"/>
        </w:rPr>
        <w:t xml:space="preserve"> Decreto</w:t>
      </w:r>
      <w:r>
        <w:rPr>
          <w:lang w:val="es-CR"/>
        </w:rPr>
        <w:t>-</w:t>
      </w:r>
      <w:r w:rsidRPr="008E26C6">
        <w:rPr>
          <w:lang w:val="es-CR"/>
        </w:rPr>
        <w:t>Ley No</w:t>
      </w:r>
      <w:r>
        <w:rPr>
          <w:lang w:val="es-CR"/>
        </w:rPr>
        <w:t>.</w:t>
      </w:r>
      <w:r w:rsidRPr="008E26C6">
        <w:rPr>
          <w:lang w:val="es-CR"/>
        </w:rPr>
        <w:t xml:space="preserve"> 25475, que define el acto “terrorista”, pero condicionó su aplicación a la modalidad dolosa, y estableció algunos parámetros de interpretación para considera</w:t>
      </w:r>
      <w:r w:rsidR="00E81359">
        <w:rPr>
          <w:lang w:val="es-CR"/>
        </w:rPr>
        <w:t>r</w:t>
      </w:r>
      <w:r w:rsidRPr="008E26C6">
        <w:rPr>
          <w:lang w:val="es-CR"/>
        </w:rPr>
        <w:t xml:space="preserve"> una conducta como comprendida en el tipo pena</w:t>
      </w:r>
      <w:r w:rsidR="00B517A4">
        <w:rPr>
          <w:lang w:val="es-CR"/>
        </w:rPr>
        <w:t>l</w:t>
      </w:r>
      <w:r w:rsidRPr="008D2D9F">
        <w:rPr>
          <w:rStyle w:val="FootnoteReference"/>
          <w:lang w:val="es-CR"/>
        </w:rPr>
        <w:footnoteReference w:id="81"/>
      </w:r>
      <w:r w:rsidRPr="008D2D9F">
        <w:rPr>
          <w:lang w:val="es-CR"/>
        </w:rPr>
        <w:t>.</w:t>
      </w:r>
      <w:r w:rsidRPr="008E26C6">
        <w:rPr>
          <w:lang w:val="es-CR"/>
        </w:rPr>
        <w:t xml:space="preserve"> </w:t>
      </w:r>
    </w:p>
    <w:p w:rsidR="009E2748" w:rsidRPr="008E26C6" w:rsidRDefault="009E2748" w:rsidP="00272138">
      <w:pPr>
        <w:pStyle w:val="ListParagraph"/>
        <w:ind w:left="1440" w:right="720"/>
        <w:jc w:val="both"/>
        <w:rPr>
          <w:sz w:val="20"/>
          <w:szCs w:val="20"/>
          <w:lang w:val="es-CR"/>
        </w:rPr>
      </w:pPr>
    </w:p>
    <w:p w:rsidR="009E2748" w:rsidRPr="00BB1149" w:rsidRDefault="009E2748" w:rsidP="00722414">
      <w:pPr>
        <w:pStyle w:val="ListParagraph"/>
        <w:ind w:left="851"/>
        <w:contextualSpacing/>
        <w:jc w:val="both"/>
        <w:outlineLvl w:val="2"/>
        <w:rPr>
          <w:i/>
          <w:sz w:val="20"/>
          <w:szCs w:val="20"/>
          <w:lang w:val="es-CR"/>
        </w:rPr>
      </w:pPr>
      <w:bookmarkStart w:id="232" w:name="_Toc415507378"/>
      <w:bookmarkStart w:id="233" w:name="_Toc418530467"/>
      <w:bookmarkStart w:id="234" w:name="_Toc420941729"/>
      <w:bookmarkStart w:id="235" w:name="_Toc424313482"/>
      <w:bookmarkStart w:id="236" w:name="_Toc430869784"/>
      <w:bookmarkStart w:id="237" w:name="_Toc438129705"/>
      <w:r w:rsidRPr="00BB1149">
        <w:rPr>
          <w:i/>
          <w:sz w:val="20"/>
          <w:szCs w:val="20"/>
          <w:lang w:val="es-CR"/>
        </w:rPr>
        <w:t>B.3</w:t>
      </w:r>
      <w:r w:rsidR="00067CB9">
        <w:rPr>
          <w:i/>
          <w:sz w:val="20"/>
          <w:szCs w:val="20"/>
          <w:lang w:val="es-CR"/>
        </w:rPr>
        <w:t>.</w:t>
      </w:r>
      <w:r w:rsidRPr="00BB1149">
        <w:rPr>
          <w:i/>
          <w:sz w:val="20"/>
          <w:szCs w:val="20"/>
          <w:lang w:val="es-CR"/>
        </w:rPr>
        <w:t xml:space="preserve"> Normatividad relativa al hábeas corpus y a la privación de libertad de magistrados</w:t>
      </w:r>
      <w:bookmarkEnd w:id="232"/>
      <w:bookmarkEnd w:id="233"/>
      <w:bookmarkEnd w:id="234"/>
      <w:bookmarkEnd w:id="235"/>
      <w:bookmarkEnd w:id="236"/>
      <w:r w:rsidR="00E072C0">
        <w:rPr>
          <w:i/>
          <w:sz w:val="20"/>
          <w:szCs w:val="20"/>
          <w:lang w:val="es-CR"/>
        </w:rPr>
        <w:t xml:space="preserve"> </w:t>
      </w:r>
      <w:r w:rsidR="00E072C0" w:rsidRPr="00144171">
        <w:rPr>
          <w:i/>
          <w:sz w:val="20"/>
          <w:szCs w:val="20"/>
          <w:lang w:val="es-CR"/>
        </w:rPr>
        <w:t>vigente al momento de los hechos</w:t>
      </w:r>
      <w:bookmarkEnd w:id="237"/>
    </w:p>
    <w:p w:rsidR="009E2748" w:rsidRPr="008E26C6" w:rsidRDefault="009E2748" w:rsidP="00272138">
      <w:pPr>
        <w:pStyle w:val="ListParagraph"/>
        <w:rPr>
          <w:sz w:val="20"/>
          <w:szCs w:val="20"/>
          <w:lang w:val="es-CR"/>
        </w:rPr>
      </w:pPr>
    </w:p>
    <w:p w:rsidR="00BE708E" w:rsidRPr="00BE708E" w:rsidRDefault="009E2748" w:rsidP="00272138">
      <w:pPr>
        <w:pStyle w:val="Estilo1"/>
        <w:spacing w:after="0"/>
        <w:rPr>
          <w:sz w:val="16"/>
          <w:szCs w:val="16"/>
          <w:lang w:val="es-CR"/>
        </w:rPr>
      </w:pPr>
      <w:r w:rsidRPr="008E26C6">
        <w:rPr>
          <w:lang w:val="es-CR"/>
        </w:rPr>
        <w:t xml:space="preserve">El </w:t>
      </w:r>
      <w:r w:rsidRPr="00F627C9">
        <w:rPr>
          <w:lang w:val="es-CR"/>
        </w:rPr>
        <w:t>artículo 200 de la Constitución</w:t>
      </w:r>
      <w:r w:rsidRPr="008E26C6">
        <w:rPr>
          <w:lang w:val="es-CR"/>
        </w:rPr>
        <w:t xml:space="preserve"> que entró en vigencia el 1 de enero de 1994 indicaba que “</w:t>
      </w:r>
      <w:r>
        <w:rPr>
          <w:rFonts w:cs="PalatinoLinotype-Roman"/>
          <w:lang w:val="es-CR"/>
        </w:rPr>
        <w:t>[e]</w:t>
      </w:r>
      <w:r w:rsidRPr="008E26C6">
        <w:rPr>
          <w:rFonts w:cs="PalatinoLinotype-Roman"/>
          <w:lang w:val="es-CR"/>
        </w:rPr>
        <w:t>l ejercicio de las acciones de hábeas corpus y de amparo no se suspende durante la vigencia de los regímenes de excepción a que se refiere el artículo 137 de la Constitución”</w:t>
      </w:r>
      <w:r>
        <w:rPr>
          <w:rFonts w:cs="PalatinoLinotype-Roman"/>
          <w:lang w:val="es-CR"/>
        </w:rPr>
        <w:t>.</w:t>
      </w:r>
    </w:p>
    <w:p w:rsidR="00BE708E" w:rsidRPr="00BE708E" w:rsidRDefault="00BE708E" w:rsidP="00272138">
      <w:pPr>
        <w:pStyle w:val="Estilo1"/>
        <w:numPr>
          <w:ilvl w:val="0"/>
          <w:numId w:val="0"/>
        </w:numPr>
        <w:spacing w:after="0"/>
        <w:rPr>
          <w:sz w:val="16"/>
          <w:szCs w:val="16"/>
          <w:lang w:val="es-CR"/>
        </w:rPr>
      </w:pPr>
    </w:p>
    <w:p w:rsidR="00BE708E" w:rsidRPr="00BE708E" w:rsidRDefault="00BE708E" w:rsidP="00272138">
      <w:pPr>
        <w:pStyle w:val="Estilo1"/>
        <w:spacing w:after="0"/>
        <w:rPr>
          <w:sz w:val="16"/>
          <w:szCs w:val="16"/>
          <w:lang w:val="es-CR"/>
        </w:rPr>
      </w:pPr>
      <w:r w:rsidRPr="00BE708E">
        <w:rPr>
          <w:lang w:val="es-CR"/>
        </w:rPr>
        <w:t xml:space="preserve">El Estado señaló que al momento de los hechos “se encontraba vigente la Ley [No]. 23506, Ley de Hábeas Corpus y Amparo, promulgada el 8 de diciembre de 1982”. Al respecto, el 12 de agosto de 1992 se había promulgado el Decreto-Ley No. 25659, que en su sexto artículo establecía que “[e]n ninguna de las etapas de la investigación policial y del proceso penal proceden las Acciones de Garantía de los detenidos, implicados o procesados por delito de terrorismo, comprendidos en el Decreto Ley </w:t>
      </w:r>
      <w:proofErr w:type="gramStart"/>
      <w:r w:rsidRPr="00BE708E">
        <w:rPr>
          <w:lang w:val="es-CR"/>
        </w:rPr>
        <w:t>N[</w:t>
      </w:r>
      <w:proofErr w:type="gramEnd"/>
      <w:r w:rsidRPr="00BE708E">
        <w:rPr>
          <w:lang w:val="es-CR"/>
        </w:rPr>
        <w:t xml:space="preserve">o.] 25475”. Dicha norma fue modificada por la Ley No. 26248 de 25 de noviembre de 1993, que en su segundo artículo dispuso </w:t>
      </w:r>
      <w:r w:rsidRPr="00BE708E">
        <w:rPr>
          <w:iCs/>
          <w:lang w:val="es-CR"/>
        </w:rPr>
        <w:t>modif</w:t>
      </w:r>
      <w:r w:rsidR="00524991">
        <w:rPr>
          <w:iCs/>
          <w:lang w:val="es-CR"/>
        </w:rPr>
        <w:t>i</w:t>
      </w:r>
      <w:r w:rsidRPr="00BE708E">
        <w:rPr>
          <w:iCs/>
          <w:lang w:val="es-CR"/>
        </w:rPr>
        <w:t xml:space="preserve">case el artículo 6o. del Decreto-Ley No. 25659, en los siguientes términos: “‘Artículo 6o.- La Acción de Hábeas Corpus es procedente en los supuestos previstos en el </w:t>
      </w:r>
      <w:r w:rsidRPr="00BE708E">
        <w:rPr>
          <w:iCs/>
          <w:lang w:val="es-CR"/>
        </w:rPr>
        <w:lastRenderedPageBreak/>
        <w:t>artículo 12o. de la Ley No. 23506, en favor de los detenidos, implicados o procesados por los delitos de Terrorismo o Traición la Patria’”. El artículo 1</w:t>
      </w:r>
      <w:r w:rsidR="00CC1DCF">
        <w:rPr>
          <w:iCs/>
          <w:lang w:val="es-CR"/>
        </w:rPr>
        <w:t>2 de la Ley No. 23506 establecía</w:t>
      </w:r>
      <w:r w:rsidRPr="00BE708E">
        <w:rPr>
          <w:iCs/>
          <w:lang w:val="es-CR"/>
        </w:rPr>
        <w:t xml:space="preserve"> los supuestos de procedencia de la acción de hábeas corpus</w:t>
      </w:r>
      <w:r>
        <w:rPr>
          <w:rStyle w:val="FootnoteReference"/>
          <w:iCs/>
          <w:lang w:val="es-CR"/>
        </w:rPr>
        <w:footnoteReference w:id="82"/>
      </w:r>
      <w:r w:rsidRPr="00BE708E">
        <w:rPr>
          <w:iCs/>
          <w:lang w:val="es-CR"/>
        </w:rPr>
        <w:t>.</w:t>
      </w:r>
      <w:r w:rsidRPr="00BE708E">
        <w:rPr>
          <w:lang w:val="es-CR"/>
        </w:rPr>
        <w:t xml:space="preserve"> </w:t>
      </w:r>
    </w:p>
    <w:p w:rsidR="00BE708E" w:rsidRDefault="00BE708E" w:rsidP="00BE708E">
      <w:pPr>
        <w:pStyle w:val="ListParagraph"/>
        <w:rPr>
          <w:iCs/>
          <w:lang w:val="es-CR"/>
        </w:rPr>
      </w:pPr>
    </w:p>
    <w:p w:rsidR="009E2748" w:rsidRPr="00BE708E" w:rsidRDefault="009E2748" w:rsidP="00BE708E">
      <w:pPr>
        <w:pStyle w:val="Estilo1"/>
        <w:spacing w:after="0"/>
        <w:rPr>
          <w:sz w:val="16"/>
          <w:szCs w:val="16"/>
          <w:lang w:val="es-CR"/>
        </w:rPr>
      </w:pPr>
      <w:r w:rsidRPr="00BE708E">
        <w:rPr>
          <w:iCs/>
          <w:lang w:val="es-CR"/>
        </w:rPr>
        <w:t>Por otra parte, debe tenerse en cuenta que la Ley Orgánica de</w:t>
      </w:r>
      <w:r w:rsidR="00BD1DDC">
        <w:rPr>
          <w:iCs/>
          <w:lang w:val="es-CR"/>
        </w:rPr>
        <w:t>l</w:t>
      </w:r>
      <w:r w:rsidRPr="00BE708E">
        <w:rPr>
          <w:iCs/>
          <w:lang w:val="es-CR"/>
        </w:rPr>
        <w:t xml:space="preserve"> </w:t>
      </w:r>
      <w:r w:rsidR="00BD1DDC">
        <w:rPr>
          <w:iCs/>
          <w:lang w:val="es-CR"/>
        </w:rPr>
        <w:t>Poder</w:t>
      </w:r>
      <w:r w:rsidRPr="00BE708E">
        <w:rPr>
          <w:iCs/>
          <w:lang w:val="es-CR"/>
        </w:rPr>
        <w:t xml:space="preserve"> Judicial, publicada</w:t>
      </w:r>
      <w:r w:rsidR="003343A2">
        <w:rPr>
          <w:iCs/>
          <w:lang w:val="es-CR"/>
        </w:rPr>
        <w:t xml:space="preserve"> el 3 de junio de 1993,</w:t>
      </w:r>
      <w:r w:rsidRPr="00BE708E">
        <w:rPr>
          <w:iCs/>
          <w:lang w:val="es-CR"/>
        </w:rPr>
        <w:t xml:space="preserve"> preveía</w:t>
      </w:r>
      <w:r w:rsidR="00DB4883">
        <w:rPr>
          <w:iCs/>
          <w:lang w:val="es-CR"/>
        </w:rPr>
        <w:t xml:space="preserve"> en su artículo 191</w:t>
      </w:r>
      <w:r w:rsidRPr="00BE708E">
        <w:rPr>
          <w:iCs/>
          <w:lang w:val="es-CR"/>
        </w:rPr>
        <w:t xml:space="preserve"> que </w:t>
      </w:r>
      <w:r w:rsidRPr="00BE708E">
        <w:rPr>
          <w:iCs/>
        </w:rPr>
        <w:t>“[l]os magistrados comprendidos en la carrera judicial, sólo pueden ser detenidos por orden del juez competente o en caso de flagrante delito si la ley lo determina. En este último supuesto debe ser conducido de inmediato a la Fiscalía competente, con conocimiento del Presidente de la Corte respectiva, por la vía más rápida y bajo responsabilidad”.</w:t>
      </w:r>
      <w:r w:rsidRPr="00BE708E">
        <w:rPr>
          <w:iCs/>
          <w:sz w:val="16"/>
          <w:szCs w:val="16"/>
        </w:rPr>
        <w:t xml:space="preserve"> </w:t>
      </w:r>
    </w:p>
    <w:p w:rsidR="009E2748" w:rsidRPr="002F3B18" w:rsidRDefault="009E2748" w:rsidP="009E2748">
      <w:pPr>
        <w:rPr>
          <w:lang w:val="es-CR"/>
        </w:rPr>
      </w:pPr>
    </w:p>
    <w:p w:rsidR="009E2748" w:rsidRPr="00E072C0" w:rsidRDefault="009E2748" w:rsidP="00722414">
      <w:pPr>
        <w:pStyle w:val="ListParagraph"/>
        <w:ind w:left="851"/>
        <w:contextualSpacing/>
        <w:jc w:val="both"/>
        <w:outlineLvl w:val="2"/>
        <w:rPr>
          <w:b/>
          <w:i/>
          <w:sz w:val="20"/>
          <w:szCs w:val="20"/>
          <w:lang w:val="es-CR"/>
        </w:rPr>
      </w:pPr>
      <w:bookmarkStart w:id="238" w:name="_Toc415507379"/>
      <w:bookmarkStart w:id="239" w:name="_Toc418530468"/>
      <w:bookmarkStart w:id="240" w:name="_Toc420941730"/>
      <w:bookmarkStart w:id="241" w:name="_Toc424313483"/>
      <w:bookmarkStart w:id="242" w:name="_Toc430869785"/>
      <w:bookmarkStart w:id="243" w:name="_Toc438129706"/>
      <w:r w:rsidRPr="00BB1149">
        <w:rPr>
          <w:i/>
          <w:sz w:val="20"/>
          <w:szCs w:val="20"/>
          <w:lang w:val="es-CR"/>
        </w:rPr>
        <w:t>B.4</w:t>
      </w:r>
      <w:r w:rsidR="00067CB9">
        <w:rPr>
          <w:i/>
          <w:sz w:val="20"/>
          <w:szCs w:val="20"/>
          <w:lang w:val="es-CR"/>
        </w:rPr>
        <w:t>.</w:t>
      </w:r>
      <w:r w:rsidRPr="00BB1149">
        <w:rPr>
          <w:i/>
          <w:sz w:val="20"/>
          <w:szCs w:val="20"/>
          <w:lang w:val="es-CR"/>
        </w:rPr>
        <w:t xml:space="preserve"> </w:t>
      </w:r>
      <w:r w:rsidRPr="00BB1149">
        <w:rPr>
          <w:i/>
          <w:sz w:val="20"/>
          <w:szCs w:val="20"/>
          <w:lang w:val="es-CR"/>
        </w:rPr>
        <w:tab/>
        <w:t>Ley de Arrepentimiento y su Reglamento</w:t>
      </w:r>
      <w:bookmarkEnd w:id="238"/>
      <w:bookmarkEnd w:id="239"/>
      <w:bookmarkEnd w:id="240"/>
      <w:bookmarkEnd w:id="241"/>
      <w:bookmarkEnd w:id="242"/>
      <w:r w:rsidR="00E072C0">
        <w:rPr>
          <w:i/>
          <w:sz w:val="20"/>
          <w:szCs w:val="20"/>
          <w:lang w:val="es-CR"/>
        </w:rPr>
        <w:t xml:space="preserve"> </w:t>
      </w:r>
      <w:r w:rsidR="00E072C0" w:rsidRPr="00144171">
        <w:rPr>
          <w:i/>
          <w:sz w:val="20"/>
          <w:szCs w:val="20"/>
          <w:lang w:val="es-CR"/>
        </w:rPr>
        <w:t>vigente</w:t>
      </w:r>
      <w:r w:rsidR="006F124F" w:rsidRPr="00144171">
        <w:rPr>
          <w:i/>
          <w:sz w:val="20"/>
          <w:szCs w:val="20"/>
          <w:lang w:val="es-CR"/>
        </w:rPr>
        <w:t>s</w:t>
      </w:r>
      <w:r w:rsidR="00E072C0" w:rsidRPr="00144171">
        <w:rPr>
          <w:i/>
          <w:sz w:val="20"/>
          <w:szCs w:val="20"/>
          <w:lang w:val="es-CR"/>
        </w:rPr>
        <w:t xml:space="preserve"> al momento de los hechos</w:t>
      </w:r>
      <w:bookmarkEnd w:id="243"/>
    </w:p>
    <w:p w:rsidR="009E2748" w:rsidRPr="008E26C6" w:rsidRDefault="009E2748" w:rsidP="009E2748">
      <w:pPr>
        <w:pStyle w:val="ListParagraph"/>
        <w:ind w:left="0"/>
        <w:jc w:val="both"/>
        <w:rPr>
          <w:lang w:val="es-CR"/>
        </w:rPr>
      </w:pPr>
    </w:p>
    <w:p w:rsidR="009E2748" w:rsidRDefault="009E2748" w:rsidP="009E2748">
      <w:pPr>
        <w:pStyle w:val="Estilo1"/>
        <w:spacing w:after="0"/>
        <w:rPr>
          <w:lang w:val="es-CR"/>
        </w:rPr>
      </w:pPr>
      <w:r>
        <w:rPr>
          <w:lang w:val="es-CR"/>
        </w:rPr>
        <w:t>El 12 de mayo de 1992</w:t>
      </w:r>
      <w:r w:rsidRPr="008E26C6">
        <w:rPr>
          <w:lang w:val="es-CR"/>
        </w:rPr>
        <w:t xml:space="preserve"> el Poder Ejecutivo promulgó el Decreto</w:t>
      </w:r>
      <w:r>
        <w:rPr>
          <w:lang w:val="es-CR"/>
        </w:rPr>
        <w:t>-</w:t>
      </w:r>
      <w:r w:rsidRPr="008E26C6">
        <w:rPr>
          <w:lang w:val="es-CR"/>
        </w:rPr>
        <w:t>Ley No. 25499</w:t>
      </w:r>
      <w:r w:rsidRPr="008E26C6">
        <w:rPr>
          <w:rStyle w:val="FootnoteReference"/>
          <w:lang w:val="es-CR"/>
        </w:rPr>
        <w:footnoteReference w:id="83"/>
      </w:r>
      <w:r w:rsidRPr="008E26C6">
        <w:rPr>
          <w:lang w:val="es-CR"/>
        </w:rPr>
        <w:t>, también conocido como “Ley de Arrepentimiento</w:t>
      </w:r>
      <w:r>
        <w:rPr>
          <w:lang w:val="es-CR"/>
        </w:rPr>
        <w:t>”</w:t>
      </w:r>
      <w:r w:rsidRPr="008E26C6">
        <w:rPr>
          <w:lang w:val="es-CR"/>
        </w:rPr>
        <w:t>, “</w:t>
      </w:r>
      <w:proofErr w:type="spellStart"/>
      <w:proofErr w:type="gramStart"/>
      <w:r w:rsidRPr="008E26C6">
        <w:rPr>
          <w:lang w:val="es-CR"/>
        </w:rPr>
        <w:t>establec</w:t>
      </w:r>
      <w:proofErr w:type="spellEnd"/>
      <w:r w:rsidRPr="008E26C6">
        <w:rPr>
          <w:lang w:val="es-CR"/>
        </w:rPr>
        <w:t>[</w:t>
      </w:r>
      <w:proofErr w:type="spellStart"/>
      <w:proofErr w:type="gramEnd"/>
      <w:r w:rsidRPr="008E26C6">
        <w:rPr>
          <w:lang w:val="es-CR"/>
        </w:rPr>
        <w:t>iendo</w:t>
      </w:r>
      <w:proofErr w:type="spellEnd"/>
      <w:r w:rsidRPr="008E26C6">
        <w:rPr>
          <w:lang w:val="es-CR"/>
        </w:rPr>
        <w:t xml:space="preserve">] los términos dentro de los cuales se concederán los beneficios de reducción, exención, remisión o atenuación de la pena, a incursos en el delito de terrorismo”. </w:t>
      </w:r>
      <w:r w:rsidR="003343A2">
        <w:rPr>
          <w:lang w:val="es-CR"/>
        </w:rPr>
        <w:t xml:space="preserve">Dicho Decreto-Ley </w:t>
      </w:r>
      <w:r>
        <w:rPr>
          <w:lang w:val="es-CR"/>
        </w:rPr>
        <w:t xml:space="preserve">entró en vigencia 16 de mayo de 1992. </w:t>
      </w:r>
      <w:r w:rsidRPr="008E26C6">
        <w:rPr>
          <w:lang w:val="es-CR"/>
        </w:rPr>
        <w:t>E</w:t>
      </w:r>
      <w:r w:rsidR="003343A2">
        <w:rPr>
          <w:lang w:val="es-CR"/>
        </w:rPr>
        <w:t>n</w:t>
      </w:r>
      <w:r w:rsidRPr="008E26C6">
        <w:rPr>
          <w:lang w:val="es-CR"/>
        </w:rPr>
        <w:t xml:space="preserve"> su p</w:t>
      </w:r>
      <w:r w:rsidR="00811AF1">
        <w:rPr>
          <w:lang w:val="es-CR"/>
        </w:rPr>
        <w:t xml:space="preserve">rimer artículo (apartado </w:t>
      </w:r>
      <w:proofErr w:type="spellStart"/>
      <w:r w:rsidR="00811AF1">
        <w:rPr>
          <w:lang w:val="es-CR"/>
        </w:rPr>
        <w:t>II.a</w:t>
      </w:r>
      <w:proofErr w:type="spellEnd"/>
      <w:r>
        <w:rPr>
          <w:lang w:val="es-CR"/>
        </w:rPr>
        <w:t>)</w:t>
      </w:r>
      <w:r w:rsidRPr="008E26C6">
        <w:rPr>
          <w:lang w:val="es-CR"/>
        </w:rPr>
        <w:t xml:space="preserve"> </w:t>
      </w:r>
      <w:r w:rsidR="003343A2">
        <w:rPr>
          <w:lang w:val="es-CR"/>
        </w:rPr>
        <w:t xml:space="preserve">se </w:t>
      </w:r>
      <w:r w:rsidRPr="008E26C6">
        <w:rPr>
          <w:lang w:val="es-CR"/>
        </w:rPr>
        <w:t>determina</w:t>
      </w:r>
      <w:r>
        <w:rPr>
          <w:lang w:val="es-CR"/>
        </w:rPr>
        <w:t>ba</w:t>
      </w:r>
      <w:r w:rsidRPr="008E26C6">
        <w:rPr>
          <w:lang w:val="es-CR"/>
        </w:rPr>
        <w:t xml:space="preserve"> la “exención de la pena”</w:t>
      </w:r>
      <w:r w:rsidR="003343A2">
        <w:rPr>
          <w:lang w:val="es-CR"/>
        </w:rPr>
        <w:t>,</w:t>
      </w:r>
    </w:p>
    <w:p w:rsidR="009E2748" w:rsidRDefault="009E2748" w:rsidP="009E2748">
      <w:pPr>
        <w:rPr>
          <w:szCs w:val="20"/>
          <w:lang w:val="es-CR"/>
        </w:rPr>
      </w:pPr>
    </w:p>
    <w:p w:rsidR="009E2748" w:rsidRPr="00F32AB8" w:rsidRDefault="009E2748" w:rsidP="00144171">
      <w:pPr>
        <w:pStyle w:val="ListParagraph"/>
        <w:ind w:left="630" w:right="720"/>
        <w:jc w:val="both"/>
        <w:rPr>
          <w:sz w:val="16"/>
          <w:szCs w:val="16"/>
          <w:lang w:val="es-CR"/>
        </w:rPr>
      </w:pPr>
      <w:r w:rsidRPr="00F32AB8">
        <w:rPr>
          <w:sz w:val="16"/>
          <w:szCs w:val="16"/>
          <w:lang w:val="es-CR"/>
        </w:rPr>
        <w:t>[c]</w:t>
      </w:r>
      <w:proofErr w:type="spellStart"/>
      <w:r w:rsidRPr="00F32AB8">
        <w:rPr>
          <w:sz w:val="16"/>
          <w:szCs w:val="16"/>
          <w:lang w:val="es-CR"/>
        </w:rPr>
        <w:t>uando</w:t>
      </w:r>
      <w:proofErr w:type="spellEnd"/>
      <w:r w:rsidRPr="00F32AB8">
        <w:rPr>
          <w:sz w:val="16"/>
          <w:szCs w:val="16"/>
          <w:lang w:val="es-CR"/>
        </w:rPr>
        <w:t xml:space="preserve"> alguien involucrado en delito de terrorismo, se encuentre o no comprendido en un proceso penal, proporcione voluntariamente información oportuna y veraz que permita conocer detalles de grupos u organizaciones terroristas y su funcionamiento, la identificación de los jefes, cabecillas, dirigentes y/o de sus principales integrantes, así como futuras acciones que con dicha información se impidan o neutralicen.</w:t>
      </w:r>
    </w:p>
    <w:p w:rsidR="009E2748" w:rsidRPr="00F32AB8" w:rsidRDefault="009E2748" w:rsidP="00144171">
      <w:pPr>
        <w:pStyle w:val="ListParagraph"/>
        <w:ind w:left="630" w:right="720"/>
        <w:jc w:val="both"/>
        <w:rPr>
          <w:sz w:val="16"/>
          <w:szCs w:val="16"/>
          <w:lang w:val="es-CR"/>
        </w:rPr>
      </w:pPr>
    </w:p>
    <w:p w:rsidR="009E2748" w:rsidRDefault="009E2748" w:rsidP="00144171">
      <w:pPr>
        <w:pStyle w:val="ListParagraph"/>
        <w:ind w:left="630" w:right="720"/>
        <w:jc w:val="both"/>
        <w:rPr>
          <w:sz w:val="16"/>
          <w:szCs w:val="16"/>
          <w:lang w:val="es-CR"/>
        </w:rPr>
      </w:pPr>
      <w:r w:rsidRPr="00F32AB8">
        <w:rPr>
          <w:sz w:val="16"/>
          <w:szCs w:val="16"/>
          <w:lang w:val="es-CR"/>
        </w:rPr>
        <w:t xml:space="preserve">La declaración </w:t>
      </w:r>
      <w:r>
        <w:rPr>
          <w:sz w:val="16"/>
          <w:szCs w:val="16"/>
          <w:lang w:val="es-CR"/>
        </w:rPr>
        <w:t>s</w:t>
      </w:r>
      <w:r w:rsidRPr="00F32AB8">
        <w:rPr>
          <w:sz w:val="16"/>
          <w:szCs w:val="16"/>
          <w:lang w:val="es-CR"/>
        </w:rPr>
        <w:t>e hará ante la policía, en presencia del representante del Ministerio Público o ante el Juez de la causa, según sea el caso.</w:t>
      </w:r>
    </w:p>
    <w:p w:rsidR="009E2748" w:rsidRPr="00F32AB8" w:rsidRDefault="009E2748" w:rsidP="00144171">
      <w:pPr>
        <w:pStyle w:val="ListParagraph"/>
        <w:ind w:left="630" w:right="720"/>
        <w:jc w:val="both"/>
        <w:rPr>
          <w:sz w:val="16"/>
          <w:szCs w:val="16"/>
          <w:lang w:val="es-CR"/>
        </w:rPr>
      </w:pPr>
    </w:p>
    <w:p w:rsidR="009E2748" w:rsidRPr="00F32AB8" w:rsidRDefault="009E2748" w:rsidP="00144171">
      <w:pPr>
        <w:pStyle w:val="ListParagraph"/>
        <w:ind w:left="630" w:right="720"/>
        <w:jc w:val="both"/>
        <w:rPr>
          <w:sz w:val="16"/>
          <w:szCs w:val="16"/>
          <w:lang w:val="es-CR"/>
        </w:rPr>
      </w:pPr>
      <w:r w:rsidRPr="00F32AB8">
        <w:rPr>
          <w:sz w:val="16"/>
          <w:szCs w:val="16"/>
          <w:lang w:val="es-CR"/>
        </w:rPr>
        <w:t xml:space="preserve">Si la persona o personas no </w:t>
      </w:r>
      <w:r w:rsidR="00BD1DDC" w:rsidRPr="00F32AB8">
        <w:rPr>
          <w:sz w:val="16"/>
          <w:szCs w:val="16"/>
          <w:lang w:val="es-CR"/>
        </w:rPr>
        <w:t>estuviese</w:t>
      </w:r>
      <w:r w:rsidR="00BD1DDC">
        <w:rPr>
          <w:sz w:val="16"/>
          <w:szCs w:val="16"/>
          <w:lang w:val="es-CR"/>
        </w:rPr>
        <w:t>n</w:t>
      </w:r>
      <w:r w:rsidR="00BD1DDC" w:rsidRPr="00F32AB8">
        <w:rPr>
          <w:sz w:val="16"/>
          <w:szCs w:val="16"/>
          <w:lang w:val="es-CR"/>
        </w:rPr>
        <w:t xml:space="preserve"> </w:t>
      </w:r>
      <w:r w:rsidRPr="00F32AB8">
        <w:rPr>
          <w:sz w:val="16"/>
          <w:szCs w:val="16"/>
          <w:lang w:val="es-CR"/>
        </w:rPr>
        <w:t xml:space="preserve">sometidas a investigaciones policiales o comprendidas en un proceso penal, la declaración deberá efectuarse necesariamente ante el Fiscal Provincial o Fiscal Superior de cualquier lugar de la República. </w:t>
      </w:r>
    </w:p>
    <w:p w:rsidR="009E2748" w:rsidRPr="00F32AB8" w:rsidRDefault="009E2748" w:rsidP="00144171">
      <w:pPr>
        <w:pStyle w:val="ListParagraph"/>
        <w:ind w:left="630" w:right="720"/>
        <w:jc w:val="both"/>
        <w:rPr>
          <w:sz w:val="16"/>
          <w:szCs w:val="16"/>
          <w:lang w:val="es-CR"/>
        </w:rPr>
      </w:pPr>
    </w:p>
    <w:p w:rsidR="009E2748" w:rsidRPr="00F32AB8" w:rsidRDefault="009E2748" w:rsidP="00144171">
      <w:pPr>
        <w:pStyle w:val="ListParagraph"/>
        <w:ind w:left="630" w:right="720"/>
        <w:jc w:val="both"/>
        <w:rPr>
          <w:sz w:val="16"/>
          <w:szCs w:val="16"/>
          <w:lang w:val="es-CR"/>
        </w:rPr>
      </w:pPr>
      <w:r w:rsidRPr="00F32AB8">
        <w:rPr>
          <w:sz w:val="16"/>
          <w:szCs w:val="16"/>
          <w:lang w:val="es-CR"/>
        </w:rPr>
        <w:t>Por excepción, en las zonas declaradas en Estado de Emergencia o de Sitio, la declaración a que se refiere el párrafo anterior, podrá hacerse ante las autoridades del Comando Político Militar en presencia de un representante del Ministerio Público.</w:t>
      </w:r>
    </w:p>
    <w:p w:rsidR="009E2748" w:rsidRPr="008E26C6" w:rsidRDefault="009E2748" w:rsidP="009E2748">
      <w:pPr>
        <w:rPr>
          <w:szCs w:val="20"/>
          <w:lang w:val="es-CR"/>
        </w:rPr>
      </w:pPr>
    </w:p>
    <w:p w:rsidR="009E2748" w:rsidRDefault="009E2748" w:rsidP="008A782A">
      <w:pPr>
        <w:pStyle w:val="Estilo1"/>
        <w:spacing w:after="0"/>
        <w:rPr>
          <w:lang w:val="es-CR"/>
        </w:rPr>
      </w:pPr>
      <w:r w:rsidRPr="008E26C6">
        <w:rPr>
          <w:lang w:val="es-CR"/>
        </w:rPr>
        <w:t>El 8 de mayo de 1993</w:t>
      </w:r>
      <w:r>
        <w:rPr>
          <w:lang w:val="es-CR"/>
        </w:rPr>
        <w:t>,</w:t>
      </w:r>
      <w:r w:rsidRPr="008E26C6">
        <w:rPr>
          <w:lang w:val="es-CR"/>
        </w:rPr>
        <w:t xml:space="preserve"> mediante el Decreto Supremo No. 015-93-JUS</w:t>
      </w:r>
      <w:r w:rsidRPr="008E26C6">
        <w:rPr>
          <w:rStyle w:val="FootnoteReference"/>
          <w:lang w:val="es-CR"/>
        </w:rPr>
        <w:footnoteReference w:id="84"/>
      </w:r>
      <w:r w:rsidR="003343A2">
        <w:rPr>
          <w:lang w:val="es-CR"/>
        </w:rPr>
        <w:t>,</w:t>
      </w:r>
      <w:r>
        <w:rPr>
          <w:lang w:val="es-CR"/>
        </w:rPr>
        <w:t xml:space="preserve"> </w:t>
      </w:r>
      <w:r w:rsidRPr="008E26C6">
        <w:rPr>
          <w:lang w:val="es-CR"/>
        </w:rPr>
        <w:t xml:space="preserve">el Poder Ejecutivo aprobó el Reglamento de la Ley de Arrepentimiento, en el que se establece el procedimiento que se deberá seguir para quienes soliciten los beneficios de reducción, exención, remisión o atenuación de la pena: </w:t>
      </w:r>
    </w:p>
    <w:p w:rsidR="009E2748" w:rsidRDefault="009E2748" w:rsidP="008A782A">
      <w:pPr>
        <w:pStyle w:val="ListParagraph"/>
        <w:ind w:left="0"/>
        <w:jc w:val="both"/>
        <w:rPr>
          <w:sz w:val="20"/>
          <w:szCs w:val="20"/>
          <w:lang w:val="es-CR"/>
        </w:rPr>
      </w:pPr>
    </w:p>
    <w:p w:rsidR="009E2748" w:rsidRDefault="009E2748" w:rsidP="008A782A">
      <w:pPr>
        <w:pStyle w:val="ListParagraph"/>
        <w:ind w:left="567" w:right="720"/>
        <w:jc w:val="both"/>
        <w:rPr>
          <w:sz w:val="16"/>
          <w:szCs w:val="16"/>
          <w:lang w:val="es-CR"/>
        </w:rPr>
      </w:pPr>
      <w:r w:rsidRPr="00F32AB8">
        <w:rPr>
          <w:sz w:val="16"/>
          <w:szCs w:val="16"/>
          <w:lang w:val="es-CR"/>
        </w:rPr>
        <w:t>Art. 6: Se acogerá al beneficio de la exención y no cumplirá pena aquél que estando comprendido o no en un proceso penal por delito de terrorismo y que proporcione voluntariamente información oportuna y cierta, que permita conocer el accionar de grupos u organizaciones terroristas e identificar plenamente a los jefes, mandos, cabecillas, dirigentes o integrantes de la organización así como la captura de los mismos y que impidan o neutralicen futuras acciones terroristas o comunique a la autoridad policial o judicial alguna situación de peligro que permita evitar la producción del evento dañoso.</w:t>
      </w:r>
      <w:r w:rsidRPr="00F32AB8">
        <w:rPr>
          <w:sz w:val="16"/>
          <w:szCs w:val="16"/>
          <w:lang w:val="es-CR"/>
        </w:rPr>
        <w:cr/>
      </w:r>
    </w:p>
    <w:p w:rsidR="009E2748" w:rsidRPr="00F32AB8" w:rsidRDefault="009E2748" w:rsidP="00144171">
      <w:pPr>
        <w:pStyle w:val="ListParagraph"/>
        <w:ind w:left="567" w:right="720"/>
        <w:jc w:val="both"/>
        <w:rPr>
          <w:sz w:val="16"/>
          <w:szCs w:val="16"/>
          <w:lang w:val="es-CR"/>
        </w:rPr>
      </w:pPr>
      <w:r w:rsidRPr="00F32AB8">
        <w:rPr>
          <w:sz w:val="16"/>
          <w:szCs w:val="16"/>
          <w:lang w:val="es-CR"/>
        </w:rPr>
        <w:t>Art. 21: En el caso que el solicitante desea acogerse a los beneficios de la reducción o la exención de la pena si no hay investigación policial o proceso penal en curso, el representante del Ministerio Público que interviene en la manifestación, deberá disponer la inmediata declaración del solicitante luego de la cual, dispondrá la intervención de la Unidad Especializada de la Policía Nacional, para la verificación de la información proporcionada por éste.</w:t>
      </w:r>
      <w:r w:rsidRPr="00F32AB8">
        <w:rPr>
          <w:sz w:val="16"/>
          <w:szCs w:val="16"/>
          <w:lang w:val="es-CR"/>
        </w:rPr>
        <w:cr/>
      </w:r>
    </w:p>
    <w:p w:rsidR="009E2748" w:rsidRPr="00F32AB8" w:rsidRDefault="009E2748" w:rsidP="00144171">
      <w:pPr>
        <w:pStyle w:val="ListParagraph"/>
        <w:ind w:left="567" w:right="720"/>
        <w:jc w:val="both"/>
        <w:rPr>
          <w:sz w:val="16"/>
          <w:szCs w:val="16"/>
          <w:lang w:val="es-CR"/>
        </w:rPr>
      </w:pPr>
      <w:r w:rsidRPr="00F32AB8">
        <w:rPr>
          <w:sz w:val="16"/>
          <w:szCs w:val="16"/>
          <w:lang w:val="es-CR"/>
        </w:rPr>
        <w:t>Art. 27: El Informe de la Unidad Especializada de la Policía Nacional, que se eleve a la autoridad correspondiente, deberá confirmar o no las informaciones proporcionadas por el solicitante, debiendo estar debidamente sustentado en elementos técnicos y científicos, que permitan al Ministerio Público o a la Autoridad Judicial, pronunciarse sobre la procedencia o improcedencia del beneficio solicitado.</w:t>
      </w:r>
    </w:p>
    <w:p w:rsidR="009E2748" w:rsidRPr="00F32AB8" w:rsidRDefault="009E2748" w:rsidP="00144171">
      <w:pPr>
        <w:pStyle w:val="ListParagraph"/>
        <w:ind w:left="567" w:right="720"/>
        <w:jc w:val="both"/>
        <w:rPr>
          <w:sz w:val="16"/>
          <w:szCs w:val="16"/>
          <w:lang w:val="es-CR"/>
        </w:rPr>
      </w:pPr>
    </w:p>
    <w:p w:rsidR="009E2748" w:rsidRPr="00F32AB8" w:rsidRDefault="009E2748" w:rsidP="00144171">
      <w:pPr>
        <w:pStyle w:val="ListParagraph"/>
        <w:ind w:left="567" w:right="720"/>
        <w:jc w:val="both"/>
        <w:rPr>
          <w:sz w:val="16"/>
          <w:szCs w:val="16"/>
          <w:lang w:val="es-CR"/>
        </w:rPr>
      </w:pPr>
      <w:r w:rsidRPr="00F32AB8">
        <w:rPr>
          <w:sz w:val="16"/>
          <w:szCs w:val="16"/>
          <w:lang w:val="es-CR"/>
        </w:rPr>
        <w:t>Art. 29: En caso de la exención de la pena, si no hay proceso penal en curso, el Fiscal Provincial se pronunciará sobre la procedencia del beneficio solicitado a mérito del Informe evacuado por la Unidad Especializada de la Policía Nacional, poniendo en conocimiento en el término de Ley al Juez Penal correspondiente de los nuevos hechos denunciados por el beneficiado, elevando copia de lo actuado, en lo que respecta al beneficiado, al Fiscal Superior Decano para que éste a su vez designe a un Fiscal Superior, quien debe disponer necesariamente en el término perentorio de tres días el archivamiento definitivo del caso referente al beneficiado, haciendo conocer el resultado a la Comisión Evaluadora.</w:t>
      </w:r>
    </w:p>
    <w:p w:rsidR="009E2748" w:rsidRPr="00F32AB8" w:rsidRDefault="009E2748" w:rsidP="00144171">
      <w:pPr>
        <w:pStyle w:val="ListParagraph"/>
        <w:ind w:left="567" w:right="720"/>
        <w:jc w:val="both"/>
        <w:rPr>
          <w:sz w:val="16"/>
          <w:szCs w:val="16"/>
          <w:lang w:val="es-CR"/>
        </w:rPr>
      </w:pPr>
    </w:p>
    <w:p w:rsidR="009E2748" w:rsidRPr="00F32AB8" w:rsidRDefault="009E2748" w:rsidP="00144171">
      <w:pPr>
        <w:pStyle w:val="ListParagraph"/>
        <w:ind w:left="567" w:right="720"/>
        <w:jc w:val="both"/>
        <w:rPr>
          <w:sz w:val="16"/>
          <w:szCs w:val="16"/>
          <w:lang w:val="es-CR"/>
        </w:rPr>
      </w:pPr>
      <w:r w:rsidRPr="00F32AB8">
        <w:rPr>
          <w:sz w:val="16"/>
          <w:szCs w:val="16"/>
          <w:lang w:val="es-CR"/>
        </w:rPr>
        <w:t>Art. 39: Las autoridades comprendidas en el artículo 9, durante todo el procedimiento y bajo responsabilidad, adoptarán las medidas de seguridad y reserva necesarias, a fin de preservar la existencia física de la documentación relacionada al otorgamiento de los beneficios.</w:t>
      </w:r>
    </w:p>
    <w:p w:rsidR="009E2748" w:rsidRPr="00F32AB8" w:rsidRDefault="009E2748" w:rsidP="00144171">
      <w:pPr>
        <w:pStyle w:val="ListParagraph"/>
        <w:ind w:left="567" w:right="720"/>
        <w:jc w:val="both"/>
        <w:rPr>
          <w:sz w:val="16"/>
          <w:szCs w:val="16"/>
          <w:lang w:val="es-CR"/>
        </w:rPr>
      </w:pPr>
    </w:p>
    <w:p w:rsidR="009E2748" w:rsidRPr="00F32AB8" w:rsidRDefault="009E2748" w:rsidP="00144171">
      <w:pPr>
        <w:pStyle w:val="ListParagraph"/>
        <w:ind w:left="567" w:right="720"/>
        <w:jc w:val="both"/>
        <w:rPr>
          <w:sz w:val="16"/>
          <w:szCs w:val="16"/>
          <w:lang w:val="es-CR"/>
        </w:rPr>
      </w:pPr>
      <w:r w:rsidRPr="00F32AB8">
        <w:rPr>
          <w:sz w:val="16"/>
          <w:szCs w:val="16"/>
          <w:lang w:val="es-CR"/>
        </w:rPr>
        <w:t>Artículo 40: Las autoridades comprendidas en el artículo 9, durante todo el procedimiento y bajo responsabilidad, deberán adoptar las medidas necesarias para ubicar y mantener al solicitante en un ambiente especial o su domicilio, según sea el caso.</w:t>
      </w:r>
    </w:p>
    <w:p w:rsidR="009E2748" w:rsidRPr="008E26C6" w:rsidRDefault="009E2748" w:rsidP="009E2748">
      <w:pPr>
        <w:pStyle w:val="ListParagraph"/>
        <w:ind w:left="0"/>
        <w:jc w:val="both"/>
        <w:rPr>
          <w:sz w:val="20"/>
          <w:szCs w:val="20"/>
          <w:lang w:val="es-CR"/>
        </w:rPr>
      </w:pPr>
    </w:p>
    <w:p w:rsidR="009E2748" w:rsidRPr="008E26C6" w:rsidRDefault="009E2748" w:rsidP="00BE708E">
      <w:pPr>
        <w:pStyle w:val="Estilo1"/>
        <w:spacing w:after="0"/>
        <w:rPr>
          <w:lang w:val="es-CR"/>
        </w:rPr>
      </w:pPr>
      <w:r w:rsidRPr="008E26C6">
        <w:rPr>
          <w:lang w:val="es-CR"/>
        </w:rPr>
        <w:t>El 31 de</w:t>
      </w:r>
      <w:r>
        <w:rPr>
          <w:lang w:val="es-CR"/>
        </w:rPr>
        <w:t xml:space="preserve"> octubre de 1994 cesó la vigencia del Decreto-Ley </w:t>
      </w:r>
      <w:r w:rsidRPr="008E26C6">
        <w:rPr>
          <w:lang w:val="es-CR"/>
        </w:rPr>
        <w:t>No. 25499</w:t>
      </w:r>
      <w:r>
        <w:rPr>
          <w:lang w:val="es-CR"/>
        </w:rPr>
        <w:t>, según lo dispuesto en el artículo 1 de la Ley No. 26345, publicada en el Diario Oficial “El Peruano” el 30 de agosto de 1994</w:t>
      </w:r>
      <w:r w:rsidRPr="008E26C6">
        <w:rPr>
          <w:rStyle w:val="FootnoteReference"/>
          <w:lang w:val="es-CR"/>
        </w:rPr>
        <w:footnoteReference w:id="85"/>
      </w:r>
      <w:r w:rsidRPr="008E26C6">
        <w:rPr>
          <w:lang w:val="es-CR"/>
        </w:rPr>
        <w:t>.</w:t>
      </w:r>
      <w:r>
        <w:rPr>
          <w:lang w:val="es-CR"/>
        </w:rPr>
        <w:t xml:space="preserve"> </w:t>
      </w:r>
    </w:p>
    <w:p w:rsidR="00922586" w:rsidRPr="00FB3C25" w:rsidRDefault="00922586" w:rsidP="00FB3C25">
      <w:pPr>
        <w:contextualSpacing/>
        <w:outlineLvl w:val="2"/>
        <w:rPr>
          <w:i/>
          <w:szCs w:val="20"/>
          <w:lang w:val="es-CR"/>
        </w:rPr>
      </w:pPr>
      <w:bookmarkStart w:id="244" w:name="_Toc415507380"/>
      <w:bookmarkStart w:id="245" w:name="_Toc418530469"/>
      <w:bookmarkStart w:id="246" w:name="_Toc420941731"/>
      <w:bookmarkStart w:id="247" w:name="_Toc424313484"/>
      <w:bookmarkStart w:id="248" w:name="_Toc430869786"/>
      <w:bookmarkStart w:id="249" w:name="_Toc438129707"/>
    </w:p>
    <w:p w:rsidR="009E2748" w:rsidRPr="00144171" w:rsidRDefault="009E2748" w:rsidP="00722414">
      <w:pPr>
        <w:pStyle w:val="ListParagraph"/>
        <w:ind w:left="851"/>
        <w:contextualSpacing/>
        <w:jc w:val="both"/>
        <w:outlineLvl w:val="2"/>
        <w:rPr>
          <w:i/>
          <w:sz w:val="20"/>
          <w:szCs w:val="20"/>
          <w:lang w:val="es-CR"/>
        </w:rPr>
      </w:pPr>
      <w:r w:rsidRPr="00BB1149">
        <w:rPr>
          <w:i/>
          <w:sz w:val="20"/>
          <w:szCs w:val="20"/>
          <w:lang w:val="es-CR"/>
        </w:rPr>
        <w:t>B.5</w:t>
      </w:r>
      <w:r w:rsidR="00067CB9">
        <w:rPr>
          <w:i/>
          <w:sz w:val="20"/>
          <w:szCs w:val="20"/>
          <w:lang w:val="es-CR"/>
        </w:rPr>
        <w:t>.</w:t>
      </w:r>
      <w:r w:rsidRPr="00BB1149">
        <w:rPr>
          <w:i/>
          <w:sz w:val="20"/>
          <w:szCs w:val="20"/>
          <w:lang w:val="es-CR"/>
        </w:rPr>
        <w:t xml:space="preserve"> Normas de amnistía</w:t>
      </w:r>
      <w:bookmarkEnd w:id="244"/>
      <w:bookmarkEnd w:id="245"/>
      <w:bookmarkEnd w:id="246"/>
      <w:bookmarkEnd w:id="247"/>
      <w:bookmarkEnd w:id="248"/>
      <w:r w:rsidR="006F124F">
        <w:rPr>
          <w:i/>
          <w:sz w:val="20"/>
          <w:szCs w:val="20"/>
          <w:lang w:val="es-CR"/>
        </w:rPr>
        <w:t xml:space="preserve"> </w:t>
      </w:r>
      <w:r w:rsidR="006F124F" w:rsidRPr="00144171">
        <w:rPr>
          <w:i/>
          <w:sz w:val="20"/>
          <w:szCs w:val="20"/>
          <w:lang w:val="es-CR"/>
        </w:rPr>
        <w:t>vigentes con posterioridad a los hechos</w:t>
      </w:r>
      <w:bookmarkEnd w:id="249"/>
    </w:p>
    <w:p w:rsidR="009E2748" w:rsidRPr="008E26C6" w:rsidRDefault="009E2748" w:rsidP="00BE708E">
      <w:pPr>
        <w:pStyle w:val="ListParagraph"/>
        <w:ind w:left="0"/>
        <w:jc w:val="both"/>
        <w:rPr>
          <w:sz w:val="20"/>
          <w:szCs w:val="20"/>
          <w:lang w:val="es-CR"/>
        </w:rPr>
      </w:pPr>
    </w:p>
    <w:p w:rsidR="009E2748" w:rsidRDefault="009E2748" w:rsidP="00BE708E">
      <w:pPr>
        <w:pStyle w:val="Estilo1"/>
        <w:spacing w:after="0"/>
        <w:rPr>
          <w:lang w:val="es-CR"/>
        </w:rPr>
      </w:pPr>
      <w:r w:rsidRPr="008E26C6">
        <w:rPr>
          <w:lang w:val="es-CR"/>
        </w:rPr>
        <w:t>El 14 de junio de 1995 se expidió la Ley de Amnistía No. 26479. La misma ordenó:</w:t>
      </w:r>
    </w:p>
    <w:p w:rsidR="009E2748" w:rsidRDefault="009E2748" w:rsidP="00BE708E">
      <w:pPr>
        <w:pStyle w:val="ListParagraph"/>
        <w:ind w:left="0"/>
        <w:jc w:val="both"/>
        <w:rPr>
          <w:sz w:val="20"/>
          <w:szCs w:val="20"/>
          <w:lang w:val="es-CR"/>
        </w:rPr>
      </w:pPr>
    </w:p>
    <w:p w:rsidR="009E2748" w:rsidRDefault="009E2748" w:rsidP="008A782A">
      <w:pPr>
        <w:pStyle w:val="ListParagraph"/>
        <w:ind w:left="567" w:right="720"/>
        <w:jc w:val="both"/>
        <w:rPr>
          <w:sz w:val="16"/>
          <w:szCs w:val="16"/>
          <w:lang w:val="es-CR"/>
        </w:rPr>
      </w:pPr>
      <w:r w:rsidRPr="003A02AD">
        <w:rPr>
          <w:sz w:val="16"/>
          <w:szCs w:val="16"/>
          <w:lang w:val="es-CR"/>
        </w:rPr>
        <w:t xml:space="preserve">Art. 1: Concédase amnistía general al personal Militar, Policial o Civil, cualquiera que fuere su situación Militar o Policial o Funcional correspondiente, que se encuentre denunciado, investigado, encausado, procesado o condenado por delitos comunes y militares en los Fueros Común o Privativo Militar, respectivamente, por todos los hechos derivados u originados con ocasión o como </w:t>
      </w:r>
      <w:r w:rsidRPr="003A02AD">
        <w:rPr>
          <w:sz w:val="16"/>
          <w:szCs w:val="16"/>
          <w:lang w:val="es-CR"/>
        </w:rPr>
        <w:lastRenderedPageBreak/>
        <w:t>consecuencia de la lucha contra el terrorismo y que pudieran haber sido cometidos en forma individual o en grupo desde Mayo de 1980 hasta la fecha de la promulgación de la presente Ley.</w:t>
      </w:r>
    </w:p>
    <w:p w:rsidR="009E2748" w:rsidRPr="003A02AD" w:rsidRDefault="009E2748" w:rsidP="008A782A">
      <w:pPr>
        <w:pStyle w:val="ListParagraph"/>
        <w:ind w:left="567" w:right="720"/>
        <w:jc w:val="both"/>
        <w:rPr>
          <w:sz w:val="16"/>
          <w:szCs w:val="16"/>
          <w:lang w:val="es-CR"/>
        </w:rPr>
      </w:pPr>
    </w:p>
    <w:p w:rsidR="009E2748" w:rsidRDefault="009E2748" w:rsidP="008A782A">
      <w:pPr>
        <w:pStyle w:val="ListParagraph"/>
        <w:ind w:left="567" w:right="720"/>
        <w:jc w:val="both"/>
        <w:rPr>
          <w:sz w:val="16"/>
          <w:szCs w:val="16"/>
          <w:lang w:val="es-CR"/>
        </w:rPr>
      </w:pPr>
      <w:r w:rsidRPr="003A02AD">
        <w:rPr>
          <w:sz w:val="16"/>
          <w:szCs w:val="16"/>
          <w:lang w:val="es-CR"/>
        </w:rPr>
        <w:t>Art. 6: Los hechos o delitos comprendidos en la presente amnistía, así como los sobreseimientos definitivos y las absoluciones, no son susceptibles de investigación, pesquisa o sumario; quedando, todos los casos judiciales, en trámite o en ejecución, archivados definitivamente.</w:t>
      </w:r>
    </w:p>
    <w:p w:rsidR="009E2748" w:rsidRPr="008E26C6" w:rsidRDefault="009E2748" w:rsidP="00D62C80">
      <w:pPr>
        <w:pStyle w:val="ListParagraph"/>
        <w:ind w:left="1134" w:right="720"/>
        <w:jc w:val="both"/>
        <w:rPr>
          <w:sz w:val="20"/>
          <w:szCs w:val="20"/>
          <w:lang w:val="es-CR"/>
        </w:rPr>
      </w:pPr>
    </w:p>
    <w:p w:rsidR="009E2748" w:rsidRDefault="009E2748" w:rsidP="00D62C80">
      <w:pPr>
        <w:pStyle w:val="Estilo1"/>
        <w:spacing w:after="0"/>
        <w:rPr>
          <w:lang w:val="es-CR"/>
        </w:rPr>
      </w:pPr>
      <w:r w:rsidRPr="008E26C6">
        <w:rPr>
          <w:lang w:val="es-CR"/>
        </w:rPr>
        <w:t>El 17 de junio de 1995 se expidió la Ley No. 26492, dónde se precisó la “interpretación y alcances de amnistía otorgada por la Ley No. 26479”:</w:t>
      </w:r>
    </w:p>
    <w:p w:rsidR="009E2748" w:rsidRDefault="009E2748" w:rsidP="00D62C80">
      <w:pPr>
        <w:pStyle w:val="ListParagraph"/>
        <w:ind w:left="0"/>
        <w:jc w:val="both"/>
        <w:rPr>
          <w:sz w:val="20"/>
          <w:szCs w:val="20"/>
          <w:lang w:val="es-CR"/>
        </w:rPr>
      </w:pPr>
    </w:p>
    <w:p w:rsidR="009E2748" w:rsidRPr="00F627C9" w:rsidRDefault="009E2748" w:rsidP="008A782A">
      <w:pPr>
        <w:pStyle w:val="ListParagraph"/>
        <w:ind w:left="567" w:right="720"/>
        <w:jc w:val="both"/>
        <w:rPr>
          <w:sz w:val="16"/>
          <w:szCs w:val="16"/>
          <w:lang w:val="es-CR"/>
        </w:rPr>
      </w:pPr>
      <w:r w:rsidRPr="003A02AD">
        <w:rPr>
          <w:sz w:val="16"/>
          <w:szCs w:val="16"/>
          <w:lang w:val="es-CR"/>
        </w:rPr>
        <w:t>Art. 3: Interprétese el artículo 1o de la Ley No 26479 en el sentido que la amnistía general que se concede es de obligatoria aplicación por los Órganos Jurisdiccionales y alcanza a todos los hechos derivados u originados con ocasión o como consecuencia de la lucha contra el terrorismo cometidos en forma individual o en grupo desde el mes de mayo de 1980 hasta el 14 de Junio de 1995, sin importar que el personal militar, policial o civil involucrado, se encuentre o no denunciado, investigado, sujeto a proceso penal o condenado; quedando todos los casos judiciales en trámite o en ejecución archivados definitivamente de conformidad con el artículo 6o de la Ley precitada.</w:t>
      </w:r>
      <w:r w:rsidRPr="003A02AD">
        <w:rPr>
          <w:sz w:val="16"/>
          <w:szCs w:val="16"/>
          <w:lang w:val="es-CR"/>
        </w:rPr>
        <w:cr/>
      </w:r>
    </w:p>
    <w:p w:rsidR="009E2748" w:rsidRPr="006F124F" w:rsidRDefault="006F124F" w:rsidP="006F124F">
      <w:pPr>
        <w:pStyle w:val="Estilo1"/>
        <w:spacing w:after="0"/>
        <w:rPr>
          <w:b/>
          <w:lang w:val="es-CR"/>
        </w:rPr>
      </w:pPr>
      <w:r w:rsidRPr="00144171">
        <w:rPr>
          <w:rStyle w:val="Strong"/>
          <w:b w:val="0"/>
          <w:lang w:val="es-CR"/>
        </w:rPr>
        <w:t>E</w:t>
      </w:r>
      <w:r w:rsidRPr="00144171">
        <w:rPr>
          <w:lang w:val="es-CR"/>
        </w:rPr>
        <w:t xml:space="preserve">n la Sentencia del </w:t>
      </w:r>
      <w:r w:rsidRPr="00144171">
        <w:rPr>
          <w:rStyle w:val="Strong"/>
          <w:b w:val="0"/>
          <w:i/>
          <w:lang w:val="es-CR"/>
        </w:rPr>
        <w:t xml:space="preserve">Caso Barrios Altos Vs. Perú, </w:t>
      </w:r>
      <w:r w:rsidRPr="00144171">
        <w:rPr>
          <w:rStyle w:val="Strong"/>
          <w:b w:val="0"/>
          <w:lang w:val="es-CR"/>
        </w:rPr>
        <w:t>dictada por la Corte el 14 de marzo de 2001</w:t>
      </w:r>
      <w:r w:rsidR="007B2392" w:rsidRPr="00144171">
        <w:rPr>
          <w:rStyle w:val="Strong"/>
          <w:b w:val="0"/>
          <w:lang w:val="es-CR"/>
        </w:rPr>
        <w:t>,</w:t>
      </w:r>
      <w:r w:rsidRPr="00144171">
        <w:rPr>
          <w:b/>
          <w:lang w:val="es-CR"/>
        </w:rPr>
        <w:t xml:space="preserve"> </w:t>
      </w:r>
      <w:r w:rsidRPr="00144171">
        <w:rPr>
          <w:lang w:val="es-CR"/>
        </w:rPr>
        <w:t xml:space="preserve">este Tribunal declaró en el </w:t>
      </w:r>
      <w:r w:rsidRPr="00144171">
        <w:t xml:space="preserve">punto resolutivo 4 que las </w:t>
      </w:r>
      <w:r w:rsidR="00BB26A6">
        <w:t>L</w:t>
      </w:r>
      <w:r w:rsidRPr="00144171">
        <w:t xml:space="preserve">eyes de </w:t>
      </w:r>
      <w:r w:rsidR="00BB26A6">
        <w:t>A</w:t>
      </w:r>
      <w:r w:rsidRPr="00144171">
        <w:t>mnistía Nº 26479 y Nº 26492 son incompatibles con la Convención Americana sobre Derechos Humanos y, en consecuencia, carecen de efectos jurídicos”</w:t>
      </w:r>
      <w:r w:rsidRPr="00144171">
        <w:rPr>
          <w:rStyle w:val="FootnoteReference"/>
        </w:rPr>
        <w:footnoteReference w:id="86"/>
      </w:r>
      <w:r w:rsidRPr="00144171">
        <w:t xml:space="preserve">. </w:t>
      </w:r>
      <w:r w:rsidRPr="00144171">
        <w:rPr>
          <w:lang w:val="es-CR"/>
        </w:rPr>
        <w:t>Posteriormente</w:t>
      </w:r>
      <w:r w:rsidR="001F2AF6" w:rsidRPr="00144171">
        <w:rPr>
          <w:lang w:val="es-CR"/>
        </w:rPr>
        <w:t>,</w:t>
      </w:r>
      <w:r w:rsidRPr="00144171">
        <w:rPr>
          <w:lang w:val="es-CR"/>
        </w:rPr>
        <w:t xml:space="preserve"> en la Sentencia de Interpretación dictada por la Corte el 3 de septiembre de 2001</w:t>
      </w:r>
      <w:r w:rsidR="007B2392" w:rsidRPr="00144171">
        <w:rPr>
          <w:lang w:val="es-CR"/>
        </w:rPr>
        <w:t xml:space="preserve"> respecto a dicha Sentencia</w:t>
      </w:r>
      <w:r w:rsidRPr="00144171">
        <w:rPr>
          <w:lang w:val="es-CR"/>
        </w:rPr>
        <w:t>, frente a la consulta sobre “</w:t>
      </w:r>
      <w:r w:rsidRPr="00144171">
        <w:t>si los efectos del punto resolutivo 4 de la sentencia emitida el 14 de marzo de 2001 en este caso se aplican sólo para éste o también de manera genérica para todos aquellos casos de violaciones de derechos humanos en los cuales se han aplicado las referidas leyes de amnistía (No. 26479 y No. 26492)”</w:t>
      </w:r>
      <w:r w:rsidRPr="00144171">
        <w:rPr>
          <w:lang w:val="es-CR"/>
        </w:rPr>
        <w:t>, la Corte decidió que, “</w:t>
      </w:r>
      <w:r w:rsidRPr="00144171">
        <w:t>dada la naturaleza de la violación constituida por las leyes de amnistía No. 26479 y No. 26492, lo resuelto en la sentencia de fondo en el caso Barrios Altos tiene efectos generales”</w:t>
      </w:r>
      <w:r w:rsidRPr="00144171">
        <w:rPr>
          <w:rStyle w:val="FootnoteReference"/>
        </w:rPr>
        <w:footnoteReference w:id="87"/>
      </w:r>
      <w:r w:rsidRPr="00144171">
        <w:t>.</w:t>
      </w:r>
      <w:r w:rsidR="001F2AF6" w:rsidRPr="00144171">
        <w:t xml:space="preserve"> Por último, en la </w:t>
      </w:r>
      <w:r w:rsidR="001F2AF6" w:rsidRPr="00144171">
        <w:rPr>
          <w:lang w:val="es-CR"/>
        </w:rPr>
        <w:t>Resolución</w:t>
      </w:r>
      <w:r w:rsidR="001F2AF6" w:rsidRPr="001F2AF6">
        <w:rPr>
          <w:lang w:val="es-CR"/>
        </w:rPr>
        <w:t xml:space="preserve"> de supervisión de cumplimiento emitida por la </w:t>
      </w:r>
      <w:r w:rsidR="001F2AF6">
        <w:rPr>
          <w:lang w:val="es-CR"/>
        </w:rPr>
        <w:t>Corte</w:t>
      </w:r>
      <w:r w:rsidR="001F2AF6" w:rsidRPr="001F2AF6">
        <w:rPr>
          <w:lang w:val="es-CR"/>
        </w:rPr>
        <w:t xml:space="preserve"> </w:t>
      </w:r>
      <w:r w:rsidR="009E2748" w:rsidRPr="001F2AF6">
        <w:rPr>
          <w:lang w:val="es-CR"/>
        </w:rPr>
        <w:t xml:space="preserve">el 22 de septiembre de 2005, </w:t>
      </w:r>
      <w:r w:rsidR="001F2AF6" w:rsidRPr="001F2AF6">
        <w:rPr>
          <w:lang w:val="es-CR"/>
        </w:rPr>
        <w:t xml:space="preserve">declaró, </w:t>
      </w:r>
      <w:r w:rsidR="009E2748" w:rsidRPr="001F2AF6">
        <w:rPr>
          <w:lang w:val="es-CR"/>
        </w:rPr>
        <w:t xml:space="preserve">considerando una </w:t>
      </w:r>
      <w:r w:rsidR="009E2748" w:rsidRPr="001F2AF6">
        <w:t>Resolución del Fiscal de la Nación de 18 de abril de 2005, publicada dos días después,</w:t>
      </w:r>
      <w:r w:rsidR="009E2748" w:rsidRPr="001F2AF6">
        <w:rPr>
          <w:lang w:val="es-CR"/>
        </w:rPr>
        <w:t xml:space="preserve"> ese acto del Fiscal conllevó certeza sobre la carencia de efectos jurídicos de las Leyes No. 26479 y 26492</w:t>
      </w:r>
      <w:r w:rsidR="009E2748" w:rsidRPr="001F2AF6">
        <w:rPr>
          <w:rStyle w:val="FootnoteReference"/>
          <w:lang w:val="es-CR"/>
        </w:rPr>
        <w:footnoteReference w:id="88"/>
      </w:r>
      <w:r w:rsidR="009E2748" w:rsidRPr="001F2AF6">
        <w:rPr>
          <w:lang w:val="es-CR"/>
        </w:rPr>
        <w:t>.</w:t>
      </w:r>
      <w:r w:rsidR="009E2748" w:rsidRPr="006F124F">
        <w:rPr>
          <w:lang w:val="es-CR"/>
        </w:rPr>
        <w:t xml:space="preserve"> </w:t>
      </w:r>
    </w:p>
    <w:p w:rsidR="009E2748" w:rsidRDefault="009E2748" w:rsidP="00D62C80">
      <w:pPr>
        <w:pStyle w:val="ListParagraph"/>
        <w:jc w:val="both"/>
        <w:rPr>
          <w:lang w:val="es-CR"/>
        </w:rPr>
      </w:pPr>
    </w:p>
    <w:p w:rsidR="009E2748" w:rsidRPr="00B72D8C" w:rsidRDefault="009E2748" w:rsidP="00722414">
      <w:pPr>
        <w:pStyle w:val="ListParagraph"/>
        <w:numPr>
          <w:ilvl w:val="0"/>
          <w:numId w:val="10"/>
        </w:numPr>
        <w:ind w:left="567" w:firstLine="0"/>
        <w:outlineLvl w:val="1"/>
        <w:rPr>
          <w:b/>
          <w:i/>
          <w:sz w:val="20"/>
          <w:szCs w:val="20"/>
          <w:lang w:val="es-CR"/>
        </w:rPr>
      </w:pPr>
      <w:bookmarkStart w:id="250" w:name="_Toc415507381"/>
      <w:bookmarkStart w:id="251" w:name="_Toc418530470"/>
      <w:bookmarkStart w:id="252" w:name="_Toc420941732"/>
      <w:bookmarkStart w:id="253" w:name="_Toc424313485"/>
      <w:bookmarkStart w:id="254" w:name="_Toc430869787"/>
      <w:bookmarkStart w:id="255" w:name="_Toc438129708"/>
      <w:r w:rsidRPr="00B72D8C">
        <w:rPr>
          <w:b/>
          <w:i/>
          <w:sz w:val="20"/>
          <w:szCs w:val="20"/>
          <w:lang w:val="es-CR"/>
        </w:rPr>
        <w:t>Hechos del caso</w:t>
      </w:r>
      <w:bookmarkEnd w:id="250"/>
      <w:bookmarkEnd w:id="251"/>
      <w:bookmarkEnd w:id="252"/>
      <w:bookmarkEnd w:id="253"/>
      <w:bookmarkEnd w:id="254"/>
      <w:bookmarkEnd w:id="255"/>
      <w:r w:rsidRPr="00B72D8C">
        <w:rPr>
          <w:b/>
          <w:i/>
          <w:sz w:val="20"/>
          <w:szCs w:val="20"/>
          <w:lang w:val="es-CR"/>
        </w:rPr>
        <w:t xml:space="preserve"> </w:t>
      </w:r>
    </w:p>
    <w:p w:rsidR="009E2748" w:rsidRDefault="009E2748" w:rsidP="00D62C80">
      <w:pPr>
        <w:rPr>
          <w:lang w:val="es-CR"/>
        </w:rPr>
      </w:pPr>
    </w:p>
    <w:p w:rsidR="006B0B0A" w:rsidRDefault="006B0B0A" w:rsidP="001A547E">
      <w:pPr>
        <w:pStyle w:val="Estilo1"/>
        <w:numPr>
          <w:ilvl w:val="0"/>
          <w:numId w:val="1"/>
        </w:numPr>
        <w:tabs>
          <w:tab w:val="num" w:pos="18282"/>
        </w:tabs>
        <w:spacing w:after="0"/>
        <w:rPr>
          <w:lang w:val="es-CR"/>
        </w:rPr>
      </w:pPr>
      <w:r>
        <w:rPr>
          <w:lang w:val="es-CR"/>
        </w:rPr>
        <w:t xml:space="preserve">Habiendo establecido aspectos de contexto y del marco normativo pertinentes, corresponde ahora señalar los hechos propios del caso. Sobre el particular, la Corte nota que de los argumentos de las partes y la Comisión, así como de la prueba, resulta </w:t>
      </w:r>
      <w:r>
        <w:rPr>
          <w:lang w:val="es-CR"/>
        </w:rPr>
        <w:lastRenderedPageBreak/>
        <w:t xml:space="preserve">acreditado que </w:t>
      </w:r>
      <w:r w:rsidRPr="00144171">
        <w:rPr>
          <w:lang w:val="es-CR"/>
        </w:rPr>
        <w:t xml:space="preserve">el señor Galindo Cárdenas en octubre de 1994 fue privado de su libertad en el cuartel militar de </w:t>
      </w:r>
      <w:proofErr w:type="spellStart"/>
      <w:r w:rsidRPr="00144171">
        <w:rPr>
          <w:lang w:val="es-CR"/>
        </w:rPr>
        <w:t>Yanac</w:t>
      </w:r>
      <w:proofErr w:type="spellEnd"/>
      <w:r w:rsidRPr="00144171">
        <w:rPr>
          <w:lang w:val="es-CR"/>
        </w:rPr>
        <w:t>, donde permaneció al menos 3</w:t>
      </w:r>
      <w:r>
        <w:rPr>
          <w:lang w:val="es-CR"/>
        </w:rPr>
        <w:t>0</w:t>
      </w:r>
      <w:r w:rsidRPr="00144171">
        <w:rPr>
          <w:lang w:val="es-CR"/>
        </w:rPr>
        <w:t xml:space="preserve"> días y fue sometido a un procedimiento en aplicación de la Ley de Arrepentimiento y su reglamento. Sin perjuicio de ello,</w:t>
      </w:r>
      <w:r w:rsidRPr="002E6D7E">
        <w:rPr>
          <w:b/>
          <w:lang w:val="es-CR"/>
        </w:rPr>
        <w:t xml:space="preserve"> </w:t>
      </w:r>
      <w:r>
        <w:rPr>
          <w:lang w:val="es-CR"/>
        </w:rPr>
        <w:t>surgen distintas versiones sobre algunos aspectos, tales como las fechas, tiempo y motivos de la permanencia del señor Galindo bajo custodia estatal (</w:t>
      </w:r>
      <w:r w:rsidRPr="0063347B">
        <w:rPr>
          <w:i/>
          <w:lang w:val="es-CR"/>
        </w:rPr>
        <w:t>infra</w:t>
      </w:r>
      <w:r w:rsidR="001A547E">
        <w:rPr>
          <w:lang w:val="es-CR"/>
        </w:rPr>
        <w:t xml:space="preserve"> </w:t>
      </w:r>
      <w:proofErr w:type="spellStart"/>
      <w:r w:rsidR="001A547E">
        <w:rPr>
          <w:lang w:val="es-CR"/>
        </w:rPr>
        <w:t>párrs</w:t>
      </w:r>
      <w:proofErr w:type="spellEnd"/>
      <w:r w:rsidR="001A547E">
        <w:rPr>
          <w:lang w:val="es-CR"/>
        </w:rPr>
        <w:t xml:space="preserve">. 118 a 123). </w:t>
      </w:r>
    </w:p>
    <w:p w:rsidR="001A547E" w:rsidRPr="001A547E" w:rsidRDefault="001A547E" w:rsidP="001A547E">
      <w:pPr>
        <w:pStyle w:val="Estilo1"/>
        <w:numPr>
          <w:ilvl w:val="0"/>
          <w:numId w:val="0"/>
        </w:numPr>
        <w:spacing w:after="0"/>
        <w:rPr>
          <w:lang w:val="es-CR"/>
        </w:rPr>
      </w:pPr>
    </w:p>
    <w:p w:rsidR="006B0B0A" w:rsidRPr="00BB1149" w:rsidRDefault="006B0B0A" w:rsidP="006B0B0A">
      <w:pPr>
        <w:pStyle w:val="ListParagraph"/>
        <w:ind w:left="851"/>
        <w:contextualSpacing/>
        <w:jc w:val="both"/>
        <w:outlineLvl w:val="2"/>
        <w:rPr>
          <w:i/>
          <w:sz w:val="20"/>
          <w:szCs w:val="20"/>
          <w:lang w:val="es-CR"/>
        </w:rPr>
      </w:pPr>
      <w:bookmarkStart w:id="256" w:name="_Toc415507382"/>
      <w:bookmarkStart w:id="257" w:name="_Toc418530471"/>
      <w:bookmarkStart w:id="258" w:name="_Toc420941733"/>
      <w:bookmarkStart w:id="259" w:name="_Toc424313486"/>
      <w:bookmarkStart w:id="260" w:name="_Toc430869788"/>
      <w:bookmarkStart w:id="261" w:name="_Toc438129709"/>
      <w:r w:rsidRPr="00BB1149">
        <w:rPr>
          <w:i/>
          <w:sz w:val="20"/>
          <w:szCs w:val="20"/>
          <w:lang w:val="es-CR"/>
        </w:rPr>
        <w:t>C.1</w:t>
      </w:r>
      <w:r>
        <w:rPr>
          <w:i/>
          <w:sz w:val="20"/>
          <w:szCs w:val="20"/>
          <w:lang w:val="es-CR"/>
        </w:rPr>
        <w:t>.</w:t>
      </w:r>
      <w:r w:rsidRPr="00BB1149">
        <w:rPr>
          <w:i/>
          <w:sz w:val="20"/>
          <w:szCs w:val="20"/>
          <w:lang w:val="es-CR"/>
        </w:rPr>
        <w:tab/>
        <w:t>Sobre la permanencia del señor Galindo bajo custodia estatal entre octubre y noviembre de 1994</w:t>
      </w:r>
      <w:bookmarkEnd w:id="256"/>
      <w:bookmarkEnd w:id="257"/>
      <w:bookmarkEnd w:id="258"/>
      <w:bookmarkEnd w:id="259"/>
      <w:bookmarkEnd w:id="260"/>
      <w:bookmarkEnd w:id="261"/>
    </w:p>
    <w:p w:rsidR="006B0B0A" w:rsidRPr="00962F83" w:rsidRDefault="006B0B0A" w:rsidP="006B0B0A">
      <w:pPr>
        <w:rPr>
          <w:szCs w:val="20"/>
          <w:lang w:val="es-CR"/>
        </w:rPr>
      </w:pPr>
    </w:p>
    <w:p w:rsidR="006B0B0A" w:rsidRPr="00D66B84" w:rsidRDefault="006B0B0A" w:rsidP="006B0B0A">
      <w:pPr>
        <w:pStyle w:val="Estilo1"/>
        <w:numPr>
          <w:ilvl w:val="0"/>
          <w:numId w:val="1"/>
        </w:numPr>
        <w:tabs>
          <w:tab w:val="num" w:pos="18282"/>
        </w:tabs>
        <w:spacing w:after="0"/>
        <w:rPr>
          <w:lang w:val="es-CR"/>
        </w:rPr>
      </w:pPr>
      <w:r>
        <w:rPr>
          <w:lang w:val="es-CR"/>
        </w:rPr>
        <w:t xml:space="preserve">En </w:t>
      </w:r>
      <w:r w:rsidRPr="00962F83">
        <w:rPr>
          <w:lang w:val="es-CR"/>
        </w:rPr>
        <w:t xml:space="preserve">septiembre </w:t>
      </w:r>
      <w:r>
        <w:rPr>
          <w:lang w:val="es-CR"/>
        </w:rPr>
        <w:t>de 1994</w:t>
      </w:r>
      <w:r w:rsidRPr="00962F83">
        <w:rPr>
          <w:lang w:val="es-CR"/>
        </w:rPr>
        <w:t xml:space="preserve"> el señor Luis Antonio Galindo Cárdenas se desempeñaba como Vocal Provisional de la Corte Superior </w:t>
      </w:r>
      <w:r>
        <w:rPr>
          <w:lang w:val="es-CR"/>
        </w:rPr>
        <w:t xml:space="preserve">de Justicia </w:t>
      </w:r>
      <w:r w:rsidRPr="00962F83">
        <w:rPr>
          <w:lang w:val="es-CR"/>
        </w:rPr>
        <w:t xml:space="preserve">de Huánuco. Con anterioridad a asumir este cargo, había ejercido la abogacía de manera independiente </w:t>
      </w:r>
      <w:r w:rsidRPr="000B352B">
        <w:rPr>
          <w:lang w:val="es-CR"/>
        </w:rPr>
        <w:t xml:space="preserve">en </w:t>
      </w:r>
      <w:r w:rsidRPr="00D9633E">
        <w:rPr>
          <w:lang w:val="es-CR"/>
        </w:rPr>
        <w:t>l</w:t>
      </w:r>
      <w:r>
        <w:rPr>
          <w:lang w:val="es-CR"/>
        </w:rPr>
        <w:t>a ciudad</w:t>
      </w:r>
      <w:r w:rsidRPr="00962F83">
        <w:rPr>
          <w:lang w:val="es-CR"/>
        </w:rPr>
        <w:t xml:space="preserve"> de Huánuco. El señor Galindo y su esposa Irma Díaz de Galindo tenían en ese momento un hijo</w:t>
      </w:r>
      <w:r>
        <w:rPr>
          <w:lang w:val="es-CR"/>
        </w:rPr>
        <w:t xml:space="preserve"> de 10 años de edad</w:t>
      </w:r>
      <w:r w:rsidRPr="00962F83">
        <w:rPr>
          <w:lang w:val="es-CR"/>
        </w:rPr>
        <w:t xml:space="preserve">, Luis </w:t>
      </w:r>
      <w:proofErr w:type="spellStart"/>
      <w:r w:rsidRPr="00962F83">
        <w:rPr>
          <w:lang w:val="es-CR"/>
        </w:rPr>
        <w:t>Idelso</w:t>
      </w:r>
      <w:proofErr w:type="spellEnd"/>
      <w:r w:rsidRPr="00962F83">
        <w:rPr>
          <w:lang w:val="es-CR"/>
        </w:rPr>
        <w:t xml:space="preserve"> Galindo Díaz</w:t>
      </w:r>
      <w:r w:rsidRPr="00962F83">
        <w:rPr>
          <w:rStyle w:val="FootnoteReference"/>
          <w:lang w:val="es-CR"/>
        </w:rPr>
        <w:footnoteReference w:id="89"/>
      </w:r>
      <w:r w:rsidRPr="00962F83">
        <w:rPr>
          <w:lang w:val="es-CR"/>
        </w:rPr>
        <w:t xml:space="preserve">. </w:t>
      </w:r>
    </w:p>
    <w:p w:rsidR="006B0B0A" w:rsidRPr="00962F83" w:rsidRDefault="006B0B0A" w:rsidP="006B0B0A">
      <w:pPr>
        <w:pStyle w:val="ListParagraph"/>
        <w:ind w:left="0"/>
        <w:jc w:val="both"/>
        <w:rPr>
          <w:sz w:val="20"/>
          <w:szCs w:val="20"/>
          <w:lang w:val="es-CR"/>
        </w:rPr>
      </w:pPr>
    </w:p>
    <w:p w:rsidR="006B0B0A" w:rsidRPr="00BB1149" w:rsidRDefault="006B0B0A" w:rsidP="006B0B0A">
      <w:pPr>
        <w:pStyle w:val="Estilo1"/>
        <w:numPr>
          <w:ilvl w:val="0"/>
          <w:numId w:val="1"/>
        </w:numPr>
        <w:tabs>
          <w:tab w:val="num" w:pos="18282"/>
        </w:tabs>
        <w:spacing w:after="0"/>
        <w:rPr>
          <w:lang w:val="es-CR"/>
        </w:rPr>
      </w:pPr>
      <w:r w:rsidRPr="00962F83">
        <w:rPr>
          <w:lang w:val="es-CR"/>
        </w:rPr>
        <w:t xml:space="preserve">El señor Galindo manifestó que “aproximadamente el 15 de septiembre de 1994 […] </w:t>
      </w:r>
      <w:proofErr w:type="spellStart"/>
      <w:proofErr w:type="gramStart"/>
      <w:r w:rsidRPr="00962F83">
        <w:rPr>
          <w:lang w:val="es-CR"/>
        </w:rPr>
        <w:t>recib</w:t>
      </w:r>
      <w:proofErr w:type="spellEnd"/>
      <w:r w:rsidRPr="00962F83">
        <w:rPr>
          <w:lang w:val="es-CR"/>
        </w:rPr>
        <w:t>[</w:t>
      </w:r>
      <w:proofErr w:type="spellStart"/>
      <w:proofErr w:type="gramEnd"/>
      <w:r w:rsidRPr="00962F83">
        <w:rPr>
          <w:lang w:val="es-CR"/>
        </w:rPr>
        <w:t>ió</w:t>
      </w:r>
      <w:proofErr w:type="spellEnd"/>
      <w:r w:rsidRPr="00962F83">
        <w:rPr>
          <w:lang w:val="es-CR"/>
        </w:rPr>
        <w:t>] una comunicación extraoficial del Tercer Juzgado Penal de Huánuco”</w:t>
      </w:r>
      <w:r>
        <w:rPr>
          <w:lang w:val="es-CR"/>
        </w:rPr>
        <w:t>,</w:t>
      </w:r>
      <w:r w:rsidRPr="00962F83">
        <w:rPr>
          <w:lang w:val="es-CR"/>
        </w:rPr>
        <w:t xml:space="preserve"> por la que tomó conocimiento de que declaraciones de una presunta integrante de “Sendero Luminoso” lo habrían “sindica</w:t>
      </w:r>
      <w:r>
        <w:rPr>
          <w:lang w:val="es-CR"/>
        </w:rPr>
        <w:t>[</w:t>
      </w:r>
      <w:r w:rsidRPr="00962F83">
        <w:rPr>
          <w:lang w:val="es-CR"/>
        </w:rPr>
        <w:t>do</w:t>
      </w:r>
      <w:r>
        <w:rPr>
          <w:lang w:val="es-CR"/>
        </w:rPr>
        <w:t>]</w:t>
      </w:r>
      <w:r w:rsidRPr="00962F83">
        <w:rPr>
          <w:lang w:val="es-CR"/>
        </w:rPr>
        <w:t xml:space="preserve"> como supuesto integrante de dicha organización subversiva a través de la asociación de ‘Abogados Democráticos’”</w:t>
      </w:r>
      <w:r w:rsidRPr="00962F83">
        <w:rPr>
          <w:rStyle w:val="FootnoteReference"/>
          <w:lang w:val="es-CR"/>
        </w:rPr>
        <w:footnoteReference w:id="90"/>
      </w:r>
      <w:r>
        <w:rPr>
          <w:lang w:val="es-CR"/>
        </w:rPr>
        <w:t>.</w:t>
      </w:r>
    </w:p>
    <w:p w:rsidR="006B0B0A" w:rsidRPr="00BB1149" w:rsidRDefault="006B0B0A" w:rsidP="006B0B0A">
      <w:pPr>
        <w:pStyle w:val="ListParagraph"/>
        <w:rPr>
          <w:lang w:val="es-CR"/>
        </w:rPr>
      </w:pPr>
    </w:p>
    <w:p w:rsidR="006B0B0A" w:rsidRDefault="006B0B0A" w:rsidP="006B0B0A">
      <w:pPr>
        <w:pStyle w:val="Estilo1"/>
        <w:numPr>
          <w:ilvl w:val="0"/>
          <w:numId w:val="1"/>
        </w:numPr>
        <w:tabs>
          <w:tab w:val="num" w:pos="18282"/>
        </w:tabs>
        <w:spacing w:after="0"/>
        <w:rPr>
          <w:lang w:val="es-CR"/>
        </w:rPr>
      </w:pPr>
      <w:r w:rsidRPr="00962F83">
        <w:rPr>
          <w:lang w:val="es-CR"/>
        </w:rPr>
        <w:t>El 14 de octubre de 1994, de acuerdo al acta respectiva de la misma fecha, tuvo lugar</w:t>
      </w:r>
      <w:r>
        <w:rPr>
          <w:lang w:val="es-CR"/>
        </w:rPr>
        <w:t xml:space="preserve"> una “[s]</w:t>
      </w:r>
      <w:proofErr w:type="spellStart"/>
      <w:r>
        <w:rPr>
          <w:lang w:val="es-CR"/>
        </w:rPr>
        <w:t>esión</w:t>
      </w:r>
      <w:proofErr w:type="spellEnd"/>
      <w:r>
        <w:rPr>
          <w:lang w:val="es-CR"/>
        </w:rPr>
        <w:t xml:space="preserve"> extraordinaria de l</w:t>
      </w:r>
      <w:r w:rsidRPr="00962F83">
        <w:rPr>
          <w:lang w:val="es-CR"/>
        </w:rPr>
        <w:t>a Sala Plena</w:t>
      </w:r>
      <w:r>
        <w:rPr>
          <w:lang w:val="es-CR"/>
        </w:rPr>
        <w:t>”</w:t>
      </w:r>
      <w:r w:rsidRPr="00962F83">
        <w:rPr>
          <w:lang w:val="es-CR"/>
        </w:rPr>
        <w:t xml:space="preserve"> de la </w:t>
      </w:r>
      <w:r>
        <w:rPr>
          <w:lang w:val="es-CR"/>
        </w:rPr>
        <w:t>“</w:t>
      </w:r>
      <w:r w:rsidRPr="00962F83">
        <w:rPr>
          <w:lang w:val="es-CR"/>
        </w:rPr>
        <w:t>Corte Superior de Justicia de Huánuco y Pasco”, a la que el señor Galindo llegó luego de 25 minutos de iniciada. Surge de dicha acta que el señor Galindo manifestó que “se le había presentado problemas personales y que ya los había solucionado, comentando que había sido citado ante [la</w:t>
      </w:r>
      <w:r>
        <w:rPr>
          <w:lang w:val="es-CR"/>
        </w:rPr>
        <w:t>]</w:t>
      </w:r>
      <w:r w:rsidRPr="00962F83">
        <w:rPr>
          <w:lang w:val="es-CR"/>
        </w:rPr>
        <w:t xml:space="preserve"> JECOTE como testigo para esclarecer unos hechos suscitados en [una] investigación contra [otra persona] por el delito de terrorismo”</w:t>
      </w:r>
      <w:r w:rsidRPr="00962F83">
        <w:rPr>
          <w:rStyle w:val="FootnoteReference"/>
          <w:lang w:val="es-CR"/>
        </w:rPr>
        <w:footnoteReference w:id="91"/>
      </w:r>
      <w:r w:rsidRPr="00962F83">
        <w:rPr>
          <w:lang w:val="es-CR"/>
        </w:rPr>
        <w:t>. El Estado manifestó que los hechos asentados en el acta aludida “pudieron haber ocurrido”</w:t>
      </w:r>
      <w:r>
        <w:rPr>
          <w:lang w:val="es-CR"/>
        </w:rPr>
        <w:t>.</w:t>
      </w:r>
      <w:r w:rsidRPr="00962F83">
        <w:rPr>
          <w:lang w:val="es-CR"/>
        </w:rPr>
        <w:t xml:space="preserve"> Además, quien en ese entonces </w:t>
      </w:r>
      <w:r>
        <w:rPr>
          <w:lang w:val="es-CR"/>
        </w:rPr>
        <w:t>“ejercía la jefatura” de la</w:t>
      </w:r>
      <w:r w:rsidRPr="00962F83">
        <w:rPr>
          <w:lang w:val="es-CR"/>
        </w:rPr>
        <w:t xml:space="preserve"> </w:t>
      </w:r>
      <w:r>
        <w:rPr>
          <w:lang w:val="es-CR"/>
        </w:rPr>
        <w:t>“</w:t>
      </w:r>
      <w:r w:rsidRPr="00962F83">
        <w:rPr>
          <w:lang w:val="es-CR"/>
        </w:rPr>
        <w:t>Jefatura Contra Terrorismo de Huánuco</w:t>
      </w:r>
      <w:r>
        <w:rPr>
          <w:lang w:val="es-CR"/>
        </w:rPr>
        <w:t>”</w:t>
      </w:r>
      <w:r w:rsidRPr="00962F83">
        <w:rPr>
          <w:lang w:val="es-CR"/>
        </w:rPr>
        <w:t xml:space="preserve"> declaró</w:t>
      </w:r>
      <w:r>
        <w:rPr>
          <w:lang w:val="es-CR"/>
        </w:rPr>
        <w:t>,</w:t>
      </w:r>
      <w:r w:rsidRPr="00962F83">
        <w:rPr>
          <w:lang w:val="es-CR"/>
        </w:rPr>
        <w:t xml:space="preserve"> en el marco de las investigaciones internas iniciadas a partir de 2012</w:t>
      </w:r>
      <w:r>
        <w:rPr>
          <w:lang w:val="es-CR"/>
        </w:rPr>
        <w:t>,</w:t>
      </w:r>
      <w:r w:rsidRPr="00962F83">
        <w:rPr>
          <w:lang w:val="es-CR"/>
        </w:rPr>
        <w:t xml:space="preserve"> que en la fecha señalada “el señor […] Galindo […] se apersonó [en dicha] Jefatura […] habiendo convenido en conversar posteriormente [el] tema” de “la aparición de su apellido en un atestado policial”</w:t>
      </w:r>
      <w:r w:rsidRPr="00962F83">
        <w:rPr>
          <w:rStyle w:val="FootnoteReference"/>
          <w:lang w:val="es-CR"/>
        </w:rPr>
        <w:footnoteReference w:id="92"/>
      </w:r>
      <w:r w:rsidRPr="00962F83">
        <w:rPr>
          <w:lang w:val="es-CR"/>
        </w:rPr>
        <w:t>.</w:t>
      </w:r>
    </w:p>
    <w:p w:rsidR="006B0B0A" w:rsidRPr="00962F83" w:rsidRDefault="006B0B0A" w:rsidP="006B0B0A">
      <w:pPr>
        <w:pStyle w:val="ListParagraph"/>
        <w:rPr>
          <w:sz w:val="20"/>
          <w:szCs w:val="20"/>
          <w:lang w:val="es-CR"/>
        </w:rPr>
      </w:pPr>
    </w:p>
    <w:p w:rsidR="006B0B0A" w:rsidRPr="00962F83" w:rsidRDefault="006B0B0A" w:rsidP="006B0B0A">
      <w:pPr>
        <w:pStyle w:val="Estilo1"/>
        <w:numPr>
          <w:ilvl w:val="0"/>
          <w:numId w:val="1"/>
        </w:numPr>
        <w:tabs>
          <w:tab w:val="num" w:pos="18282"/>
        </w:tabs>
        <w:spacing w:after="0"/>
        <w:rPr>
          <w:lang w:val="es-CR"/>
        </w:rPr>
      </w:pPr>
      <w:r>
        <w:rPr>
          <w:lang w:val="es-CR"/>
        </w:rPr>
        <w:t xml:space="preserve">Luego de haberse apersonado a la JECOTE, a </w:t>
      </w:r>
      <w:r w:rsidRPr="00962F83">
        <w:rPr>
          <w:lang w:val="es-CR"/>
        </w:rPr>
        <w:t xml:space="preserve">partir del </w:t>
      </w:r>
      <w:r w:rsidRPr="005F71A5">
        <w:rPr>
          <w:lang w:val="es-CR"/>
        </w:rPr>
        <w:t xml:space="preserve">14 de octubre de 1994 o </w:t>
      </w:r>
      <w:r>
        <w:rPr>
          <w:lang w:val="es-CR"/>
        </w:rPr>
        <w:t>de una fecha posterior</w:t>
      </w:r>
      <w:r w:rsidRPr="005F71A5">
        <w:rPr>
          <w:lang w:val="es-CR"/>
        </w:rPr>
        <w:t xml:space="preserve"> </w:t>
      </w:r>
      <w:r w:rsidRPr="00471C59">
        <w:rPr>
          <w:lang w:val="es-CR"/>
        </w:rPr>
        <w:t>(15, 16 o</w:t>
      </w:r>
      <w:r w:rsidRPr="00575887">
        <w:rPr>
          <w:lang w:val="es-CR"/>
        </w:rPr>
        <w:t xml:space="preserve"> 17</w:t>
      </w:r>
      <w:r w:rsidRPr="005F71A5">
        <w:rPr>
          <w:lang w:val="es-CR"/>
        </w:rPr>
        <w:t xml:space="preserve"> de octubre de 1994),</w:t>
      </w:r>
      <w:r w:rsidRPr="00962F83">
        <w:rPr>
          <w:lang w:val="es-CR"/>
        </w:rPr>
        <w:t xml:space="preserve"> el señor Galindo permaneció al menos 3</w:t>
      </w:r>
      <w:r>
        <w:rPr>
          <w:lang w:val="es-CR"/>
        </w:rPr>
        <w:t>0</w:t>
      </w:r>
      <w:r w:rsidRPr="00962F83">
        <w:rPr>
          <w:lang w:val="es-CR"/>
        </w:rPr>
        <w:t xml:space="preserve"> días bajo custodia estatal. Aunque ello no fue controvertido, como tampoco que </w:t>
      </w:r>
      <w:r w:rsidRPr="00962F83">
        <w:rPr>
          <w:lang w:val="es-CR"/>
        </w:rPr>
        <w:lastRenderedPageBreak/>
        <w:t xml:space="preserve">durante ese tiempo </w:t>
      </w:r>
      <w:r>
        <w:rPr>
          <w:lang w:val="es-CR"/>
        </w:rPr>
        <w:t>estuvo</w:t>
      </w:r>
      <w:r w:rsidRPr="00962F83">
        <w:rPr>
          <w:lang w:val="es-CR"/>
        </w:rPr>
        <w:t xml:space="preserve"> alojado en el cuartel militar de </w:t>
      </w:r>
      <w:proofErr w:type="spellStart"/>
      <w:r w:rsidRPr="00962F83">
        <w:rPr>
          <w:lang w:val="es-CR"/>
        </w:rPr>
        <w:t>Yanac</w:t>
      </w:r>
      <w:proofErr w:type="spellEnd"/>
      <w:r w:rsidRPr="00962F83">
        <w:rPr>
          <w:rStyle w:val="FootnoteReference"/>
          <w:lang w:val="es-CR"/>
        </w:rPr>
        <w:footnoteReference w:id="93"/>
      </w:r>
      <w:r w:rsidRPr="00962F83">
        <w:rPr>
          <w:lang w:val="es-CR"/>
        </w:rPr>
        <w:t>, existen diversas versiones sobre los motivos y la fecha precisa en que tuvo inicio el hecho indicado, así como sobre su duración exacta.</w:t>
      </w:r>
    </w:p>
    <w:p w:rsidR="006B0B0A" w:rsidRPr="00962F83" w:rsidRDefault="006B0B0A" w:rsidP="006B0B0A">
      <w:pPr>
        <w:pStyle w:val="ListParagraph"/>
        <w:rPr>
          <w:sz w:val="20"/>
          <w:szCs w:val="20"/>
          <w:lang w:val="es-CR"/>
        </w:rPr>
      </w:pPr>
    </w:p>
    <w:p w:rsidR="006B0B0A" w:rsidRDefault="006B0B0A" w:rsidP="006B0B0A">
      <w:pPr>
        <w:pStyle w:val="Estilo1"/>
        <w:numPr>
          <w:ilvl w:val="0"/>
          <w:numId w:val="1"/>
        </w:numPr>
        <w:tabs>
          <w:tab w:val="num" w:pos="18282"/>
        </w:tabs>
        <w:spacing w:after="0"/>
        <w:rPr>
          <w:lang w:val="es-CR"/>
        </w:rPr>
      </w:pPr>
      <w:r w:rsidRPr="00962F83">
        <w:rPr>
          <w:lang w:val="es-CR"/>
        </w:rPr>
        <w:t>En primer lugar, la versión de que el señor Galindo permaneció bajo custodia estatal a partir del 14 de octubre de 1994</w:t>
      </w:r>
      <w:r>
        <w:rPr>
          <w:lang w:val="es-CR"/>
        </w:rPr>
        <w:t>,</w:t>
      </w:r>
      <w:r w:rsidRPr="00962F83">
        <w:rPr>
          <w:lang w:val="es-CR"/>
        </w:rPr>
        <w:t xml:space="preserve"> tiene por base </w:t>
      </w:r>
      <w:r>
        <w:rPr>
          <w:lang w:val="es-CR"/>
        </w:rPr>
        <w:t>un comunicado de prensa del “Comando Político Militar Frente Huallaga” d</w:t>
      </w:r>
      <w:r w:rsidRPr="00962F83">
        <w:rPr>
          <w:lang w:val="es-CR"/>
        </w:rPr>
        <w:t>e 17 de octubre de 1994</w:t>
      </w:r>
      <w:r>
        <w:rPr>
          <w:lang w:val="es-CR"/>
        </w:rPr>
        <w:t>, que</w:t>
      </w:r>
      <w:r w:rsidRPr="00962F83">
        <w:rPr>
          <w:lang w:val="es-CR"/>
        </w:rPr>
        <w:t xml:space="preserve"> señaló que “la detención del señor Galindo se produjo el 14 de octubre de 1994, por parte de </w:t>
      </w:r>
      <w:r>
        <w:rPr>
          <w:lang w:val="es-CR"/>
        </w:rPr>
        <w:t>“</w:t>
      </w:r>
      <w:r w:rsidRPr="00962F83">
        <w:rPr>
          <w:lang w:val="es-CR"/>
        </w:rPr>
        <w:t>personal de la D</w:t>
      </w:r>
      <w:r>
        <w:rPr>
          <w:lang w:val="es-CR"/>
        </w:rPr>
        <w:t>E</w:t>
      </w:r>
      <w:r w:rsidRPr="00962F83">
        <w:rPr>
          <w:lang w:val="es-CR"/>
        </w:rPr>
        <w:t>COTE/PNP de Huánuco</w:t>
      </w:r>
      <w:r>
        <w:rPr>
          <w:lang w:val="es-CR"/>
        </w:rPr>
        <w:t>”</w:t>
      </w:r>
      <w:r w:rsidRPr="00962F83">
        <w:rPr>
          <w:lang w:val="es-CR"/>
        </w:rPr>
        <w:t xml:space="preserve"> durante la ejecución de </w:t>
      </w:r>
      <w:r>
        <w:rPr>
          <w:lang w:val="es-CR"/>
        </w:rPr>
        <w:t>“</w:t>
      </w:r>
      <w:r w:rsidRPr="00962F83">
        <w:rPr>
          <w:lang w:val="es-CR"/>
        </w:rPr>
        <w:t xml:space="preserve">las operaciones </w:t>
      </w:r>
      <w:r>
        <w:rPr>
          <w:lang w:val="es-CR"/>
        </w:rPr>
        <w:t>por la</w:t>
      </w:r>
      <w:r w:rsidRPr="00962F83">
        <w:rPr>
          <w:lang w:val="es-CR"/>
        </w:rPr>
        <w:t xml:space="preserve"> pacificación que realiza</w:t>
      </w:r>
      <w:r>
        <w:rPr>
          <w:lang w:val="es-CR"/>
        </w:rPr>
        <w:t>[</w:t>
      </w:r>
      <w:proofErr w:type="spellStart"/>
      <w:r w:rsidRPr="00962F83">
        <w:rPr>
          <w:lang w:val="es-CR"/>
        </w:rPr>
        <w:t>ban</w:t>
      </w:r>
      <w:proofErr w:type="spellEnd"/>
      <w:r>
        <w:rPr>
          <w:lang w:val="es-CR"/>
        </w:rPr>
        <w:t>]</w:t>
      </w:r>
      <w:r w:rsidRPr="00962F83">
        <w:rPr>
          <w:lang w:val="es-CR"/>
        </w:rPr>
        <w:t xml:space="preserve"> las fuerzas del orden</w:t>
      </w:r>
      <w:r>
        <w:rPr>
          <w:lang w:val="es-CR"/>
        </w:rPr>
        <w:t>”, y que él</w:t>
      </w:r>
      <w:r w:rsidRPr="00962F83">
        <w:rPr>
          <w:lang w:val="es-CR"/>
        </w:rPr>
        <w:t xml:space="preserve"> </w:t>
      </w:r>
      <w:r>
        <w:rPr>
          <w:lang w:val="es-CR"/>
        </w:rPr>
        <w:t>“</w:t>
      </w:r>
      <w:r w:rsidRPr="00962F83">
        <w:rPr>
          <w:lang w:val="es-CR"/>
        </w:rPr>
        <w:t>después de las investigaciones preliminares</w:t>
      </w:r>
      <w:r>
        <w:rPr>
          <w:lang w:val="es-CR"/>
        </w:rPr>
        <w:t>,</w:t>
      </w:r>
      <w:r w:rsidRPr="00962F83">
        <w:rPr>
          <w:lang w:val="es-CR"/>
        </w:rPr>
        <w:t xml:space="preserve"> solicitó acogerse a la Ley de Arrepentimiento”</w:t>
      </w:r>
      <w:r w:rsidRPr="00962F83">
        <w:rPr>
          <w:rStyle w:val="FootnoteReference"/>
          <w:lang w:val="es-CR"/>
        </w:rPr>
        <w:footnoteReference w:id="94"/>
      </w:r>
      <w:r>
        <w:rPr>
          <w:lang w:val="es-CR"/>
        </w:rPr>
        <w:t>.</w:t>
      </w:r>
      <w:r w:rsidRPr="00962F83">
        <w:rPr>
          <w:lang w:val="es-CR"/>
        </w:rPr>
        <w:t xml:space="preserve"> Previamente,</w:t>
      </w:r>
      <w:r>
        <w:rPr>
          <w:lang w:val="es-CR"/>
        </w:rPr>
        <w:t xml:space="preserve"> de acuerdo a notas de un periódico, </w:t>
      </w:r>
      <w:r w:rsidRPr="00962F83">
        <w:rPr>
          <w:lang w:val="es-CR"/>
        </w:rPr>
        <w:t xml:space="preserve">el 16 de octubre de 1994 en un </w:t>
      </w:r>
      <w:r>
        <w:rPr>
          <w:lang w:val="es-CR"/>
        </w:rPr>
        <w:t>programa</w:t>
      </w:r>
      <w:r w:rsidRPr="00962F83">
        <w:rPr>
          <w:lang w:val="es-CR"/>
        </w:rPr>
        <w:t xml:space="preserve"> de televisión</w:t>
      </w:r>
      <w:r>
        <w:rPr>
          <w:lang w:val="es-CR"/>
        </w:rPr>
        <w:t>,</w:t>
      </w:r>
      <w:r w:rsidRPr="00962F83">
        <w:rPr>
          <w:lang w:val="es-CR"/>
        </w:rPr>
        <w:t xml:space="preserve"> el Presidente</w:t>
      </w:r>
      <w:r>
        <w:rPr>
          <w:lang w:val="es-CR"/>
        </w:rPr>
        <w:t xml:space="preserve"> de la República</w:t>
      </w:r>
      <w:r w:rsidRPr="00962F83">
        <w:rPr>
          <w:lang w:val="es-CR"/>
        </w:rPr>
        <w:t xml:space="preserve"> Alberto Fujimori había </w:t>
      </w:r>
      <w:r>
        <w:rPr>
          <w:lang w:val="es-CR"/>
        </w:rPr>
        <w:t>afirmado que el “Presidente de la Corte de Justicia y [el]</w:t>
      </w:r>
      <w:r w:rsidRPr="00962F83">
        <w:rPr>
          <w:lang w:val="es-CR"/>
        </w:rPr>
        <w:t xml:space="preserve"> Rector de </w:t>
      </w:r>
      <w:r>
        <w:rPr>
          <w:lang w:val="es-CR"/>
        </w:rPr>
        <w:t>[una]</w:t>
      </w:r>
      <w:r w:rsidRPr="00962F83">
        <w:rPr>
          <w:lang w:val="es-CR"/>
        </w:rPr>
        <w:t xml:space="preserve"> Universidad</w:t>
      </w:r>
      <w:r>
        <w:rPr>
          <w:lang w:val="es-CR"/>
        </w:rPr>
        <w:t xml:space="preserve">” </w:t>
      </w:r>
      <w:r w:rsidRPr="00962F83">
        <w:rPr>
          <w:lang w:val="es-CR"/>
        </w:rPr>
        <w:t>de Huánuco</w:t>
      </w:r>
      <w:r>
        <w:rPr>
          <w:lang w:val="es-CR"/>
        </w:rPr>
        <w:t xml:space="preserve"> se</w:t>
      </w:r>
      <w:r w:rsidRPr="00962F83">
        <w:rPr>
          <w:lang w:val="es-CR"/>
        </w:rPr>
        <w:t xml:space="preserve"> </w:t>
      </w:r>
      <w:r>
        <w:rPr>
          <w:lang w:val="es-CR"/>
        </w:rPr>
        <w:t>habían acogido a la Ley de Arrepentimiento</w:t>
      </w:r>
      <w:r w:rsidRPr="00962F83">
        <w:rPr>
          <w:rStyle w:val="FootnoteReference"/>
          <w:lang w:val="es-CR"/>
        </w:rPr>
        <w:footnoteReference w:id="95"/>
      </w:r>
      <w:r w:rsidRPr="00962F83">
        <w:rPr>
          <w:lang w:val="es-CR"/>
        </w:rPr>
        <w:t>, declaración que</w:t>
      </w:r>
      <w:r>
        <w:rPr>
          <w:lang w:val="es-CR"/>
        </w:rPr>
        <w:t>, también según prensa escrita,</w:t>
      </w:r>
      <w:r w:rsidRPr="00962F83">
        <w:rPr>
          <w:lang w:val="es-CR"/>
        </w:rPr>
        <w:t xml:space="preserve"> fue rectificada el </w:t>
      </w:r>
      <w:r>
        <w:rPr>
          <w:lang w:val="es-CR"/>
        </w:rPr>
        <w:t xml:space="preserve">17 o el </w:t>
      </w:r>
      <w:r w:rsidRPr="00962F83">
        <w:rPr>
          <w:lang w:val="es-CR"/>
        </w:rPr>
        <w:t xml:space="preserve">18 de octubre de 1994 </w:t>
      </w:r>
      <w:r>
        <w:rPr>
          <w:lang w:val="es-CR"/>
        </w:rPr>
        <w:t>por el Presidente Fujimori, quien expresó que</w:t>
      </w:r>
      <w:r w:rsidRPr="00962F83">
        <w:rPr>
          <w:lang w:val="es-CR"/>
        </w:rPr>
        <w:t xml:space="preserve"> “la acusación corresponde a </w:t>
      </w:r>
      <w:r>
        <w:rPr>
          <w:lang w:val="es-CR"/>
        </w:rPr>
        <w:t>‘</w:t>
      </w:r>
      <w:r w:rsidRPr="00962F83">
        <w:rPr>
          <w:lang w:val="es-CR"/>
        </w:rPr>
        <w:t>un Vocal de la Corte Superior de Huánuco</w:t>
      </w:r>
      <w:r>
        <w:rPr>
          <w:lang w:val="es-CR"/>
        </w:rPr>
        <w:t>’</w:t>
      </w:r>
      <w:r w:rsidRPr="00962F83">
        <w:rPr>
          <w:lang w:val="es-CR"/>
        </w:rPr>
        <w:t>”</w:t>
      </w:r>
      <w:r w:rsidRPr="00962F83">
        <w:rPr>
          <w:rStyle w:val="FootnoteReference"/>
          <w:lang w:val="es-CR"/>
        </w:rPr>
        <w:footnoteReference w:id="96"/>
      </w:r>
      <w:r w:rsidRPr="00962F83">
        <w:rPr>
          <w:lang w:val="es-CR"/>
        </w:rPr>
        <w:t xml:space="preserve">. </w:t>
      </w:r>
    </w:p>
    <w:p w:rsidR="006B0B0A" w:rsidRDefault="006B0B0A" w:rsidP="006B0B0A">
      <w:pPr>
        <w:pStyle w:val="Estilo1"/>
        <w:numPr>
          <w:ilvl w:val="0"/>
          <w:numId w:val="0"/>
        </w:numPr>
        <w:spacing w:after="0"/>
        <w:rPr>
          <w:lang w:val="es-CR"/>
        </w:rPr>
      </w:pPr>
    </w:p>
    <w:p w:rsidR="006B0B0A" w:rsidRPr="00E613F8" w:rsidRDefault="006B0B0A" w:rsidP="006B0B0A">
      <w:pPr>
        <w:pStyle w:val="Estilo1"/>
        <w:numPr>
          <w:ilvl w:val="0"/>
          <w:numId w:val="1"/>
        </w:numPr>
        <w:tabs>
          <w:tab w:val="num" w:pos="18282"/>
        </w:tabs>
        <w:spacing w:after="0"/>
        <w:rPr>
          <w:lang w:val="es-CR"/>
        </w:rPr>
      </w:pPr>
      <w:r w:rsidRPr="00F810F3">
        <w:rPr>
          <w:lang w:val="es-CR"/>
        </w:rPr>
        <w:t>En segundo término</w:t>
      </w:r>
      <w:r w:rsidRPr="00E613F8">
        <w:rPr>
          <w:lang w:val="es-CR"/>
        </w:rPr>
        <w:t xml:space="preserve">, actuaciones internas refieren el 15 de octubre de 1994 como la fecha en que inició la privación de libertad del señor Galindo en dependencias estatales. Según consta en un acta de 15 de octubre de 1994, que indica haber sido realizada a las </w:t>
      </w:r>
      <w:r w:rsidRPr="00F810F3">
        <w:rPr>
          <w:lang w:val="es-CR"/>
        </w:rPr>
        <w:t>8</w:t>
      </w:r>
      <w:r w:rsidRPr="00E613F8">
        <w:rPr>
          <w:lang w:val="es-CR"/>
        </w:rPr>
        <w:t>:00 horas, el 15 de octubre de 1994 él se presentó voluntariamente en una de las oficinas del JECOTE-PNP-</w:t>
      </w:r>
      <w:proofErr w:type="spellStart"/>
      <w:r w:rsidRPr="00E613F8">
        <w:rPr>
          <w:lang w:val="es-CR"/>
        </w:rPr>
        <w:t>Hco</w:t>
      </w:r>
      <w:proofErr w:type="spellEnd"/>
      <w:r w:rsidRPr="00E613F8">
        <w:rPr>
          <w:lang w:val="es-CR"/>
        </w:rPr>
        <w:t xml:space="preserve">. de la ciudad de Huánuco, </w:t>
      </w:r>
      <w:r w:rsidRPr="00F810F3">
        <w:rPr>
          <w:lang w:val="es-CR"/>
        </w:rPr>
        <w:t xml:space="preserve">y </w:t>
      </w:r>
      <w:r w:rsidRPr="00E613F8">
        <w:rPr>
          <w:lang w:val="es-CR"/>
        </w:rPr>
        <w:t>“</w:t>
      </w:r>
      <w:r w:rsidRPr="00F810F3">
        <w:rPr>
          <w:lang w:val="es-CR"/>
        </w:rPr>
        <w:t xml:space="preserve">en cuanto a su </w:t>
      </w:r>
      <w:r w:rsidRPr="00E613F8">
        <w:rPr>
          <w:lang w:val="es-CR"/>
        </w:rPr>
        <w:t>propósito de arrepentimiento y de abandono voluntario y definitivo de toda actividad terrorista”, acep</w:t>
      </w:r>
      <w:r w:rsidR="006750DA">
        <w:rPr>
          <w:lang w:val="es-CR"/>
        </w:rPr>
        <w:t>t</w:t>
      </w:r>
      <w:r w:rsidRPr="00F810F3">
        <w:rPr>
          <w:lang w:val="es-CR"/>
        </w:rPr>
        <w:t>ó</w:t>
      </w:r>
      <w:r w:rsidRPr="00E613F8">
        <w:rPr>
          <w:lang w:val="es-CR"/>
        </w:rPr>
        <w:t xml:space="preserve"> haber prestado servicios profesionales </w:t>
      </w:r>
      <w:r w:rsidRPr="00F810F3">
        <w:rPr>
          <w:lang w:val="es-CR"/>
        </w:rPr>
        <w:t xml:space="preserve">de asesoramiento </w:t>
      </w:r>
      <w:r w:rsidRPr="00E613F8">
        <w:rPr>
          <w:lang w:val="es-CR"/>
        </w:rPr>
        <w:t>como abogado respecto a la defensa legal de una persona conocida como “</w:t>
      </w:r>
      <w:proofErr w:type="spellStart"/>
      <w:r w:rsidRPr="00E613F8">
        <w:rPr>
          <w:lang w:val="es-CR"/>
        </w:rPr>
        <w:t>Mirko</w:t>
      </w:r>
      <w:proofErr w:type="spellEnd"/>
      <w:r w:rsidRPr="00E613F8">
        <w:rPr>
          <w:lang w:val="es-CR"/>
        </w:rPr>
        <w:t xml:space="preserve">”, así como de otra conocida como </w:t>
      </w:r>
      <w:r w:rsidRPr="00E613F8">
        <w:rPr>
          <w:lang w:val="es-CR"/>
        </w:rPr>
        <w:lastRenderedPageBreak/>
        <w:t>“Beto”, señalando conocer a personas de la “organización terrorista” conocidas como “Guillermo”, “Yersi” y “Lida”, pues “se acercaron a [su] oficina”</w:t>
      </w:r>
      <w:r w:rsidRPr="00F810F3">
        <w:rPr>
          <w:rStyle w:val="FootnoteReference"/>
          <w:lang w:val="es-CR"/>
        </w:rPr>
        <w:t xml:space="preserve"> </w:t>
      </w:r>
      <w:r w:rsidRPr="00F810F3">
        <w:rPr>
          <w:rStyle w:val="FootnoteReference"/>
          <w:lang w:val="es-CR"/>
        </w:rPr>
        <w:footnoteReference w:id="97"/>
      </w:r>
      <w:r w:rsidRPr="00E613F8">
        <w:rPr>
          <w:lang w:val="es-CR"/>
        </w:rPr>
        <w:t>.</w:t>
      </w:r>
    </w:p>
    <w:p w:rsidR="006B0B0A" w:rsidRPr="00AD25CF" w:rsidRDefault="00AD25CF" w:rsidP="00AD25CF">
      <w:pPr>
        <w:pStyle w:val="Estilo1"/>
        <w:numPr>
          <w:ilvl w:val="0"/>
          <w:numId w:val="0"/>
        </w:numPr>
        <w:spacing w:after="0"/>
        <w:ind w:left="567" w:right="720"/>
        <w:rPr>
          <w:sz w:val="16"/>
          <w:szCs w:val="16"/>
          <w:lang w:val="es-CR"/>
        </w:rPr>
      </w:pPr>
      <w:r>
        <w:rPr>
          <w:sz w:val="16"/>
          <w:szCs w:val="16"/>
          <w:lang w:val="es-CR"/>
        </w:rPr>
        <w:t xml:space="preserve"> </w:t>
      </w:r>
    </w:p>
    <w:p w:rsidR="006B0B0A" w:rsidRPr="00E613F8" w:rsidRDefault="006B0B0A" w:rsidP="006B0B0A">
      <w:pPr>
        <w:pStyle w:val="Estilo1"/>
        <w:numPr>
          <w:ilvl w:val="0"/>
          <w:numId w:val="1"/>
        </w:numPr>
        <w:tabs>
          <w:tab w:val="num" w:pos="18282"/>
        </w:tabs>
        <w:spacing w:after="0"/>
        <w:rPr>
          <w:lang w:val="es-CR"/>
        </w:rPr>
      </w:pPr>
      <w:r w:rsidRPr="00E613F8">
        <w:rPr>
          <w:lang w:val="es-CR"/>
        </w:rPr>
        <w:t>También se indicó en otra acta de 15 de octubre de 1994, que señala haber sido confeccionada a las 11:00 horas, que el señor Galindo afirmó “ratifica[r]</w:t>
      </w:r>
      <w:r w:rsidRPr="00F810F3">
        <w:rPr>
          <w:lang w:val="es-CR"/>
        </w:rPr>
        <w:t>”</w:t>
      </w:r>
      <w:r w:rsidRPr="00E613F8">
        <w:rPr>
          <w:lang w:val="es-CR"/>
        </w:rPr>
        <w:t xml:space="preserve"> su primer acta de esa fecha. En el acta de las 11:00 horas consta que el señor Galindo habría dado mayores detalles sobre el “asesoramiento legal y </w:t>
      </w:r>
      <w:r w:rsidRPr="00F810F3">
        <w:rPr>
          <w:lang w:val="es-CR"/>
        </w:rPr>
        <w:t xml:space="preserve">[…] </w:t>
      </w:r>
      <w:r w:rsidRPr="00E613F8">
        <w:rPr>
          <w:lang w:val="es-CR"/>
        </w:rPr>
        <w:t>servicios profesionales” que brindó, y que “</w:t>
      </w:r>
      <w:proofErr w:type="spellStart"/>
      <w:r w:rsidRPr="00E613F8">
        <w:rPr>
          <w:lang w:val="es-CR"/>
        </w:rPr>
        <w:t>solicit</w:t>
      </w:r>
      <w:proofErr w:type="spellEnd"/>
      <w:r w:rsidRPr="00E613F8">
        <w:rPr>
          <w:lang w:val="es-CR"/>
        </w:rPr>
        <w:t>[</w:t>
      </w:r>
      <w:proofErr w:type="spellStart"/>
      <w:r w:rsidRPr="00E613F8">
        <w:rPr>
          <w:lang w:val="es-CR"/>
        </w:rPr>
        <w:t>ó</w:t>
      </w:r>
      <w:proofErr w:type="spellEnd"/>
      <w:r w:rsidRPr="00E613F8">
        <w:rPr>
          <w:lang w:val="es-CR"/>
        </w:rPr>
        <w:t>] a las [a]</w:t>
      </w:r>
      <w:proofErr w:type="spellStart"/>
      <w:r w:rsidRPr="00E613F8">
        <w:rPr>
          <w:lang w:val="es-CR"/>
        </w:rPr>
        <w:t>utoridades</w:t>
      </w:r>
      <w:proofErr w:type="spellEnd"/>
      <w:r w:rsidRPr="00E613F8">
        <w:rPr>
          <w:lang w:val="es-CR"/>
        </w:rPr>
        <w:t xml:space="preserve"> se [le] conceda el beneficio del D[</w:t>
      </w:r>
      <w:proofErr w:type="spellStart"/>
      <w:r w:rsidRPr="00E613F8">
        <w:rPr>
          <w:lang w:val="es-CR"/>
        </w:rPr>
        <w:t>ecreto</w:t>
      </w:r>
      <w:proofErr w:type="spellEnd"/>
      <w:r w:rsidRPr="00E613F8">
        <w:rPr>
          <w:lang w:val="es-CR"/>
        </w:rPr>
        <w:t>] L[</w:t>
      </w:r>
      <w:proofErr w:type="spellStart"/>
      <w:r w:rsidRPr="00E613F8">
        <w:rPr>
          <w:lang w:val="es-CR"/>
        </w:rPr>
        <w:t>ey</w:t>
      </w:r>
      <w:proofErr w:type="spellEnd"/>
      <w:r w:rsidRPr="00E613F8">
        <w:rPr>
          <w:lang w:val="es-CR"/>
        </w:rPr>
        <w:t xml:space="preserve">] Nro. 25499 y su </w:t>
      </w:r>
      <w:r w:rsidRPr="00F810F3">
        <w:rPr>
          <w:lang w:val="es-CR"/>
        </w:rPr>
        <w:t>[</w:t>
      </w:r>
      <w:r w:rsidRPr="00E613F8">
        <w:rPr>
          <w:lang w:val="es-CR"/>
        </w:rPr>
        <w:t>R</w:t>
      </w:r>
      <w:r w:rsidRPr="00F810F3">
        <w:rPr>
          <w:lang w:val="es-CR"/>
        </w:rPr>
        <w:t>]</w:t>
      </w:r>
      <w:proofErr w:type="spellStart"/>
      <w:r w:rsidRPr="00E613F8">
        <w:rPr>
          <w:lang w:val="es-CR"/>
        </w:rPr>
        <w:t>eglamento</w:t>
      </w:r>
      <w:proofErr w:type="spellEnd"/>
      <w:r w:rsidRPr="00E613F8">
        <w:rPr>
          <w:lang w:val="es-CR"/>
        </w:rPr>
        <w:t>”</w:t>
      </w:r>
      <w:r w:rsidRPr="00E613F8">
        <w:rPr>
          <w:rStyle w:val="FootnoteReference"/>
          <w:lang w:val="es-CR"/>
        </w:rPr>
        <w:footnoteReference w:id="98"/>
      </w:r>
      <w:r w:rsidRPr="00E613F8">
        <w:rPr>
          <w:lang w:val="es-CR"/>
        </w:rPr>
        <w:t>. Hay además un</w:t>
      </w:r>
      <w:r w:rsidR="006750DA">
        <w:rPr>
          <w:lang w:val="es-CR"/>
        </w:rPr>
        <w:t>a</w:t>
      </w:r>
      <w:r w:rsidRPr="00E613F8">
        <w:rPr>
          <w:lang w:val="es-CR"/>
        </w:rPr>
        <w:t xml:space="preserve"> tercer acta de 15 de octubre de 1994, que indica haber sido redactada a las 20:00 horas, en la que, según consta en ella, el señor Galindo amplió sus declaraciones anteriores y “</w:t>
      </w:r>
      <w:proofErr w:type="spellStart"/>
      <w:r w:rsidRPr="00E613F8">
        <w:rPr>
          <w:lang w:val="es-CR"/>
        </w:rPr>
        <w:t>solicit</w:t>
      </w:r>
      <w:proofErr w:type="spellEnd"/>
      <w:r w:rsidRPr="00E613F8">
        <w:rPr>
          <w:lang w:val="es-CR"/>
        </w:rPr>
        <w:t>[</w:t>
      </w:r>
      <w:proofErr w:type="spellStart"/>
      <w:r w:rsidRPr="00E613F8">
        <w:rPr>
          <w:lang w:val="es-CR"/>
        </w:rPr>
        <w:t>ó</w:t>
      </w:r>
      <w:proofErr w:type="spellEnd"/>
      <w:r w:rsidRPr="00E613F8">
        <w:rPr>
          <w:lang w:val="es-CR"/>
        </w:rPr>
        <w:t xml:space="preserve">] las garantías del caso para </w:t>
      </w:r>
      <w:r w:rsidRPr="00F810F3">
        <w:rPr>
          <w:lang w:val="es-CR"/>
        </w:rPr>
        <w:t>su seguridad personal y de</w:t>
      </w:r>
      <w:r w:rsidRPr="00E613F8">
        <w:rPr>
          <w:lang w:val="es-CR"/>
        </w:rPr>
        <w:t xml:space="preserve"> su familia”</w:t>
      </w:r>
      <w:r w:rsidRPr="00E613F8">
        <w:rPr>
          <w:rStyle w:val="FootnoteReference"/>
          <w:lang w:val="es-CR"/>
        </w:rPr>
        <w:footnoteReference w:id="99"/>
      </w:r>
      <w:r w:rsidRPr="00E613F8">
        <w:rPr>
          <w:lang w:val="es-CR"/>
        </w:rPr>
        <w:t xml:space="preserve">. Además, de acuerdo a los documentos de 15 de octubre de 1994, que indican haber sido redactados a las 8:00 horas y a las 20:00 horas, el señor Galindo había hecho constar que su “arrepentimiento es en el asesoramiento de los </w:t>
      </w:r>
      <w:r w:rsidRPr="00F810F3">
        <w:rPr>
          <w:lang w:val="es-CR"/>
        </w:rPr>
        <w:t>[</w:t>
      </w:r>
      <w:r w:rsidRPr="00E613F8">
        <w:rPr>
          <w:lang w:val="es-CR"/>
        </w:rPr>
        <w:t>d</w:t>
      </w:r>
      <w:r w:rsidRPr="00F810F3">
        <w:rPr>
          <w:lang w:val="es-CR"/>
        </w:rPr>
        <w:t>]</w:t>
      </w:r>
      <w:proofErr w:type="spellStart"/>
      <w:r w:rsidRPr="00E613F8">
        <w:rPr>
          <w:lang w:val="es-CR"/>
        </w:rPr>
        <w:t>elincuentes</w:t>
      </w:r>
      <w:proofErr w:type="spellEnd"/>
      <w:r w:rsidRPr="00E613F8">
        <w:rPr>
          <w:lang w:val="es-CR"/>
        </w:rPr>
        <w:t xml:space="preserve"> terroristas, pero no en la militancia del organización </w:t>
      </w:r>
      <w:r w:rsidRPr="00F810F3">
        <w:rPr>
          <w:lang w:val="es-CR"/>
        </w:rPr>
        <w:t xml:space="preserve">[…] </w:t>
      </w:r>
      <w:r w:rsidRPr="00E613F8">
        <w:rPr>
          <w:lang w:val="es-CR"/>
        </w:rPr>
        <w:t>PCP-Sendero Luminoso, por cuanto [</w:t>
      </w:r>
      <w:r w:rsidRPr="00F810F3">
        <w:rPr>
          <w:lang w:val="es-CR"/>
        </w:rPr>
        <w:t>é</w:t>
      </w:r>
      <w:r w:rsidRPr="00E613F8">
        <w:rPr>
          <w:lang w:val="es-CR"/>
        </w:rPr>
        <w:t xml:space="preserve">l] no </w:t>
      </w:r>
      <w:proofErr w:type="spellStart"/>
      <w:r w:rsidRPr="00E613F8">
        <w:rPr>
          <w:lang w:val="es-CR"/>
        </w:rPr>
        <w:t>tuv</w:t>
      </w:r>
      <w:proofErr w:type="spellEnd"/>
      <w:r w:rsidRPr="00E613F8">
        <w:rPr>
          <w:lang w:val="es-CR"/>
        </w:rPr>
        <w:t>[o] cargo, jerarquía ni apelativo dentro de la organización”</w:t>
      </w:r>
      <w:r w:rsidRPr="00E613F8">
        <w:rPr>
          <w:rStyle w:val="FootnoteReference"/>
          <w:lang w:val="es-CR"/>
        </w:rPr>
        <w:footnoteReference w:id="100"/>
      </w:r>
      <w:r w:rsidRPr="00E613F8">
        <w:rPr>
          <w:lang w:val="es-CR"/>
        </w:rPr>
        <w:t>. El Estado señaló que el señor Galindo “</w:t>
      </w:r>
      <w:proofErr w:type="spellStart"/>
      <w:r w:rsidRPr="00E613F8">
        <w:rPr>
          <w:lang w:val="es-CR"/>
        </w:rPr>
        <w:t>solicit</w:t>
      </w:r>
      <w:proofErr w:type="spellEnd"/>
      <w:r w:rsidRPr="00F810F3">
        <w:rPr>
          <w:lang w:val="es-CR"/>
        </w:rPr>
        <w:t>[</w:t>
      </w:r>
      <w:proofErr w:type="spellStart"/>
      <w:r w:rsidRPr="00E613F8">
        <w:rPr>
          <w:lang w:val="es-CR"/>
        </w:rPr>
        <w:t>ó</w:t>
      </w:r>
      <w:proofErr w:type="spellEnd"/>
      <w:r w:rsidRPr="00F810F3">
        <w:rPr>
          <w:lang w:val="es-CR"/>
        </w:rPr>
        <w:t>]</w:t>
      </w:r>
      <w:r w:rsidRPr="00E613F8">
        <w:rPr>
          <w:lang w:val="es-CR"/>
        </w:rPr>
        <w:t xml:space="preserve"> acogerse a los beneficios de la Ley de Arrepentimiento, y en razón de tal hecho, se lo detuvo”. </w:t>
      </w:r>
    </w:p>
    <w:p w:rsidR="006B0B0A" w:rsidRPr="00BB1149" w:rsidRDefault="006B0B0A" w:rsidP="006B0B0A">
      <w:pPr>
        <w:pStyle w:val="ListParagraph"/>
        <w:rPr>
          <w:sz w:val="20"/>
          <w:szCs w:val="20"/>
          <w:lang w:val="es-CR"/>
        </w:rPr>
      </w:pPr>
    </w:p>
    <w:p w:rsidR="006B0B0A" w:rsidRPr="00C90504" w:rsidRDefault="006B0B0A" w:rsidP="006B0B0A">
      <w:pPr>
        <w:pStyle w:val="Estilo1"/>
        <w:numPr>
          <w:ilvl w:val="0"/>
          <w:numId w:val="1"/>
        </w:numPr>
        <w:tabs>
          <w:tab w:val="num" w:pos="18282"/>
        </w:tabs>
        <w:spacing w:after="0"/>
        <w:rPr>
          <w:lang w:val="es-CR"/>
        </w:rPr>
      </w:pPr>
      <w:r>
        <w:rPr>
          <w:lang w:val="es-CR"/>
        </w:rPr>
        <w:t>En tercer lugar, d</w:t>
      </w:r>
      <w:r w:rsidRPr="00A9658F">
        <w:rPr>
          <w:lang w:val="es-CR"/>
        </w:rPr>
        <w:t xml:space="preserve">e acuerdo a declaraciones del señor Galindo dadas ante la Comisión, </w:t>
      </w:r>
      <w:r>
        <w:rPr>
          <w:lang w:val="es-CR"/>
        </w:rPr>
        <w:t>“</w:t>
      </w:r>
      <w:r w:rsidRPr="00A9658F">
        <w:rPr>
          <w:lang w:val="es-CR"/>
        </w:rPr>
        <w:t>el</w:t>
      </w:r>
      <w:r w:rsidR="00CA521C">
        <w:rPr>
          <w:lang w:val="es-CR"/>
        </w:rPr>
        <w:t xml:space="preserve"> </w:t>
      </w:r>
      <w:r>
        <w:rPr>
          <w:lang w:val="es-CR"/>
        </w:rPr>
        <w:t>[…]</w:t>
      </w:r>
      <w:r w:rsidRPr="00A9658F">
        <w:rPr>
          <w:lang w:val="es-CR"/>
        </w:rPr>
        <w:t xml:space="preserve"> 16 </w:t>
      </w:r>
      <w:r>
        <w:rPr>
          <w:lang w:val="es-CR"/>
        </w:rPr>
        <w:t>[</w:t>
      </w:r>
      <w:r w:rsidRPr="00A9658F">
        <w:rPr>
          <w:lang w:val="es-CR"/>
        </w:rPr>
        <w:t>de octubre de 1994</w:t>
      </w:r>
      <w:r>
        <w:rPr>
          <w:lang w:val="es-CR"/>
        </w:rPr>
        <w:t xml:space="preserve"> lo] </w:t>
      </w:r>
      <w:proofErr w:type="gramStart"/>
      <w:r>
        <w:rPr>
          <w:lang w:val="es-CR"/>
        </w:rPr>
        <w:t>invita[</w:t>
      </w:r>
      <w:proofErr w:type="gramEnd"/>
      <w:r>
        <w:rPr>
          <w:lang w:val="es-CR"/>
        </w:rPr>
        <w:t>ron]</w:t>
      </w:r>
      <w:r w:rsidRPr="00A9658F">
        <w:rPr>
          <w:lang w:val="es-CR"/>
        </w:rPr>
        <w:t xml:space="preserve"> </w:t>
      </w:r>
      <w:r>
        <w:rPr>
          <w:lang w:val="es-CR"/>
        </w:rPr>
        <w:t>al cuartel militar de la ciudad de Huánuco. Invitación que la h[izo] el [C]</w:t>
      </w:r>
      <w:proofErr w:type="spellStart"/>
      <w:r>
        <w:rPr>
          <w:lang w:val="es-CR"/>
        </w:rPr>
        <w:t>oronel</w:t>
      </w:r>
      <w:proofErr w:type="spellEnd"/>
      <w:r>
        <w:rPr>
          <w:lang w:val="es-CR"/>
        </w:rPr>
        <w:t xml:space="preserve"> […J]efe del comando político militar de dicha jurisdicción” y que el señor Galindo, según declaró, “</w:t>
      </w:r>
      <w:proofErr w:type="spellStart"/>
      <w:r>
        <w:rPr>
          <w:lang w:val="es-CR"/>
        </w:rPr>
        <w:t>acept</w:t>
      </w:r>
      <w:proofErr w:type="spellEnd"/>
      <w:r>
        <w:rPr>
          <w:lang w:val="es-CR"/>
        </w:rPr>
        <w:t>[</w:t>
      </w:r>
      <w:proofErr w:type="spellStart"/>
      <w:r>
        <w:rPr>
          <w:lang w:val="es-CR"/>
        </w:rPr>
        <w:t>ó</w:t>
      </w:r>
      <w:proofErr w:type="spellEnd"/>
      <w:r>
        <w:rPr>
          <w:lang w:val="es-CR"/>
        </w:rPr>
        <w:t xml:space="preserve">] y [por ello] </w:t>
      </w:r>
      <w:proofErr w:type="spellStart"/>
      <w:r>
        <w:rPr>
          <w:lang w:val="es-CR"/>
        </w:rPr>
        <w:t>concurr</w:t>
      </w:r>
      <w:proofErr w:type="spellEnd"/>
      <w:r>
        <w:rPr>
          <w:lang w:val="es-CR"/>
        </w:rPr>
        <w:t>[</w:t>
      </w:r>
      <w:proofErr w:type="spellStart"/>
      <w:r>
        <w:rPr>
          <w:lang w:val="es-CR"/>
        </w:rPr>
        <w:t>ió</w:t>
      </w:r>
      <w:proofErr w:type="spellEnd"/>
      <w:r>
        <w:rPr>
          <w:lang w:val="es-CR"/>
        </w:rPr>
        <w:t>] a las instalaciones militares y […] en esas circunstancias de manera ruin y engañosa, [lo] invita[ron] a pasar a un ambiente en el cuartel y […] c[erraron] las puertas con cadenas, dejan</w:t>
      </w:r>
      <w:r w:rsidR="00575887">
        <w:rPr>
          <w:lang w:val="es-CR"/>
        </w:rPr>
        <w:t>do[lo] cautivo por […] 31 días”</w:t>
      </w:r>
      <w:r w:rsidRPr="00962F83">
        <w:rPr>
          <w:rStyle w:val="FootnoteReference"/>
          <w:lang w:val="es-CR"/>
        </w:rPr>
        <w:footnoteReference w:id="101"/>
      </w:r>
      <w:r w:rsidRPr="00A9658F">
        <w:rPr>
          <w:lang w:val="es-CR"/>
        </w:rPr>
        <w:t>. Además, quien era Jefe de la Jefatura Contra Terrorismo de Huánuco en ese momento, declaró que el 16 de octubre de 1994 “</w:t>
      </w:r>
      <w:proofErr w:type="spellStart"/>
      <w:proofErr w:type="gramStart"/>
      <w:r w:rsidRPr="00A9658F">
        <w:rPr>
          <w:lang w:val="es-CR"/>
        </w:rPr>
        <w:t>solicit</w:t>
      </w:r>
      <w:proofErr w:type="spellEnd"/>
      <w:r w:rsidRPr="00A9658F">
        <w:rPr>
          <w:lang w:val="es-CR"/>
        </w:rPr>
        <w:t>[</w:t>
      </w:r>
      <w:proofErr w:type="spellStart"/>
      <w:proofErr w:type="gramEnd"/>
      <w:r w:rsidRPr="00A9658F">
        <w:rPr>
          <w:lang w:val="es-CR"/>
        </w:rPr>
        <w:t>ó</w:t>
      </w:r>
      <w:proofErr w:type="spellEnd"/>
      <w:r w:rsidRPr="00A9658F">
        <w:rPr>
          <w:lang w:val="es-CR"/>
        </w:rPr>
        <w:t>…] conversar con Luis Antonio Galindo Cárdenas, trasladándole a la Base Militar, y posteriormente, […] fue atendido en forma corté[s] haciéndole ingresar a su oficina”. No obstante, a diferencia de lo dicho por el señor Galindo, afirmó que éste no fue encerrado, sino que “se retiró del lugar”</w:t>
      </w:r>
      <w:r w:rsidRPr="00962F83">
        <w:rPr>
          <w:rStyle w:val="FootnoteReference"/>
          <w:lang w:val="es-CR"/>
        </w:rPr>
        <w:footnoteReference w:id="102"/>
      </w:r>
      <w:r w:rsidRPr="00A9658F">
        <w:rPr>
          <w:lang w:val="es-CR"/>
        </w:rPr>
        <w:t xml:space="preserve">. </w:t>
      </w:r>
      <w:r w:rsidRPr="00A9658F">
        <w:rPr>
          <w:b/>
          <w:sz w:val="16"/>
          <w:szCs w:val="16"/>
          <w:lang w:val="es-CR"/>
        </w:rPr>
        <w:t xml:space="preserve"> </w:t>
      </w:r>
    </w:p>
    <w:p w:rsidR="006B0B0A" w:rsidRDefault="006B0B0A" w:rsidP="006B0B0A">
      <w:pPr>
        <w:pStyle w:val="Estilo1"/>
        <w:numPr>
          <w:ilvl w:val="0"/>
          <w:numId w:val="0"/>
        </w:numPr>
        <w:spacing w:after="0"/>
        <w:rPr>
          <w:lang w:val="es-CR"/>
        </w:rPr>
      </w:pPr>
    </w:p>
    <w:p w:rsidR="006B0B0A" w:rsidRPr="00C90504" w:rsidRDefault="006B0B0A" w:rsidP="006B0B0A">
      <w:pPr>
        <w:pStyle w:val="Estilo1"/>
        <w:numPr>
          <w:ilvl w:val="0"/>
          <w:numId w:val="1"/>
        </w:numPr>
        <w:tabs>
          <w:tab w:val="num" w:pos="18282"/>
        </w:tabs>
        <w:spacing w:after="0"/>
        <w:rPr>
          <w:lang w:val="es-CR"/>
        </w:rPr>
      </w:pPr>
      <w:r>
        <w:rPr>
          <w:lang w:val="es-CR"/>
        </w:rPr>
        <w:t>Por último, d</w:t>
      </w:r>
      <w:r w:rsidRPr="00C90504">
        <w:rPr>
          <w:lang w:val="es-CR"/>
        </w:rPr>
        <w:t xml:space="preserve">e </w:t>
      </w:r>
      <w:r>
        <w:rPr>
          <w:lang w:val="es-CR"/>
        </w:rPr>
        <w:t>conformidad con</w:t>
      </w:r>
      <w:r w:rsidRPr="00C90504">
        <w:rPr>
          <w:lang w:val="es-CR"/>
        </w:rPr>
        <w:t xml:space="preserve"> un informe de DECOTE, “la persona de Luis Galindo Cárdenas, el 17 de octubre de 1994 solicitó acogerse al beneficio del D[</w:t>
      </w:r>
      <w:proofErr w:type="spellStart"/>
      <w:r w:rsidRPr="00C90504">
        <w:rPr>
          <w:lang w:val="es-CR"/>
        </w:rPr>
        <w:t>ecreto</w:t>
      </w:r>
      <w:proofErr w:type="spellEnd"/>
      <w:r w:rsidRPr="00C90504">
        <w:rPr>
          <w:lang w:val="es-CR"/>
        </w:rPr>
        <w:t>] L[</w:t>
      </w:r>
      <w:proofErr w:type="spellStart"/>
      <w:r w:rsidRPr="00C90504">
        <w:rPr>
          <w:lang w:val="es-CR"/>
        </w:rPr>
        <w:t>ey</w:t>
      </w:r>
      <w:proofErr w:type="spellEnd"/>
      <w:r w:rsidRPr="00C90504">
        <w:rPr>
          <w:lang w:val="es-CR"/>
        </w:rPr>
        <w:t xml:space="preserve">] Nro. 25499 </w:t>
      </w:r>
      <w:proofErr w:type="gramStart"/>
      <w:r w:rsidRPr="00C90504">
        <w:rPr>
          <w:lang w:val="es-CR"/>
        </w:rPr>
        <w:t xml:space="preserve">(Ley de Arrepentimiento), siendo conducido al Cuartel […] 314 </w:t>
      </w:r>
      <w:proofErr w:type="spellStart"/>
      <w:r w:rsidRPr="00C90504">
        <w:rPr>
          <w:lang w:val="es-CR"/>
        </w:rPr>
        <w:t>Yánac</w:t>
      </w:r>
      <w:proofErr w:type="spellEnd"/>
      <w:r w:rsidRPr="00C90504">
        <w:rPr>
          <w:lang w:val="es-CR"/>
        </w:rPr>
        <w:t xml:space="preserve"> –Huánuco en calidad de custodia ‘por medidas de seguridad’”</w:t>
      </w:r>
      <w:r>
        <w:rPr>
          <w:rStyle w:val="FootnoteReference"/>
          <w:lang w:val="es-CR"/>
        </w:rPr>
        <w:footnoteReference w:id="103"/>
      </w:r>
      <w:proofErr w:type="gramEnd"/>
      <w:r w:rsidRPr="00C90504">
        <w:rPr>
          <w:lang w:val="es-CR"/>
        </w:rPr>
        <w:t xml:space="preserve">.  </w:t>
      </w:r>
    </w:p>
    <w:p w:rsidR="006B0B0A" w:rsidRPr="00A9658F" w:rsidRDefault="006B0B0A" w:rsidP="006B0B0A">
      <w:pPr>
        <w:pStyle w:val="Estilo1"/>
        <w:numPr>
          <w:ilvl w:val="0"/>
          <w:numId w:val="0"/>
        </w:numPr>
        <w:spacing w:after="0"/>
        <w:rPr>
          <w:lang w:val="es-CR"/>
        </w:rPr>
      </w:pPr>
    </w:p>
    <w:p w:rsidR="006B0B0A" w:rsidRPr="00F2467C" w:rsidRDefault="006B0B0A" w:rsidP="006B0B0A">
      <w:pPr>
        <w:pStyle w:val="Estilo1"/>
        <w:numPr>
          <w:ilvl w:val="0"/>
          <w:numId w:val="1"/>
        </w:numPr>
        <w:tabs>
          <w:tab w:val="num" w:pos="18282"/>
        </w:tabs>
        <w:spacing w:after="0"/>
        <w:rPr>
          <w:lang w:val="es-CR"/>
        </w:rPr>
      </w:pPr>
      <w:r>
        <w:rPr>
          <w:lang w:val="es-CR"/>
        </w:rPr>
        <w:t>El señor Galindo declaró ante la Corte que “</w:t>
      </w:r>
      <w:r>
        <w:t xml:space="preserve">ocurrida la detención contra [su] persona […] se [le] mantuvo totalmente incomunicado”. Sin perjuicio de ello, declaró que luego recibió visitas, y </w:t>
      </w:r>
      <w:r>
        <w:rPr>
          <w:lang w:val="es-CR"/>
        </w:rPr>
        <w:t>e</w:t>
      </w:r>
      <w:r w:rsidRPr="00962F83">
        <w:rPr>
          <w:lang w:val="es-CR"/>
        </w:rPr>
        <w:t>xiste constancia de</w:t>
      </w:r>
      <w:r>
        <w:rPr>
          <w:lang w:val="es-CR"/>
        </w:rPr>
        <w:t xml:space="preserve"> ello.</w:t>
      </w:r>
      <w:r w:rsidRPr="00962F83">
        <w:rPr>
          <w:lang w:val="es-CR"/>
        </w:rPr>
        <w:t xml:space="preserve"> La primera </w:t>
      </w:r>
      <w:r>
        <w:rPr>
          <w:lang w:val="es-CR"/>
        </w:rPr>
        <w:t xml:space="preserve">vez que el señor Galindo fue visitado durante el tiempo en que él permaneció bajo custodia del Estado </w:t>
      </w:r>
      <w:r w:rsidRPr="00962F83">
        <w:rPr>
          <w:lang w:val="es-CR"/>
        </w:rPr>
        <w:t xml:space="preserve">fue entre el 17 y el </w:t>
      </w:r>
      <w:r>
        <w:rPr>
          <w:lang w:val="es-CR"/>
        </w:rPr>
        <w:t>21</w:t>
      </w:r>
      <w:r w:rsidRPr="00962F83">
        <w:rPr>
          <w:lang w:val="es-CR"/>
        </w:rPr>
        <w:t xml:space="preserve"> de octubre de 1994 por su hermana y</w:t>
      </w:r>
      <w:r>
        <w:rPr>
          <w:lang w:val="es-CR"/>
        </w:rPr>
        <w:t>/o</w:t>
      </w:r>
      <w:r w:rsidRPr="00962F83">
        <w:rPr>
          <w:lang w:val="es-CR"/>
        </w:rPr>
        <w:t xml:space="preserve"> su esposa</w:t>
      </w:r>
      <w:r w:rsidRPr="00962F83">
        <w:rPr>
          <w:rStyle w:val="FootnoteReference"/>
          <w:lang w:val="es-CR"/>
        </w:rPr>
        <w:footnoteReference w:id="104"/>
      </w:r>
      <w:r w:rsidRPr="00962F83">
        <w:rPr>
          <w:lang w:val="es-CR"/>
        </w:rPr>
        <w:t xml:space="preserve">, quienes no se encontraban en la ciudad </w:t>
      </w:r>
      <w:r w:rsidRPr="00962F83">
        <w:rPr>
          <w:lang w:val="es-CR"/>
        </w:rPr>
        <w:lastRenderedPageBreak/>
        <w:t xml:space="preserve">de Huánuco y viajaron </w:t>
      </w:r>
      <w:r>
        <w:rPr>
          <w:lang w:val="es-CR"/>
        </w:rPr>
        <w:t xml:space="preserve">a esta ciudad </w:t>
      </w:r>
      <w:r w:rsidRPr="00962F83">
        <w:rPr>
          <w:lang w:val="es-CR"/>
        </w:rPr>
        <w:t>desde Lima al enterarse de lo sucedido</w:t>
      </w:r>
      <w:r w:rsidRPr="00962F83">
        <w:rPr>
          <w:rStyle w:val="FootnoteReference"/>
          <w:lang w:val="es-CR"/>
        </w:rPr>
        <w:footnoteReference w:id="105"/>
      </w:r>
      <w:r w:rsidRPr="00962F83">
        <w:rPr>
          <w:lang w:val="es-CR"/>
        </w:rPr>
        <w:t>. Luego de la primera visita, a ellas se les permitió “una visita diaria, que era al mediodía por espacio de 20 a 30 minutos”</w:t>
      </w:r>
      <w:r w:rsidRPr="00962F83">
        <w:rPr>
          <w:rStyle w:val="FootnoteReference"/>
          <w:lang w:val="es-CR"/>
        </w:rPr>
        <w:footnoteReference w:id="106"/>
      </w:r>
      <w:r w:rsidRPr="00962F83">
        <w:rPr>
          <w:lang w:val="es-CR"/>
        </w:rPr>
        <w:t xml:space="preserve">. La </w:t>
      </w:r>
      <w:r>
        <w:rPr>
          <w:lang w:val="es-CR"/>
        </w:rPr>
        <w:t>hermana</w:t>
      </w:r>
      <w:r w:rsidRPr="00962F83">
        <w:rPr>
          <w:lang w:val="es-CR"/>
        </w:rPr>
        <w:t xml:space="preserve"> del señor Galindo, María Luisa Galindo Cárdenas, manifestó que antes de lograr visitar a</w:t>
      </w:r>
      <w:r>
        <w:rPr>
          <w:lang w:val="es-CR"/>
        </w:rPr>
        <w:t xml:space="preserve"> su hermano se </w:t>
      </w:r>
      <w:r w:rsidRPr="00962F83">
        <w:rPr>
          <w:lang w:val="es-CR"/>
        </w:rPr>
        <w:t>había “</w:t>
      </w:r>
      <w:proofErr w:type="spellStart"/>
      <w:proofErr w:type="gramStart"/>
      <w:r w:rsidRPr="00962F83">
        <w:rPr>
          <w:lang w:val="es-CR"/>
        </w:rPr>
        <w:t>imp</w:t>
      </w:r>
      <w:proofErr w:type="spellEnd"/>
      <w:r w:rsidRPr="00962F83">
        <w:rPr>
          <w:lang w:val="es-CR"/>
        </w:rPr>
        <w:t>[</w:t>
      </w:r>
      <w:proofErr w:type="spellStart"/>
      <w:proofErr w:type="gramEnd"/>
      <w:r w:rsidRPr="00962F83">
        <w:rPr>
          <w:lang w:val="es-CR"/>
        </w:rPr>
        <w:t>edido</w:t>
      </w:r>
      <w:proofErr w:type="spellEnd"/>
      <w:r w:rsidRPr="00962F83">
        <w:rPr>
          <w:lang w:val="es-CR"/>
        </w:rPr>
        <w:t xml:space="preserve">]” </w:t>
      </w:r>
      <w:r>
        <w:rPr>
          <w:lang w:val="es-CR"/>
        </w:rPr>
        <w:t xml:space="preserve">a </w:t>
      </w:r>
      <w:r w:rsidRPr="00962F83">
        <w:rPr>
          <w:lang w:val="es-CR"/>
        </w:rPr>
        <w:t>la esposa del señor Galindo</w:t>
      </w:r>
      <w:r>
        <w:rPr>
          <w:lang w:val="es-CR"/>
        </w:rPr>
        <w:t xml:space="preserve"> y</w:t>
      </w:r>
      <w:r w:rsidRPr="00962F83">
        <w:rPr>
          <w:lang w:val="es-CR"/>
        </w:rPr>
        <w:t xml:space="preserve"> a </w:t>
      </w:r>
      <w:r>
        <w:rPr>
          <w:lang w:val="es-CR"/>
        </w:rPr>
        <w:t xml:space="preserve">ella </w:t>
      </w:r>
      <w:r w:rsidRPr="00962F83">
        <w:rPr>
          <w:lang w:val="es-CR"/>
        </w:rPr>
        <w:t xml:space="preserve">“visitas y comunicaciones” </w:t>
      </w:r>
      <w:r>
        <w:rPr>
          <w:lang w:val="es-CR"/>
        </w:rPr>
        <w:t>con él y que “ante [su</w:t>
      </w:r>
      <w:r w:rsidRPr="00962F83">
        <w:rPr>
          <w:lang w:val="es-CR"/>
        </w:rPr>
        <w:t xml:space="preserve">] firme exigencia </w:t>
      </w:r>
      <w:r>
        <w:rPr>
          <w:lang w:val="es-CR"/>
        </w:rPr>
        <w:t>el Fiscal […] c</w:t>
      </w:r>
      <w:r w:rsidRPr="00962F83">
        <w:rPr>
          <w:lang w:val="es-CR"/>
        </w:rPr>
        <w:t>oordinó con el Cuartel Militar para que se [les] permitiera visitar</w:t>
      </w:r>
      <w:r>
        <w:rPr>
          <w:lang w:val="es-CR"/>
        </w:rPr>
        <w:t>[lo]</w:t>
      </w:r>
      <w:r w:rsidRPr="00962F83">
        <w:rPr>
          <w:lang w:val="es-CR"/>
        </w:rPr>
        <w:t>”</w:t>
      </w:r>
      <w:r w:rsidRPr="00962F83">
        <w:rPr>
          <w:rStyle w:val="FootnoteReference"/>
          <w:lang w:val="es-CR"/>
        </w:rPr>
        <w:footnoteReference w:id="107"/>
      </w:r>
      <w:r w:rsidRPr="00962F83">
        <w:rPr>
          <w:lang w:val="es-CR"/>
        </w:rPr>
        <w:t>. Asimismo, el señor Galindo fue visitado</w:t>
      </w:r>
      <w:r>
        <w:rPr>
          <w:lang w:val="es-CR"/>
        </w:rPr>
        <w:t xml:space="preserve"> el 26 de octubre de 1994 por la</w:t>
      </w:r>
      <w:r w:rsidRPr="00962F83">
        <w:rPr>
          <w:lang w:val="es-CR"/>
        </w:rPr>
        <w:t xml:space="preserve"> Fiscal de la Nación junto con el Fiscal Provincial de la Primera Fiscalía Provincial de </w:t>
      </w:r>
      <w:r w:rsidR="00C336A8" w:rsidRPr="00962F83">
        <w:rPr>
          <w:lang w:val="es-CR"/>
        </w:rPr>
        <w:t>Huánuco</w:t>
      </w:r>
      <w:r>
        <w:rPr>
          <w:lang w:val="es-CR"/>
        </w:rPr>
        <w:t>.</w:t>
      </w:r>
      <w:r w:rsidRPr="00962F83">
        <w:rPr>
          <w:lang w:val="es-CR"/>
        </w:rPr>
        <w:t xml:space="preserve"> En esa ocasión la F</w:t>
      </w:r>
      <w:r>
        <w:rPr>
          <w:lang w:val="es-CR"/>
        </w:rPr>
        <w:t xml:space="preserve">iscal de la Nación </w:t>
      </w:r>
      <w:r w:rsidRPr="00962F83">
        <w:rPr>
          <w:lang w:val="es-CR"/>
        </w:rPr>
        <w:t xml:space="preserve">preguntó al señor Galindo </w:t>
      </w:r>
      <w:r>
        <w:rPr>
          <w:lang w:val="es-CR"/>
        </w:rPr>
        <w:t>“</w:t>
      </w:r>
      <w:r w:rsidRPr="00962F83">
        <w:rPr>
          <w:lang w:val="es-CR"/>
        </w:rPr>
        <w:t xml:space="preserve">si </w:t>
      </w:r>
      <w:proofErr w:type="gramStart"/>
      <w:r w:rsidRPr="00962F83">
        <w:rPr>
          <w:lang w:val="es-CR"/>
        </w:rPr>
        <w:t>ha</w:t>
      </w:r>
      <w:r>
        <w:rPr>
          <w:lang w:val="es-CR"/>
        </w:rPr>
        <w:t>[</w:t>
      </w:r>
      <w:proofErr w:type="spellStart"/>
      <w:proofErr w:type="gramEnd"/>
      <w:r w:rsidRPr="00962F83">
        <w:rPr>
          <w:lang w:val="es-CR"/>
        </w:rPr>
        <w:t>bía</w:t>
      </w:r>
      <w:proofErr w:type="spellEnd"/>
      <w:r>
        <w:rPr>
          <w:lang w:val="es-CR"/>
        </w:rPr>
        <w:t>]</w:t>
      </w:r>
      <w:r w:rsidRPr="00962F83">
        <w:rPr>
          <w:lang w:val="es-CR"/>
        </w:rPr>
        <w:t xml:space="preserve"> sido víctima de maltrato o amenaza</w:t>
      </w:r>
      <w:r>
        <w:rPr>
          <w:lang w:val="es-CR"/>
        </w:rPr>
        <w:t>”</w:t>
      </w:r>
      <w:r w:rsidRPr="00962F83">
        <w:rPr>
          <w:lang w:val="es-CR"/>
        </w:rPr>
        <w:t>, a lo que él respondió que “maltrato físico</w:t>
      </w:r>
      <w:r>
        <w:rPr>
          <w:lang w:val="es-CR"/>
        </w:rPr>
        <w:t>,</w:t>
      </w:r>
      <w:r w:rsidRPr="00962F83">
        <w:rPr>
          <w:lang w:val="es-CR"/>
        </w:rPr>
        <w:t xml:space="preserve"> no, pero</w:t>
      </w:r>
      <w:r>
        <w:rPr>
          <w:lang w:val="es-CR"/>
        </w:rPr>
        <w:t xml:space="preserve"> […]</w:t>
      </w:r>
      <w:r w:rsidRPr="00962F83">
        <w:rPr>
          <w:lang w:val="es-CR"/>
        </w:rPr>
        <w:t xml:space="preserve"> sí </w:t>
      </w:r>
      <w:proofErr w:type="spellStart"/>
      <w:r w:rsidRPr="00962F83">
        <w:rPr>
          <w:lang w:val="es-CR"/>
        </w:rPr>
        <w:t>psicológ</w:t>
      </w:r>
      <w:proofErr w:type="spellEnd"/>
      <w:r>
        <w:rPr>
          <w:lang w:val="es-CR"/>
        </w:rPr>
        <w:t>[</w:t>
      </w:r>
      <w:r w:rsidRPr="00962F83">
        <w:rPr>
          <w:lang w:val="es-CR"/>
        </w:rPr>
        <w:t>i</w:t>
      </w:r>
      <w:r>
        <w:rPr>
          <w:lang w:val="es-CR"/>
        </w:rPr>
        <w:t>]</w:t>
      </w:r>
      <w:r w:rsidRPr="00962F83">
        <w:rPr>
          <w:lang w:val="es-CR"/>
        </w:rPr>
        <w:t>c</w:t>
      </w:r>
      <w:r>
        <w:rPr>
          <w:lang w:val="es-CR"/>
        </w:rPr>
        <w:t>[</w:t>
      </w:r>
      <w:r w:rsidRPr="00962F83">
        <w:rPr>
          <w:lang w:val="es-CR"/>
        </w:rPr>
        <w:t>o</w:t>
      </w:r>
      <w:r>
        <w:rPr>
          <w:lang w:val="es-CR"/>
        </w:rPr>
        <w:t>]</w:t>
      </w:r>
      <w:r w:rsidRPr="00962F83">
        <w:rPr>
          <w:lang w:val="es-CR"/>
        </w:rPr>
        <w:t>, propi</w:t>
      </w:r>
      <w:r>
        <w:rPr>
          <w:lang w:val="es-CR"/>
        </w:rPr>
        <w:t>[</w:t>
      </w:r>
      <w:r w:rsidRPr="00962F83">
        <w:rPr>
          <w:lang w:val="es-CR"/>
        </w:rPr>
        <w:t>o</w:t>
      </w:r>
      <w:r>
        <w:rPr>
          <w:lang w:val="es-CR"/>
        </w:rPr>
        <w:t>]</w:t>
      </w:r>
      <w:r w:rsidRPr="00962F83">
        <w:rPr>
          <w:lang w:val="es-CR"/>
        </w:rPr>
        <w:t xml:space="preserve"> del </w:t>
      </w:r>
      <w:proofErr w:type="spellStart"/>
      <w:r w:rsidRPr="00962F83">
        <w:rPr>
          <w:lang w:val="es-CR"/>
        </w:rPr>
        <w:t>enci</w:t>
      </w:r>
      <w:proofErr w:type="spellEnd"/>
      <w:r>
        <w:rPr>
          <w:lang w:val="es-CR"/>
        </w:rPr>
        <w:t>[</w:t>
      </w:r>
      <w:r w:rsidRPr="00962F83">
        <w:rPr>
          <w:lang w:val="es-CR"/>
        </w:rPr>
        <w:t>e</w:t>
      </w:r>
      <w:r>
        <w:rPr>
          <w:lang w:val="es-CR"/>
        </w:rPr>
        <w:t>]</w:t>
      </w:r>
      <w:proofErr w:type="spellStart"/>
      <w:r w:rsidRPr="00962F83">
        <w:rPr>
          <w:lang w:val="es-CR"/>
        </w:rPr>
        <w:t>rro</w:t>
      </w:r>
      <w:proofErr w:type="spellEnd"/>
      <w:r w:rsidRPr="00962F83">
        <w:rPr>
          <w:lang w:val="es-CR"/>
        </w:rPr>
        <w:t>”</w:t>
      </w:r>
      <w:r>
        <w:rPr>
          <w:lang w:val="es-CR"/>
        </w:rPr>
        <w:t>. Asimismo, le preguntó si tenía abogado, y é</w:t>
      </w:r>
      <w:r w:rsidRPr="000A6C0C">
        <w:rPr>
          <w:lang w:val="es-CR"/>
        </w:rPr>
        <w:t>l respondió “[q]</w:t>
      </w:r>
      <w:proofErr w:type="spellStart"/>
      <w:r w:rsidRPr="000A6C0C">
        <w:rPr>
          <w:lang w:val="es-CR"/>
        </w:rPr>
        <w:t>ue</w:t>
      </w:r>
      <w:proofErr w:type="spellEnd"/>
      <w:r w:rsidRPr="000A6C0C">
        <w:rPr>
          <w:lang w:val="es-CR"/>
        </w:rPr>
        <w:t xml:space="preserve"> no lo cree conveniente, ya que es abogado y el caso </w:t>
      </w:r>
      <w:proofErr w:type="gramStart"/>
      <w:r w:rsidRPr="000A6C0C">
        <w:rPr>
          <w:lang w:val="es-CR"/>
        </w:rPr>
        <w:t>ha</w:t>
      </w:r>
      <w:r>
        <w:rPr>
          <w:lang w:val="es-CR"/>
        </w:rPr>
        <w:t>[</w:t>
      </w:r>
      <w:proofErr w:type="spellStart"/>
      <w:proofErr w:type="gramEnd"/>
      <w:r>
        <w:rPr>
          <w:lang w:val="es-CR"/>
        </w:rPr>
        <w:t>bía</w:t>
      </w:r>
      <w:proofErr w:type="spellEnd"/>
      <w:r>
        <w:rPr>
          <w:lang w:val="es-CR"/>
        </w:rPr>
        <w:t>]</w:t>
      </w:r>
      <w:r w:rsidRPr="000A6C0C">
        <w:rPr>
          <w:lang w:val="es-CR"/>
        </w:rPr>
        <w:t xml:space="preserve"> sido magnificado con el consiguiente perjuicio para [é]l […] y su familia”</w:t>
      </w:r>
      <w:r w:rsidRPr="000A6C0C">
        <w:rPr>
          <w:rStyle w:val="FootnoteReference"/>
          <w:lang w:val="es-CR"/>
        </w:rPr>
        <w:footnoteReference w:id="108"/>
      </w:r>
      <w:r w:rsidRPr="000A6C0C">
        <w:rPr>
          <w:lang w:val="es-CR"/>
        </w:rPr>
        <w:t>.</w:t>
      </w:r>
      <w:r w:rsidRPr="00962F83">
        <w:rPr>
          <w:lang w:val="es-CR"/>
        </w:rPr>
        <w:t xml:space="preserve"> Por último, </w:t>
      </w:r>
      <w:r>
        <w:rPr>
          <w:lang w:val="es-CR"/>
        </w:rPr>
        <w:t>e</w:t>
      </w:r>
      <w:r w:rsidRPr="00962F83">
        <w:rPr>
          <w:lang w:val="es-CR"/>
        </w:rPr>
        <w:t>l 9 de noviembre de 1994 fue visitado por delegados del Comité Internacional de la Cruz Roja</w:t>
      </w:r>
      <w:r w:rsidRPr="00962F83">
        <w:rPr>
          <w:rStyle w:val="FootnoteReference"/>
          <w:lang w:val="es-CR"/>
        </w:rPr>
        <w:footnoteReference w:id="109"/>
      </w:r>
      <w:r w:rsidRPr="00962F83">
        <w:rPr>
          <w:lang w:val="es-CR"/>
        </w:rPr>
        <w:t xml:space="preserve">. </w:t>
      </w:r>
    </w:p>
    <w:p w:rsidR="006B0B0A" w:rsidRPr="00962F83" w:rsidRDefault="006B0B0A" w:rsidP="006B0B0A">
      <w:pPr>
        <w:pStyle w:val="ListParagraph"/>
        <w:rPr>
          <w:sz w:val="20"/>
          <w:szCs w:val="20"/>
          <w:lang w:val="es-CR"/>
        </w:rPr>
      </w:pPr>
    </w:p>
    <w:p w:rsidR="006B0B0A" w:rsidRPr="00962F83" w:rsidRDefault="006B0B0A" w:rsidP="006B0B0A">
      <w:pPr>
        <w:pStyle w:val="Estilo1"/>
        <w:numPr>
          <w:ilvl w:val="0"/>
          <w:numId w:val="1"/>
        </w:numPr>
        <w:tabs>
          <w:tab w:val="num" w:pos="18282"/>
        </w:tabs>
        <w:spacing w:after="0"/>
        <w:rPr>
          <w:lang w:val="es-CR"/>
        </w:rPr>
      </w:pPr>
      <w:r w:rsidRPr="00962F83">
        <w:rPr>
          <w:lang w:val="es-CR"/>
        </w:rPr>
        <w:t xml:space="preserve">El 20 de octubre de 1994 la Secretaría en lo Administrativo de la Corte Superior de Justicia Huánuco-Pasco recibió una carta firmada por Luis </w:t>
      </w:r>
      <w:r w:rsidR="00E45E88">
        <w:rPr>
          <w:lang w:val="es-CR"/>
        </w:rPr>
        <w:t xml:space="preserve">Antonio </w:t>
      </w:r>
      <w:r w:rsidRPr="00962F83">
        <w:rPr>
          <w:lang w:val="es-CR"/>
        </w:rPr>
        <w:t>Galindo Cárdenas</w:t>
      </w:r>
      <w:r>
        <w:rPr>
          <w:lang w:val="es-CR"/>
        </w:rPr>
        <w:t>,</w:t>
      </w:r>
      <w:r w:rsidRPr="00962F83">
        <w:rPr>
          <w:lang w:val="es-CR"/>
        </w:rPr>
        <w:t xml:space="preserve"> en la</w:t>
      </w:r>
      <w:r>
        <w:rPr>
          <w:lang w:val="es-CR"/>
        </w:rPr>
        <w:t xml:space="preserve"> </w:t>
      </w:r>
      <w:r>
        <w:rPr>
          <w:lang w:val="es-CR"/>
        </w:rPr>
        <w:lastRenderedPageBreak/>
        <w:t>cual</w:t>
      </w:r>
      <w:r w:rsidRPr="00962F83">
        <w:rPr>
          <w:lang w:val="es-CR"/>
        </w:rPr>
        <w:t xml:space="preserve"> </w:t>
      </w:r>
      <w:r>
        <w:rPr>
          <w:lang w:val="es-CR"/>
        </w:rPr>
        <w:t>“</w:t>
      </w:r>
      <w:proofErr w:type="spellStart"/>
      <w:proofErr w:type="gramStart"/>
      <w:r w:rsidRPr="00962F83">
        <w:rPr>
          <w:lang w:val="es-CR"/>
        </w:rPr>
        <w:t>present</w:t>
      </w:r>
      <w:proofErr w:type="spellEnd"/>
      <w:r>
        <w:rPr>
          <w:lang w:val="es-CR"/>
        </w:rPr>
        <w:t>[</w:t>
      </w:r>
      <w:proofErr w:type="spellStart"/>
      <w:proofErr w:type="gramEnd"/>
      <w:r w:rsidRPr="00962F83">
        <w:rPr>
          <w:lang w:val="es-CR"/>
        </w:rPr>
        <w:t>ó</w:t>
      </w:r>
      <w:proofErr w:type="spellEnd"/>
      <w:r w:rsidRPr="00962F83">
        <w:rPr>
          <w:lang w:val="es-CR"/>
        </w:rPr>
        <w:t xml:space="preserve"> su</w:t>
      </w:r>
      <w:r>
        <w:rPr>
          <w:lang w:val="es-CR"/>
        </w:rPr>
        <w:t>]</w:t>
      </w:r>
      <w:r w:rsidRPr="00962F83">
        <w:rPr>
          <w:lang w:val="es-CR"/>
        </w:rPr>
        <w:t xml:space="preserve"> renuncia</w:t>
      </w:r>
      <w:r>
        <w:rPr>
          <w:lang w:val="es-CR"/>
        </w:rPr>
        <w:t>”</w:t>
      </w:r>
      <w:r w:rsidRPr="00962F83">
        <w:rPr>
          <w:rStyle w:val="FootnoteReference"/>
          <w:lang w:val="es-CR"/>
        </w:rPr>
        <w:footnoteReference w:id="110"/>
      </w:r>
      <w:r>
        <w:rPr>
          <w:lang w:val="es-CR"/>
        </w:rPr>
        <w:t>, l</w:t>
      </w:r>
      <w:r w:rsidRPr="00962F83">
        <w:rPr>
          <w:lang w:val="es-CR"/>
        </w:rPr>
        <w:t xml:space="preserve">a que fue aceptada el 21 de octubre de 1994 por la Corte Superior de </w:t>
      </w:r>
      <w:r>
        <w:rPr>
          <w:lang w:val="es-CR"/>
        </w:rPr>
        <w:t>Justicia</w:t>
      </w:r>
      <w:r w:rsidRPr="00962F83">
        <w:rPr>
          <w:rStyle w:val="FootnoteReference"/>
          <w:lang w:val="es-CR"/>
        </w:rPr>
        <w:footnoteReference w:id="111"/>
      </w:r>
      <w:r w:rsidRPr="00962F83">
        <w:rPr>
          <w:lang w:val="es-CR"/>
        </w:rPr>
        <w:t>.</w:t>
      </w:r>
    </w:p>
    <w:p w:rsidR="006B0B0A" w:rsidRPr="005158AC" w:rsidRDefault="006B0B0A" w:rsidP="006B0B0A">
      <w:pPr>
        <w:pStyle w:val="ListParagraph"/>
        <w:jc w:val="both"/>
        <w:rPr>
          <w:lang w:val="es-CR"/>
        </w:rPr>
      </w:pPr>
    </w:p>
    <w:p w:rsidR="006B0B0A" w:rsidRPr="00B72D8C" w:rsidRDefault="006B0B0A" w:rsidP="006B0B0A">
      <w:pPr>
        <w:pStyle w:val="Heading3"/>
        <w:ind w:left="851"/>
        <w:rPr>
          <w:b w:val="0"/>
          <w:spacing w:val="0"/>
          <w:w w:val="100"/>
        </w:rPr>
      </w:pPr>
      <w:bookmarkStart w:id="262" w:name="_Toc415507383"/>
      <w:bookmarkStart w:id="263" w:name="_Toc418530472"/>
      <w:bookmarkStart w:id="264" w:name="_Toc420941734"/>
      <w:bookmarkStart w:id="265" w:name="_Toc424313487"/>
      <w:bookmarkStart w:id="266" w:name="_Toc430869789"/>
      <w:bookmarkStart w:id="267" w:name="_Toc438129710"/>
      <w:r w:rsidRPr="00B72D8C">
        <w:rPr>
          <w:b w:val="0"/>
          <w:spacing w:val="0"/>
          <w:w w:val="100"/>
        </w:rPr>
        <w:t>C.2</w:t>
      </w:r>
      <w:r>
        <w:rPr>
          <w:b w:val="0"/>
          <w:spacing w:val="0"/>
          <w:w w:val="100"/>
        </w:rPr>
        <w:t>.</w:t>
      </w:r>
      <w:r w:rsidRPr="00B72D8C">
        <w:rPr>
          <w:b w:val="0"/>
          <w:spacing w:val="0"/>
          <w:w w:val="100"/>
        </w:rPr>
        <w:tab/>
        <w:t xml:space="preserve"> Sobre el procedimiento que derivó en la “exención de la pena” de acuerdo a la Ley de Arrepentimiento y la liberación del señor Galindo</w:t>
      </w:r>
      <w:bookmarkEnd w:id="262"/>
      <w:bookmarkEnd w:id="263"/>
      <w:bookmarkEnd w:id="264"/>
      <w:bookmarkEnd w:id="265"/>
      <w:bookmarkEnd w:id="266"/>
      <w:bookmarkEnd w:id="267"/>
    </w:p>
    <w:p w:rsidR="006B0B0A" w:rsidRPr="00106D1B" w:rsidRDefault="006B0B0A" w:rsidP="006B0B0A">
      <w:pPr>
        <w:pStyle w:val="ListParagraph"/>
        <w:rPr>
          <w:lang w:val="es-CR"/>
        </w:rPr>
      </w:pPr>
    </w:p>
    <w:p w:rsidR="006B0B0A" w:rsidRPr="00962F83" w:rsidRDefault="006B0B0A" w:rsidP="006B0B0A">
      <w:pPr>
        <w:pStyle w:val="Estilo1"/>
        <w:numPr>
          <w:ilvl w:val="0"/>
          <w:numId w:val="1"/>
        </w:numPr>
        <w:tabs>
          <w:tab w:val="num" w:pos="18282"/>
        </w:tabs>
        <w:spacing w:after="0"/>
        <w:rPr>
          <w:lang w:val="es-CR"/>
        </w:rPr>
      </w:pPr>
      <w:r w:rsidRPr="00962F83">
        <w:rPr>
          <w:lang w:val="es-CR"/>
        </w:rPr>
        <w:t xml:space="preserve">De la prueba allegada a la Corte, se evidencia que </w:t>
      </w:r>
      <w:r>
        <w:rPr>
          <w:lang w:val="es-CR"/>
        </w:rPr>
        <w:t xml:space="preserve">la </w:t>
      </w:r>
      <w:r w:rsidRPr="00962F83">
        <w:rPr>
          <w:lang w:val="es-CR"/>
        </w:rPr>
        <w:t xml:space="preserve">aplicación del beneficio de exención de la pena al señor Galindo </w:t>
      </w:r>
      <w:r>
        <w:rPr>
          <w:lang w:val="es-CR"/>
        </w:rPr>
        <w:t>siguió el</w:t>
      </w:r>
      <w:r w:rsidRPr="00962F83">
        <w:rPr>
          <w:lang w:val="es-CR"/>
        </w:rPr>
        <w:t xml:space="preserve"> procedimiento que establece la Ley de Arrepentimiento y su reglamento</w:t>
      </w:r>
      <w:r w:rsidRPr="00962F83">
        <w:rPr>
          <w:rStyle w:val="FootnoteReference"/>
          <w:lang w:val="es-CR"/>
        </w:rPr>
        <w:footnoteReference w:id="112"/>
      </w:r>
      <w:r w:rsidRPr="00962F83">
        <w:rPr>
          <w:lang w:val="es-CR"/>
        </w:rPr>
        <w:t>, y que se desarrolló del modo que se describe a continuación.</w:t>
      </w:r>
    </w:p>
    <w:p w:rsidR="006B0B0A" w:rsidRPr="00486E4D" w:rsidRDefault="006B0B0A" w:rsidP="006B0B0A">
      <w:pPr>
        <w:pStyle w:val="ListParagraph"/>
        <w:ind w:left="0"/>
        <w:jc w:val="both"/>
        <w:rPr>
          <w:sz w:val="20"/>
          <w:szCs w:val="20"/>
          <w:lang w:val="es-CR"/>
        </w:rPr>
      </w:pPr>
    </w:p>
    <w:p w:rsidR="006B0B0A" w:rsidRPr="00486E4D" w:rsidRDefault="006B0B0A" w:rsidP="006B0B0A">
      <w:pPr>
        <w:pStyle w:val="Estilo1"/>
        <w:numPr>
          <w:ilvl w:val="0"/>
          <w:numId w:val="1"/>
        </w:numPr>
        <w:tabs>
          <w:tab w:val="num" w:pos="18282"/>
        </w:tabs>
        <w:spacing w:after="0"/>
        <w:rPr>
          <w:lang w:val="es-CR"/>
        </w:rPr>
      </w:pPr>
      <w:r w:rsidRPr="00486E4D">
        <w:rPr>
          <w:lang w:val="es-CR"/>
        </w:rPr>
        <w:t xml:space="preserve">El 31 de octubre de 1994 la </w:t>
      </w:r>
      <w:r>
        <w:rPr>
          <w:lang w:val="es-CR"/>
        </w:rPr>
        <w:t>“</w:t>
      </w:r>
      <w:r w:rsidRPr="00486E4D">
        <w:rPr>
          <w:lang w:val="es-CR"/>
        </w:rPr>
        <w:t>Jefatura Contra</w:t>
      </w:r>
      <w:r>
        <w:rPr>
          <w:lang w:val="es-CR"/>
        </w:rPr>
        <w:t>t</w:t>
      </w:r>
      <w:r w:rsidRPr="00486E4D">
        <w:rPr>
          <w:lang w:val="es-CR"/>
        </w:rPr>
        <w:t>errorismo</w:t>
      </w:r>
      <w:r>
        <w:rPr>
          <w:lang w:val="es-CR"/>
        </w:rPr>
        <w:t>”</w:t>
      </w:r>
      <w:r w:rsidRPr="00486E4D">
        <w:rPr>
          <w:lang w:val="es-CR"/>
        </w:rPr>
        <w:t xml:space="preserve"> de la Sub Región Huánuco emitió el Informe de Verificación No. 24</w:t>
      </w:r>
      <w:r w:rsidRPr="00486E4D">
        <w:rPr>
          <w:rStyle w:val="FootnoteReference"/>
          <w:lang w:val="es-CR"/>
        </w:rPr>
        <w:footnoteReference w:id="113"/>
      </w:r>
      <w:r w:rsidRPr="00486E4D">
        <w:rPr>
          <w:lang w:val="es-CR"/>
        </w:rPr>
        <w:t xml:space="preserve"> al que se adjuntó como anexo la Hoja Básica No. 4-DECOTE-PNP-HCO</w:t>
      </w:r>
      <w:r w:rsidRPr="00486E4D">
        <w:rPr>
          <w:rStyle w:val="FootnoteReference"/>
          <w:lang w:val="es-CR"/>
        </w:rPr>
        <w:footnoteReference w:id="114"/>
      </w:r>
      <w:r w:rsidRPr="00486E4D">
        <w:rPr>
          <w:lang w:val="es-CR"/>
        </w:rPr>
        <w:t>. En ambos documentos consta como la fecha en que se manifestó el “arrepentimiento” el 15 de octubre de 1994.</w:t>
      </w:r>
    </w:p>
    <w:p w:rsidR="006B0B0A" w:rsidRPr="00486E4D" w:rsidRDefault="006B0B0A" w:rsidP="006B0B0A">
      <w:pPr>
        <w:rPr>
          <w:szCs w:val="20"/>
          <w:lang w:val="es-CR"/>
        </w:rPr>
      </w:pPr>
    </w:p>
    <w:p w:rsidR="006B0B0A" w:rsidRPr="00486E4D" w:rsidRDefault="006B0B0A" w:rsidP="006B0B0A">
      <w:pPr>
        <w:pStyle w:val="Estilo1"/>
        <w:numPr>
          <w:ilvl w:val="0"/>
          <w:numId w:val="1"/>
        </w:numPr>
        <w:tabs>
          <w:tab w:val="num" w:pos="18282"/>
        </w:tabs>
        <w:spacing w:after="0"/>
        <w:rPr>
          <w:lang w:val="es-CR"/>
        </w:rPr>
      </w:pPr>
      <w:r w:rsidRPr="00486E4D">
        <w:rPr>
          <w:lang w:val="es-CR"/>
        </w:rPr>
        <w:t xml:space="preserve">El 2 de noviembre de 1994 la </w:t>
      </w:r>
      <w:r>
        <w:rPr>
          <w:lang w:val="es-CR"/>
        </w:rPr>
        <w:t>“</w:t>
      </w:r>
      <w:r w:rsidRPr="00486E4D">
        <w:rPr>
          <w:lang w:val="es-CR"/>
        </w:rPr>
        <w:t>Jefatura Contra</w:t>
      </w:r>
      <w:r>
        <w:rPr>
          <w:lang w:val="es-CR"/>
        </w:rPr>
        <w:t>t</w:t>
      </w:r>
      <w:r w:rsidRPr="00486E4D">
        <w:rPr>
          <w:lang w:val="es-CR"/>
        </w:rPr>
        <w:t>errorismo</w:t>
      </w:r>
      <w:r>
        <w:rPr>
          <w:lang w:val="es-CR"/>
        </w:rPr>
        <w:t>”</w:t>
      </w:r>
      <w:r w:rsidRPr="00486E4D">
        <w:rPr>
          <w:lang w:val="es-CR"/>
        </w:rPr>
        <w:t xml:space="preserve"> de la Sub Región Huánuco </w:t>
      </w:r>
      <w:r>
        <w:rPr>
          <w:lang w:val="es-CR"/>
        </w:rPr>
        <w:t xml:space="preserve">emitió un oficio </w:t>
      </w:r>
      <w:r w:rsidRPr="00486E4D">
        <w:rPr>
          <w:lang w:val="es-CR"/>
        </w:rPr>
        <w:t>remiti</w:t>
      </w:r>
      <w:r>
        <w:rPr>
          <w:lang w:val="es-CR"/>
        </w:rPr>
        <w:t>endo</w:t>
      </w:r>
      <w:r w:rsidRPr="00486E4D">
        <w:rPr>
          <w:lang w:val="es-CR"/>
        </w:rPr>
        <w:t xml:space="preserve"> a la Primera Fiscalía Provincial Penal el Informe de Verificación No. 24, señalando que “la persona solicitante menciona</w:t>
      </w:r>
      <w:r>
        <w:rPr>
          <w:lang w:val="es-CR"/>
        </w:rPr>
        <w:t xml:space="preserve">da se </w:t>
      </w:r>
      <w:proofErr w:type="spellStart"/>
      <w:proofErr w:type="gramStart"/>
      <w:r>
        <w:rPr>
          <w:lang w:val="es-CR"/>
        </w:rPr>
        <w:t>enc</w:t>
      </w:r>
      <w:proofErr w:type="spellEnd"/>
      <w:r>
        <w:rPr>
          <w:lang w:val="es-CR"/>
        </w:rPr>
        <w:t>[</w:t>
      </w:r>
      <w:proofErr w:type="spellStart"/>
      <w:proofErr w:type="gramEnd"/>
      <w:r>
        <w:rPr>
          <w:lang w:val="es-CR"/>
        </w:rPr>
        <w:t>ontraba</w:t>
      </w:r>
      <w:proofErr w:type="spellEnd"/>
      <w:r>
        <w:rPr>
          <w:lang w:val="es-CR"/>
        </w:rPr>
        <w:t>]</w:t>
      </w:r>
      <w:r w:rsidRPr="00486E4D">
        <w:rPr>
          <w:lang w:val="es-CR"/>
        </w:rPr>
        <w:t xml:space="preserve"> en un ambiente especial, en salvaguardia de su integridad física”</w:t>
      </w:r>
      <w:r w:rsidRPr="00486E4D">
        <w:rPr>
          <w:rStyle w:val="FootnoteReference"/>
          <w:lang w:val="es-CR"/>
        </w:rPr>
        <w:footnoteReference w:id="115"/>
      </w:r>
      <w:r w:rsidRPr="00486E4D">
        <w:rPr>
          <w:lang w:val="es-CR"/>
        </w:rPr>
        <w:t>.</w:t>
      </w:r>
    </w:p>
    <w:p w:rsidR="006B0B0A" w:rsidRPr="00486E4D" w:rsidRDefault="006B0B0A" w:rsidP="006B0B0A">
      <w:pPr>
        <w:pStyle w:val="ListParagraph"/>
        <w:rPr>
          <w:sz w:val="20"/>
          <w:szCs w:val="20"/>
          <w:lang w:val="es-CR"/>
        </w:rPr>
      </w:pPr>
    </w:p>
    <w:p w:rsidR="006B0B0A" w:rsidRPr="00486E4D" w:rsidRDefault="006B0B0A" w:rsidP="006B0B0A">
      <w:pPr>
        <w:pStyle w:val="Estilo1"/>
        <w:numPr>
          <w:ilvl w:val="0"/>
          <w:numId w:val="1"/>
        </w:numPr>
        <w:tabs>
          <w:tab w:val="num" w:pos="18282"/>
        </w:tabs>
        <w:spacing w:after="0"/>
        <w:rPr>
          <w:lang w:val="es-CR"/>
        </w:rPr>
      </w:pPr>
      <w:r w:rsidRPr="00486E4D">
        <w:rPr>
          <w:lang w:val="es-CR"/>
        </w:rPr>
        <w:t xml:space="preserve">El 4 de noviembre de 1994 </w:t>
      </w:r>
      <w:r>
        <w:rPr>
          <w:lang w:val="es-CR"/>
        </w:rPr>
        <w:t xml:space="preserve">el Fiscal Provincial de </w:t>
      </w:r>
      <w:r w:rsidRPr="00486E4D">
        <w:rPr>
          <w:lang w:val="es-CR"/>
        </w:rPr>
        <w:t xml:space="preserve">la Primera Fiscalía Provincial Penal de Huánuco emitió una resolución respecto del beneficio de exención de la pena. En ella, consideró que </w:t>
      </w:r>
    </w:p>
    <w:p w:rsidR="006B0B0A" w:rsidRPr="00834F27" w:rsidRDefault="006B0B0A" w:rsidP="006B0B0A">
      <w:pPr>
        <w:pStyle w:val="ListParagraph"/>
        <w:rPr>
          <w:lang w:val="es-CR"/>
        </w:rPr>
      </w:pPr>
    </w:p>
    <w:p w:rsidR="006B0B0A" w:rsidRDefault="006B0B0A" w:rsidP="006B0B0A">
      <w:pPr>
        <w:pStyle w:val="ListParagraph"/>
        <w:ind w:left="567" w:right="720"/>
        <w:jc w:val="both"/>
        <w:rPr>
          <w:sz w:val="16"/>
          <w:szCs w:val="16"/>
          <w:lang w:val="es-CR"/>
        </w:rPr>
      </w:pPr>
      <w:r w:rsidRPr="00064CAB">
        <w:rPr>
          <w:sz w:val="16"/>
          <w:szCs w:val="16"/>
          <w:lang w:val="es-CR"/>
        </w:rPr>
        <w:t xml:space="preserve">los hechos en los que ha participado el [señor Galindo] constituyen actos de colaboración previstos y sancionados </w:t>
      </w:r>
      <w:r>
        <w:rPr>
          <w:sz w:val="16"/>
          <w:szCs w:val="16"/>
          <w:lang w:val="es-CR"/>
        </w:rPr>
        <w:t>por</w:t>
      </w:r>
      <w:r w:rsidRPr="00064CAB">
        <w:rPr>
          <w:sz w:val="16"/>
          <w:szCs w:val="16"/>
          <w:lang w:val="es-CR"/>
        </w:rPr>
        <w:t xml:space="preserve"> el </w:t>
      </w:r>
      <w:r>
        <w:rPr>
          <w:sz w:val="16"/>
          <w:szCs w:val="16"/>
          <w:lang w:val="es-CR"/>
        </w:rPr>
        <w:t>[</w:t>
      </w:r>
      <w:r w:rsidRPr="00064CAB">
        <w:rPr>
          <w:sz w:val="16"/>
          <w:szCs w:val="16"/>
          <w:lang w:val="es-CR"/>
        </w:rPr>
        <w:t>a</w:t>
      </w:r>
      <w:r>
        <w:rPr>
          <w:sz w:val="16"/>
          <w:szCs w:val="16"/>
          <w:lang w:val="es-CR"/>
        </w:rPr>
        <w:t>]</w:t>
      </w:r>
      <w:proofErr w:type="spellStart"/>
      <w:r w:rsidRPr="00064CAB">
        <w:rPr>
          <w:sz w:val="16"/>
          <w:szCs w:val="16"/>
          <w:lang w:val="es-CR"/>
        </w:rPr>
        <w:t>rtículo</w:t>
      </w:r>
      <w:proofErr w:type="spellEnd"/>
      <w:r w:rsidRPr="00064CAB">
        <w:rPr>
          <w:sz w:val="16"/>
          <w:szCs w:val="16"/>
          <w:lang w:val="es-CR"/>
        </w:rPr>
        <w:t xml:space="preserve"> </w:t>
      </w:r>
      <w:r>
        <w:rPr>
          <w:sz w:val="16"/>
          <w:szCs w:val="16"/>
          <w:lang w:val="es-CR"/>
        </w:rPr>
        <w:t>cuarto</w:t>
      </w:r>
      <w:r w:rsidRPr="00064CAB">
        <w:rPr>
          <w:sz w:val="16"/>
          <w:szCs w:val="16"/>
          <w:lang w:val="es-CR"/>
        </w:rPr>
        <w:t xml:space="preserve"> del Decreto Ley [No. 25475], [por lo que] le es aplicable el beneficio de </w:t>
      </w:r>
      <w:r>
        <w:rPr>
          <w:sz w:val="16"/>
          <w:szCs w:val="16"/>
          <w:lang w:val="es-CR"/>
        </w:rPr>
        <w:t>[</w:t>
      </w:r>
      <w:r w:rsidRPr="00064CAB">
        <w:rPr>
          <w:sz w:val="16"/>
          <w:szCs w:val="16"/>
          <w:lang w:val="es-CR"/>
        </w:rPr>
        <w:t>e</w:t>
      </w:r>
      <w:r>
        <w:rPr>
          <w:sz w:val="16"/>
          <w:szCs w:val="16"/>
          <w:lang w:val="es-CR"/>
        </w:rPr>
        <w:t>]</w:t>
      </w:r>
      <w:proofErr w:type="spellStart"/>
      <w:r w:rsidRPr="00064CAB">
        <w:rPr>
          <w:sz w:val="16"/>
          <w:szCs w:val="16"/>
          <w:lang w:val="es-CR"/>
        </w:rPr>
        <w:t>xención</w:t>
      </w:r>
      <w:proofErr w:type="spellEnd"/>
      <w:r w:rsidRPr="00064CAB">
        <w:rPr>
          <w:sz w:val="16"/>
          <w:szCs w:val="16"/>
          <w:lang w:val="es-CR"/>
        </w:rPr>
        <w:t xml:space="preserve"> de la pena contemplado en el </w:t>
      </w:r>
      <w:r>
        <w:rPr>
          <w:sz w:val="16"/>
          <w:szCs w:val="16"/>
          <w:lang w:val="es-CR"/>
        </w:rPr>
        <w:t>[</w:t>
      </w:r>
      <w:r w:rsidRPr="00064CAB">
        <w:rPr>
          <w:sz w:val="16"/>
          <w:szCs w:val="16"/>
          <w:lang w:val="es-CR"/>
        </w:rPr>
        <w:t>a</w:t>
      </w:r>
      <w:r>
        <w:rPr>
          <w:sz w:val="16"/>
          <w:szCs w:val="16"/>
          <w:lang w:val="es-CR"/>
        </w:rPr>
        <w:t>]</w:t>
      </w:r>
      <w:proofErr w:type="spellStart"/>
      <w:r w:rsidRPr="00064CAB">
        <w:rPr>
          <w:sz w:val="16"/>
          <w:szCs w:val="16"/>
          <w:lang w:val="es-CR"/>
        </w:rPr>
        <w:t>rtículo</w:t>
      </w:r>
      <w:proofErr w:type="spellEnd"/>
      <w:r w:rsidRPr="00064CAB">
        <w:rPr>
          <w:sz w:val="16"/>
          <w:szCs w:val="16"/>
          <w:lang w:val="es-CR"/>
        </w:rPr>
        <w:t xml:space="preserve"> primero numeral </w:t>
      </w:r>
      <w:r>
        <w:rPr>
          <w:sz w:val="16"/>
          <w:szCs w:val="16"/>
          <w:lang w:val="es-CR"/>
        </w:rPr>
        <w:t>II</w:t>
      </w:r>
      <w:r w:rsidRPr="00064CAB">
        <w:rPr>
          <w:sz w:val="16"/>
          <w:szCs w:val="16"/>
          <w:lang w:val="es-CR"/>
        </w:rPr>
        <w:t xml:space="preserve"> </w:t>
      </w:r>
      <w:r>
        <w:rPr>
          <w:sz w:val="16"/>
          <w:szCs w:val="16"/>
          <w:lang w:val="es-CR"/>
        </w:rPr>
        <w:t>[</w:t>
      </w:r>
      <w:r w:rsidRPr="00064CAB">
        <w:rPr>
          <w:sz w:val="16"/>
          <w:szCs w:val="16"/>
          <w:lang w:val="es-CR"/>
        </w:rPr>
        <w:t>i</w:t>
      </w:r>
      <w:r>
        <w:rPr>
          <w:sz w:val="16"/>
          <w:szCs w:val="16"/>
          <w:lang w:val="es-CR"/>
        </w:rPr>
        <w:t>]</w:t>
      </w:r>
      <w:proofErr w:type="spellStart"/>
      <w:r w:rsidRPr="00064CAB">
        <w:rPr>
          <w:sz w:val="16"/>
          <w:szCs w:val="16"/>
          <w:lang w:val="es-CR"/>
        </w:rPr>
        <w:t>nc</w:t>
      </w:r>
      <w:proofErr w:type="spellEnd"/>
      <w:r>
        <w:rPr>
          <w:sz w:val="16"/>
          <w:szCs w:val="16"/>
          <w:lang w:val="es-CR"/>
        </w:rPr>
        <w:t>[</w:t>
      </w:r>
      <w:proofErr w:type="spellStart"/>
      <w:r w:rsidRPr="00064CAB">
        <w:rPr>
          <w:sz w:val="16"/>
          <w:szCs w:val="16"/>
          <w:lang w:val="es-CR"/>
        </w:rPr>
        <w:t>iso</w:t>
      </w:r>
      <w:proofErr w:type="spellEnd"/>
      <w:r>
        <w:rPr>
          <w:sz w:val="16"/>
          <w:szCs w:val="16"/>
          <w:lang w:val="es-CR"/>
        </w:rPr>
        <w:t>]</w:t>
      </w:r>
      <w:r w:rsidRPr="00064CAB">
        <w:rPr>
          <w:sz w:val="16"/>
          <w:szCs w:val="16"/>
          <w:lang w:val="es-CR"/>
        </w:rPr>
        <w:t xml:space="preserve"> a) del Decreto Ley [No. 25499] y </w:t>
      </w:r>
      <w:r>
        <w:rPr>
          <w:sz w:val="16"/>
          <w:szCs w:val="16"/>
          <w:lang w:val="es-CR"/>
        </w:rPr>
        <w:t>[</w:t>
      </w:r>
      <w:r w:rsidRPr="00064CAB">
        <w:rPr>
          <w:sz w:val="16"/>
          <w:szCs w:val="16"/>
          <w:lang w:val="es-CR"/>
        </w:rPr>
        <w:t>a</w:t>
      </w:r>
      <w:r>
        <w:rPr>
          <w:sz w:val="16"/>
          <w:szCs w:val="16"/>
          <w:lang w:val="es-CR"/>
        </w:rPr>
        <w:t>]</w:t>
      </w:r>
      <w:proofErr w:type="spellStart"/>
      <w:r w:rsidRPr="00064CAB">
        <w:rPr>
          <w:sz w:val="16"/>
          <w:szCs w:val="16"/>
          <w:lang w:val="es-CR"/>
        </w:rPr>
        <w:t>rtículo</w:t>
      </w:r>
      <w:proofErr w:type="spellEnd"/>
      <w:r w:rsidRPr="00064CAB">
        <w:rPr>
          <w:sz w:val="16"/>
          <w:szCs w:val="16"/>
          <w:lang w:val="es-CR"/>
        </w:rPr>
        <w:t xml:space="preserve"> seis del Decreto Supremo [No. 015-93</w:t>
      </w:r>
      <w:r>
        <w:rPr>
          <w:sz w:val="16"/>
          <w:szCs w:val="16"/>
          <w:lang w:val="es-CR"/>
        </w:rPr>
        <w:t>-</w:t>
      </w:r>
      <w:r w:rsidRPr="00064CAB">
        <w:rPr>
          <w:sz w:val="16"/>
          <w:szCs w:val="16"/>
          <w:lang w:val="es-CR"/>
        </w:rPr>
        <w:t xml:space="preserve"> JUS]</w:t>
      </w:r>
      <w:r w:rsidRPr="005158AC">
        <w:rPr>
          <w:rStyle w:val="FootnoteReference"/>
          <w:sz w:val="16"/>
          <w:szCs w:val="16"/>
          <w:lang w:val="es-CR"/>
        </w:rPr>
        <w:footnoteReference w:id="116"/>
      </w:r>
      <w:r w:rsidRPr="00064CAB">
        <w:rPr>
          <w:sz w:val="16"/>
          <w:szCs w:val="16"/>
          <w:lang w:val="es-CR"/>
        </w:rPr>
        <w:t xml:space="preserve">. </w:t>
      </w:r>
    </w:p>
    <w:p w:rsidR="006B0B0A" w:rsidRPr="00486E4D" w:rsidRDefault="006B0B0A" w:rsidP="006B0B0A">
      <w:pPr>
        <w:pStyle w:val="ListParagraph"/>
        <w:rPr>
          <w:sz w:val="20"/>
          <w:szCs w:val="20"/>
          <w:lang w:val="es-CR"/>
        </w:rPr>
      </w:pPr>
    </w:p>
    <w:p w:rsidR="006B0B0A" w:rsidRPr="00486E4D" w:rsidRDefault="006B0B0A" w:rsidP="006B0B0A">
      <w:pPr>
        <w:pStyle w:val="Estilo1"/>
        <w:numPr>
          <w:ilvl w:val="0"/>
          <w:numId w:val="1"/>
        </w:numPr>
        <w:tabs>
          <w:tab w:val="num" w:pos="18282"/>
        </w:tabs>
        <w:spacing w:after="0"/>
        <w:rPr>
          <w:lang w:val="es-CR"/>
        </w:rPr>
      </w:pPr>
      <w:r w:rsidRPr="00486E4D">
        <w:rPr>
          <w:lang w:val="es-CR"/>
        </w:rPr>
        <w:t xml:space="preserve">El mismo día </w:t>
      </w:r>
      <w:r w:rsidR="006750DA">
        <w:rPr>
          <w:lang w:val="es-CR"/>
        </w:rPr>
        <w:t>dicho</w:t>
      </w:r>
      <w:r w:rsidRPr="00486E4D">
        <w:rPr>
          <w:lang w:val="es-CR"/>
        </w:rPr>
        <w:t xml:space="preserve"> Fiscal Provincial</w:t>
      </w:r>
      <w:r>
        <w:rPr>
          <w:lang w:val="es-CR"/>
        </w:rPr>
        <w:t xml:space="preserve"> emitió un oficio</w:t>
      </w:r>
      <w:r w:rsidRPr="00486E4D">
        <w:rPr>
          <w:lang w:val="es-CR"/>
        </w:rPr>
        <w:t xml:space="preserve"> remiti</w:t>
      </w:r>
      <w:r>
        <w:rPr>
          <w:lang w:val="es-CR"/>
        </w:rPr>
        <w:t>endo</w:t>
      </w:r>
      <w:r w:rsidRPr="00486E4D">
        <w:rPr>
          <w:lang w:val="es-CR"/>
        </w:rPr>
        <w:t xml:space="preserve"> al Fiscal Superior Decano del Distrito Judicial de Huánuco</w:t>
      </w:r>
      <w:r>
        <w:rPr>
          <w:lang w:val="es-CR"/>
        </w:rPr>
        <w:t xml:space="preserve"> -</w:t>
      </w:r>
      <w:r w:rsidRPr="00486E4D">
        <w:rPr>
          <w:lang w:val="es-CR"/>
        </w:rPr>
        <w:t xml:space="preserve"> Pasco las actuaciones, señalando que había </w:t>
      </w:r>
      <w:r>
        <w:rPr>
          <w:lang w:val="es-CR"/>
        </w:rPr>
        <w:t>“</w:t>
      </w:r>
      <w:proofErr w:type="gramStart"/>
      <w:r w:rsidRPr="00486E4D">
        <w:rPr>
          <w:lang w:val="es-CR"/>
        </w:rPr>
        <w:t>declara</w:t>
      </w:r>
      <w:r>
        <w:rPr>
          <w:lang w:val="es-CR"/>
        </w:rPr>
        <w:t>[</w:t>
      </w:r>
      <w:proofErr w:type="gramEnd"/>
      <w:r w:rsidRPr="00486E4D">
        <w:rPr>
          <w:lang w:val="es-CR"/>
        </w:rPr>
        <w:t>do</w:t>
      </w:r>
      <w:r>
        <w:rPr>
          <w:lang w:val="es-CR"/>
        </w:rPr>
        <w:t>]</w:t>
      </w:r>
      <w:r w:rsidRPr="00486E4D">
        <w:rPr>
          <w:lang w:val="es-CR"/>
        </w:rPr>
        <w:t xml:space="preserve"> procedente</w:t>
      </w:r>
      <w:r>
        <w:rPr>
          <w:lang w:val="es-CR"/>
        </w:rPr>
        <w:t>”</w:t>
      </w:r>
      <w:r w:rsidRPr="00486E4D">
        <w:rPr>
          <w:lang w:val="es-CR"/>
        </w:rPr>
        <w:t xml:space="preserve"> la </w:t>
      </w:r>
      <w:r>
        <w:rPr>
          <w:lang w:val="es-CR"/>
        </w:rPr>
        <w:t>“solicitud [del señor Galindo de] acogerse a los beneficios de la Ley de Arrepentimiento”</w:t>
      </w:r>
      <w:r w:rsidRPr="00486E4D">
        <w:rPr>
          <w:rStyle w:val="FootnoteReference"/>
          <w:lang w:val="es-CR"/>
        </w:rPr>
        <w:footnoteReference w:id="117"/>
      </w:r>
      <w:r w:rsidRPr="00486E4D">
        <w:rPr>
          <w:lang w:val="es-CR"/>
        </w:rPr>
        <w:t>.</w:t>
      </w:r>
      <w:r w:rsidRPr="00064CAB">
        <w:rPr>
          <w:lang w:val="es-CR"/>
        </w:rPr>
        <w:t xml:space="preserve"> </w:t>
      </w:r>
      <w:r w:rsidRPr="00486E4D">
        <w:rPr>
          <w:lang w:val="es-CR"/>
        </w:rPr>
        <w:t>Éste, a su vez, el día 8 de</w:t>
      </w:r>
      <w:r>
        <w:rPr>
          <w:lang w:val="es-CR"/>
        </w:rPr>
        <w:t xml:space="preserve"> </w:t>
      </w:r>
      <w:r w:rsidRPr="00486E4D">
        <w:rPr>
          <w:lang w:val="es-CR"/>
        </w:rPr>
        <w:t>l</w:t>
      </w:r>
      <w:r>
        <w:rPr>
          <w:lang w:val="es-CR"/>
        </w:rPr>
        <w:t>os</w:t>
      </w:r>
      <w:r w:rsidRPr="00486E4D">
        <w:rPr>
          <w:lang w:val="es-CR"/>
        </w:rPr>
        <w:t xml:space="preserve"> mismo</w:t>
      </w:r>
      <w:r>
        <w:rPr>
          <w:lang w:val="es-CR"/>
        </w:rPr>
        <w:t>s</w:t>
      </w:r>
      <w:r w:rsidRPr="00486E4D">
        <w:rPr>
          <w:lang w:val="es-CR"/>
        </w:rPr>
        <w:t xml:space="preserve"> mes</w:t>
      </w:r>
      <w:r>
        <w:rPr>
          <w:lang w:val="es-CR"/>
        </w:rPr>
        <w:t xml:space="preserve"> y año</w:t>
      </w:r>
      <w:r w:rsidRPr="00486E4D">
        <w:rPr>
          <w:lang w:val="es-CR"/>
        </w:rPr>
        <w:t xml:space="preserve"> remitió al Fiscal Superior de la Primera Fiscalía Superior en lo Penal </w:t>
      </w:r>
      <w:r>
        <w:rPr>
          <w:lang w:val="es-CR"/>
        </w:rPr>
        <w:t>“</w:t>
      </w:r>
      <w:r w:rsidRPr="00486E4D">
        <w:rPr>
          <w:lang w:val="es-CR"/>
        </w:rPr>
        <w:t>l</w:t>
      </w:r>
      <w:r>
        <w:rPr>
          <w:lang w:val="es-CR"/>
        </w:rPr>
        <w:t>o</w:t>
      </w:r>
      <w:r w:rsidRPr="00486E4D">
        <w:rPr>
          <w:lang w:val="es-CR"/>
        </w:rPr>
        <w:t xml:space="preserve">s </w:t>
      </w:r>
      <w:r>
        <w:rPr>
          <w:lang w:val="es-CR"/>
        </w:rPr>
        <w:t xml:space="preserve">actuados”, </w:t>
      </w:r>
      <w:r w:rsidRPr="00486E4D">
        <w:rPr>
          <w:lang w:val="es-CR"/>
        </w:rPr>
        <w:t xml:space="preserve">para </w:t>
      </w:r>
      <w:r>
        <w:rPr>
          <w:lang w:val="es-CR"/>
        </w:rPr>
        <w:t>“</w:t>
      </w:r>
      <w:r w:rsidRPr="00486E4D">
        <w:rPr>
          <w:lang w:val="es-CR"/>
        </w:rPr>
        <w:t>su conocimiento</w:t>
      </w:r>
      <w:r>
        <w:rPr>
          <w:lang w:val="es-CR"/>
        </w:rPr>
        <w:t xml:space="preserve"> y fines legales”</w:t>
      </w:r>
      <w:r w:rsidRPr="00486E4D">
        <w:rPr>
          <w:rStyle w:val="FootnoteReference"/>
          <w:lang w:val="es-CR"/>
        </w:rPr>
        <w:footnoteReference w:id="118"/>
      </w:r>
      <w:r w:rsidRPr="00486E4D">
        <w:rPr>
          <w:lang w:val="es-CR"/>
        </w:rPr>
        <w:t>.</w:t>
      </w:r>
    </w:p>
    <w:p w:rsidR="006B0B0A" w:rsidRPr="00486E4D" w:rsidRDefault="006B0B0A" w:rsidP="006B0B0A">
      <w:pPr>
        <w:pStyle w:val="ListParagraph"/>
        <w:ind w:left="0"/>
        <w:jc w:val="both"/>
        <w:rPr>
          <w:sz w:val="20"/>
          <w:szCs w:val="20"/>
          <w:lang w:val="es-CR"/>
        </w:rPr>
      </w:pPr>
    </w:p>
    <w:p w:rsidR="006B0B0A" w:rsidRPr="00486E4D" w:rsidRDefault="006B0B0A" w:rsidP="006B0B0A">
      <w:pPr>
        <w:pStyle w:val="Estilo1"/>
        <w:numPr>
          <w:ilvl w:val="0"/>
          <w:numId w:val="1"/>
        </w:numPr>
        <w:tabs>
          <w:tab w:val="num" w:pos="18282"/>
        </w:tabs>
        <w:spacing w:after="0"/>
        <w:rPr>
          <w:lang w:val="es-CR"/>
        </w:rPr>
      </w:pPr>
      <w:r w:rsidRPr="00486E4D">
        <w:rPr>
          <w:lang w:val="es-CR"/>
        </w:rPr>
        <w:t>El 9 de noviembre de 1994 el Fiscal Superior resolvió “disponer el archivamiento definitivo de</w:t>
      </w:r>
      <w:r>
        <w:rPr>
          <w:lang w:val="es-CR"/>
        </w:rPr>
        <w:t>l […] caso […]</w:t>
      </w:r>
      <w:r w:rsidRPr="00486E4D">
        <w:rPr>
          <w:lang w:val="es-CR"/>
        </w:rPr>
        <w:t>, poniéndose en conocimiento de la Comisión Evaluadora”</w:t>
      </w:r>
      <w:r w:rsidRPr="00486E4D">
        <w:rPr>
          <w:rStyle w:val="FootnoteReference"/>
          <w:lang w:val="es-CR"/>
        </w:rPr>
        <w:footnoteReference w:id="119"/>
      </w:r>
      <w:r w:rsidRPr="00486E4D">
        <w:rPr>
          <w:lang w:val="es-CR"/>
        </w:rPr>
        <w:t>.</w:t>
      </w:r>
    </w:p>
    <w:p w:rsidR="006B0B0A" w:rsidRPr="00486E4D" w:rsidRDefault="006B0B0A" w:rsidP="006B0B0A">
      <w:pPr>
        <w:pStyle w:val="ListParagraph"/>
        <w:ind w:left="0"/>
        <w:jc w:val="both"/>
        <w:rPr>
          <w:sz w:val="20"/>
          <w:szCs w:val="20"/>
          <w:lang w:val="es-CR"/>
        </w:rPr>
      </w:pPr>
    </w:p>
    <w:p w:rsidR="006B0B0A" w:rsidRPr="00486E4D" w:rsidRDefault="006B0B0A" w:rsidP="006B0B0A">
      <w:pPr>
        <w:pStyle w:val="Estilo1"/>
        <w:numPr>
          <w:ilvl w:val="0"/>
          <w:numId w:val="1"/>
        </w:numPr>
        <w:tabs>
          <w:tab w:val="num" w:pos="18282"/>
        </w:tabs>
        <w:spacing w:after="0"/>
        <w:rPr>
          <w:lang w:val="es-CR"/>
        </w:rPr>
      </w:pPr>
      <w:r w:rsidRPr="00486E4D">
        <w:rPr>
          <w:lang w:val="es-CR"/>
        </w:rPr>
        <w:t xml:space="preserve">El 10 de noviembre de 1994 el Fiscal Superior </w:t>
      </w:r>
      <w:r>
        <w:rPr>
          <w:lang w:val="es-CR"/>
        </w:rPr>
        <w:t xml:space="preserve">emitió un oficio </w:t>
      </w:r>
      <w:r w:rsidRPr="00486E4D">
        <w:rPr>
          <w:lang w:val="es-CR"/>
        </w:rPr>
        <w:t>devolvi</w:t>
      </w:r>
      <w:r>
        <w:rPr>
          <w:lang w:val="es-CR"/>
        </w:rPr>
        <w:t>endo</w:t>
      </w:r>
      <w:r w:rsidRPr="00486E4D">
        <w:rPr>
          <w:lang w:val="es-CR"/>
        </w:rPr>
        <w:t xml:space="preserve"> las actuaciones al Fiscal Superior Decano</w:t>
      </w:r>
      <w:r>
        <w:rPr>
          <w:lang w:val="es-CR"/>
        </w:rPr>
        <w:t>, que fue recibido por la Secretaría de éste el día siguiente</w:t>
      </w:r>
      <w:r w:rsidRPr="00486E4D">
        <w:rPr>
          <w:rStyle w:val="FootnoteReference"/>
          <w:lang w:val="es-CR"/>
        </w:rPr>
        <w:footnoteReference w:id="120"/>
      </w:r>
      <w:r>
        <w:rPr>
          <w:lang w:val="es-CR"/>
        </w:rPr>
        <w:t>.</w:t>
      </w:r>
      <w:r w:rsidRPr="00486E4D">
        <w:rPr>
          <w:lang w:val="es-CR"/>
        </w:rPr>
        <w:t xml:space="preserve"> </w:t>
      </w:r>
      <w:r>
        <w:rPr>
          <w:lang w:val="es-CR"/>
        </w:rPr>
        <w:t>El</w:t>
      </w:r>
      <w:r w:rsidRPr="00486E4D">
        <w:rPr>
          <w:lang w:val="es-CR"/>
        </w:rPr>
        <w:t xml:space="preserve"> </w:t>
      </w:r>
      <w:r>
        <w:rPr>
          <w:lang w:val="es-CR"/>
        </w:rPr>
        <w:t xml:space="preserve">mismo </w:t>
      </w:r>
      <w:r w:rsidRPr="00486E4D">
        <w:rPr>
          <w:lang w:val="es-CR"/>
        </w:rPr>
        <w:t xml:space="preserve">día </w:t>
      </w:r>
      <w:r>
        <w:rPr>
          <w:lang w:val="es-CR"/>
        </w:rPr>
        <w:t>11 de noviembre el Fiscal Superior Decano</w:t>
      </w:r>
      <w:r w:rsidRPr="00486E4D">
        <w:rPr>
          <w:lang w:val="es-CR"/>
        </w:rPr>
        <w:t xml:space="preserve"> emitió un auto</w:t>
      </w:r>
      <w:r w:rsidRPr="00486E4D">
        <w:rPr>
          <w:rStyle w:val="FootnoteReference"/>
          <w:lang w:val="es-CR"/>
        </w:rPr>
        <w:footnoteReference w:id="121"/>
      </w:r>
      <w:r w:rsidRPr="00486E4D">
        <w:rPr>
          <w:lang w:val="es-CR"/>
        </w:rPr>
        <w:t xml:space="preserve"> por el que dispuso poner en conocimiento la </w:t>
      </w:r>
      <w:r>
        <w:rPr>
          <w:lang w:val="es-CR"/>
        </w:rPr>
        <w:t>“</w:t>
      </w:r>
      <w:r w:rsidRPr="00486E4D">
        <w:rPr>
          <w:lang w:val="es-CR"/>
        </w:rPr>
        <w:t>resolución de archivamiento</w:t>
      </w:r>
      <w:r>
        <w:rPr>
          <w:lang w:val="es-CR"/>
        </w:rPr>
        <w:t>”</w:t>
      </w:r>
      <w:r w:rsidRPr="00486E4D">
        <w:rPr>
          <w:lang w:val="es-CR"/>
        </w:rPr>
        <w:t xml:space="preserve"> al Presidente de la Comisión Evaluadora de la Ley de Arrepentimiento</w:t>
      </w:r>
      <w:r w:rsidRPr="00486E4D">
        <w:rPr>
          <w:rStyle w:val="FootnoteReference"/>
          <w:lang w:val="es-CR"/>
        </w:rPr>
        <w:footnoteReference w:id="122"/>
      </w:r>
      <w:r w:rsidRPr="00486E4D">
        <w:rPr>
          <w:lang w:val="es-CR"/>
        </w:rPr>
        <w:t>, al Jefe del Sistema de Inteligencia Nacional</w:t>
      </w:r>
      <w:r w:rsidRPr="00486E4D">
        <w:rPr>
          <w:rStyle w:val="FootnoteReference"/>
          <w:lang w:val="es-CR"/>
        </w:rPr>
        <w:footnoteReference w:id="123"/>
      </w:r>
      <w:r w:rsidRPr="00486E4D">
        <w:rPr>
          <w:lang w:val="es-CR"/>
        </w:rPr>
        <w:t xml:space="preserve"> y al Jefe de la Dirección Nacional contra el Terrorismo – DICOTE</w:t>
      </w:r>
      <w:r w:rsidRPr="00486E4D">
        <w:rPr>
          <w:rStyle w:val="FootnoteReference"/>
          <w:lang w:val="es-CR"/>
        </w:rPr>
        <w:footnoteReference w:id="124"/>
      </w:r>
      <w:r w:rsidRPr="00486E4D">
        <w:rPr>
          <w:lang w:val="es-CR"/>
        </w:rPr>
        <w:t>, así como remitir una copia de la resolución al Despacho de la Primera Fiscalía Provincial penal de Huánuco</w:t>
      </w:r>
      <w:r w:rsidRPr="00486E4D">
        <w:rPr>
          <w:rStyle w:val="FootnoteReference"/>
          <w:lang w:val="es-CR"/>
        </w:rPr>
        <w:footnoteReference w:id="125"/>
      </w:r>
      <w:r w:rsidRPr="00486E4D">
        <w:rPr>
          <w:lang w:val="es-CR"/>
        </w:rPr>
        <w:t xml:space="preserve">. </w:t>
      </w:r>
    </w:p>
    <w:p w:rsidR="006B0B0A" w:rsidRPr="00486E4D" w:rsidRDefault="006B0B0A" w:rsidP="006B0B0A">
      <w:pPr>
        <w:pStyle w:val="ListParagraph"/>
        <w:rPr>
          <w:sz w:val="20"/>
          <w:szCs w:val="20"/>
          <w:lang w:val="es-CR"/>
        </w:rPr>
      </w:pPr>
    </w:p>
    <w:p w:rsidR="006B0B0A" w:rsidRPr="00486E4D" w:rsidRDefault="006B0B0A" w:rsidP="006B0B0A">
      <w:pPr>
        <w:pStyle w:val="Estilo1"/>
        <w:numPr>
          <w:ilvl w:val="0"/>
          <w:numId w:val="1"/>
        </w:numPr>
        <w:tabs>
          <w:tab w:val="num" w:pos="18282"/>
        </w:tabs>
        <w:spacing w:after="0"/>
        <w:rPr>
          <w:lang w:val="es-CR"/>
        </w:rPr>
      </w:pPr>
      <w:r>
        <w:rPr>
          <w:lang w:val="es-CR"/>
        </w:rPr>
        <w:t>De acuerdo a manifestaciones del señor Galindo, e</w:t>
      </w:r>
      <w:r w:rsidRPr="00486E4D">
        <w:rPr>
          <w:lang w:val="es-CR"/>
        </w:rPr>
        <w:t xml:space="preserve">l 16 de noviembre de 1994 </w:t>
      </w:r>
      <w:r>
        <w:rPr>
          <w:lang w:val="es-CR"/>
        </w:rPr>
        <w:t>él</w:t>
      </w:r>
      <w:r w:rsidRPr="00486E4D">
        <w:rPr>
          <w:lang w:val="es-CR"/>
        </w:rPr>
        <w:t xml:space="preserve"> fue liberado</w:t>
      </w:r>
      <w:r w:rsidRPr="00486E4D">
        <w:rPr>
          <w:rStyle w:val="FootnoteReference"/>
          <w:lang w:val="es-CR"/>
        </w:rPr>
        <w:footnoteReference w:id="126"/>
      </w:r>
      <w:r w:rsidRPr="00486E4D">
        <w:rPr>
          <w:lang w:val="es-CR"/>
        </w:rPr>
        <w:t xml:space="preserve">. Si bien este hecho no fue controvertido, el Estado señaló que no existe registro de la detención ni de la liberación. </w:t>
      </w:r>
    </w:p>
    <w:p w:rsidR="006B0B0A" w:rsidRPr="00486E4D" w:rsidRDefault="006B0B0A" w:rsidP="006B0B0A">
      <w:pPr>
        <w:pStyle w:val="ListParagraph"/>
        <w:rPr>
          <w:sz w:val="20"/>
          <w:szCs w:val="20"/>
          <w:lang w:val="es-CR"/>
        </w:rPr>
      </w:pPr>
    </w:p>
    <w:p w:rsidR="006B0B0A" w:rsidRPr="00D62C80" w:rsidRDefault="006B0B0A" w:rsidP="006B0B0A">
      <w:pPr>
        <w:pStyle w:val="Estilo1"/>
        <w:numPr>
          <w:ilvl w:val="0"/>
          <w:numId w:val="1"/>
        </w:numPr>
        <w:tabs>
          <w:tab w:val="num" w:pos="18282"/>
        </w:tabs>
        <w:spacing w:after="0"/>
        <w:rPr>
          <w:lang w:val="es-CR"/>
        </w:rPr>
      </w:pPr>
      <w:r w:rsidRPr="00486E4D">
        <w:rPr>
          <w:lang w:val="es-CR"/>
        </w:rPr>
        <w:t>El 8 de marzo de 1995 el Fiscal Superior emitió una resolución disponiendo el archivamiento definitivo del caso. Ello fue comunicado al Presidente de la Comisión Evaluadora de la Ley de Arrepentimiento por medio de un oficio de 10 de marzo de 1995</w:t>
      </w:r>
      <w:r w:rsidRPr="00486E4D">
        <w:rPr>
          <w:rStyle w:val="FootnoteReference"/>
          <w:lang w:val="es-CR"/>
        </w:rPr>
        <w:footnoteReference w:id="127"/>
      </w:r>
      <w:r w:rsidRPr="00486E4D">
        <w:rPr>
          <w:lang w:val="es-CR"/>
        </w:rPr>
        <w:t xml:space="preserve"> y, </w:t>
      </w:r>
      <w:r>
        <w:rPr>
          <w:lang w:val="es-CR"/>
        </w:rPr>
        <w:t xml:space="preserve">por un oficio de </w:t>
      </w:r>
      <w:r w:rsidRPr="00486E4D">
        <w:rPr>
          <w:lang w:val="es-CR"/>
        </w:rPr>
        <w:t>la misma fecha, al Jefe de la Dirección Nacional contra el Terrorismo</w:t>
      </w:r>
      <w:r w:rsidRPr="00486E4D">
        <w:rPr>
          <w:rStyle w:val="FootnoteReference"/>
          <w:lang w:val="es-CR"/>
        </w:rPr>
        <w:footnoteReference w:id="128"/>
      </w:r>
      <w:r w:rsidRPr="00486E4D">
        <w:rPr>
          <w:lang w:val="es-CR"/>
        </w:rPr>
        <w:t xml:space="preserve">. </w:t>
      </w:r>
      <w:bookmarkStart w:id="268" w:name="_Toc415507384"/>
    </w:p>
    <w:p w:rsidR="006B0B0A" w:rsidRPr="005F71A5" w:rsidRDefault="006B0B0A" w:rsidP="006B0B0A">
      <w:pPr>
        <w:pStyle w:val="ListParagraph"/>
        <w:ind w:left="0"/>
        <w:contextualSpacing/>
        <w:jc w:val="both"/>
        <w:rPr>
          <w:sz w:val="20"/>
          <w:szCs w:val="20"/>
          <w:lang w:val="es-CR"/>
        </w:rPr>
      </w:pPr>
    </w:p>
    <w:p w:rsidR="006B0B0A" w:rsidRPr="00B72D8C" w:rsidRDefault="006B0B0A" w:rsidP="006B0B0A">
      <w:pPr>
        <w:pStyle w:val="Heading3"/>
        <w:ind w:left="851"/>
        <w:rPr>
          <w:b w:val="0"/>
          <w:spacing w:val="0"/>
          <w:w w:val="100"/>
        </w:rPr>
      </w:pPr>
      <w:bookmarkStart w:id="269" w:name="_Toc418530473"/>
      <w:bookmarkStart w:id="270" w:name="_Toc420941735"/>
      <w:bookmarkStart w:id="271" w:name="_Toc424313488"/>
      <w:bookmarkStart w:id="272" w:name="_Toc430869790"/>
      <w:bookmarkStart w:id="273" w:name="_Toc438129711"/>
      <w:r w:rsidRPr="00B72D8C">
        <w:rPr>
          <w:b w:val="0"/>
          <w:spacing w:val="0"/>
          <w:w w:val="100"/>
        </w:rPr>
        <w:t>C.3</w:t>
      </w:r>
      <w:r>
        <w:rPr>
          <w:b w:val="0"/>
          <w:spacing w:val="0"/>
          <w:w w:val="100"/>
        </w:rPr>
        <w:t>.</w:t>
      </w:r>
      <w:r w:rsidRPr="00B72D8C">
        <w:rPr>
          <w:b w:val="0"/>
          <w:spacing w:val="0"/>
          <w:w w:val="100"/>
        </w:rPr>
        <w:tab/>
        <w:t>Sobre las acciones efectuadas por el señor Galindo una vez en libertad</w:t>
      </w:r>
      <w:bookmarkEnd w:id="268"/>
      <w:bookmarkEnd w:id="269"/>
      <w:bookmarkEnd w:id="270"/>
      <w:bookmarkEnd w:id="271"/>
      <w:bookmarkEnd w:id="272"/>
      <w:bookmarkEnd w:id="273"/>
    </w:p>
    <w:p w:rsidR="006B0B0A" w:rsidRPr="00486E4D" w:rsidRDefault="006B0B0A" w:rsidP="006B0B0A">
      <w:pPr>
        <w:pStyle w:val="ListParagraph"/>
        <w:rPr>
          <w:sz w:val="20"/>
          <w:szCs w:val="20"/>
          <w:lang w:val="es-CR"/>
        </w:rPr>
      </w:pPr>
    </w:p>
    <w:p w:rsidR="006B0B0A" w:rsidRPr="00486E4D" w:rsidRDefault="006B0B0A" w:rsidP="006B0B0A">
      <w:pPr>
        <w:pStyle w:val="Estilo1"/>
        <w:numPr>
          <w:ilvl w:val="0"/>
          <w:numId w:val="1"/>
        </w:numPr>
        <w:tabs>
          <w:tab w:val="num" w:pos="18282"/>
        </w:tabs>
        <w:spacing w:after="0"/>
        <w:rPr>
          <w:lang w:val="es-CR"/>
        </w:rPr>
      </w:pPr>
      <w:r w:rsidRPr="00486E4D">
        <w:rPr>
          <w:lang w:val="es-CR"/>
        </w:rPr>
        <w:t xml:space="preserve">Una vez que el señor Galindo se encontró en libertad, inició las acciones que se reseñan seguidamente. </w:t>
      </w:r>
    </w:p>
    <w:p w:rsidR="006B0B0A" w:rsidRPr="00486E4D" w:rsidRDefault="006B0B0A" w:rsidP="006B0B0A">
      <w:pPr>
        <w:pStyle w:val="ListParagraph"/>
        <w:ind w:left="0"/>
        <w:jc w:val="both"/>
        <w:rPr>
          <w:sz w:val="20"/>
          <w:szCs w:val="20"/>
          <w:lang w:val="es-CR"/>
        </w:rPr>
      </w:pPr>
    </w:p>
    <w:p w:rsidR="006B0B0A" w:rsidRPr="00486E4D" w:rsidRDefault="006B0B0A" w:rsidP="006B0B0A">
      <w:pPr>
        <w:pStyle w:val="Estilo1"/>
        <w:numPr>
          <w:ilvl w:val="0"/>
          <w:numId w:val="1"/>
        </w:numPr>
        <w:tabs>
          <w:tab w:val="num" w:pos="18282"/>
        </w:tabs>
        <w:spacing w:after="0"/>
        <w:rPr>
          <w:lang w:val="es-CR"/>
        </w:rPr>
      </w:pPr>
      <w:r w:rsidRPr="00486E4D">
        <w:rPr>
          <w:lang w:val="es-CR"/>
        </w:rPr>
        <w:t>El 21 de noviembre de 1994 el señor Galindo presentó una solicitud ante el Ministerio de Estado en la Cartera del Interior para que se proporcionara garantías personales a él y a su familia</w:t>
      </w:r>
      <w:r w:rsidRPr="00486E4D">
        <w:rPr>
          <w:rStyle w:val="FootnoteReference"/>
          <w:lang w:val="es-CR"/>
        </w:rPr>
        <w:footnoteReference w:id="129"/>
      </w:r>
      <w:r w:rsidRPr="00486E4D">
        <w:rPr>
          <w:lang w:val="es-CR"/>
        </w:rPr>
        <w:t>. El 13 de marzo de 1995 el señor Galindo reiteró la solicitud anterior</w:t>
      </w:r>
      <w:r w:rsidRPr="00486E4D">
        <w:rPr>
          <w:rStyle w:val="FootnoteReference"/>
          <w:lang w:val="es-CR"/>
        </w:rPr>
        <w:footnoteReference w:id="130"/>
      </w:r>
      <w:r w:rsidRPr="00486E4D">
        <w:rPr>
          <w:lang w:val="es-CR"/>
        </w:rPr>
        <w:t>. No consta que tales requerimientos tuvieran una respuesta favorable</w:t>
      </w:r>
      <w:r w:rsidRPr="00486E4D">
        <w:rPr>
          <w:rStyle w:val="FootnoteReference"/>
          <w:lang w:val="es-CR"/>
        </w:rPr>
        <w:footnoteReference w:id="131"/>
      </w:r>
      <w:r w:rsidRPr="00486E4D">
        <w:rPr>
          <w:lang w:val="es-CR"/>
        </w:rPr>
        <w:t xml:space="preserve">. </w:t>
      </w:r>
    </w:p>
    <w:p w:rsidR="006B0B0A" w:rsidRPr="00486E4D" w:rsidRDefault="006B0B0A" w:rsidP="006B0B0A">
      <w:pPr>
        <w:pStyle w:val="ListParagraph"/>
        <w:rPr>
          <w:sz w:val="20"/>
          <w:szCs w:val="20"/>
          <w:lang w:val="es-CR"/>
        </w:rPr>
      </w:pPr>
    </w:p>
    <w:p w:rsidR="006B0B0A" w:rsidRPr="00DF3EE2" w:rsidRDefault="006B0B0A" w:rsidP="006B0B0A">
      <w:pPr>
        <w:pStyle w:val="Estilo1"/>
        <w:numPr>
          <w:ilvl w:val="0"/>
          <w:numId w:val="1"/>
        </w:numPr>
        <w:tabs>
          <w:tab w:val="num" w:pos="18282"/>
        </w:tabs>
        <w:spacing w:after="0"/>
        <w:rPr>
          <w:lang w:val="es-CR"/>
        </w:rPr>
      </w:pPr>
      <w:r w:rsidRPr="00486E4D">
        <w:rPr>
          <w:lang w:val="es-CR"/>
        </w:rPr>
        <w:t>El 30 de noviembre de 1994 el señor Galindo solicitó a la Comisión de Derechos Humanos del Congreso Constituyente</w:t>
      </w:r>
      <w:r w:rsidR="00575887">
        <w:rPr>
          <w:lang w:val="es-CR"/>
        </w:rPr>
        <w:t xml:space="preserve"> Democrático</w:t>
      </w:r>
      <w:r w:rsidRPr="00486E4D">
        <w:rPr>
          <w:lang w:val="es-CR"/>
        </w:rPr>
        <w:t xml:space="preserve"> que </w:t>
      </w:r>
      <w:r>
        <w:rPr>
          <w:lang w:val="es-CR"/>
        </w:rPr>
        <w:t xml:space="preserve">se </w:t>
      </w:r>
      <w:r w:rsidRPr="00486E4D">
        <w:rPr>
          <w:lang w:val="es-CR"/>
        </w:rPr>
        <w:t>investigara la conducta del Jefe del Comando Político-Militar de la ciudad de Huánuco, del Jefe de</w:t>
      </w:r>
      <w:r>
        <w:rPr>
          <w:lang w:val="es-CR"/>
        </w:rPr>
        <w:t xml:space="preserve"> la</w:t>
      </w:r>
      <w:r w:rsidRPr="00486E4D">
        <w:rPr>
          <w:lang w:val="es-CR"/>
        </w:rPr>
        <w:t xml:space="preserve"> JECOTE-Huánuco, y del Fiscal Provincial de Huánuco</w:t>
      </w:r>
      <w:r w:rsidRPr="00486E4D">
        <w:rPr>
          <w:rStyle w:val="FootnoteReference"/>
          <w:lang w:val="es-CR"/>
        </w:rPr>
        <w:footnoteReference w:id="132"/>
      </w:r>
      <w:r w:rsidRPr="00486E4D">
        <w:rPr>
          <w:lang w:val="es-CR"/>
        </w:rPr>
        <w:t>.</w:t>
      </w:r>
      <w:r>
        <w:rPr>
          <w:lang w:val="es-CR"/>
        </w:rPr>
        <w:t xml:space="preserve"> </w:t>
      </w:r>
      <w:r w:rsidRPr="00486E4D">
        <w:rPr>
          <w:lang w:val="es-CR"/>
        </w:rPr>
        <w:t xml:space="preserve">Ese requerimiento fue reiterado el </w:t>
      </w:r>
      <w:r>
        <w:rPr>
          <w:lang w:val="es-CR"/>
        </w:rPr>
        <w:t>23</w:t>
      </w:r>
      <w:r w:rsidRPr="00486E4D">
        <w:rPr>
          <w:lang w:val="es-CR"/>
        </w:rPr>
        <w:t xml:space="preserve"> de enero de 1995</w:t>
      </w:r>
      <w:r w:rsidRPr="00DF3EE2">
        <w:rPr>
          <w:rStyle w:val="FootnoteReference"/>
          <w:lang w:val="es-CR"/>
        </w:rPr>
        <w:footnoteReference w:id="133"/>
      </w:r>
      <w:r w:rsidRPr="00DF3EE2">
        <w:rPr>
          <w:lang w:val="es-CR"/>
        </w:rPr>
        <w:t>.</w:t>
      </w:r>
    </w:p>
    <w:p w:rsidR="006B0B0A" w:rsidRPr="00486E4D" w:rsidRDefault="006B0B0A" w:rsidP="006B0B0A">
      <w:pPr>
        <w:pStyle w:val="ListParagraph"/>
        <w:rPr>
          <w:sz w:val="20"/>
          <w:szCs w:val="20"/>
          <w:lang w:val="es-CR"/>
        </w:rPr>
      </w:pPr>
    </w:p>
    <w:p w:rsidR="006B0B0A" w:rsidRDefault="006B0B0A" w:rsidP="006B0B0A">
      <w:pPr>
        <w:pStyle w:val="Estilo1"/>
        <w:numPr>
          <w:ilvl w:val="0"/>
          <w:numId w:val="1"/>
        </w:numPr>
        <w:tabs>
          <w:tab w:val="num" w:pos="18282"/>
        </w:tabs>
        <w:spacing w:after="0"/>
        <w:rPr>
          <w:lang w:val="es-CR"/>
        </w:rPr>
      </w:pPr>
      <w:r w:rsidRPr="00486E4D">
        <w:rPr>
          <w:lang w:val="es-CR"/>
        </w:rPr>
        <w:t xml:space="preserve">El 13 de diciembre de 1994 el señor Galindo solicitó al Fiscal Provincial </w:t>
      </w:r>
      <w:r>
        <w:rPr>
          <w:lang w:val="es-CR"/>
        </w:rPr>
        <w:t>de la Primera Fiscalía Penal de Huánuco</w:t>
      </w:r>
      <w:r w:rsidRPr="00486E4D">
        <w:rPr>
          <w:lang w:val="es-CR"/>
        </w:rPr>
        <w:t xml:space="preserve"> </w:t>
      </w:r>
      <w:r>
        <w:rPr>
          <w:lang w:val="es-CR"/>
        </w:rPr>
        <w:t>“</w:t>
      </w:r>
      <w:r w:rsidRPr="00486E4D">
        <w:rPr>
          <w:lang w:val="es-CR"/>
        </w:rPr>
        <w:t>copias certificadas</w:t>
      </w:r>
      <w:r>
        <w:rPr>
          <w:lang w:val="es-CR"/>
        </w:rPr>
        <w:t>”</w:t>
      </w:r>
      <w:r w:rsidRPr="00486E4D">
        <w:rPr>
          <w:lang w:val="es-CR"/>
        </w:rPr>
        <w:t xml:space="preserve"> de la </w:t>
      </w:r>
      <w:r>
        <w:rPr>
          <w:lang w:val="es-CR"/>
        </w:rPr>
        <w:t>“</w:t>
      </w:r>
      <w:r w:rsidRPr="00486E4D">
        <w:rPr>
          <w:lang w:val="es-CR"/>
        </w:rPr>
        <w:t>investigación pol</w:t>
      </w:r>
      <w:r>
        <w:rPr>
          <w:lang w:val="es-CR"/>
        </w:rPr>
        <w:t>icial</w:t>
      </w:r>
      <w:r w:rsidRPr="00486E4D">
        <w:rPr>
          <w:lang w:val="es-CR"/>
        </w:rPr>
        <w:t>-militar</w:t>
      </w:r>
      <w:r>
        <w:rPr>
          <w:lang w:val="es-CR"/>
        </w:rPr>
        <w:t xml:space="preserve"> con intervención del Ministerio Público”</w:t>
      </w:r>
      <w:r w:rsidRPr="00486E4D">
        <w:rPr>
          <w:lang w:val="es-CR"/>
        </w:rPr>
        <w:t xml:space="preserve"> a la que había sido sometido</w:t>
      </w:r>
      <w:r>
        <w:rPr>
          <w:lang w:val="es-CR"/>
        </w:rPr>
        <w:t xml:space="preserve">. Al hacerlo indicó, entre otras circunstancias, que “[s]e [le] recluyó en una base militar, donde </w:t>
      </w:r>
      <w:proofErr w:type="spellStart"/>
      <w:proofErr w:type="gramStart"/>
      <w:r>
        <w:rPr>
          <w:lang w:val="es-CR"/>
        </w:rPr>
        <w:t>sufr</w:t>
      </w:r>
      <w:proofErr w:type="spellEnd"/>
      <w:r>
        <w:rPr>
          <w:lang w:val="es-CR"/>
        </w:rPr>
        <w:t>[</w:t>
      </w:r>
      <w:proofErr w:type="spellStart"/>
      <w:proofErr w:type="gramEnd"/>
      <w:r>
        <w:rPr>
          <w:lang w:val="es-CR"/>
        </w:rPr>
        <w:t>ió</w:t>
      </w:r>
      <w:proofErr w:type="spellEnd"/>
      <w:r>
        <w:rPr>
          <w:lang w:val="es-CR"/>
        </w:rPr>
        <w:t>] tortura psicológica e incomunicación inicialmente”</w:t>
      </w:r>
      <w:r w:rsidRPr="00486E4D">
        <w:rPr>
          <w:rStyle w:val="FootnoteReference"/>
          <w:lang w:val="es-CR"/>
        </w:rPr>
        <w:footnoteReference w:id="134"/>
      </w:r>
      <w:r w:rsidRPr="00486E4D">
        <w:rPr>
          <w:lang w:val="es-CR"/>
        </w:rPr>
        <w:t xml:space="preserve">. </w:t>
      </w:r>
      <w:r w:rsidRPr="00A8052F">
        <w:rPr>
          <w:iCs/>
          <w:lang w:val="es-CR"/>
        </w:rPr>
        <w:t>El 22 de diciembre de 1994, en un documento presentado al Órgano de Control Interno del P</w:t>
      </w:r>
      <w:r>
        <w:rPr>
          <w:iCs/>
          <w:lang w:val="es-CR"/>
        </w:rPr>
        <w:t>oder Judicial, el señor Galindo consignó</w:t>
      </w:r>
      <w:r w:rsidRPr="00A8052F">
        <w:rPr>
          <w:iCs/>
          <w:lang w:val="es-CR"/>
        </w:rPr>
        <w:t xml:space="preserve"> que sufrió “permanente maltrato psicológico”, indicó que “durante las noches en la ventana de [su] habitación se hacía</w:t>
      </w:r>
      <w:r>
        <w:rPr>
          <w:iCs/>
          <w:lang w:val="es-CR"/>
        </w:rPr>
        <w:t>n</w:t>
      </w:r>
      <w:r w:rsidRPr="00A8052F">
        <w:rPr>
          <w:iCs/>
          <w:lang w:val="es-CR"/>
        </w:rPr>
        <w:t xml:space="preserve"> disparos de fusil, así como que en horas de la madrugada</w:t>
      </w:r>
      <w:r>
        <w:rPr>
          <w:iCs/>
          <w:lang w:val="es-CR"/>
        </w:rPr>
        <w:t>,</w:t>
      </w:r>
      <w:r w:rsidRPr="00A8052F">
        <w:rPr>
          <w:iCs/>
          <w:lang w:val="es-CR"/>
        </w:rPr>
        <w:t xml:space="preserve"> interrumpían [su] sueño y tranquilidad con gritos destemplados de personas que eran castigadas”</w:t>
      </w:r>
      <w:r>
        <w:rPr>
          <w:rStyle w:val="FootnoteReference"/>
          <w:iCs/>
          <w:lang w:val="es-CR"/>
        </w:rPr>
        <w:footnoteReference w:id="135"/>
      </w:r>
      <w:r w:rsidRPr="00A8052F">
        <w:rPr>
          <w:iCs/>
          <w:lang w:val="es-CR"/>
        </w:rPr>
        <w:t>.</w:t>
      </w:r>
      <w:r>
        <w:rPr>
          <w:b/>
          <w:iCs/>
          <w:lang w:val="es-CR"/>
        </w:rPr>
        <w:t xml:space="preserve"> </w:t>
      </w:r>
    </w:p>
    <w:p w:rsidR="006B0B0A" w:rsidRPr="0023081B" w:rsidRDefault="006B0B0A" w:rsidP="006B0B0A">
      <w:pPr>
        <w:rPr>
          <w:szCs w:val="20"/>
          <w:lang w:val="es-CR"/>
        </w:rPr>
      </w:pPr>
    </w:p>
    <w:p w:rsidR="006B0B0A" w:rsidRPr="00486E4D" w:rsidRDefault="006B0B0A" w:rsidP="006B0B0A">
      <w:pPr>
        <w:pStyle w:val="Estilo1"/>
        <w:numPr>
          <w:ilvl w:val="0"/>
          <w:numId w:val="1"/>
        </w:numPr>
        <w:tabs>
          <w:tab w:val="num" w:pos="18282"/>
        </w:tabs>
        <w:spacing w:after="0"/>
        <w:rPr>
          <w:lang w:val="es-CR"/>
        </w:rPr>
      </w:pPr>
      <w:r w:rsidRPr="00486E4D">
        <w:rPr>
          <w:lang w:val="es-CR"/>
        </w:rPr>
        <w:t xml:space="preserve">El 16 de enero de 1995 el señor Galindo presentó un escrito en la Fiscalía General de la Nación, dirigido a la Presidenta de la Junta de Fiscales Supremos del Ministerio Público, donde se reiteró </w:t>
      </w:r>
      <w:r>
        <w:rPr>
          <w:lang w:val="es-CR"/>
        </w:rPr>
        <w:t xml:space="preserve">lo señalado </w:t>
      </w:r>
      <w:r w:rsidRPr="00486E4D">
        <w:rPr>
          <w:lang w:val="es-CR"/>
        </w:rPr>
        <w:t>en el escrito de 13 de diciembre de 1994</w:t>
      </w:r>
      <w:r>
        <w:rPr>
          <w:lang w:val="es-CR"/>
        </w:rPr>
        <w:t xml:space="preserve"> en cuanto a la “tortura psicológica” e “</w:t>
      </w:r>
      <w:proofErr w:type="spellStart"/>
      <w:r>
        <w:rPr>
          <w:lang w:val="es-CR"/>
        </w:rPr>
        <w:t>incomunic</w:t>
      </w:r>
      <w:proofErr w:type="spellEnd"/>
      <w:r>
        <w:rPr>
          <w:lang w:val="es-CR"/>
        </w:rPr>
        <w:t>[</w:t>
      </w:r>
      <w:proofErr w:type="spellStart"/>
      <w:r>
        <w:rPr>
          <w:lang w:val="es-CR"/>
        </w:rPr>
        <w:t>ación</w:t>
      </w:r>
      <w:proofErr w:type="spellEnd"/>
      <w:r>
        <w:rPr>
          <w:lang w:val="es-CR"/>
        </w:rPr>
        <w:t>] inicial”</w:t>
      </w:r>
      <w:r w:rsidRPr="00486E4D">
        <w:rPr>
          <w:rStyle w:val="FootnoteReference"/>
          <w:lang w:val="es-CR"/>
        </w:rPr>
        <w:footnoteReference w:id="136"/>
      </w:r>
      <w:r w:rsidRPr="00486E4D">
        <w:rPr>
          <w:lang w:val="es-CR"/>
        </w:rPr>
        <w:t xml:space="preserve">. </w:t>
      </w:r>
      <w:r>
        <w:rPr>
          <w:lang w:val="es-CR"/>
        </w:rPr>
        <w:t>En el escrito de 16 de enero de 1995 el señor Galindo “</w:t>
      </w:r>
      <w:proofErr w:type="spellStart"/>
      <w:r>
        <w:rPr>
          <w:lang w:val="es-CR"/>
        </w:rPr>
        <w:t>solicit</w:t>
      </w:r>
      <w:proofErr w:type="spellEnd"/>
      <w:r>
        <w:rPr>
          <w:lang w:val="es-CR"/>
        </w:rPr>
        <w:t>[</w:t>
      </w:r>
      <w:proofErr w:type="spellStart"/>
      <w:r>
        <w:rPr>
          <w:lang w:val="es-CR"/>
        </w:rPr>
        <w:t>ó</w:t>
      </w:r>
      <w:proofErr w:type="spellEnd"/>
      <w:r>
        <w:rPr>
          <w:lang w:val="es-CR"/>
        </w:rPr>
        <w:t>] una exhaustiva y diligente investigación y posterior pronunciamiento, sobre los hechos, así como la inconducta funcional” de “funcionarios del Ministerio Público de Huánuco” a los que aludió.</w:t>
      </w:r>
    </w:p>
    <w:p w:rsidR="006B0B0A" w:rsidRPr="00486E4D" w:rsidRDefault="006B0B0A" w:rsidP="006B0B0A">
      <w:pPr>
        <w:pStyle w:val="ListParagraph"/>
        <w:rPr>
          <w:sz w:val="20"/>
          <w:szCs w:val="20"/>
          <w:lang w:val="es-CR"/>
        </w:rPr>
      </w:pPr>
    </w:p>
    <w:p w:rsidR="006B0B0A" w:rsidRPr="00486E4D" w:rsidRDefault="006B0B0A" w:rsidP="006B0B0A">
      <w:pPr>
        <w:pStyle w:val="Estilo1"/>
        <w:numPr>
          <w:ilvl w:val="0"/>
          <w:numId w:val="1"/>
        </w:numPr>
        <w:tabs>
          <w:tab w:val="num" w:pos="18282"/>
        </w:tabs>
        <w:spacing w:after="0"/>
        <w:rPr>
          <w:lang w:val="es-CR"/>
        </w:rPr>
      </w:pPr>
      <w:r w:rsidRPr="00486E4D">
        <w:rPr>
          <w:lang w:val="es-CR"/>
        </w:rPr>
        <w:t>De las pruebas aportadas a la Corte, no se evidencia que el Estado haya dado respuesta a los requerimientos anteriormente detallados.</w:t>
      </w:r>
    </w:p>
    <w:p w:rsidR="006B0B0A" w:rsidRPr="00486E4D" w:rsidRDefault="006B0B0A" w:rsidP="006B0B0A">
      <w:pPr>
        <w:rPr>
          <w:i/>
          <w:szCs w:val="20"/>
          <w:lang w:val="es-CR"/>
        </w:rPr>
      </w:pPr>
    </w:p>
    <w:p w:rsidR="006B0B0A" w:rsidRPr="00486E4D" w:rsidRDefault="006B0B0A" w:rsidP="006B0B0A">
      <w:pPr>
        <w:pStyle w:val="Estilo1"/>
        <w:numPr>
          <w:ilvl w:val="0"/>
          <w:numId w:val="1"/>
        </w:numPr>
        <w:tabs>
          <w:tab w:val="num" w:pos="18282"/>
        </w:tabs>
        <w:spacing w:after="0"/>
        <w:rPr>
          <w:lang w:val="es-CR"/>
        </w:rPr>
      </w:pPr>
      <w:r w:rsidRPr="00486E4D">
        <w:rPr>
          <w:lang w:val="es-CR"/>
        </w:rPr>
        <w:t xml:space="preserve">El </w:t>
      </w:r>
      <w:r>
        <w:rPr>
          <w:lang w:val="es-CR"/>
        </w:rPr>
        <w:t>17 de enero de 1995 el Consejo E</w:t>
      </w:r>
      <w:r w:rsidRPr="00486E4D">
        <w:rPr>
          <w:lang w:val="es-CR"/>
        </w:rPr>
        <w:t>jecutivo del Poder Judicial resolvió, a partir de una presentación hecha por el señor Galindo, dirigirse al “Comandante General del Ejército […] exigiendo una exhaustiva investigación y sanción de los responsables”, como así también “[c]</w:t>
      </w:r>
      <w:proofErr w:type="spellStart"/>
      <w:r w:rsidRPr="00486E4D">
        <w:rPr>
          <w:lang w:val="es-CR"/>
        </w:rPr>
        <w:t>ursar</w:t>
      </w:r>
      <w:proofErr w:type="spellEnd"/>
      <w:r w:rsidRPr="00486E4D">
        <w:rPr>
          <w:lang w:val="es-CR"/>
        </w:rPr>
        <w:t xml:space="preserve">  [o]</w:t>
      </w:r>
      <w:proofErr w:type="spellStart"/>
      <w:r w:rsidRPr="00486E4D">
        <w:rPr>
          <w:lang w:val="es-CR"/>
        </w:rPr>
        <w:t>ficio</w:t>
      </w:r>
      <w:proofErr w:type="spellEnd"/>
      <w:r w:rsidRPr="00486E4D">
        <w:rPr>
          <w:lang w:val="es-CR"/>
        </w:rPr>
        <w:t xml:space="preserve">[s] a la […] Fiscal de la Nación” y a “las Autoridades del Ministerio del </w:t>
      </w:r>
      <w:r>
        <w:rPr>
          <w:lang w:val="es-CR"/>
        </w:rPr>
        <w:t xml:space="preserve">Interior”, en ambos casos </w:t>
      </w:r>
      <w:r w:rsidRPr="00486E4D">
        <w:rPr>
          <w:lang w:val="es-CR"/>
        </w:rPr>
        <w:t xml:space="preserve">a efecto de que </w:t>
      </w:r>
      <w:r>
        <w:rPr>
          <w:lang w:val="es-CR"/>
        </w:rPr>
        <w:t>“</w:t>
      </w:r>
      <w:r w:rsidRPr="00486E4D">
        <w:rPr>
          <w:lang w:val="es-CR"/>
        </w:rPr>
        <w:t xml:space="preserve">previa[s] </w:t>
      </w:r>
      <w:proofErr w:type="spellStart"/>
      <w:r w:rsidRPr="00486E4D">
        <w:rPr>
          <w:lang w:val="es-CR"/>
        </w:rPr>
        <w:t>investigaci</w:t>
      </w:r>
      <w:proofErr w:type="spellEnd"/>
      <w:r w:rsidRPr="00486E4D">
        <w:rPr>
          <w:lang w:val="es-CR"/>
        </w:rPr>
        <w:t>[o]n[es]</w:t>
      </w:r>
      <w:r>
        <w:rPr>
          <w:lang w:val="es-CR"/>
        </w:rPr>
        <w:t>”</w:t>
      </w:r>
      <w:r w:rsidRPr="00486E4D">
        <w:rPr>
          <w:lang w:val="es-CR"/>
        </w:rPr>
        <w:t xml:space="preserve">, </w:t>
      </w:r>
      <w:r>
        <w:rPr>
          <w:lang w:val="es-CR"/>
        </w:rPr>
        <w:t>“</w:t>
      </w:r>
      <w:r w:rsidRPr="00486E4D">
        <w:rPr>
          <w:lang w:val="es-CR"/>
        </w:rPr>
        <w:t>imponga[n] las sanciones que considere[n] pertinentes”</w:t>
      </w:r>
      <w:r w:rsidRPr="00486E4D">
        <w:rPr>
          <w:rStyle w:val="FootnoteReference"/>
          <w:lang w:val="es-CR"/>
        </w:rPr>
        <w:footnoteReference w:id="137"/>
      </w:r>
      <w:r w:rsidRPr="00486E4D">
        <w:rPr>
          <w:lang w:val="es-CR"/>
        </w:rPr>
        <w:t>.</w:t>
      </w:r>
    </w:p>
    <w:p w:rsidR="006B0B0A" w:rsidRPr="00486E4D" w:rsidRDefault="006B0B0A" w:rsidP="006B0B0A">
      <w:pPr>
        <w:pStyle w:val="ListParagraph"/>
        <w:rPr>
          <w:sz w:val="20"/>
          <w:szCs w:val="20"/>
          <w:lang w:val="es-CR"/>
        </w:rPr>
      </w:pPr>
    </w:p>
    <w:p w:rsidR="006B0B0A" w:rsidRPr="00486E4D" w:rsidRDefault="006B0B0A" w:rsidP="006B0B0A">
      <w:pPr>
        <w:pStyle w:val="Estilo1"/>
        <w:numPr>
          <w:ilvl w:val="0"/>
          <w:numId w:val="1"/>
        </w:numPr>
        <w:tabs>
          <w:tab w:val="num" w:pos="18282"/>
        </w:tabs>
        <w:spacing w:after="0"/>
        <w:rPr>
          <w:lang w:val="es-CR"/>
        </w:rPr>
      </w:pPr>
      <w:r w:rsidRPr="00486E4D">
        <w:rPr>
          <w:lang w:val="es-CR"/>
        </w:rPr>
        <w:t xml:space="preserve">El 18 de enero de 1995 el señor Galindo presentó un escrito ante la Fiscalía de la Nación con el fin de </w:t>
      </w:r>
      <w:r>
        <w:rPr>
          <w:lang w:val="es-CR"/>
        </w:rPr>
        <w:t>“</w:t>
      </w:r>
      <w:r w:rsidRPr="00486E4D">
        <w:rPr>
          <w:lang w:val="es-CR"/>
        </w:rPr>
        <w:t>amplia</w:t>
      </w:r>
      <w:r>
        <w:rPr>
          <w:lang w:val="es-CR"/>
        </w:rPr>
        <w:t>[</w:t>
      </w:r>
      <w:r w:rsidRPr="00486E4D">
        <w:rPr>
          <w:lang w:val="es-CR"/>
        </w:rPr>
        <w:t>r</w:t>
      </w:r>
      <w:r>
        <w:rPr>
          <w:lang w:val="es-CR"/>
        </w:rPr>
        <w:t>]</w:t>
      </w:r>
      <w:r w:rsidRPr="00486E4D">
        <w:rPr>
          <w:lang w:val="es-CR"/>
        </w:rPr>
        <w:t xml:space="preserve"> los alcances</w:t>
      </w:r>
      <w:r>
        <w:rPr>
          <w:lang w:val="es-CR"/>
        </w:rPr>
        <w:t>”</w:t>
      </w:r>
      <w:r w:rsidRPr="00486E4D">
        <w:rPr>
          <w:lang w:val="es-CR"/>
        </w:rPr>
        <w:t xml:space="preserve"> de su denuncia, manifestando que le </w:t>
      </w:r>
      <w:r>
        <w:rPr>
          <w:lang w:val="es-CR"/>
        </w:rPr>
        <w:t>“</w:t>
      </w:r>
      <w:proofErr w:type="spellStart"/>
      <w:proofErr w:type="gramStart"/>
      <w:r w:rsidRPr="00486E4D">
        <w:rPr>
          <w:lang w:val="es-CR"/>
        </w:rPr>
        <w:t>atribu</w:t>
      </w:r>
      <w:proofErr w:type="spellEnd"/>
      <w:r>
        <w:rPr>
          <w:lang w:val="es-CR"/>
        </w:rPr>
        <w:t>[</w:t>
      </w:r>
      <w:proofErr w:type="spellStart"/>
      <w:proofErr w:type="gramEnd"/>
      <w:r>
        <w:rPr>
          <w:lang w:val="es-CR"/>
        </w:rPr>
        <w:t>y</w:t>
      </w:r>
      <w:r w:rsidR="006750DA">
        <w:rPr>
          <w:lang w:val="es-CR"/>
        </w:rPr>
        <w:t>ó</w:t>
      </w:r>
      <w:proofErr w:type="spellEnd"/>
      <w:r>
        <w:rPr>
          <w:lang w:val="es-CR"/>
        </w:rPr>
        <w:t>]</w:t>
      </w:r>
      <w:r w:rsidRPr="00486E4D">
        <w:rPr>
          <w:lang w:val="es-CR"/>
        </w:rPr>
        <w:t xml:space="preserve"> un </w:t>
      </w:r>
      <w:r>
        <w:rPr>
          <w:lang w:val="es-CR"/>
        </w:rPr>
        <w:t>‘</w:t>
      </w:r>
      <w:r w:rsidRPr="00486E4D">
        <w:rPr>
          <w:lang w:val="es-CR"/>
        </w:rPr>
        <w:t>arrepentimiento</w:t>
      </w:r>
      <w:r>
        <w:rPr>
          <w:lang w:val="es-CR"/>
        </w:rPr>
        <w:t>’</w:t>
      </w:r>
      <w:r w:rsidRPr="00486E4D">
        <w:rPr>
          <w:lang w:val="es-CR"/>
        </w:rPr>
        <w:t xml:space="preserve"> que </w:t>
      </w:r>
      <w:r>
        <w:rPr>
          <w:lang w:val="es-CR"/>
        </w:rPr>
        <w:t>en ningún momento</w:t>
      </w:r>
      <w:r w:rsidRPr="00486E4D">
        <w:rPr>
          <w:lang w:val="es-CR"/>
        </w:rPr>
        <w:t xml:space="preserve"> </w:t>
      </w:r>
      <w:proofErr w:type="spellStart"/>
      <w:r w:rsidRPr="00486E4D">
        <w:rPr>
          <w:lang w:val="es-CR"/>
        </w:rPr>
        <w:t>formul</w:t>
      </w:r>
      <w:proofErr w:type="spellEnd"/>
      <w:r>
        <w:rPr>
          <w:lang w:val="es-CR"/>
        </w:rPr>
        <w:t>[</w:t>
      </w:r>
      <w:proofErr w:type="spellStart"/>
      <w:r w:rsidRPr="00486E4D">
        <w:rPr>
          <w:lang w:val="es-CR"/>
        </w:rPr>
        <w:t>ó</w:t>
      </w:r>
      <w:proofErr w:type="spellEnd"/>
      <w:r>
        <w:rPr>
          <w:lang w:val="es-CR"/>
        </w:rPr>
        <w:t>]</w:t>
      </w:r>
      <w:r w:rsidRPr="00486E4D">
        <w:rPr>
          <w:lang w:val="es-CR"/>
        </w:rPr>
        <w:t>”</w:t>
      </w:r>
      <w:r w:rsidRPr="00486E4D">
        <w:rPr>
          <w:rStyle w:val="FootnoteReference"/>
          <w:lang w:val="es-CR"/>
        </w:rPr>
        <w:footnoteReference w:id="138"/>
      </w:r>
      <w:r>
        <w:rPr>
          <w:lang w:val="es-CR"/>
        </w:rPr>
        <w:t xml:space="preserve">. </w:t>
      </w:r>
    </w:p>
    <w:p w:rsidR="006B0B0A" w:rsidRPr="00486E4D" w:rsidRDefault="006B0B0A" w:rsidP="006B0B0A">
      <w:pPr>
        <w:pStyle w:val="ListParagraph"/>
        <w:rPr>
          <w:sz w:val="20"/>
          <w:szCs w:val="20"/>
          <w:lang w:val="es-CR"/>
        </w:rPr>
      </w:pPr>
    </w:p>
    <w:p w:rsidR="006B0B0A" w:rsidRPr="00486E4D" w:rsidRDefault="006B0B0A" w:rsidP="006B0B0A">
      <w:pPr>
        <w:pStyle w:val="Estilo1"/>
        <w:numPr>
          <w:ilvl w:val="0"/>
          <w:numId w:val="1"/>
        </w:numPr>
        <w:tabs>
          <w:tab w:val="num" w:pos="18282"/>
        </w:tabs>
        <w:spacing w:after="0"/>
        <w:rPr>
          <w:lang w:val="es-CR"/>
        </w:rPr>
      </w:pPr>
      <w:r w:rsidRPr="00486E4D">
        <w:rPr>
          <w:lang w:val="es-CR"/>
        </w:rPr>
        <w:t>El 6 de marzo de 1995 el señor Galindo presentó una denuncia en el Ministerio de Defensa en contra del Jefe del Comando Político-Militar de Huánuco</w:t>
      </w:r>
      <w:r w:rsidRPr="00486E4D">
        <w:rPr>
          <w:rStyle w:val="FootnoteReference"/>
          <w:lang w:val="es-CR"/>
        </w:rPr>
        <w:footnoteReference w:id="139"/>
      </w:r>
      <w:r>
        <w:rPr>
          <w:lang w:val="es-CR"/>
        </w:rPr>
        <w:t>.</w:t>
      </w:r>
    </w:p>
    <w:p w:rsidR="006B0B0A" w:rsidRPr="00486E4D" w:rsidRDefault="006B0B0A" w:rsidP="006B0B0A">
      <w:pPr>
        <w:pStyle w:val="ListParagraph"/>
        <w:rPr>
          <w:sz w:val="20"/>
          <w:szCs w:val="20"/>
          <w:lang w:val="es-CR"/>
        </w:rPr>
      </w:pPr>
    </w:p>
    <w:p w:rsidR="006B0B0A" w:rsidRPr="00486E4D" w:rsidRDefault="006B0B0A" w:rsidP="006B0B0A">
      <w:pPr>
        <w:pStyle w:val="Estilo1"/>
        <w:numPr>
          <w:ilvl w:val="0"/>
          <w:numId w:val="1"/>
        </w:numPr>
        <w:tabs>
          <w:tab w:val="num" w:pos="18282"/>
        </w:tabs>
        <w:spacing w:after="0"/>
        <w:rPr>
          <w:lang w:val="es-CR"/>
        </w:rPr>
      </w:pPr>
      <w:r>
        <w:rPr>
          <w:lang w:val="es-CR"/>
        </w:rPr>
        <w:t>Por medio de un escrito fechado el 7</w:t>
      </w:r>
      <w:r w:rsidRPr="00486E4D">
        <w:rPr>
          <w:lang w:val="es-CR"/>
        </w:rPr>
        <w:t xml:space="preserve"> de marzo de 1995 el señor Galindo presentó otra denuncia</w:t>
      </w:r>
      <w:r>
        <w:rPr>
          <w:lang w:val="es-CR"/>
        </w:rPr>
        <w:t>,</w:t>
      </w:r>
      <w:r w:rsidRPr="00486E4D">
        <w:rPr>
          <w:lang w:val="es-CR"/>
        </w:rPr>
        <w:t xml:space="preserve"> ante el Inspector General del Ministerio de Defensa de Perú</w:t>
      </w:r>
      <w:r w:rsidRPr="00486E4D">
        <w:rPr>
          <w:rStyle w:val="FootnoteReference"/>
          <w:lang w:val="es-CR"/>
        </w:rPr>
        <w:footnoteReference w:id="140"/>
      </w:r>
      <w:r w:rsidRPr="00486E4D">
        <w:rPr>
          <w:lang w:val="es-CR"/>
        </w:rPr>
        <w:t xml:space="preserve">. </w:t>
      </w:r>
    </w:p>
    <w:p w:rsidR="006B0B0A" w:rsidRPr="0023081B" w:rsidRDefault="006B0B0A" w:rsidP="006B0B0A">
      <w:pPr>
        <w:rPr>
          <w:lang w:val="es-CR"/>
        </w:rPr>
      </w:pPr>
    </w:p>
    <w:p w:rsidR="006B0B0A" w:rsidRPr="00DF3EE2" w:rsidRDefault="006B0B0A" w:rsidP="006B0B0A">
      <w:pPr>
        <w:pStyle w:val="Estilo1"/>
        <w:numPr>
          <w:ilvl w:val="0"/>
          <w:numId w:val="1"/>
        </w:numPr>
        <w:tabs>
          <w:tab w:val="num" w:pos="18282"/>
        </w:tabs>
        <w:spacing w:after="0"/>
        <w:rPr>
          <w:lang w:val="es-CR"/>
        </w:rPr>
      </w:pPr>
      <w:r w:rsidRPr="00DF3EE2">
        <w:rPr>
          <w:lang w:val="es-CR"/>
        </w:rPr>
        <w:t xml:space="preserve">El 8 de mayo de 1998 el Ministerio Público resolvió archivar definitivamente </w:t>
      </w:r>
      <w:r w:rsidR="00562E43" w:rsidRPr="00DF3EE2">
        <w:rPr>
          <w:lang w:val="es-CR"/>
        </w:rPr>
        <w:t>“</w:t>
      </w:r>
      <w:r w:rsidRPr="00DF3EE2">
        <w:rPr>
          <w:lang w:val="es-CR"/>
        </w:rPr>
        <w:t>la denuncia</w:t>
      </w:r>
      <w:r w:rsidR="00562E43" w:rsidRPr="00DF3EE2">
        <w:rPr>
          <w:lang w:val="es-CR"/>
        </w:rPr>
        <w:t>”</w:t>
      </w:r>
      <w:r w:rsidRPr="00DF3EE2">
        <w:rPr>
          <w:lang w:val="es-CR"/>
        </w:rPr>
        <w:t xml:space="preserve"> formulada por el señor Galindo,</w:t>
      </w:r>
      <w:r w:rsidR="00562E43" w:rsidRPr="00DF3EE2">
        <w:rPr>
          <w:lang w:val="es-CR"/>
        </w:rPr>
        <w:t xml:space="preserve"> sin especificar la fecha de tal denuncia,</w:t>
      </w:r>
      <w:r w:rsidRPr="00DF3EE2">
        <w:rPr>
          <w:lang w:val="es-CR"/>
        </w:rPr>
        <w:t xml:space="preserve"> “considerando […] que […]</w:t>
      </w:r>
      <w:r w:rsidR="006750DA" w:rsidRPr="00DF3EE2">
        <w:rPr>
          <w:lang w:val="es-CR"/>
        </w:rPr>
        <w:t xml:space="preserve"> </w:t>
      </w:r>
      <w:r w:rsidRPr="00DF3EE2">
        <w:rPr>
          <w:lang w:val="es-CR"/>
        </w:rPr>
        <w:t>la Ley No. 26479 y su ampliatoria la Ley No. 26492 […] conceden amnistía general tanto al personal militar, policial o civil […] que se encuentre denunciado, investigado, encausado, procesado o condenado por delitos comunes y militares por todos los hechos derivados u originados con ocasión o como consecuencia de la lucha contra el terrorismo, cometidos desde mayo de 1980 a la fecha de [la] promulgación [de esas leyes]”</w:t>
      </w:r>
      <w:r w:rsidRPr="00DF3EE2">
        <w:rPr>
          <w:rStyle w:val="FootnoteReference"/>
          <w:lang w:val="es-CR"/>
        </w:rPr>
        <w:footnoteReference w:id="141"/>
      </w:r>
      <w:r w:rsidRPr="00DF3EE2">
        <w:rPr>
          <w:lang w:val="es-CR"/>
        </w:rPr>
        <w:t xml:space="preserve">. </w:t>
      </w:r>
    </w:p>
    <w:p w:rsidR="006B0B0A" w:rsidRPr="0023081B" w:rsidRDefault="006B0B0A" w:rsidP="006B0B0A">
      <w:pPr>
        <w:pStyle w:val="ListParagraph"/>
        <w:ind w:left="0"/>
        <w:jc w:val="both"/>
        <w:rPr>
          <w:sz w:val="20"/>
          <w:szCs w:val="20"/>
          <w:lang w:val="es-CR"/>
        </w:rPr>
      </w:pPr>
    </w:p>
    <w:p w:rsidR="006B0B0A" w:rsidRPr="00B72D8C" w:rsidRDefault="006B0B0A" w:rsidP="006B0B0A">
      <w:pPr>
        <w:pStyle w:val="Heading3"/>
        <w:ind w:left="851"/>
        <w:rPr>
          <w:b w:val="0"/>
          <w:spacing w:val="0"/>
          <w:w w:val="100"/>
        </w:rPr>
      </w:pPr>
      <w:bookmarkStart w:id="274" w:name="_Toc415507385"/>
      <w:bookmarkStart w:id="275" w:name="_Toc418530474"/>
      <w:bookmarkStart w:id="276" w:name="_Toc420941736"/>
      <w:bookmarkStart w:id="277" w:name="_Toc424313489"/>
      <w:bookmarkStart w:id="278" w:name="_Toc430869791"/>
      <w:bookmarkStart w:id="279" w:name="_Toc438129712"/>
      <w:r w:rsidRPr="00B72D8C">
        <w:rPr>
          <w:b w:val="0"/>
          <w:spacing w:val="0"/>
          <w:w w:val="100"/>
        </w:rPr>
        <w:t>C.4</w:t>
      </w:r>
      <w:r>
        <w:rPr>
          <w:b w:val="0"/>
          <w:spacing w:val="0"/>
          <w:w w:val="100"/>
        </w:rPr>
        <w:t>.</w:t>
      </w:r>
      <w:r w:rsidRPr="00B72D8C">
        <w:rPr>
          <w:b w:val="0"/>
          <w:spacing w:val="0"/>
          <w:w w:val="100"/>
        </w:rPr>
        <w:t xml:space="preserve"> Sobre las acciones de investigación iniciadas por el Estado a partir de 2012</w:t>
      </w:r>
      <w:bookmarkEnd w:id="274"/>
      <w:bookmarkEnd w:id="275"/>
      <w:bookmarkEnd w:id="276"/>
      <w:bookmarkEnd w:id="277"/>
      <w:bookmarkEnd w:id="278"/>
      <w:bookmarkEnd w:id="279"/>
    </w:p>
    <w:p w:rsidR="006B0B0A" w:rsidRPr="00A625FE" w:rsidRDefault="006B0B0A" w:rsidP="006B0B0A">
      <w:pPr>
        <w:pStyle w:val="ListParagraph"/>
        <w:rPr>
          <w:sz w:val="20"/>
          <w:szCs w:val="20"/>
          <w:lang w:val="es-CR"/>
        </w:rPr>
      </w:pPr>
    </w:p>
    <w:p w:rsidR="006B0B0A" w:rsidRPr="00A625FE" w:rsidRDefault="006B0B0A" w:rsidP="006B0B0A">
      <w:pPr>
        <w:pStyle w:val="Estilo1"/>
        <w:numPr>
          <w:ilvl w:val="0"/>
          <w:numId w:val="1"/>
        </w:numPr>
        <w:tabs>
          <w:tab w:val="num" w:pos="18282"/>
        </w:tabs>
        <w:spacing w:after="0"/>
        <w:rPr>
          <w:lang w:val="es-CR"/>
        </w:rPr>
      </w:pPr>
      <w:r w:rsidRPr="00A625FE">
        <w:rPr>
          <w:lang w:val="es-CR"/>
        </w:rPr>
        <w:t>Con posterioridad a la emisión del Informe de Fondo, el Estado realizó acciones a fin de investigar los hechos en los que se produjo la privación de libertad del señor Galindo.</w:t>
      </w:r>
    </w:p>
    <w:p w:rsidR="006B0B0A" w:rsidRPr="00A625FE" w:rsidRDefault="006B0B0A" w:rsidP="006B0B0A">
      <w:pPr>
        <w:pStyle w:val="ListParagraph"/>
        <w:ind w:left="0"/>
        <w:jc w:val="both"/>
        <w:rPr>
          <w:sz w:val="20"/>
          <w:szCs w:val="20"/>
          <w:lang w:val="es-CR"/>
        </w:rPr>
      </w:pPr>
    </w:p>
    <w:p w:rsidR="006B0B0A" w:rsidRPr="00A625FE" w:rsidRDefault="006B0B0A" w:rsidP="006B0B0A">
      <w:pPr>
        <w:pStyle w:val="Estilo1"/>
        <w:numPr>
          <w:ilvl w:val="0"/>
          <w:numId w:val="1"/>
        </w:numPr>
        <w:tabs>
          <w:tab w:val="num" w:pos="18282"/>
        </w:tabs>
        <w:spacing w:after="0"/>
        <w:rPr>
          <w:lang w:val="es-CR"/>
        </w:rPr>
      </w:pPr>
      <w:r w:rsidRPr="00A625FE">
        <w:rPr>
          <w:lang w:val="es-CR"/>
        </w:rPr>
        <w:t xml:space="preserve">El 14 de septiembre de 2012 la Coordinación de la Fiscalía Superior Penal Nacional y Fiscalías Penales </w:t>
      </w:r>
      <w:proofErr w:type="spellStart"/>
      <w:r w:rsidRPr="00A625FE">
        <w:rPr>
          <w:lang w:val="es-CR"/>
        </w:rPr>
        <w:t>Supraprovinciales</w:t>
      </w:r>
      <w:proofErr w:type="spellEnd"/>
      <w:r>
        <w:rPr>
          <w:lang w:val="es-CR"/>
        </w:rPr>
        <w:t xml:space="preserve"> (en adelante también “Coordinación de la Fiscalía”)</w:t>
      </w:r>
      <w:r w:rsidRPr="00A625FE">
        <w:rPr>
          <w:lang w:val="es-CR"/>
        </w:rPr>
        <w:t xml:space="preserve"> consideró que la Fiscalía competente debía realizar una investigación preliminar en el Distrito Judicial de Huánuco</w:t>
      </w:r>
      <w:r w:rsidRPr="00A625FE">
        <w:rPr>
          <w:rStyle w:val="FootnoteReference"/>
          <w:lang w:val="es-CR"/>
        </w:rPr>
        <w:footnoteReference w:id="142"/>
      </w:r>
      <w:r w:rsidRPr="00A625FE">
        <w:rPr>
          <w:lang w:val="es-CR"/>
        </w:rPr>
        <w:t xml:space="preserve">. </w:t>
      </w:r>
    </w:p>
    <w:p w:rsidR="006B0B0A" w:rsidRPr="00A625FE" w:rsidRDefault="006B0B0A" w:rsidP="006B0B0A">
      <w:pPr>
        <w:pStyle w:val="ListParagraph"/>
        <w:rPr>
          <w:sz w:val="20"/>
          <w:szCs w:val="20"/>
          <w:lang w:val="es-CR"/>
        </w:rPr>
      </w:pPr>
    </w:p>
    <w:p w:rsidR="006B0B0A" w:rsidRPr="00A625FE" w:rsidRDefault="006B0B0A" w:rsidP="006B0B0A">
      <w:pPr>
        <w:pStyle w:val="Estilo1"/>
        <w:numPr>
          <w:ilvl w:val="0"/>
          <w:numId w:val="1"/>
        </w:numPr>
        <w:tabs>
          <w:tab w:val="num" w:pos="18282"/>
        </w:tabs>
        <w:spacing w:after="0"/>
        <w:rPr>
          <w:lang w:val="es-CR"/>
        </w:rPr>
      </w:pPr>
      <w:r w:rsidRPr="00A625FE">
        <w:rPr>
          <w:lang w:val="es-CR"/>
        </w:rPr>
        <w:t>El 2</w:t>
      </w:r>
      <w:r>
        <w:rPr>
          <w:lang w:val="es-CR"/>
        </w:rPr>
        <w:t>4</w:t>
      </w:r>
      <w:r w:rsidRPr="00A625FE">
        <w:rPr>
          <w:lang w:val="es-CR"/>
        </w:rPr>
        <w:t xml:space="preserve"> de </w:t>
      </w:r>
      <w:r>
        <w:rPr>
          <w:lang w:val="es-CR"/>
        </w:rPr>
        <w:t>septiembre</w:t>
      </w:r>
      <w:r w:rsidRPr="00A625FE">
        <w:rPr>
          <w:lang w:val="es-CR"/>
        </w:rPr>
        <w:t xml:space="preserve"> de 2012 la Coordinación de la Fiscalía puso en conocimiento de</w:t>
      </w:r>
      <w:r>
        <w:rPr>
          <w:lang w:val="es-CR"/>
        </w:rPr>
        <w:t>l Fiscal de la Nación</w:t>
      </w:r>
      <w:r w:rsidRPr="00A625FE">
        <w:rPr>
          <w:lang w:val="es-CR"/>
        </w:rPr>
        <w:t xml:space="preserve"> </w:t>
      </w:r>
      <w:r>
        <w:rPr>
          <w:lang w:val="es-CR"/>
        </w:rPr>
        <w:t xml:space="preserve">“las acciones realizadas […] y la propuesta respecto al [c]aso </w:t>
      </w:r>
      <w:proofErr w:type="gramStart"/>
      <w:r>
        <w:rPr>
          <w:lang w:val="es-CR"/>
        </w:rPr>
        <w:t>de[</w:t>
      </w:r>
      <w:proofErr w:type="gramEnd"/>
      <w:r>
        <w:rPr>
          <w:lang w:val="es-CR"/>
        </w:rPr>
        <w:t>l señor] Galindo”</w:t>
      </w:r>
      <w:r w:rsidRPr="00A625FE">
        <w:rPr>
          <w:rStyle w:val="FootnoteReference"/>
          <w:lang w:val="es-CR"/>
        </w:rPr>
        <w:footnoteReference w:id="143"/>
      </w:r>
      <w:r w:rsidRPr="00A625FE">
        <w:rPr>
          <w:lang w:val="es-CR"/>
        </w:rPr>
        <w:t>.</w:t>
      </w:r>
    </w:p>
    <w:p w:rsidR="006B0B0A" w:rsidRPr="00A625FE" w:rsidRDefault="006B0B0A" w:rsidP="006B0B0A">
      <w:pPr>
        <w:pStyle w:val="ListParagraph"/>
        <w:rPr>
          <w:sz w:val="20"/>
          <w:szCs w:val="20"/>
          <w:lang w:val="es-CR"/>
        </w:rPr>
      </w:pPr>
    </w:p>
    <w:p w:rsidR="006B0B0A" w:rsidRPr="00A625FE" w:rsidRDefault="006B0B0A" w:rsidP="006B0B0A">
      <w:pPr>
        <w:pStyle w:val="Estilo1"/>
        <w:numPr>
          <w:ilvl w:val="0"/>
          <w:numId w:val="1"/>
        </w:numPr>
        <w:tabs>
          <w:tab w:val="num" w:pos="18282"/>
        </w:tabs>
        <w:spacing w:after="0"/>
        <w:rPr>
          <w:lang w:val="es-CR"/>
        </w:rPr>
      </w:pPr>
      <w:r w:rsidRPr="00A625FE">
        <w:rPr>
          <w:lang w:val="es-CR"/>
        </w:rPr>
        <w:t>El 19 de marzo de 2013 la Fiscalía Especializada en Delitos de Terrorismo y Lesa Humanidad</w:t>
      </w:r>
      <w:r>
        <w:rPr>
          <w:lang w:val="es-CR"/>
        </w:rPr>
        <w:t xml:space="preserve"> (en adelante “Fiscalía Especializada”)</w:t>
      </w:r>
      <w:r w:rsidRPr="00A625FE">
        <w:rPr>
          <w:lang w:val="es-CR"/>
        </w:rPr>
        <w:t xml:space="preserve"> informó que el Fiscal Superior- Presidente de la Junta de Fiscales Superiores del Distrito Judicial de Huánuco, comunicó a dicha Fiscalía la </w:t>
      </w:r>
      <w:r w:rsidRPr="008D2D9F">
        <w:rPr>
          <w:lang w:val="es-CR"/>
        </w:rPr>
        <w:t>procedencia de “avocarse en la instrucción preliminar” con relación a hechos del presente caso referidos a la permanencia del señor Galindo bajo custodia estatal entre octubre y noviembre de 1994 y la aplicación de la Ley de Arrepentimiento.</w:t>
      </w:r>
      <w:r w:rsidRPr="00A30ED2">
        <w:rPr>
          <w:b/>
          <w:lang w:val="es-CR"/>
        </w:rPr>
        <w:t xml:space="preserve"> </w:t>
      </w:r>
      <w:r w:rsidRPr="00A625FE">
        <w:rPr>
          <w:lang w:val="es-CR"/>
        </w:rPr>
        <w:t xml:space="preserve">En ese sentido, dispuso </w:t>
      </w:r>
      <w:r>
        <w:rPr>
          <w:lang w:val="es-CR"/>
        </w:rPr>
        <w:t>“</w:t>
      </w:r>
      <w:r w:rsidRPr="00A625FE">
        <w:rPr>
          <w:lang w:val="es-CR"/>
        </w:rPr>
        <w:t xml:space="preserve">llevar a </w:t>
      </w:r>
      <w:r>
        <w:rPr>
          <w:lang w:val="es-CR"/>
        </w:rPr>
        <w:t xml:space="preserve">[…] </w:t>
      </w:r>
      <w:r w:rsidRPr="00A625FE">
        <w:rPr>
          <w:lang w:val="es-CR"/>
        </w:rPr>
        <w:t>cabo las diligencias preliminares en sede policial por el plazo máximo de 50 días</w:t>
      </w:r>
      <w:r>
        <w:rPr>
          <w:lang w:val="es-CR"/>
        </w:rPr>
        <w:t>”</w:t>
      </w:r>
      <w:r w:rsidRPr="00A625FE">
        <w:rPr>
          <w:lang w:val="es-CR"/>
        </w:rPr>
        <w:t xml:space="preserve">, </w:t>
      </w:r>
      <w:r>
        <w:rPr>
          <w:lang w:val="es-CR"/>
        </w:rPr>
        <w:t>“</w:t>
      </w:r>
      <w:proofErr w:type="spellStart"/>
      <w:r w:rsidRPr="00A625FE">
        <w:rPr>
          <w:lang w:val="es-CR"/>
        </w:rPr>
        <w:t>recib</w:t>
      </w:r>
      <w:proofErr w:type="spellEnd"/>
      <w:r>
        <w:rPr>
          <w:lang w:val="es-CR"/>
        </w:rPr>
        <w:t>[</w:t>
      </w:r>
      <w:r w:rsidRPr="00A625FE">
        <w:rPr>
          <w:lang w:val="es-CR"/>
        </w:rPr>
        <w:t>ir</w:t>
      </w:r>
      <w:r>
        <w:rPr>
          <w:lang w:val="es-CR"/>
        </w:rPr>
        <w:t>]</w:t>
      </w:r>
      <w:r w:rsidRPr="00A625FE">
        <w:rPr>
          <w:lang w:val="es-CR"/>
        </w:rPr>
        <w:t xml:space="preserve"> la declaración</w:t>
      </w:r>
      <w:r>
        <w:rPr>
          <w:lang w:val="es-CR"/>
        </w:rPr>
        <w:t>”</w:t>
      </w:r>
      <w:r w:rsidRPr="00A625FE">
        <w:rPr>
          <w:lang w:val="es-CR"/>
        </w:rPr>
        <w:t xml:space="preserve"> del señor Galindo Cárdenas, recabar </w:t>
      </w:r>
      <w:r>
        <w:rPr>
          <w:lang w:val="es-CR"/>
        </w:rPr>
        <w:t>“</w:t>
      </w:r>
      <w:r w:rsidRPr="00A625FE">
        <w:rPr>
          <w:lang w:val="es-CR"/>
        </w:rPr>
        <w:t>copia certificada del expediente</w:t>
      </w:r>
      <w:r>
        <w:rPr>
          <w:lang w:val="es-CR"/>
        </w:rPr>
        <w:t>” relativo al</w:t>
      </w:r>
      <w:r w:rsidR="0023362E">
        <w:rPr>
          <w:lang w:val="es-CR"/>
        </w:rPr>
        <w:t xml:space="preserve"> </w:t>
      </w:r>
      <w:r>
        <w:rPr>
          <w:lang w:val="es-CR"/>
        </w:rPr>
        <w:t>“</w:t>
      </w:r>
      <w:r w:rsidRPr="00A625FE">
        <w:rPr>
          <w:lang w:val="es-CR"/>
        </w:rPr>
        <w:t>acogimiento de la Ley de Arrepentimiento</w:t>
      </w:r>
      <w:r>
        <w:rPr>
          <w:lang w:val="es-CR"/>
        </w:rPr>
        <w:t>”</w:t>
      </w:r>
      <w:r w:rsidRPr="00A625FE">
        <w:rPr>
          <w:lang w:val="es-CR"/>
        </w:rPr>
        <w:t>, solicitar información al Ministerio de Defensa respecto a la identidad de los oficiales y sub oficiales que estuvieron en la Base Militar de Huánuco durante 1994, y realizar las demás diligencias necesarias para el esclarecimiento de los hechos</w:t>
      </w:r>
      <w:r w:rsidRPr="00A625FE">
        <w:rPr>
          <w:rStyle w:val="FootnoteReference"/>
          <w:lang w:val="es-CR"/>
        </w:rPr>
        <w:footnoteReference w:id="144"/>
      </w:r>
      <w:r w:rsidRPr="00A625FE">
        <w:rPr>
          <w:lang w:val="es-CR"/>
        </w:rPr>
        <w:t>.</w:t>
      </w:r>
      <w:r>
        <w:rPr>
          <w:lang w:val="es-CR"/>
        </w:rPr>
        <w:t xml:space="preserve"> </w:t>
      </w:r>
    </w:p>
    <w:p w:rsidR="006B0B0A" w:rsidRPr="00A625FE" w:rsidRDefault="006B0B0A" w:rsidP="006B0B0A">
      <w:pPr>
        <w:pStyle w:val="ListParagraph"/>
        <w:rPr>
          <w:sz w:val="20"/>
          <w:szCs w:val="20"/>
          <w:lang w:val="es-CR"/>
        </w:rPr>
      </w:pPr>
    </w:p>
    <w:p w:rsidR="006B0B0A" w:rsidRPr="003F7BDC" w:rsidRDefault="006B0B0A" w:rsidP="006B0B0A">
      <w:pPr>
        <w:pStyle w:val="Estilo1"/>
        <w:numPr>
          <w:ilvl w:val="0"/>
          <w:numId w:val="1"/>
        </w:numPr>
        <w:tabs>
          <w:tab w:val="num" w:pos="18282"/>
        </w:tabs>
        <w:spacing w:after="0"/>
        <w:rPr>
          <w:lang w:val="es-CR"/>
        </w:rPr>
      </w:pPr>
      <w:r w:rsidRPr="00751B68">
        <w:rPr>
          <w:lang w:val="es-CR"/>
        </w:rPr>
        <w:t>E</w:t>
      </w:r>
      <w:r>
        <w:rPr>
          <w:lang w:val="es-CR"/>
        </w:rPr>
        <w:t>ntre el</w:t>
      </w:r>
      <w:r w:rsidRPr="00751B68">
        <w:rPr>
          <w:lang w:val="es-CR"/>
        </w:rPr>
        <w:t xml:space="preserve"> 18 de junio </w:t>
      </w:r>
      <w:r>
        <w:rPr>
          <w:lang w:val="es-CR"/>
        </w:rPr>
        <w:t xml:space="preserve">y el 2 de julio </w:t>
      </w:r>
      <w:r w:rsidRPr="00751B68">
        <w:rPr>
          <w:lang w:val="es-CR"/>
        </w:rPr>
        <w:t xml:space="preserve">de 2013 la Fiscalía Especializada recibió las copias certificadas del cuaderno de arrepentimiento y fueron remitidas a la Jefatura de la </w:t>
      </w:r>
      <w:r>
        <w:rPr>
          <w:lang w:val="es-CR"/>
        </w:rPr>
        <w:t>“</w:t>
      </w:r>
      <w:r w:rsidRPr="00751B68">
        <w:rPr>
          <w:lang w:val="es-CR"/>
        </w:rPr>
        <w:t>DI</w:t>
      </w:r>
      <w:r>
        <w:rPr>
          <w:lang w:val="es-CR"/>
        </w:rPr>
        <w:t>V</w:t>
      </w:r>
      <w:r w:rsidRPr="00751B68">
        <w:rPr>
          <w:lang w:val="es-CR"/>
        </w:rPr>
        <w:t>COTE-PNP-HUANUCO</w:t>
      </w:r>
      <w:r w:rsidR="0023362E">
        <w:rPr>
          <w:lang w:val="es-CR"/>
        </w:rPr>
        <w:t>”</w:t>
      </w:r>
      <w:r w:rsidR="0057409D">
        <w:rPr>
          <w:lang w:val="es-CR"/>
        </w:rPr>
        <w:t xml:space="preserve"> </w:t>
      </w:r>
      <w:r>
        <w:rPr>
          <w:lang w:val="es-CR"/>
        </w:rPr>
        <w:t>(</w:t>
      </w:r>
      <w:r>
        <w:rPr>
          <w:i/>
          <w:lang w:val="es-CR"/>
        </w:rPr>
        <w:t>sic</w:t>
      </w:r>
      <w:r w:rsidRPr="00F810F3">
        <w:rPr>
          <w:lang w:val="es-CR"/>
        </w:rPr>
        <w:t>)</w:t>
      </w:r>
      <w:r w:rsidRPr="00751B68">
        <w:rPr>
          <w:rStyle w:val="FootnoteReference"/>
          <w:lang w:val="es-CR"/>
        </w:rPr>
        <w:footnoteReference w:id="145"/>
      </w:r>
      <w:r w:rsidRPr="00751B68">
        <w:rPr>
          <w:lang w:val="es-CR"/>
        </w:rPr>
        <w:t xml:space="preserve">. </w:t>
      </w:r>
    </w:p>
    <w:p w:rsidR="006B0B0A" w:rsidRPr="003F7BDC" w:rsidRDefault="006B0B0A" w:rsidP="006B0B0A">
      <w:pPr>
        <w:pStyle w:val="ListParagraph"/>
        <w:rPr>
          <w:sz w:val="20"/>
          <w:szCs w:val="20"/>
          <w:lang w:val="es-CR"/>
        </w:rPr>
      </w:pPr>
    </w:p>
    <w:p w:rsidR="006B0B0A" w:rsidRPr="002064E0" w:rsidRDefault="006B0B0A" w:rsidP="006B0B0A">
      <w:pPr>
        <w:pStyle w:val="Estilo1"/>
        <w:numPr>
          <w:ilvl w:val="0"/>
          <w:numId w:val="1"/>
        </w:numPr>
        <w:tabs>
          <w:tab w:val="num" w:pos="18282"/>
        </w:tabs>
        <w:spacing w:after="0"/>
        <w:rPr>
          <w:lang w:val="es-CR"/>
        </w:rPr>
      </w:pPr>
      <w:r>
        <w:rPr>
          <w:lang w:val="es-CR"/>
        </w:rPr>
        <w:t xml:space="preserve">El 9 de julio de 2013 la </w:t>
      </w:r>
      <w:r w:rsidRPr="00751B68">
        <w:rPr>
          <w:lang w:val="es-CR"/>
        </w:rPr>
        <w:t xml:space="preserve">Fiscalía Especializada recibió </w:t>
      </w:r>
      <w:r>
        <w:rPr>
          <w:lang w:val="es-CR"/>
        </w:rPr>
        <w:t>un informe sobre las diligencias policiales efectuadas con relación a la investigación fiscal</w:t>
      </w:r>
      <w:r>
        <w:rPr>
          <w:rStyle w:val="FootnoteReference"/>
          <w:lang w:val="es-CR"/>
        </w:rPr>
        <w:footnoteReference w:id="146"/>
      </w:r>
      <w:r>
        <w:rPr>
          <w:lang w:val="es-CR"/>
        </w:rPr>
        <w:t xml:space="preserve">. </w:t>
      </w:r>
    </w:p>
    <w:p w:rsidR="006B0B0A" w:rsidRPr="002064E0" w:rsidRDefault="006B0B0A" w:rsidP="006B0B0A">
      <w:pPr>
        <w:pStyle w:val="ListParagraph"/>
        <w:rPr>
          <w:sz w:val="20"/>
          <w:szCs w:val="20"/>
          <w:lang w:val="es-CR"/>
        </w:rPr>
      </w:pPr>
    </w:p>
    <w:p w:rsidR="006B0B0A" w:rsidRPr="00751B68" w:rsidRDefault="006B0B0A" w:rsidP="006B0B0A">
      <w:pPr>
        <w:pStyle w:val="Estilo1"/>
        <w:numPr>
          <w:ilvl w:val="0"/>
          <w:numId w:val="1"/>
        </w:numPr>
        <w:tabs>
          <w:tab w:val="num" w:pos="18282"/>
        </w:tabs>
        <w:spacing w:after="0"/>
        <w:rPr>
          <w:lang w:val="es-CR"/>
        </w:rPr>
      </w:pPr>
      <w:r>
        <w:rPr>
          <w:lang w:val="es-CR"/>
        </w:rPr>
        <w:t xml:space="preserve">El 26 de julio de 2013 la </w:t>
      </w:r>
      <w:r w:rsidRPr="00751B68">
        <w:rPr>
          <w:lang w:val="es-CR"/>
        </w:rPr>
        <w:t>Fiscalía Especializada</w:t>
      </w:r>
      <w:r>
        <w:rPr>
          <w:lang w:val="es-CR"/>
        </w:rPr>
        <w:t xml:space="preserve"> resolvió “ampliar [la] investigación en sede fiscal por el término de treinta días” y cumplir con varias diligencias, mismas cuya procedencia reiteró el 10 de septiembre de 2013</w:t>
      </w:r>
      <w:r>
        <w:rPr>
          <w:rStyle w:val="FootnoteReference"/>
          <w:lang w:val="es-CR"/>
        </w:rPr>
        <w:footnoteReference w:id="147"/>
      </w:r>
      <w:r>
        <w:rPr>
          <w:lang w:val="es-CR"/>
        </w:rPr>
        <w:t>.</w:t>
      </w:r>
    </w:p>
    <w:p w:rsidR="006B0B0A" w:rsidRPr="00751B68" w:rsidRDefault="006B0B0A" w:rsidP="006B0B0A">
      <w:pPr>
        <w:pStyle w:val="ListParagraph"/>
        <w:ind w:left="0"/>
        <w:jc w:val="both"/>
        <w:rPr>
          <w:sz w:val="20"/>
          <w:szCs w:val="20"/>
          <w:highlight w:val="cyan"/>
          <w:lang w:val="es-CR"/>
        </w:rPr>
      </w:pPr>
    </w:p>
    <w:p w:rsidR="006B0B0A" w:rsidRPr="00EF495E" w:rsidRDefault="006B0B0A" w:rsidP="006B0B0A">
      <w:pPr>
        <w:pStyle w:val="Estilo1"/>
        <w:numPr>
          <w:ilvl w:val="0"/>
          <w:numId w:val="1"/>
        </w:numPr>
        <w:tabs>
          <w:tab w:val="num" w:pos="18282"/>
        </w:tabs>
        <w:spacing w:after="0"/>
        <w:rPr>
          <w:lang w:val="es-CR"/>
        </w:rPr>
      </w:pPr>
      <w:r>
        <w:rPr>
          <w:lang w:val="es-CR"/>
        </w:rPr>
        <w:t xml:space="preserve">El 16 de agosto de 2013 el señor Galindo presentó un oficio dirigido a la </w:t>
      </w:r>
      <w:r w:rsidRPr="00A625FE">
        <w:rPr>
          <w:lang w:val="es-CR"/>
        </w:rPr>
        <w:t>Fiscalía Especializada</w:t>
      </w:r>
      <w:r>
        <w:rPr>
          <w:lang w:val="es-CR"/>
        </w:rPr>
        <w:t>, en el cual formuló objeciones en cuanto a la manera en que se estaba llevando la investigación en sede interna</w:t>
      </w:r>
      <w:r>
        <w:rPr>
          <w:rStyle w:val="FootnoteReference"/>
          <w:lang w:val="es-CR"/>
        </w:rPr>
        <w:footnoteReference w:id="148"/>
      </w:r>
      <w:r>
        <w:rPr>
          <w:lang w:val="es-CR"/>
        </w:rPr>
        <w:t xml:space="preserve">. </w:t>
      </w:r>
    </w:p>
    <w:p w:rsidR="006B0B0A" w:rsidRPr="00EF495E" w:rsidRDefault="006B0B0A" w:rsidP="006B0B0A">
      <w:pPr>
        <w:pStyle w:val="ListParagraph"/>
        <w:rPr>
          <w:sz w:val="20"/>
          <w:szCs w:val="20"/>
          <w:lang w:val="es-CR"/>
        </w:rPr>
      </w:pPr>
    </w:p>
    <w:p w:rsidR="006B0B0A" w:rsidRDefault="006B0B0A" w:rsidP="006B0B0A">
      <w:pPr>
        <w:pStyle w:val="Estilo1"/>
        <w:numPr>
          <w:ilvl w:val="0"/>
          <w:numId w:val="1"/>
        </w:numPr>
        <w:tabs>
          <w:tab w:val="num" w:pos="18282"/>
        </w:tabs>
        <w:spacing w:after="0"/>
        <w:rPr>
          <w:lang w:val="es-CR"/>
        </w:rPr>
      </w:pPr>
      <w:r w:rsidRPr="00A625FE">
        <w:rPr>
          <w:lang w:val="es-CR"/>
        </w:rPr>
        <w:t>El 26 de septiembre de 2013 la Fiscalía Especializada</w:t>
      </w:r>
      <w:r>
        <w:rPr>
          <w:lang w:val="es-CR"/>
        </w:rPr>
        <w:t xml:space="preserve"> </w:t>
      </w:r>
      <w:r w:rsidRPr="00A625FE">
        <w:rPr>
          <w:lang w:val="es-CR"/>
        </w:rPr>
        <w:t xml:space="preserve">recibió una </w:t>
      </w:r>
      <w:r>
        <w:rPr>
          <w:lang w:val="es-CR"/>
        </w:rPr>
        <w:t>“</w:t>
      </w:r>
      <w:r w:rsidRPr="00A625FE">
        <w:rPr>
          <w:lang w:val="es-CR"/>
        </w:rPr>
        <w:t xml:space="preserve">declaración </w:t>
      </w:r>
      <w:r>
        <w:rPr>
          <w:lang w:val="es-CR"/>
        </w:rPr>
        <w:t xml:space="preserve">fiscal” </w:t>
      </w:r>
      <w:r w:rsidRPr="00A625FE">
        <w:rPr>
          <w:lang w:val="es-CR"/>
        </w:rPr>
        <w:t xml:space="preserve">del </w:t>
      </w:r>
      <w:r>
        <w:rPr>
          <w:lang w:val="es-CR"/>
        </w:rPr>
        <w:t>s</w:t>
      </w:r>
      <w:r w:rsidRPr="00A625FE">
        <w:rPr>
          <w:lang w:val="es-CR"/>
        </w:rPr>
        <w:t>eñor Galindo</w:t>
      </w:r>
      <w:r w:rsidRPr="00A625FE">
        <w:rPr>
          <w:rStyle w:val="FootnoteReference"/>
          <w:lang w:val="es-CR"/>
        </w:rPr>
        <w:footnoteReference w:id="149"/>
      </w:r>
      <w:r>
        <w:rPr>
          <w:lang w:val="es-CR"/>
        </w:rPr>
        <w:t xml:space="preserve">. </w:t>
      </w:r>
    </w:p>
    <w:p w:rsidR="006B0B0A" w:rsidRPr="00EF495E" w:rsidRDefault="006B0B0A" w:rsidP="006B0B0A">
      <w:pPr>
        <w:pStyle w:val="ListParagraph"/>
        <w:ind w:left="0"/>
        <w:jc w:val="both"/>
        <w:rPr>
          <w:sz w:val="20"/>
          <w:szCs w:val="20"/>
          <w:lang w:val="es-CR"/>
        </w:rPr>
      </w:pPr>
    </w:p>
    <w:p w:rsidR="006B0B0A" w:rsidRPr="00F810F3" w:rsidRDefault="006B0B0A" w:rsidP="006750DA">
      <w:pPr>
        <w:pStyle w:val="Estilo1"/>
        <w:numPr>
          <w:ilvl w:val="0"/>
          <w:numId w:val="1"/>
        </w:numPr>
        <w:tabs>
          <w:tab w:val="num" w:pos="18282"/>
        </w:tabs>
        <w:spacing w:after="0"/>
        <w:rPr>
          <w:lang w:val="es-CR"/>
        </w:rPr>
      </w:pPr>
      <w:r w:rsidRPr="00393FC8">
        <w:rPr>
          <w:lang w:val="es-CR"/>
        </w:rPr>
        <w:t xml:space="preserve">El 4 de octubre de 2013 la Fiscalía Especializada informó </w:t>
      </w:r>
      <w:r w:rsidRPr="008D2D9F">
        <w:rPr>
          <w:lang w:val="es-CR"/>
        </w:rPr>
        <w:t>a la Coordinación de la Fiscalía las actuaciones realizadas hasta ese momento</w:t>
      </w:r>
      <w:r w:rsidRPr="00393FC8">
        <w:rPr>
          <w:rStyle w:val="FootnoteReference"/>
          <w:lang w:val="es-CR"/>
        </w:rPr>
        <w:footnoteReference w:id="150"/>
      </w:r>
      <w:r w:rsidRPr="00393FC8">
        <w:rPr>
          <w:lang w:val="es-CR"/>
        </w:rPr>
        <w:t>.</w:t>
      </w:r>
    </w:p>
    <w:p w:rsidR="00F171DA" w:rsidRDefault="00F171DA" w:rsidP="008D2D9F">
      <w:pPr>
        <w:pStyle w:val="Estilo1"/>
        <w:numPr>
          <w:ilvl w:val="0"/>
          <w:numId w:val="0"/>
        </w:numPr>
        <w:spacing w:after="0"/>
        <w:rPr>
          <w:lang w:val="es-CR"/>
        </w:rPr>
      </w:pPr>
    </w:p>
    <w:p w:rsidR="006B0B0A" w:rsidRPr="008D2D9F" w:rsidRDefault="006B0B0A" w:rsidP="006750DA">
      <w:pPr>
        <w:pStyle w:val="Estilo1"/>
        <w:numPr>
          <w:ilvl w:val="0"/>
          <w:numId w:val="1"/>
        </w:numPr>
        <w:tabs>
          <w:tab w:val="num" w:pos="18282"/>
        </w:tabs>
        <w:spacing w:after="0"/>
        <w:rPr>
          <w:lang w:val="es-CR"/>
        </w:rPr>
      </w:pPr>
      <w:r w:rsidRPr="008D2D9F">
        <w:rPr>
          <w:lang w:val="es-CR"/>
        </w:rPr>
        <w:t>El 26 de diciembre de 2013 el Archivo Registral Físico del Registro Nacional de Identificación y Estado Civil (RENIEC) informó a la Fiscal Provincial que la inscripción de la persona que en 1994 era Jefe Político Militar de Huánuco se encontraba cancelada por motivo de fallecimiento y también indicó los datos de inscripción de otra persona</w:t>
      </w:r>
      <w:r w:rsidRPr="008D2D9F">
        <w:rPr>
          <w:rStyle w:val="FootnoteReference"/>
          <w:lang w:val="es-CR"/>
        </w:rPr>
        <w:footnoteReference w:id="151"/>
      </w:r>
      <w:r w:rsidRPr="008D2D9F">
        <w:rPr>
          <w:lang w:val="es-CR"/>
        </w:rPr>
        <w:t>.</w:t>
      </w:r>
    </w:p>
    <w:p w:rsidR="006B0B0A" w:rsidRDefault="006B0B0A" w:rsidP="006B0B0A">
      <w:pPr>
        <w:pStyle w:val="ListParagraph"/>
        <w:rPr>
          <w:lang w:val="es-CR"/>
        </w:rPr>
      </w:pPr>
    </w:p>
    <w:p w:rsidR="006B0B0A" w:rsidRPr="0094643F" w:rsidRDefault="006B0B0A" w:rsidP="006B0B0A">
      <w:pPr>
        <w:pStyle w:val="Estilo1"/>
        <w:numPr>
          <w:ilvl w:val="0"/>
          <w:numId w:val="1"/>
        </w:numPr>
        <w:tabs>
          <w:tab w:val="num" w:pos="18282"/>
        </w:tabs>
        <w:spacing w:after="0"/>
        <w:rPr>
          <w:lang w:val="es-CR"/>
        </w:rPr>
      </w:pPr>
      <w:r w:rsidRPr="0094643F">
        <w:rPr>
          <w:lang w:val="es-CR"/>
        </w:rPr>
        <w:t>Los días 17 de febrero y 10 de marzo de 2014</w:t>
      </w:r>
      <w:r w:rsidRPr="00A625FE">
        <w:rPr>
          <w:rStyle w:val="FootnoteReference"/>
          <w:lang w:val="es-CR"/>
        </w:rPr>
        <w:footnoteReference w:id="152"/>
      </w:r>
      <w:r w:rsidRPr="0094643F">
        <w:rPr>
          <w:lang w:val="es-CR"/>
        </w:rPr>
        <w:t xml:space="preserve"> se recibieron las declaraciones de dos personas. Una de ellas manifestó que</w:t>
      </w:r>
      <w:r>
        <w:rPr>
          <w:lang w:val="es-CR"/>
        </w:rPr>
        <w:t xml:space="preserve"> al señor Galindo</w:t>
      </w:r>
      <w:r w:rsidRPr="0094643F">
        <w:rPr>
          <w:lang w:val="es-CR"/>
        </w:rPr>
        <w:t xml:space="preserve"> “lo conoció en el año 1994 en la ciudad de Huánuco, en circunstancias de haberse apersonado [el señor Galindo] a la Jefatura Contra Terrorismo de </w:t>
      </w:r>
      <w:r>
        <w:rPr>
          <w:lang w:val="es-CR"/>
        </w:rPr>
        <w:t>[esa ciudad]</w:t>
      </w:r>
      <w:r w:rsidRPr="0094643F">
        <w:rPr>
          <w:lang w:val="es-CR"/>
        </w:rPr>
        <w:t>, donde el declarante ejercía la jefatura”. Agregó que</w:t>
      </w:r>
      <w:r>
        <w:rPr>
          <w:lang w:val="es-CR"/>
        </w:rPr>
        <w:t xml:space="preserve"> el declarante</w:t>
      </w:r>
      <w:r w:rsidRPr="0094643F">
        <w:rPr>
          <w:lang w:val="es-CR"/>
        </w:rPr>
        <w:t xml:space="preserve"> “</w:t>
      </w:r>
      <w:proofErr w:type="spellStart"/>
      <w:r w:rsidRPr="0094643F">
        <w:rPr>
          <w:lang w:val="es-CR"/>
        </w:rPr>
        <w:t>particip</w:t>
      </w:r>
      <w:proofErr w:type="spellEnd"/>
      <w:r w:rsidRPr="0094643F">
        <w:rPr>
          <w:lang w:val="es-CR"/>
        </w:rPr>
        <w:t>[</w:t>
      </w:r>
      <w:proofErr w:type="spellStart"/>
      <w:r w:rsidRPr="0094643F">
        <w:rPr>
          <w:lang w:val="es-CR"/>
        </w:rPr>
        <w:t>ó</w:t>
      </w:r>
      <w:proofErr w:type="spellEnd"/>
      <w:r w:rsidRPr="0094643F">
        <w:rPr>
          <w:lang w:val="es-CR"/>
        </w:rPr>
        <w:t>] en el trámite de [la] solicitud” de “</w:t>
      </w:r>
      <w:proofErr w:type="spellStart"/>
      <w:proofErr w:type="gramStart"/>
      <w:r w:rsidRPr="0094643F">
        <w:rPr>
          <w:lang w:val="es-CR"/>
        </w:rPr>
        <w:t>acog</w:t>
      </w:r>
      <w:proofErr w:type="spellEnd"/>
      <w:r w:rsidRPr="0094643F">
        <w:rPr>
          <w:lang w:val="es-CR"/>
        </w:rPr>
        <w:t>[</w:t>
      </w:r>
      <w:proofErr w:type="spellStart"/>
      <w:proofErr w:type="gramEnd"/>
      <w:r w:rsidRPr="0094643F">
        <w:rPr>
          <w:lang w:val="es-CR"/>
        </w:rPr>
        <w:t>imiento</w:t>
      </w:r>
      <w:proofErr w:type="spellEnd"/>
      <w:r w:rsidRPr="0094643F">
        <w:rPr>
          <w:lang w:val="es-CR"/>
        </w:rPr>
        <w:t>] a la Ley de Arrepentimiento de[l señor] Galindo” y que “durante dicho trámite en ningún momento le […] mención[</w:t>
      </w:r>
      <w:proofErr w:type="spellStart"/>
      <w:r w:rsidRPr="0094643F">
        <w:rPr>
          <w:lang w:val="es-CR"/>
        </w:rPr>
        <w:t>ó</w:t>
      </w:r>
      <w:proofErr w:type="spellEnd"/>
      <w:r w:rsidRPr="0094643F">
        <w:rPr>
          <w:lang w:val="es-CR"/>
        </w:rPr>
        <w:t>] que habría sido víctima de tortura psicológica […] y tampoco denotaban signos de tortura física ni mental”. La otra persona declaró que “</w:t>
      </w:r>
      <w:proofErr w:type="spellStart"/>
      <w:proofErr w:type="gramStart"/>
      <w:r w:rsidRPr="0094643F">
        <w:rPr>
          <w:lang w:val="es-CR"/>
        </w:rPr>
        <w:t>conoc</w:t>
      </w:r>
      <w:proofErr w:type="spellEnd"/>
      <w:r>
        <w:rPr>
          <w:lang w:val="es-CR"/>
        </w:rPr>
        <w:t>[</w:t>
      </w:r>
      <w:proofErr w:type="spellStart"/>
      <w:proofErr w:type="gramEnd"/>
      <w:r w:rsidRPr="0094643F">
        <w:rPr>
          <w:lang w:val="es-CR"/>
        </w:rPr>
        <w:t>ió</w:t>
      </w:r>
      <w:proofErr w:type="spellEnd"/>
      <w:r w:rsidRPr="0094643F">
        <w:rPr>
          <w:lang w:val="es-CR"/>
        </w:rPr>
        <w:t xml:space="preserve"> al señor Galindo] en el Cuartel del Ejército de Huánuco, cuando fu[</w:t>
      </w:r>
      <w:proofErr w:type="spellStart"/>
      <w:r w:rsidRPr="0094643F">
        <w:rPr>
          <w:lang w:val="es-CR"/>
        </w:rPr>
        <w:t>eron</w:t>
      </w:r>
      <w:proofErr w:type="spellEnd"/>
      <w:r w:rsidRPr="0094643F">
        <w:rPr>
          <w:lang w:val="es-CR"/>
        </w:rPr>
        <w:t xml:space="preserve"> ambos] alojados [allí]”, y señaló, </w:t>
      </w:r>
      <w:r w:rsidRPr="0094643F">
        <w:rPr>
          <w:i/>
          <w:lang w:val="es-CR"/>
        </w:rPr>
        <w:t xml:space="preserve">inter </w:t>
      </w:r>
      <w:proofErr w:type="spellStart"/>
      <w:r w:rsidRPr="0094643F">
        <w:rPr>
          <w:i/>
          <w:lang w:val="es-CR"/>
        </w:rPr>
        <w:t>alia</w:t>
      </w:r>
      <w:proofErr w:type="spellEnd"/>
      <w:r w:rsidRPr="0094643F">
        <w:rPr>
          <w:i/>
          <w:lang w:val="es-CR"/>
        </w:rPr>
        <w:t xml:space="preserve">, </w:t>
      </w:r>
      <w:r w:rsidRPr="0094643F">
        <w:rPr>
          <w:lang w:val="es-CR"/>
        </w:rPr>
        <w:t xml:space="preserve">que “durante el tiempo que </w:t>
      </w:r>
      <w:proofErr w:type="spellStart"/>
      <w:r w:rsidRPr="0094643F">
        <w:rPr>
          <w:lang w:val="es-CR"/>
        </w:rPr>
        <w:t>permaneci</w:t>
      </w:r>
      <w:proofErr w:type="spellEnd"/>
      <w:r w:rsidRPr="0094643F">
        <w:rPr>
          <w:lang w:val="es-CR"/>
        </w:rPr>
        <w:t>[</w:t>
      </w:r>
      <w:proofErr w:type="spellStart"/>
      <w:r w:rsidRPr="0094643F">
        <w:rPr>
          <w:lang w:val="es-CR"/>
        </w:rPr>
        <w:t>ó</w:t>
      </w:r>
      <w:proofErr w:type="spellEnd"/>
      <w:r w:rsidRPr="0094643F">
        <w:rPr>
          <w:lang w:val="es-CR"/>
        </w:rPr>
        <w:t xml:space="preserve">] en el Cuartel” junto con el señor Galindo, recibieron un </w:t>
      </w:r>
      <w:r>
        <w:rPr>
          <w:lang w:val="es-CR"/>
        </w:rPr>
        <w:t>“</w:t>
      </w:r>
      <w:r w:rsidRPr="0094643F">
        <w:rPr>
          <w:lang w:val="es-CR"/>
        </w:rPr>
        <w:t xml:space="preserve">trato </w:t>
      </w:r>
      <w:r>
        <w:rPr>
          <w:lang w:val="es-CR"/>
        </w:rPr>
        <w:t xml:space="preserve">[que] era </w:t>
      </w:r>
      <w:r w:rsidRPr="0094643F">
        <w:rPr>
          <w:lang w:val="es-CR"/>
        </w:rPr>
        <w:t xml:space="preserve">cordial, […] no </w:t>
      </w:r>
      <w:r>
        <w:rPr>
          <w:lang w:val="es-CR"/>
        </w:rPr>
        <w:t>[</w:t>
      </w:r>
      <w:r w:rsidRPr="0094643F">
        <w:rPr>
          <w:lang w:val="es-CR"/>
        </w:rPr>
        <w:t>los</w:t>
      </w:r>
      <w:r>
        <w:rPr>
          <w:lang w:val="es-CR"/>
        </w:rPr>
        <w:t>]</w:t>
      </w:r>
      <w:r w:rsidRPr="0094643F">
        <w:rPr>
          <w:lang w:val="es-CR"/>
        </w:rPr>
        <w:t xml:space="preserve"> maltrataron físicamente, no hubo interrogatorios […]. La incertidumbre era una especie de tortura psicológica”.</w:t>
      </w:r>
      <w:r w:rsidRPr="0094643F">
        <w:rPr>
          <w:b/>
          <w:lang w:val="es-CR"/>
        </w:rPr>
        <w:t xml:space="preserve"> </w:t>
      </w:r>
      <w:r w:rsidRPr="001A4A05">
        <w:rPr>
          <w:lang w:val="es-CR"/>
        </w:rPr>
        <w:t xml:space="preserve">El 17 de abril de 2015 la segunda persona amplió su declaración, explicando, entre otras cosas, que </w:t>
      </w:r>
      <w:r w:rsidRPr="001A4A05">
        <w:rPr>
          <w:lang w:val="es-CR"/>
        </w:rPr>
        <w:lastRenderedPageBreak/>
        <w:t>no compartió habitación con el señor Galindo, pero sí servicios higiénicos, y que por la noche “</w:t>
      </w:r>
      <w:proofErr w:type="spellStart"/>
      <w:proofErr w:type="gramStart"/>
      <w:r w:rsidRPr="001A4A05">
        <w:rPr>
          <w:lang w:val="es-CR"/>
        </w:rPr>
        <w:t>escuch</w:t>
      </w:r>
      <w:proofErr w:type="spellEnd"/>
      <w:r>
        <w:rPr>
          <w:lang w:val="es-CR"/>
        </w:rPr>
        <w:t>[</w:t>
      </w:r>
      <w:proofErr w:type="spellStart"/>
      <w:proofErr w:type="gramEnd"/>
      <w:r w:rsidRPr="001A4A05">
        <w:rPr>
          <w:lang w:val="es-CR"/>
        </w:rPr>
        <w:t>aban</w:t>
      </w:r>
      <w:proofErr w:type="spellEnd"/>
      <w:r>
        <w:rPr>
          <w:lang w:val="es-CR"/>
        </w:rPr>
        <w:t>]</w:t>
      </w:r>
      <w:r w:rsidRPr="001A4A05">
        <w:rPr>
          <w:lang w:val="es-CR"/>
        </w:rPr>
        <w:t xml:space="preserve"> bulla</w:t>
      </w:r>
      <w:r>
        <w:rPr>
          <w:lang w:val="es-CR"/>
        </w:rPr>
        <w:t xml:space="preserve"> [y] gritos</w:t>
      </w:r>
      <w:r w:rsidRPr="001A4A05">
        <w:rPr>
          <w:lang w:val="es-CR"/>
        </w:rPr>
        <w:t>[,] al parecer de torturas reales”</w:t>
      </w:r>
      <w:r w:rsidRPr="001A4A05">
        <w:rPr>
          <w:rStyle w:val="FootnoteReference"/>
          <w:lang w:val="es-CR"/>
        </w:rPr>
        <w:footnoteReference w:id="153"/>
      </w:r>
      <w:r w:rsidRPr="001A4A05">
        <w:rPr>
          <w:lang w:val="es-CR"/>
        </w:rPr>
        <w:t>.</w:t>
      </w:r>
    </w:p>
    <w:p w:rsidR="006B0B0A" w:rsidRPr="00A625FE" w:rsidRDefault="006B0B0A" w:rsidP="006B0B0A">
      <w:pPr>
        <w:pStyle w:val="ListParagraph"/>
        <w:ind w:left="0"/>
        <w:jc w:val="both"/>
        <w:rPr>
          <w:sz w:val="20"/>
          <w:szCs w:val="20"/>
          <w:lang w:val="es-CR"/>
        </w:rPr>
      </w:pPr>
    </w:p>
    <w:p w:rsidR="006B0B0A" w:rsidRPr="00A625FE" w:rsidRDefault="006B0B0A" w:rsidP="006B0B0A">
      <w:pPr>
        <w:pStyle w:val="Estilo1"/>
        <w:numPr>
          <w:ilvl w:val="0"/>
          <w:numId w:val="1"/>
        </w:numPr>
        <w:tabs>
          <w:tab w:val="num" w:pos="18282"/>
        </w:tabs>
        <w:spacing w:after="0"/>
        <w:rPr>
          <w:lang w:val="es-CR"/>
        </w:rPr>
      </w:pPr>
      <w:r w:rsidRPr="008D2D9F">
        <w:rPr>
          <w:lang w:val="es-CR"/>
        </w:rPr>
        <w:t>La Fiscalía Especializada y la División Clínico Forense del Instituto de Medicina Legal programaron una evaluación psiquiátrica al señor Galindo para</w:t>
      </w:r>
      <w:r>
        <w:rPr>
          <w:lang w:val="es-CR"/>
        </w:rPr>
        <w:t xml:space="preserve"> el día 10 de marzo </w:t>
      </w:r>
      <w:r w:rsidRPr="008D2D9F">
        <w:rPr>
          <w:lang w:val="es-CR"/>
        </w:rPr>
        <w:t>de 2014, que luego fue reprogramada para los días</w:t>
      </w:r>
      <w:r>
        <w:rPr>
          <w:lang w:val="es-CR"/>
        </w:rPr>
        <w:t xml:space="preserve"> 9 de mayo, 20 de junio y 16 de julio de 2014,</w:t>
      </w:r>
      <w:r w:rsidRPr="00A625FE">
        <w:rPr>
          <w:lang w:val="es-CR"/>
        </w:rPr>
        <w:t xml:space="preserve"> </w:t>
      </w:r>
      <w:r>
        <w:rPr>
          <w:lang w:val="es-CR"/>
        </w:rPr>
        <w:t>fechas en las</w:t>
      </w:r>
      <w:r w:rsidRPr="00A625FE">
        <w:rPr>
          <w:lang w:val="es-CR"/>
        </w:rPr>
        <w:t xml:space="preserve"> que </w:t>
      </w:r>
      <w:r>
        <w:rPr>
          <w:lang w:val="es-CR"/>
        </w:rPr>
        <w:t>el señor Galindo</w:t>
      </w:r>
      <w:r w:rsidRPr="00A625FE">
        <w:rPr>
          <w:lang w:val="es-CR"/>
        </w:rPr>
        <w:t xml:space="preserve"> no concurrió</w:t>
      </w:r>
      <w:r w:rsidRPr="00A625FE">
        <w:rPr>
          <w:rStyle w:val="FootnoteReference"/>
          <w:lang w:val="es-CR"/>
        </w:rPr>
        <w:footnoteReference w:id="154"/>
      </w:r>
      <w:r>
        <w:rPr>
          <w:lang w:val="es-CR"/>
        </w:rPr>
        <w:t xml:space="preserve">. </w:t>
      </w:r>
    </w:p>
    <w:p w:rsidR="006B0B0A" w:rsidRPr="00A625FE" w:rsidRDefault="006B0B0A" w:rsidP="006B0B0A">
      <w:pPr>
        <w:rPr>
          <w:szCs w:val="20"/>
          <w:lang w:val="es-CR"/>
        </w:rPr>
      </w:pPr>
    </w:p>
    <w:p w:rsidR="006B0B0A" w:rsidRPr="00A625FE" w:rsidRDefault="006B0B0A" w:rsidP="006B0B0A">
      <w:pPr>
        <w:pStyle w:val="Estilo1"/>
        <w:numPr>
          <w:ilvl w:val="0"/>
          <w:numId w:val="1"/>
        </w:numPr>
        <w:tabs>
          <w:tab w:val="num" w:pos="18282"/>
        </w:tabs>
        <w:spacing w:after="0"/>
        <w:rPr>
          <w:lang w:val="es-CR"/>
        </w:rPr>
      </w:pPr>
      <w:r w:rsidRPr="008D2D9F">
        <w:rPr>
          <w:lang w:val="es-CR"/>
        </w:rPr>
        <w:t>El 14 de julio de 2014 el señor Galindo se presentó ante el Fiscal Provincial Adjunto para participar de una diligencia de “[c]</w:t>
      </w:r>
      <w:proofErr w:type="spellStart"/>
      <w:r w:rsidRPr="008D2D9F">
        <w:rPr>
          <w:lang w:val="es-CR"/>
        </w:rPr>
        <w:t>onstatación</w:t>
      </w:r>
      <w:proofErr w:type="spellEnd"/>
      <w:r w:rsidRPr="008D2D9F">
        <w:rPr>
          <w:lang w:val="es-CR"/>
        </w:rPr>
        <w:t xml:space="preserve"> y [v]</w:t>
      </w:r>
      <w:proofErr w:type="spellStart"/>
      <w:r w:rsidRPr="008D2D9F">
        <w:rPr>
          <w:lang w:val="es-CR"/>
        </w:rPr>
        <w:t>erificación</w:t>
      </w:r>
      <w:proofErr w:type="spellEnd"/>
      <w:r w:rsidRPr="008D2D9F">
        <w:rPr>
          <w:lang w:val="es-CR"/>
        </w:rPr>
        <w:t xml:space="preserve"> de los ambientes del Cuartel Militar de </w:t>
      </w:r>
      <w:proofErr w:type="spellStart"/>
      <w:r w:rsidRPr="008D2D9F">
        <w:rPr>
          <w:lang w:val="es-CR"/>
        </w:rPr>
        <w:t>Yanac</w:t>
      </w:r>
      <w:proofErr w:type="spellEnd"/>
      <w:r w:rsidRPr="00BD1DDC">
        <w:rPr>
          <w:lang w:val="es-CR"/>
        </w:rPr>
        <w:t>”,</w:t>
      </w:r>
      <w:r>
        <w:rPr>
          <w:lang w:val="es-CR"/>
        </w:rPr>
        <w:t xml:space="preserve"> pero la diligencia se reprogramó para el 3 de agosto de 2014</w:t>
      </w:r>
      <w:r>
        <w:rPr>
          <w:rStyle w:val="FootnoteReference"/>
          <w:lang w:val="es-CR"/>
        </w:rPr>
        <w:footnoteReference w:id="155"/>
      </w:r>
      <w:r>
        <w:rPr>
          <w:lang w:val="es-CR"/>
        </w:rPr>
        <w:t>. No obstante la diligencia, que se había reprogramado varias veces antes</w:t>
      </w:r>
      <w:r w:rsidRPr="00A625FE">
        <w:rPr>
          <w:rStyle w:val="FootnoteReference"/>
          <w:lang w:val="es-CR"/>
        </w:rPr>
        <w:footnoteReference w:id="156"/>
      </w:r>
      <w:r>
        <w:rPr>
          <w:lang w:val="es-CR"/>
        </w:rPr>
        <w:t xml:space="preserve">, </w:t>
      </w:r>
      <w:r w:rsidRPr="008D2D9F">
        <w:rPr>
          <w:lang w:val="es-CR"/>
        </w:rPr>
        <w:t>se efectuó el 27 de agosto de 2014</w:t>
      </w:r>
      <w:r>
        <w:rPr>
          <w:lang w:val="es-CR"/>
        </w:rPr>
        <w:t xml:space="preserve"> en “las instalaciones del Batallón de Infantería de Reserva No. 201</w:t>
      </w:r>
      <w:r w:rsidR="004D6A6F">
        <w:rPr>
          <w:lang w:val="es-CR"/>
        </w:rPr>
        <w:t xml:space="preserve"> </w:t>
      </w:r>
      <w:r>
        <w:rPr>
          <w:lang w:val="es-CR"/>
        </w:rPr>
        <w:t>(antes B</w:t>
      </w:r>
      <w:r w:rsidR="00502614">
        <w:rPr>
          <w:lang w:val="es-CR"/>
        </w:rPr>
        <w:t xml:space="preserve">atallón Centro </w:t>
      </w:r>
      <w:proofErr w:type="spellStart"/>
      <w:r w:rsidR="00502614">
        <w:rPr>
          <w:lang w:val="es-CR"/>
        </w:rPr>
        <w:t>Subersivo</w:t>
      </w:r>
      <w:proofErr w:type="spellEnd"/>
      <w:r w:rsidR="00502614">
        <w:rPr>
          <w:lang w:val="es-CR"/>
        </w:rPr>
        <w:t xml:space="preserve"> No.314</w:t>
      </w:r>
      <w:r>
        <w:rPr>
          <w:lang w:val="es-CR"/>
        </w:rPr>
        <w:t>–</w:t>
      </w:r>
      <w:proofErr w:type="spellStart"/>
      <w:r>
        <w:rPr>
          <w:lang w:val="es-CR"/>
        </w:rPr>
        <w:t>Yanac</w:t>
      </w:r>
      <w:proofErr w:type="spellEnd"/>
      <w:r>
        <w:rPr>
          <w:lang w:val="es-CR"/>
        </w:rPr>
        <w:t>)”, sin que conste en el acta respectiva que el señor Galindo estuviera presente</w:t>
      </w:r>
      <w:r>
        <w:rPr>
          <w:rStyle w:val="FootnoteReference"/>
          <w:lang w:val="es-CR"/>
        </w:rPr>
        <w:footnoteReference w:id="157"/>
      </w:r>
      <w:r>
        <w:rPr>
          <w:lang w:val="es-CR"/>
        </w:rPr>
        <w:t xml:space="preserve">. </w:t>
      </w:r>
    </w:p>
    <w:p w:rsidR="006B0B0A" w:rsidRPr="00A625FE" w:rsidRDefault="006B0B0A" w:rsidP="006B0B0A">
      <w:pPr>
        <w:rPr>
          <w:szCs w:val="20"/>
          <w:lang w:val="es-CR"/>
        </w:rPr>
      </w:pPr>
    </w:p>
    <w:p w:rsidR="006B0B0A" w:rsidRDefault="006B0B0A" w:rsidP="006B0B0A">
      <w:pPr>
        <w:pStyle w:val="Estilo1"/>
        <w:numPr>
          <w:ilvl w:val="0"/>
          <w:numId w:val="1"/>
        </w:numPr>
        <w:tabs>
          <w:tab w:val="num" w:pos="18282"/>
        </w:tabs>
        <w:spacing w:after="0"/>
        <w:rPr>
          <w:lang w:val="es-CR"/>
        </w:rPr>
      </w:pPr>
      <w:r w:rsidRPr="00393FC8">
        <w:rPr>
          <w:lang w:val="es-CR"/>
        </w:rPr>
        <w:t xml:space="preserve">El </w:t>
      </w:r>
      <w:r>
        <w:rPr>
          <w:lang w:val="es-CR"/>
        </w:rPr>
        <w:t>4</w:t>
      </w:r>
      <w:r w:rsidRPr="00393FC8">
        <w:rPr>
          <w:lang w:val="es-CR"/>
        </w:rPr>
        <w:t xml:space="preserve"> de julio de 2014 la Coordinación de la Fiscalía comunicó a la Procurad</w:t>
      </w:r>
      <w:r>
        <w:rPr>
          <w:lang w:val="es-CR"/>
        </w:rPr>
        <w:t>u</w:t>
      </w:r>
      <w:r w:rsidRPr="00393FC8">
        <w:rPr>
          <w:lang w:val="es-CR"/>
        </w:rPr>
        <w:t>r</w:t>
      </w:r>
      <w:r>
        <w:rPr>
          <w:lang w:val="es-CR"/>
        </w:rPr>
        <w:t>í</w:t>
      </w:r>
      <w:r w:rsidRPr="00393FC8">
        <w:rPr>
          <w:lang w:val="es-CR"/>
        </w:rPr>
        <w:t>a Pública Supranacional las diligencias realizadas en el marco de las investigaciones</w:t>
      </w:r>
      <w:r>
        <w:rPr>
          <w:lang w:val="es-CR"/>
        </w:rPr>
        <w:t xml:space="preserve">, </w:t>
      </w:r>
      <w:r w:rsidRPr="008D2D9F">
        <w:rPr>
          <w:lang w:val="es-CR"/>
        </w:rPr>
        <w:t>remitiendo un informe de la Fiscal Provincial</w:t>
      </w:r>
      <w:r w:rsidRPr="00393FC8">
        <w:rPr>
          <w:rStyle w:val="FootnoteReference"/>
          <w:lang w:val="es-CR"/>
        </w:rPr>
        <w:footnoteReference w:id="158"/>
      </w:r>
      <w:r w:rsidRPr="00393FC8">
        <w:rPr>
          <w:lang w:val="es-CR"/>
        </w:rPr>
        <w:t xml:space="preserve">. </w:t>
      </w:r>
    </w:p>
    <w:p w:rsidR="006B0B0A" w:rsidRDefault="006B0B0A" w:rsidP="00F810F3">
      <w:pPr>
        <w:pStyle w:val="ListParagraph"/>
        <w:rPr>
          <w:lang w:val="es-CR"/>
        </w:rPr>
      </w:pPr>
    </w:p>
    <w:p w:rsidR="006B0B0A" w:rsidRPr="008D2D9F" w:rsidRDefault="006B0B0A" w:rsidP="006B0B0A">
      <w:pPr>
        <w:pStyle w:val="Estilo1"/>
        <w:numPr>
          <w:ilvl w:val="0"/>
          <w:numId w:val="1"/>
        </w:numPr>
        <w:tabs>
          <w:tab w:val="num" w:pos="18282"/>
        </w:tabs>
        <w:spacing w:after="0"/>
        <w:rPr>
          <w:lang w:val="es-CR"/>
        </w:rPr>
      </w:pPr>
      <w:r w:rsidRPr="008D2D9F">
        <w:rPr>
          <w:lang w:val="es-CR"/>
        </w:rPr>
        <w:t>El 26 de agosto de 2014 el Fiscal Adjunto Provincial dejó constancia de que ese día se “</w:t>
      </w:r>
      <w:proofErr w:type="gramStart"/>
      <w:r w:rsidRPr="008D2D9F">
        <w:rPr>
          <w:lang w:val="es-CR"/>
        </w:rPr>
        <w:t>recaba[</w:t>
      </w:r>
      <w:proofErr w:type="gramEnd"/>
      <w:r w:rsidRPr="008D2D9F">
        <w:rPr>
          <w:lang w:val="es-CR"/>
        </w:rPr>
        <w:t>ría] la declaración de[l señor Galindo], por el presunto delito contra la humanidad en la modalidad de tortura”, pero que ese acto “no se llevó a cabo por inconcurrencia del referido declarante, pese a haber sido notificado de manera oportuna”</w:t>
      </w:r>
      <w:r w:rsidRPr="008D2D9F">
        <w:rPr>
          <w:rStyle w:val="FootnoteReference"/>
          <w:lang w:val="es-CR"/>
        </w:rPr>
        <w:footnoteReference w:id="159"/>
      </w:r>
      <w:r w:rsidRPr="008D2D9F">
        <w:rPr>
          <w:lang w:val="es-CR"/>
        </w:rPr>
        <w:t xml:space="preserve">. </w:t>
      </w:r>
    </w:p>
    <w:p w:rsidR="006B0B0A" w:rsidRPr="005158AC" w:rsidRDefault="006B0B0A" w:rsidP="006B0B0A">
      <w:pPr>
        <w:rPr>
          <w:lang w:val="es-CR"/>
        </w:rPr>
      </w:pPr>
    </w:p>
    <w:p w:rsidR="006B0B0A" w:rsidRDefault="006B0B0A" w:rsidP="006B0B0A">
      <w:pPr>
        <w:pStyle w:val="Estilo1"/>
        <w:numPr>
          <w:ilvl w:val="0"/>
          <w:numId w:val="1"/>
        </w:numPr>
        <w:tabs>
          <w:tab w:val="num" w:pos="18282"/>
        </w:tabs>
        <w:spacing w:after="0"/>
        <w:rPr>
          <w:lang w:val="es-CR"/>
        </w:rPr>
      </w:pPr>
      <w:r w:rsidRPr="00AC69AE">
        <w:rPr>
          <w:lang w:val="es-CR"/>
        </w:rPr>
        <w:t>El</w:t>
      </w:r>
      <w:r>
        <w:rPr>
          <w:lang w:val="es-CR"/>
        </w:rPr>
        <w:t xml:space="preserve"> 5 de enero de 2015 </w:t>
      </w:r>
      <w:r w:rsidRPr="00A625FE">
        <w:rPr>
          <w:lang w:val="es-CR"/>
        </w:rPr>
        <w:t>la Fiscalía Especializada</w:t>
      </w:r>
      <w:r>
        <w:rPr>
          <w:lang w:val="es-CR"/>
        </w:rPr>
        <w:t xml:space="preserve"> programó para el 12 de enero de 2015 la “declaración indagatoria fiscal </w:t>
      </w:r>
      <w:proofErr w:type="spellStart"/>
      <w:r>
        <w:rPr>
          <w:lang w:val="es-CR"/>
        </w:rPr>
        <w:t>ampliatori</w:t>
      </w:r>
      <w:proofErr w:type="spellEnd"/>
      <w:r>
        <w:rPr>
          <w:lang w:val="es-CR"/>
        </w:rPr>
        <w:t xml:space="preserve">[a]” de </w:t>
      </w:r>
      <w:r w:rsidRPr="008D2D9F">
        <w:rPr>
          <w:lang w:val="es-CR"/>
        </w:rPr>
        <w:t xml:space="preserve">quien había expresado haber estado alojado en el Cuartel del Ejército de Huánuco al mismo tiempo que el señor Galindo </w:t>
      </w:r>
      <w:r>
        <w:rPr>
          <w:lang w:val="es-CR"/>
        </w:rPr>
        <w:t>(</w:t>
      </w:r>
      <w:r>
        <w:rPr>
          <w:i/>
          <w:lang w:val="es-CR"/>
        </w:rPr>
        <w:t>supra</w:t>
      </w:r>
      <w:r w:rsidR="00AB4251">
        <w:rPr>
          <w:lang w:val="es-CR"/>
        </w:rPr>
        <w:t xml:space="preserve"> párr. 160</w:t>
      </w:r>
      <w:r>
        <w:rPr>
          <w:lang w:val="es-CR"/>
        </w:rPr>
        <w:t xml:space="preserve">), quien no compareció, por lo que se reprogramó la fecha </w:t>
      </w:r>
      <w:r w:rsidRPr="008D2D9F">
        <w:rPr>
          <w:lang w:val="es-CR"/>
        </w:rPr>
        <w:t>para el 21 de enero del mismo año</w:t>
      </w:r>
      <w:r w:rsidRPr="00BD1DDC">
        <w:rPr>
          <w:lang w:val="es-CR"/>
        </w:rPr>
        <w:t>.</w:t>
      </w:r>
      <w:r>
        <w:rPr>
          <w:lang w:val="es-CR"/>
        </w:rPr>
        <w:t xml:space="preserve"> En vista de la nueva incomparecencia de dicha persona, el 3 de febrero de 2015 </w:t>
      </w:r>
      <w:r w:rsidRPr="00A625FE">
        <w:rPr>
          <w:lang w:val="es-CR"/>
        </w:rPr>
        <w:t>la Fiscal</w:t>
      </w:r>
      <w:r>
        <w:rPr>
          <w:lang w:val="es-CR"/>
        </w:rPr>
        <w:t xml:space="preserve"> Provincial</w:t>
      </w:r>
      <w:r w:rsidRPr="00A625FE">
        <w:rPr>
          <w:lang w:val="es-CR"/>
        </w:rPr>
        <w:t xml:space="preserve"> </w:t>
      </w:r>
      <w:r>
        <w:rPr>
          <w:lang w:val="es-CR"/>
        </w:rPr>
        <w:t>dispuso reprogramar “por última vez” la recepción de la referida declaración para el 23 de</w:t>
      </w:r>
      <w:r w:rsidR="006750DA">
        <w:rPr>
          <w:lang w:val="es-CR"/>
        </w:rPr>
        <w:t xml:space="preserve"> los</w:t>
      </w:r>
      <w:r>
        <w:rPr>
          <w:lang w:val="es-CR"/>
        </w:rPr>
        <w:t xml:space="preserve"> mismo</w:t>
      </w:r>
      <w:r w:rsidR="006750DA">
        <w:rPr>
          <w:lang w:val="es-CR"/>
        </w:rPr>
        <w:t>s</w:t>
      </w:r>
      <w:r>
        <w:rPr>
          <w:lang w:val="es-CR"/>
        </w:rPr>
        <w:t xml:space="preserve"> mes y año</w:t>
      </w:r>
      <w:r w:rsidRPr="00A625FE">
        <w:rPr>
          <w:rStyle w:val="FootnoteReference"/>
          <w:lang w:val="es-CR"/>
        </w:rPr>
        <w:footnoteReference w:id="160"/>
      </w:r>
      <w:r w:rsidR="00C44EDC">
        <w:rPr>
          <w:lang w:val="es-CR"/>
        </w:rPr>
        <w:t xml:space="preserve">, </w:t>
      </w:r>
      <w:r w:rsidR="00C44EDC" w:rsidRPr="00DF3EE2">
        <w:rPr>
          <w:lang w:val="es-CR"/>
        </w:rPr>
        <w:t xml:space="preserve">y el 17 de abril de 2015 </w:t>
      </w:r>
      <w:r w:rsidR="00C04F84" w:rsidRPr="00DF3EE2">
        <w:rPr>
          <w:lang w:val="es-CR"/>
        </w:rPr>
        <w:t xml:space="preserve">dicha persona </w:t>
      </w:r>
      <w:r w:rsidR="00C44EDC" w:rsidRPr="00DF3EE2">
        <w:rPr>
          <w:lang w:val="es-CR"/>
        </w:rPr>
        <w:t>rindió una ampliación de la declaración indagatoria</w:t>
      </w:r>
      <w:r w:rsidR="00C44EDC">
        <w:rPr>
          <w:lang w:val="es-CR"/>
        </w:rPr>
        <w:t xml:space="preserve">, </w:t>
      </w:r>
      <w:r w:rsidRPr="00834F27">
        <w:rPr>
          <w:lang w:val="es-CR"/>
        </w:rPr>
        <w:t>según documentación presentada</w:t>
      </w:r>
      <w:r>
        <w:rPr>
          <w:lang w:val="es-CR"/>
        </w:rPr>
        <w:t xml:space="preserve"> a la Corte</w:t>
      </w:r>
      <w:r w:rsidRPr="00834F27">
        <w:rPr>
          <w:lang w:val="es-CR"/>
        </w:rPr>
        <w:t xml:space="preserve"> el 24 de junio de 2015</w:t>
      </w:r>
      <w:r w:rsidR="00C04F84">
        <w:rPr>
          <w:lang w:val="es-CR"/>
        </w:rPr>
        <w:t xml:space="preserve"> </w:t>
      </w:r>
      <w:r w:rsidRPr="00834F27">
        <w:rPr>
          <w:lang w:val="es-CR"/>
        </w:rPr>
        <w:t>(</w:t>
      </w:r>
      <w:r w:rsidRPr="00834F27">
        <w:rPr>
          <w:i/>
          <w:lang w:val="es-CR"/>
        </w:rPr>
        <w:t>supra</w:t>
      </w:r>
      <w:r w:rsidRPr="00834F27">
        <w:rPr>
          <w:lang w:val="es-CR"/>
        </w:rPr>
        <w:t xml:space="preserve"> párr. </w:t>
      </w:r>
      <w:r>
        <w:rPr>
          <w:lang w:val="es-CR"/>
        </w:rPr>
        <w:t>1</w:t>
      </w:r>
      <w:r w:rsidR="00AB4251">
        <w:rPr>
          <w:lang w:val="es-CR"/>
        </w:rPr>
        <w:t>60</w:t>
      </w:r>
      <w:r w:rsidRPr="00834F27">
        <w:rPr>
          <w:lang w:val="es-CR"/>
        </w:rPr>
        <w:t xml:space="preserve">). </w:t>
      </w:r>
      <w:r>
        <w:rPr>
          <w:lang w:val="es-CR"/>
        </w:rPr>
        <w:t xml:space="preserve">Este es el último acto interno de investigación </w:t>
      </w:r>
      <w:r w:rsidR="00C55D3D">
        <w:rPr>
          <w:lang w:val="es-CR"/>
        </w:rPr>
        <w:t>con que cuenta este Tribunal</w:t>
      </w:r>
      <w:r w:rsidR="00DF3EE2">
        <w:rPr>
          <w:lang w:val="es-CR"/>
        </w:rPr>
        <w:t>,</w:t>
      </w:r>
      <w:r w:rsidR="00C55D3D">
        <w:rPr>
          <w:lang w:val="es-CR"/>
        </w:rPr>
        <w:t xml:space="preserve"> de acuerdo al</w:t>
      </w:r>
      <w:r>
        <w:rPr>
          <w:lang w:val="es-CR"/>
        </w:rPr>
        <w:t xml:space="preserve"> acervo probatorio</w:t>
      </w:r>
      <w:r w:rsidR="00781E0D">
        <w:rPr>
          <w:lang w:val="es-CR"/>
        </w:rPr>
        <w:t xml:space="preserve"> </w:t>
      </w:r>
      <w:r w:rsidR="00C55D3D">
        <w:rPr>
          <w:lang w:val="es-CR"/>
        </w:rPr>
        <w:t>aportado.</w:t>
      </w:r>
    </w:p>
    <w:p w:rsidR="00DF3EE2" w:rsidRDefault="00DF3EE2" w:rsidP="00DF3EE2">
      <w:pPr>
        <w:pStyle w:val="ListParagraph"/>
        <w:rPr>
          <w:lang w:val="es-CR"/>
        </w:rPr>
      </w:pPr>
    </w:p>
    <w:p w:rsidR="006B0B0A" w:rsidRDefault="006B0B0A" w:rsidP="0094736F">
      <w:pPr>
        <w:pStyle w:val="ListParagraph"/>
        <w:ind w:left="0"/>
        <w:jc w:val="center"/>
        <w:outlineLvl w:val="0"/>
        <w:rPr>
          <w:b/>
          <w:sz w:val="20"/>
          <w:szCs w:val="20"/>
          <w:lang w:val="es-CR"/>
        </w:rPr>
      </w:pPr>
    </w:p>
    <w:p w:rsidR="00FA45FB" w:rsidRPr="001B0574" w:rsidRDefault="00FA45FB" w:rsidP="0094736F">
      <w:pPr>
        <w:pStyle w:val="ListParagraph"/>
        <w:ind w:left="0"/>
        <w:jc w:val="center"/>
        <w:outlineLvl w:val="0"/>
        <w:rPr>
          <w:b/>
          <w:sz w:val="20"/>
          <w:szCs w:val="20"/>
        </w:rPr>
      </w:pPr>
      <w:bookmarkStart w:id="280" w:name="_Toc438129713"/>
      <w:r w:rsidRPr="001B0574">
        <w:rPr>
          <w:b/>
          <w:sz w:val="20"/>
          <w:szCs w:val="20"/>
        </w:rPr>
        <w:lastRenderedPageBreak/>
        <w:t>VII</w:t>
      </w:r>
      <w:r w:rsidR="002E6D7E">
        <w:rPr>
          <w:b/>
          <w:sz w:val="20"/>
          <w:szCs w:val="20"/>
        </w:rPr>
        <w:t>I</w:t>
      </w:r>
      <w:bookmarkEnd w:id="280"/>
    </w:p>
    <w:p w:rsidR="00FA45FB" w:rsidRPr="001B0574" w:rsidRDefault="00FA45FB" w:rsidP="0094736F">
      <w:pPr>
        <w:pStyle w:val="ListParagraph"/>
        <w:ind w:left="0"/>
        <w:jc w:val="center"/>
        <w:outlineLvl w:val="0"/>
        <w:rPr>
          <w:b/>
          <w:sz w:val="20"/>
          <w:szCs w:val="20"/>
        </w:rPr>
      </w:pPr>
      <w:bookmarkStart w:id="281" w:name="_Toc438129714"/>
      <w:r w:rsidRPr="001B0574">
        <w:rPr>
          <w:b/>
          <w:sz w:val="20"/>
          <w:szCs w:val="20"/>
        </w:rPr>
        <w:t>FONDO</w:t>
      </w:r>
      <w:bookmarkEnd w:id="281"/>
    </w:p>
    <w:p w:rsidR="00FA45FB" w:rsidRDefault="00FA45FB" w:rsidP="00FA45FB">
      <w:pPr>
        <w:pStyle w:val="Estilo1"/>
        <w:numPr>
          <w:ilvl w:val="0"/>
          <w:numId w:val="0"/>
        </w:numPr>
        <w:spacing w:after="0"/>
      </w:pPr>
    </w:p>
    <w:p w:rsidR="00FA45FB" w:rsidRPr="00B72D8C" w:rsidRDefault="00FA45FB" w:rsidP="00FA45FB">
      <w:pPr>
        <w:pStyle w:val="Heading1"/>
      </w:pPr>
      <w:bookmarkStart w:id="282" w:name="_Toc438129715"/>
      <w:r>
        <w:t>VII</w:t>
      </w:r>
      <w:r w:rsidR="002E6D7E">
        <w:t>I</w:t>
      </w:r>
      <w:r>
        <w:t>.1</w:t>
      </w:r>
      <w:bookmarkEnd w:id="282"/>
    </w:p>
    <w:p w:rsidR="00FA45FB" w:rsidRDefault="00FA45FB" w:rsidP="00FA45FB">
      <w:pPr>
        <w:pStyle w:val="Heading1"/>
        <w:rPr>
          <w:szCs w:val="20"/>
          <w:lang w:val="es-CR"/>
        </w:rPr>
      </w:pPr>
      <w:bookmarkStart w:id="283" w:name="_Toc438129716"/>
      <w:r w:rsidRPr="00B72D8C">
        <w:rPr>
          <w:szCs w:val="20"/>
          <w:lang w:val="es-CR"/>
        </w:rPr>
        <w:t>DERECHOS A LA LIBERTAD PERSONAL, GARANTÍAS JUDICIALES Y PROTECCIÓN JUDICIAL, EN RELACIÓN CON LAS OBLIGACIONES DE RESPETAR Y GARANTIZAR LOS DERECHOS Y ADOPTAR DISPOSICIONES DE DERECHO INTERNO</w:t>
      </w:r>
      <w:bookmarkEnd w:id="283"/>
    </w:p>
    <w:p w:rsidR="00FA45FB" w:rsidRPr="00311815" w:rsidRDefault="00FA45FB" w:rsidP="00FA45FB">
      <w:pPr>
        <w:pStyle w:val="ListParagraph"/>
        <w:ind w:left="0"/>
        <w:contextualSpacing/>
        <w:jc w:val="both"/>
        <w:rPr>
          <w:sz w:val="20"/>
          <w:szCs w:val="20"/>
          <w:lang w:val="es-CR"/>
        </w:rPr>
      </w:pPr>
    </w:p>
    <w:p w:rsidR="00E54423" w:rsidRPr="005D2F1F" w:rsidRDefault="00E54423" w:rsidP="007C0064">
      <w:pPr>
        <w:pStyle w:val="Estilo1"/>
        <w:numPr>
          <w:ilvl w:val="0"/>
          <w:numId w:val="1"/>
        </w:numPr>
        <w:tabs>
          <w:tab w:val="num" w:pos="18282"/>
        </w:tabs>
        <w:spacing w:after="0"/>
        <w:rPr>
          <w:lang w:val="es-CR"/>
        </w:rPr>
      </w:pPr>
      <w:r w:rsidRPr="005D1549">
        <w:t>La Corte analizará seguidamente los argumentos sobre la aducida violación a la libertad personal</w:t>
      </w:r>
      <w:r>
        <w:rPr>
          <w:rStyle w:val="FootnoteReference"/>
        </w:rPr>
        <w:footnoteReference w:id="161"/>
      </w:r>
      <w:r>
        <w:t>,</w:t>
      </w:r>
      <w:r w:rsidRPr="005D1549">
        <w:t xml:space="preserve"> en perjuicio del señor Galindo</w:t>
      </w:r>
      <w:r>
        <w:t xml:space="preserve">, </w:t>
      </w:r>
      <w:r w:rsidRPr="00144171">
        <w:t>así como</w:t>
      </w:r>
      <w:r w:rsidRPr="00063439">
        <w:t xml:space="preserve"> alegatos sobre presuntas violaciones a los derechos a las garantías judiciales</w:t>
      </w:r>
      <w:r>
        <w:rPr>
          <w:rStyle w:val="FootnoteReference"/>
        </w:rPr>
        <w:footnoteReference w:id="162"/>
      </w:r>
      <w:r w:rsidRPr="00063439">
        <w:t xml:space="preserve"> y a la protección</w:t>
      </w:r>
      <w:r>
        <w:t xml:space="preserve"> judicial</w:t>
      </w:r>
      <w:r>
        <w:rPr>
          <w:rStyle w:val="FootnoteReference"/>
        </w:rPr>
        <w:footnoteReference w:id="163"/>
      </w:r>
      <w:r w:rsidRPr="00063439">
        <w:t xml:space="preserve"> que</w:t>
      </w:r>
      <w:r w:rsidRPr="005D1549">
        <w:t xml:space="preserve"> la </w:t>
      </w:r>
      <w:r w:rsidRPr="005D1549">
        <w:lastRenderedPageBreak/>
        <w:t>Comisión, en el Informe de Fondo, consideró relacionadas a la libertad personal en el presente caso. Este Tribunal hará el análisis indicado en relación con la obligación de respetar los derechos, establecida en el artículo 1.1 de la Convención</w:t>
      </w:r>
      <w:r w:rsidR="007C0064">
        <w:rPr>
          <w:rStyle w:val="FootnoteReference"/>
        </w:rPr>
        <w:footnoteReference w:id="164"/>
      </w:r>
      <w:r w:rsidRPr="005D1549">
        <w:t xml:space="preserve"> como así también</w:t>
      </w:r>
      <w:r>
        <w:t>,</w:t>
      </w:r>
      <w:r w:rsidRPr="00807B4B">
        <w:t xml:space="preserve"> </w:t>
      </w:r>
      <w:r w:rsidRPr="005D1549">
        <w:t>en tanto su inobservancia ha sido aludida en el caso</w:t>
      </w:r>
      <w:r w:rsidRPr="00794B79">
        <w:t xml:space="preserve"> </w:t>
      </w:r>
      <w:r w:rsidRPr="005D1549">
        <w:t>respecto al deber de adoptar disposiciones de derech</w:t>
      </w:r>
      <w:r>
        <w:t xml:space="preserve">o interno normado en el </w:t>
      </w:r>
      <w:r w:rsidRPr="005D1549">
        <w:t>artículo</w:t>
      </w:r>
      <w:r>
        <w:t xml:space="preserve"> 2</w:t>
      </w:r>
      <w:r w:rsidRPr="005D1549">
        <w:t xml:space="preserve"> del tratado</w:t>
      </w:r>
      <w:r w:rsidRPr="00F810F3">
        <w:rPr>
          <w:rStyle w:val="FootnoteReference"/>
        </w:rPr>
        <w:footnoteReference w:id="165"/>
      </w:r>
      <w:r w:rsidRPr="00F810F3">
        <w:t>.</w:t>
      </w:r>
    </w:p>
    <w:p w:rsidR="00E54423" w:rsidRPr="005D1549" w:rsidRDefault="00E54423" w:rsidP="007C0064">
      <w:pPr>
        <w:pStyle w:val="ListParagraph"/>
        <w:ind w:left="0"/>
        <w:contextualSpacing/>
        <w:rPr>
          <w:b/>
          <w:i/>
          <w:sz w:val="20"/>
          <w:szCs w:val="20"/>
          <w:lang w:val="es-CR"/>
        </w:rPr>
      </w:pPr>
    </w:p>
    <w:p w:rsidR="00E54423" w:rsidRPr="005D1549" w:rsidRDefault="00E54423" w:rsidP="007C0064">
      <w:pPr>
        <w:pStyle w:val="ListParagraph"/>
        <w:numPr>
          <w:ilvl w:val="0"/>
          <w:numId w:val="12"/>
        </w:numPr>
        <w:ind w:left="567" w:firstLine="0"/>
        <w:contextualSpacing/>
        <w:outlineLvl w:val="1"/>
        <w:rPr>
          <w:b/>
          <w:i/>
          <w:sz w:val="20"/>
          <w:szCs w:val="20"/>
          <w:lang w:val="es-CR"/>
        </w:rPr>
      </w:pPr>
      <w:bookmarkStart w:id="284" w:name="_Toc438129717"/>
      <w:r w:rsidRPr="005D1549">
        <w:rPr>
          <w:b/>
          <w:i/>
          <w:sz w:val="20"/>
          <w:szCs w:val="20"/>
          <w:lang w:val="es-CR"/>
        </w:rPr>
        <w:t>Argumentos de la Comisión y de las partes</w:t>
      </w:r>
      <w:bookmarkEnd w:id="284"/>
    </w:p>
    <w:p w:rsidR="00E54423" w:rsidRPr="008F0B81" w:rsidRDefault="00E54423" w:rsidP="00E54423">
      <w:pPr>
        <w:pStyle w:val="ListParagraph"/>
        <w:ind w:left="0"/>
        <w:contextualSpacing/>
        <w:rPr>
          <w:b/>
          <w:sz w:val="20"/>
          <w:szCs w:val="20"/>
          <w:lang w:val="es-CR"/>
        </w:rPr>
      </w:pPr>
    </w:p>
    <w:p w:rsidR="00E54423" w:rsidRPr="003B0FD1" w:rsidRDefault="00E54423" w:rsidP="00E54423">
      <w:pPr>
        <w:pStyle w:val="Estilo1"/>
        <w:numPr>
          <w:ilvl w:val="0"/>
          <w:numId w:val="1"/>
        </w:numPr>
        <w:tabs>
          <w:tab w:val="num" w:pos="17202"/>
          <w:tab w:val="num" w:pos="18282"/>
        </w:tabs>
        <w:spacing w:after="0"/>
        <w:rPr>
          <w:lang w:val="es-CR"/>
        </w:rPr>
      </w:pPr>
      <w:r w:rsidRPr="004C1CF4">
        <w:rPr>
          <w:rFonts w:eastAsiaTheme="minorHAnsi"/>
        </w:rPr>
        <w:t xml:space="preserve"> </w:t>
      </w:r>
      <w:r w:rsidRPr="003B0FD1">
        <w:rPr>
          <w:rFonts w:eastAsiaTheme="minorHAnsi"/>
        </w:rPr>
        <w:t xml:space="preserve">La </w:t>
      </w:r>
      <w:r w:rsidRPr="00757437">
        <w:rPr>
          <w:rFonts w:eastAsiaTheme="minorHAnsi"/>
          <w:b/>
          <w:i/>
        </w:rPr>
        <w:t>Comisión</w:t>
      </w:r>
      <w:r w:rsidRPr="003B0FD1">
        <w:rPr>
          <w:rFonts w:eastAsiaTheme="minorHAnsi"/>
        </w:rPr>
        <w:t xml:space="preserve"> señaló que pese al estado de excepción vigente al momento de los hechos, “el Estado debe demostrar que la detención prolongada es estrictamente necesaria en razón de la situación de emergencia”</w:t>
      </w:r>
      <w:r>
        <w:rPr>
          <w:rFonts w:eastAsiaTheme="minorHAnsi"/>
        </w:rPr>
        <w:t>.</w:t>
      </w:r>
      <w:r w:rsidRPr="003B0FD1">
        <w:rPr>
          <w:rFonts w:eastAsiaTheme="minorHAnsi"/>
        </w:rPr>
        <w:t xml:space="preserve"> </w:t>
      </w:r>
      <w:r>
        <w:rPr>
          <w:rFonts w:eastAsiaTheme="minorHAnsi"/>
        </w:rPr>
        <w:t xml:space="preserve">Indicó que </w:t>
      </w:r>
      <w:r w:rsidRPr="008F0B81">
        <w:rPr>
          <w:rFonts w:eastAsiaTheme="minorHAnsi"/>
        </w:rPr>
        <w:t>de acuerdo a</w:t>
      </w:r>
      <w:r>
        <w:rPr>
          <w:rFonts w:eastAsiaTheme="minorHAnsi"/>
        </w:rPr>
        <w:t xml:space="preserve">l artículo 12.c) del Decreto No. 25.475, </w:t>
      </w:r>
      <w:r w:rsidRPr="008F0B81">
        <w:rPr>
          <w:rFonts w:eastAsiaTheme="minorHAnsi"/>
        </w:rPr>
        <w:t>vigente al momento de los hechos, una persona implicada en el delito de terrorismo podía estar en prisión preventiva por no más de 15 días naturales y debía darse cuenta dentro de las 24</w:t>
      </w:r>
      <w:r>
        <w:rPr>
          <w:rFonts w:eastAsiaTheme="minorHAnsi"/>
        </w:rPr>
        <w:t xml:space="preserve"> horas</w:t>
      </w:r>
      <w:r w:rsidRPr="008F0B81">
        <w:rPr>
          <w:rFonts w:eastAsiaTheme="minorHAnsi"/>
        </w:rPr>
        <w:t xml:space="preserve"> al Ministerio Público y al juez penal. Asimismo, la persona debía encontrarse bajo custodia de la Policía Nacional.</w:t>
      </w:r>
      <w:r>
        <w:rPr>
          <w:rFonts w:eastAsiaTheme="minorHAnsi"/>
        </w:rPr>
        <w:t xml:space="preserve"> </w:t>
      </w:r>
      <w:r w:rsidRPr="003B0FD1">
        <w:rPr>
          <w:rFonts w:eastAsiaTheme="minorHAnsi"/>
        </w:rPr>
        <w:t xml:space="preserve">Adicionalmente, la Ley Orgánica del Poder Judicial impedía que el señor Galindo, por el cargo que detentaba, pudiera ser detenido sin orden judicial o en caso de flagrante delito. </w:t>
      </w:r>
      <w:r w:rsidRPr="0059466B">
        <w:rPr>
          <w:rFonts w:eastAsiaTheme="minorHAnsi"/>
        </w:rPr>
        <w:t>Ante este supuesto, dicha Ley indicaba que debería haber sido conducido de inmediato a la Fi</w:t>
      </w:r>
      <w:r w:rsidRPr="00F810F3">
        <w:rPr>
          <w:rFonts w:eastAsiaTheme="minorHAnsi"/>
        </w:rPr>
        <w:t>scalía, con conocimiento de la Corte respectiva, por la vía más rápida y bajo responsabilidad; esto, aun pese al estado de excepción vigente.</w:t>
      </w:r>
      <w:r w:rsidRPr="003B0FD1">
        <w:rPr>
          <w:rFonts w:eastAsiaTheme="minorHAnsi"/>
        </w:rPr>
        <w:t xml:space="preserve"> Asimismo, no es controvertido que el Fiscal tuvo conocimiento de la detención desde su inicio, mas no hay prueba de que tal hecho fuera puesto en conocimiento de la Corte Superior de Huánuco. </w:t>
      </w:r>
      <w:r w:rsidRPr="003B0FD1">
        <w:rPr>
          <w:rFonts w:eastAsiaTheme="minorHAnsi"/>
          <w:lang w:val="es-CR"/>
        </w:rPr>
        <w:t xml:space="preserve">La Comisión </w:t>
      </w:r>
      <w:r w:rsidRPr="003B0FD1">
        <w:rPr>
          <w:rFonts w:eastAsiaTheme="minorHAnsi"/>
        </w:rPr>
        <w:t xml:space="preserve">adujo que, pese a lo anterior, el señor Galindo </w:t>
      </w:r>
      <w:r w:rsidRPr="004454B8">
        <w:rPr>
          <w:rFonts w:eastAsiaTheme="minorHAnsi"/>
        </w:rPr>
        <w:t xml:space="preserve">permaneció </w:t>
      </w:r>
      <w:r w:rsidR="003B0237" w:rsidRPr="004454B8">
        <w:rPr>
          <w:rFonts w:eastAsiaTheme="minorHAnsi"/>
        </w:rPr>
        <w:t>31</w:t>
      </w:r>
      <w:r w:rsidRPr="004454B8">
        <w:rPr>
          <w:rFonts w:eastAsiaTheme="minorHAnsi"/>
        </w:rPr>
        <w:t xml:space="preserve"> días</w:t>
      </w:r>
      <w:r w:rsidRPr="003B0FD1">
        <w:rPr>
          <w:rFonts w:eastAsiaTheme="minorHAnsi"/>
        </w:rPr>
        <w:t xml:space="preserve"> </w:t>
      </w:r>
      <w:proofErr w:type="gramStart"/>
      <w:r w:rsidRPr="003B0FD1">
        <w:rPr>
          <w:rFonts w:eastAsiaTheme="minorHAnsi"/>
        </w:rPr>
        <w:t>detenido</w:t>
      </w:r>
      <w:proofErr w:type="gramEnd"/>
      <w:r w:rsidRPr="003B0FD1">
        <w:rPr>
          <w:rFonts w:eastAsiaTheme="minorHAnsi"/>
        </w:rPr>
        <w:t xml:space="preserve"> bajo custodia de autoridades militares en el cuartel de </w:t>
      </w:r>
      <w:proofErr w:type="spellStart"/>
      <w:r w:rsidRPr="003B0FD1">
        <w:rPr>
          <w:rFonts w:eastAsiaTheme="minorHAnsi"/>
        </w:rPr>
        <w:t>Yanac</w:t>
      </w:r>
      <w:proofErr w:type="spellEnd"/>
      <w:r w:rsidRPr="003B0FD1">
        <w:rPr>
          <w:rFonts w:eastAsiaTheme="minorHAnsi"/>
        </w:rPr>
        <w:t>, institución no autorizada por la ley para tal fin, luego de presentarse voluntariamente en ese lugar</w:t>
      </w:r>
      <w:r w:rsidRPr="00F810F3">
        <w:rPr>
          <w:rFonts w:eastAsiaTheme="minorHAnsi"/>
        </w:rPr>
        <w:t>.</w:t>
      </w:r>
      <w:r w:rsidRPr="003B0FD1">
        <w:rPr>
          <w:rFonts w:eastAsiaTheme="minorHAnsi"/>
          <w:b/>
        </w:rPr>
        <w:t xml:space="preserve"> </w:t>
      </w:r>
      <w:r w:rsidRPr="003B0FD1">
        <w:rPr>
          <w:rFonts w:eastAsiaTheme="minorHAnsi"/>
        </w:rPr>
        <w:t xml:space="preserve">Por ello, consideró que el Estado violó los incisos 1 a 3 del artículo 7, en relación con los artículos 1.1 y 2 de la Convención, en perjuicio del señor Galindo. </w:t>
      </w:r>
    </w:p>
    <w:p w:rsidR="00E54423" w:rsidRDefault="00E54423" w:rsidP="00E54423">
      <w:pPr>
        <w:pStyle w:val="ListParagraph"/>
        <w:ind w:left="0"/>
        <w:contextualSpacing/>
        <w:jc w:val="both"/>
        <w:rPr>
          <w:sz w:val="20"/>
          <w:szCs w:val="20"/>
          <w:lang w:val="es-CR"/>
        </w:rPr>
      </w:pPr>
    </w:p>
    <w:p w:rsidR="00E54423" w:rsidRPr="009E79D6" w:rsidRDefault="00E54423" w:rsidP="00E54423">
      <w:pPr>
        <w:pStyle w:val="Estilo1"/>
        <w:numPr>
          <w:ilvl w:val="0"/>
          <w:numId w:val="1"/>
        </w:numPr>
        <w:tabs>
          <w:tab w:val="num" w:pos="17202"/>
          <w:tab w:val="num" w:pos="18282"/>
        </w:tabs>
        <w:spacing w:after="0"/>
        <w:rPr>
          <w:lang w:val="es-CR"/>
        </w:rPr>
      </w:pPr>
      <w:r w:rsidRPr="003B0FD1">
        <w:rPr>
          <w:rFonts w:eastAsiaTheme="minorHAnsi"/>
        </w:rPr>
        <w:t xml:space="preserve">Por otra parte, la Comisión manifestó que el debido proceso es aplicable “en lo esencial, a todas las garantías judiciales [convencionales] aún bajo el régimen de suspensión regulado bajo el artículo 27” </w:t>
      </w:r>
      <w:r>
        <w:rPr>
          <w:rFonts w:eastAsiaTheme="minorHAnsi"/>
        </w:rPr>
        <w:t>de la Convención. S</w:t>
      </w:r>
      <w:r w:rsidRPr="003B0FD1">
        <w:rPr>
          <w:rFonts w:eastAsiaTheme="minorHAnsi"/>
        </w:rPr>
        <w:t>eñaló que el artículo 7.4 manda a que la información de los motivos y razones de la detención se den cuando la misma se produce, y que el artículo 8.2.b) del tratado consagra el derecho a la comunicación previa y detallada al inculpado de una acusación, y rige incluso antes de que se formule una “acusación” en sentido estricto: es necesario que la notificación ocurra previamente a la primera declaración del inculpado. Dijo que las normas citadas se vinculan al derecho a una defensa técnica, recogido por el artículo 8.2.c), puesto que si una persona no es informada de las razones de su detención, no puede ejercer su derecho a la defensa.</w:t>
      </w:r>
      <w:r>
        <w:rPr>
          <w:rFonts w:eastAsiaTheme="minorHAnsi"/>
        </w:rPr>
        <w:t xml:space="preserve"> Expresó que </w:t>
      </w:r>
      <w:r w:rsidRPr="003B0FD1">
        <w:rPr>
          <w:rFonts w:eastAsiaTheme="minorHAnsi"/>
        </w:rPr>
        <w:t>“[</w:t>
      </w:r>
      <w:r>
        <w:rPr>
          <w:rFonts w:eastAsiaTheme="minorHAnsi"/>
        </w:rPr>
        <w:t>d</w:t>
      </w:r>
      <w:r w:rsidRPr="003B0FD1">
        <w:rPr>
          <w:rFonts w:eastAsiaTheme="minorHAnsi"/>
        </w:rPr>
        <w:t>]</w:t>
      </w:r>
      <w:proofErr w:type="spellStart"/>
      <w:r w:rsidRPr="003B0FD1">
        <w:rPr>
          <w:rFonts w:eastAsiaTheme="minorHAnsi"/>
        </w:rPr>
        <w:t>urante</w:t>
      </w:r>
      <w:proofErr w:type="spellEnd"/>
      <w:r w:rsidRPr="003B0FD1">
        <w:rPr>
          <w:rFonts w:eastAsiaTheme="minorHAnsi"/>
        </w:rPr>
        <w:t xml:space="preserve"> el tiempo que el señor Galindo […] estuvo detenido y con posterioridad a haber sido puesto en libertad no fue informado sobre la presunta imputación que estaría enfrentando”. Además, </w:t>
      </w:r>
      <w:r>
        <w:rPr>
          <w:rFonts w:eastAsiaTheme="minorHAnsi"/>
        </w:rPr>
        <w:t xml:space="preserve">manifestó que </w:t>
      </w:r>
      <w:r w:rsidRPr="003B0FD1">
        <w:rPr>
          <w:rFonts w:eastAsiaTheme="minorHAnsi"/>
        </w:rPr>
        <w:t xml:space="preserve">de acuerdo al acta de 15 de octubre de 1994, al momento de la declaración del señor Galindo no se encontraba presente un abogado defensor. Si bien luego, al ser preguntado por la Fiscal de la Nación, el señor Galindo manifestó que no creía conveniente contar con abogado, </w:t>
      </w:r>
      <w:r w:rsidRPr="004454B8">
        <w:rPr>
          <w:rFonts w:eastAsiaTheme="minorHAnsi"/>
        </w:rPr>
        <w:t xml:space="preserve">a la Comisión no le consta </w:t>
      </w:r>
      <w:r w:rsidR="006E2CD8" w:rsidRPr="004454B8">
        <w:rPr>
          <w:rFonts w:eastAsiaTheme="minorHAnsi"/>
        </w:rPr>
        <w:t xml:space="preserve">que </w:t>
      </w:r>
      <w:r w:rsidRPr="004454B8">
        <w:rPr>
          <w:rFonts w:eastAsiaTheme="minorHAnsi"/>
        </w:rPr>
        <w:lastRenderedPageBreak/>
        <w:t>hubiera renunciado formalmente a su derecho a ser representado por un abogado.</w:t>
      </w:r>
      <w:r w:rsidRPr="003B0FD1">
        <w:rPr>
          <w:rFonts w:eastAsiaTheme="minorHAnsi"/>
        </w:rPr>
        <w:t xml:space="preserve"> Adicionalmente, el artículo 8.2.c) también incluye el respeto al principio de contradictorio, por lo que debe garantizarse al inculpado intervenir en el análisis de la prueba. Esto no estaba contemplado en L</w:t>
      </w:r>
      <w:r>
        <w:rPr>
          <w:rFonts w:eastAsiaTheme="minorHAnsi"/>
        </w:rPr>
        <w:t xml:space="preserve">ey de </w:t>
      </w:r>
      <w:r w:rsidRPr="003B0FD1">
        <w:rPr>
          <w:rFonts w:eastAsiaTheme="minorHAnsi"/>
        </w:rPr>
        <w:t>A</w:t>
      </w:r>
      <w:r>
        <w:rPr>
          <w:rFonts w:eastAsiaTheme="minorHAnsi"/>
        </w:rPr>
        <w:t>rrepentimiento</w:t>
      </w:r>
      <w:r w:rsidRPr="003B0FD1">
        <w:rPr>
          <w:rFonts w:eastAsiaTheme="minorHAnsi"/>
        </w:rPr>
        <w:t xml:space="preserve">, que se aplicó al señor Galindo. </w:t>
      </w:r>
      <w:r w:rsidR="006E2CD8">
        <w:rPr>
          <w:rFonts w:eastAsiaTheme="minorHAnsi"/>
        </w:rPr>
        <w:t>C</w:t>
      </w:r>
      <w:r>
        <w:rPr>
          <w:rFonts w:eastAsiaTheme="minorHAnsi"/>
        </w:rPr>
        <w:t>oligió que</w:t>
      </w:r>
      <w:r w:rsidRPr="003B0FD1">
        <w:rPr>
          <w:rFonts w:eastAsiaTheme="minorHAnsi"/>
        </w:rPr>
        <w:t xml:space="preserve">, </w:t>
      </w:r>
      <w:r>
        <w:rPr>
          <w:rFonts w:eastAsiaTheme="minorHAnsi"/>
        </w:rPr>
        <w:t xml:space="preserve">se vulneró </w:t>
      </w:r>
      <w:r w:rsidRPr="003B0FD1">
        <w:rPr>
          <w:rFonts w:eastAsiaTheme="minorHAnsi"/>
        </w:rPr>
        <w:t>“el artículo 7.4 […], en conexión con [los] artículos 8.2.b) y c) y 1.1”</w:t>
      </w:r>
      <w:r>
        <w:rPr>
          <w:rStyle w:val="FootnoteReference"/>
          <w:rFonts w:eastAsiaTheme="minorHAnsi"/>
        </w:rPr>
        <w:footnoteReference w:id="166"/>
      </w:r>
      <w:r w:rsidRPr="003B0FD1">
        <w:rPr>
          <w:rFonts w:eastAsiaTheme="minorHAnsi"/>
        </w:rPr>
        <w:t>.</w:t>
      </w:r>
    </w:p>
    <w:p w:rsidR="00E54423" w:rsidRDefault="00E54423" w:rsidP="00E54423">
      <w:pPr>
        <w:pStyle w:val="ListParagraph"/>
        <w:ind w:left="0"/>
        <w:contextualSpacing/>
        <w:jc w:val="both"/>
        <w:rPr>
          <w:sz w:val="20"/>
          <w:szCs w:val="20"/>
          <w:lang w:val="es-CR"/>
        </w:rPr>
      </w:pPr>
    </w:p>
    <w:p w:rsidR="007F6493" w:rsidRDefault="00E54423" w:rsidP="003364AB">
      <w:pPr>
        <w:pStyle w:val="Estilo1"/>
        <w:numPr>
          <w:ilvl w:val="0"/>
          <w:numId w:val="1"/>
        </w:numPr>
        <w:tabs>
          <w:tab w:val="num" w:pos="18282"/>
        </w:tabs>
        <w:spacing w:after="0"/>
        <w:rPr>
          <w:rFonts w:eastAsiaTheme="minorHAnsi"/>
        </w:rPr>
      </w:pPr>
      <w:r>
        <w:t>En cuanto al a</w:t>
      </w:r>
      <w:r w:rsidRPr="009E79D6">
        <w:t>rtículo 7.5</w:t>
      </w:r>
      <w:r>
        <w:t xml:space="preserve"> de la Convención, la Comisión destacó que</w:t>
      </w:r>
      <w:r w:rsidRPr="009E79D6">
        <w:t xml:space="preserve"> “incluye la garantía de una pronta y efectiva supervisión judicial de las instancias de detención”. </w:t>
      </w:r>
      <w:r>
        <w:t xml:space="preserve">Indicó que </w:t>
      </w:r>
      <w:r w:rsidRPr="009E79D6">
        <w:t>la C</w:t>
      </w:r>
      <w:r>
        <w:t xml:space="preserve">omisión de la </w:t>
      </w:r>
      <w:r w:rsidRPr="009E79D6">
        <w:t>V</w:t>
      </w:r>
      <w:r>
        <w:t xml:space="preserve">erdad y la </w:t>
      </w:r>
      <w:r w:rsidRPr="009E79D6">
        <w:t>R</w:t>
      </w:r>
      <w:r>
        <w:t>econciliación de Perú</w:t>
      </w:r>
      <w:r w:rsidRPr="009E79D6">
        <w:t xml:space="preserve"> señaló que la legislación antiterrorista “estableció con nitidez una demarcación entre la actividad jurisdiccional [</w:t>
      </w:r>
      <w:proofErr w:type="gramStart"/>
      <w:r>
        <w:t xml:space="preserve">y </w:t>
      </w:r>
      <w:r w:rsidRPr="009E79D6">
        <w:t>…</w:t>
      </w:r>
      <w:proofErr w:type="gramEnd"/>
      <w:r w:rsidRPr="009E79D6">
        <w:t xml:space="preserve">] una fase de investigaciones preliminares exenta de intervención judicial”. De otra parte, el “artículo 12.c) del </w:t>
      </w:r>
      <w:r>
        <w:t>[</w:t>
      </w:r>
      <w:r w:rsidRPr="009E79D6">
        <w:t>D</w:t>
      </w:r>
      <w:r>
        <w:t>]</w:t>
      </w:r>
      <w:proofErr w:type="spellStart"/>
      <w:r>
        <w:t>ecreto</w:t>
      </w:r>
      <w:proofErr w:type="spellEnd"/>
      <w:r>
        <w:t xml:space="preserve"> Ley No</w:t>
      </w:r>
      <w:r w:rsidRPr="009E79D6">
        <w:t>.</w:t>
      </w:r>
      <w:r>
        <w:t>]</w:t>
      </w:r>
      <w:r w:rsidRPr="009E79D6">
        <w:t xml:space="preserve"> 25475 establecía el requisito de informar al juez cuando se dispusiera la detención de una persona en la DINCOTE”, pero no el traslado físico de la persona a autoridad judicial. “En consecuencia, […] el hecho de que el Ministerio Público estuviera presente en el momento [</w:t>
      </w:r>
      <w:proofErr w:type="gramStart"/>
      <w:r>
        <w:t xml:space="preserve">de </w:t>
      </w:r>
      <w:r w:rsidRPr="009E79D6">
        <w:t>…</w:t>
      </w:r>
      <w:proofErr w:type="gramEnd"/>
      <w:r w:rsidRPr="009E79D6">
        <w:t>] la declaración del señor Galindo</w:t>
      </w:r>
      <w:r>
        <w:t xml:space="preserve"> </w:t>
      </w:r>
      <w:r w:rsidRPr="009E79D6">
        <w:t xml:space="preserve">[…] no salvaguardó su derecho </w:t>
      </w:r>
      <w:r w:rsidRPr="00757437">
        <w:rPr>
          <w:rFonts w:eastAsiaTheme="minorHAnsi"/>
        </w:rPr>
        <w:t>a ser presentado ante un funcionario autorizado por la ley para ejercer funciones judiciales,</w:t>
      </w:r>
      <w:r>
        <w:rPr>
          <w:rFonts w:eastAsiaTheme="minorHAnsi"/>
        </w:rPr>
        <w:t xml:space="preserve"> </w:t>
      </w:r>
      <w:r w:rsidRPr="009E79D6">
        <w:t xml:space="preserve">ya que el Fiscal no podía disponer su libertad”. Adicionalmente, aunque autoridades judiciales requirieron información, no consta que se les haya dado respuesta que diera cuenta de la situación del señor Galindo. Por todo lo dicho, se violó en perjuicio del señor Galindo “el artículo 7.5 […] en conexión con los artículos 1.1 y 2”. </w:t>
      </w:r>
    </w:p>
    <w:p w:rsidR="00E54423" w:rsidRDefault="00E54423" w:rsidP="00E54423">
      <w:pPr>
        <w:pStyle w:val="ListParagraph"/>
        <w:ind w:left="0"/>
        <w:contextualSpacing/>
        <w:jc w:val="both"/>
        <w:rPr>
          <w:sz w:val="20"/>
          <w:szCs w:val="20"/>
          <w:lang w:val="es-CR"/>
        </w:rPr>
      </w:pPr>
    </w:p>
    <w:p w:rsidR="00E54423" w:rsidRPr="005D1549" w:rsidRDefault="003B0237" w:rsidP="00E54423">
      <w:pPr>
        <w:pStyle w:val="Estilo1"/>
        <w:numPr>
          <w:ilvl w:val="0"/>
          <w:numId w:val="1"/>
        </w:numPr>
        <w:tabs>
          <w:tab w:val="num" w:pos="17202"/>
          <w:tab w:val="num" w:pos="18282"/>
        </w:tabs>
        <w:spacing w:after="0"/>
        <w:rPr>
          <w:lang w:val="es-CR"/>
        </w:rPr>
      </w:pPr>
      <w:r w:rsidRPr="008D2D9F">
        <w:rPr>
          <w:rFonts w:eastAsiaTheme="minorHAnsi"/>
          <w:lang w:val="es-CR"/>
        </w:rPr>
        <w:t>Además</w:t>
      </w:r>
      <w:r w:rsidRPr="008D2D9F">
        <w:rPr>
          <w:rFonts w:eastAsiaTheme="minorHAnsi"/>
        </w:rPr>
        <w:t>, la Comisión notó</w:t>
      </w:r>
      <w:r w:rsidR="002C55D9">
        <w:rPr>
          <w:rFonts w:eastAsiaTheme="minorHAnsi"/>
        </w:rPr>
        <w:t>,</w:t>
      </w:r>
      <w:r w:rsidRPr="008D2D9F">
        <w:rPr>
          <w:rFonts w:eastAsiaTheme="minorHAnsi"/>
        </w:rPr>
        <w:t xml:space="preserve"> </w:t>
      </w:r>
      <w:r w:rsidRPr="004454B8">
        <w:rPr>
          <w:rFonts w:eastAsiaTheme="minorHAnsi"/>
        </w:rPr>
        <w:t>como lo señaló el Estado</w:t>
      </w:r>
      <w:r w:rsidR="0011489C" w:rsidRPr="004454B8">
        <w:rPr>
          <w:rFonts w:eastAsiaTheme="minorHAnsi"/>
        </w:rPr>
        <w:t>,</w:t>
      </w:r>
      <w:r w:rsidR="006750DA" w:rsidRPr="004454B8">
        <w:rPr>
          <w:rFonts w:eastAsiaTheme="minorHAnsi"/>
        </w:rPr>
        <w:t xml:space="preserve"> </w:t>
      </w:r>
      <w:r w:rsidRPr="004454B8">
        <w:rPr>
          <w:rFonts w:eastAsiaTheme="minorHAnsi"/>
        </w:rPr>
        <w:t>que “conforme el artículo 200 de la Constitución de 1993</w:t>
      </w:r>
      <w:r w:rsidR="006750DA" w:rsidRPr="004454B8">
        <w:rPr>
          <w:rFonts w:eastAsiaTheme="minorHAnsi"/>
        </w:rPr>
        <w:t xml:space="preserve"> </w:t>
      </w:r>
      <w:r w:rsidRPr="004454B8">
        <w:rPr>
          <w:rFonts w:eastAsiaTheme="minorHAnsi"/>
        </w:rPr>
        <w:t>la acción de hábeas corpus es una garantía constitucional […] cuyo ejercicio no se puede restringir según el artículo 137.1 de la Constitución” y que</w:t>
      </w:r>
      <w:r w:rsidR="006750DA" w:rsidRPr="004454B8">
        <w:rPr>
          <w:rFonts w:eastAsiaTheme="minorHAnsi"/>
        </w:rPr>
        <w:t xml:space="preserve"> </w:t>
      </w:r>
      <w:r w:rsidR="0011489C" w:rsidRPr="004454B8">
        <w:rPr>
          <w:rFonts w:eastAsiaTheme="minorHAnsi"/>
        </w:rPr>
        <w:t>”</w:t>
      </w:r>
      <w:r w:rsidRPr="004454B8">
        <w:rPr>
          <w:rFonts w:eastAsiaTheme="minorHAnsi"/>
        </w:rPr>
        <w:t>mediante</w:t>
      </w:r>
      <w:r w:rsidR="0011489C" w:rsidRPr="004454B8">
        <w:rPr>
          <w:rFonts w:eastAsiaTheme="minorHAnsi"/>
        </w:rPr>
        <w:t xml:space="preserve"> </w:t>
      </w:r>
      <w:r w:rsidRPr="004454B8">
        <w:rPr>
          <w:rFonts w:eastAsiaTheme="minorHAnsi"/>
        </w:rPr>
        <w:t xml:space="preserve">la Ley No. 26248, publicada el 25 de noviembre de 1993, </w:t>
      </w:r>
      <w:r w:rsidR="0011489C" w:rsidRPr="004454B8">
        <w:rPr>
          <w:rFonts w:eastAsiaTheme="minorHAnsi"/>
        </w:rPr>
        <w:t xml:space="preserve">se </w:t>
      </w:r>
      <w:r w:rsidRPr="004454B8">
        <w:rPr>
          <w:rFonts w:eastAsiaTheme="minorHAnsi"/>
        </w:rPr>
        <w:t>restituyó la procedencia del hábeas corpus en los casos de delitos de terrorismo y traición a la patria</w:t>
      </w:r>
      <w:r w:rsidR="0011489C" w:rsidRPr="004454B8">
        <w:rPr>
          <w:rFonts w:eastAsiaTheme="minorHAnsi"/>
        </w:rPr>
        <w:t xml:space="preserve">, </w:t>
      </w:r>
      <w:r w:rsidRPr="004454B8">
        <w:rPr>
          <w:rFonts w:eastAsiaTheme="minorHAnsi"/>
        </w:rPr>
        <w:t>con excepción de ‘las sustentadas en los mismos hechos o causales materia de un procedimiento en trámite o ya resuelto’”.</w:t>
      </w:r>
      <w:r w:rsidR="00E54423" w:rsidRPr="004454B8">
        <w:rPr>
          <w:rFonts w:eastAsiaTheme="minorHAnsi"/>
        </w:rPr>
        <w:t xml:space="preserve"> </w:t>
      </w:r>
      <w:r w:rsidRPr="004454B8">
        <w:rPr>
          <w:rFonts w:eastAsiaTheme="minorHAnsi"/>
        </w:rPr>
        <w:t>Agregó que al momento de los hechos si existía legalmente la posibilidad de interponer el hábeas corpus</w:t>
      </w:r>
      <w:r w:rsidR="00B31722" w:rsidRPr="004454B8">
        <w:rPr>
          <w:rFonts w:eastAsiaTheme="minorHAnsi"/>
        </w:rPr>
        <w:t xml:space="preserve">. </w:t>
      </w:r>
      <w:r w:rsidR="00E54423" w:rsidRPr="004454B8">
        <w:rPr>
          <w:rFonts w:eastAsiaTheme="minorHAnsi"/>
        </w:rPr>
        <w:t xml:space="preserve">No obstante, consideró que se habían vulnerado los artículos 7.6 y 25 de la </w:t>
      </w:r>
      <w:r w:rsidR="00E54423">
        <w:rPr>
          <w:rFonts w:eastAsiaTheme="minorHAnsi"/>
        </w:rPr>
        <w:t>Convención</w:t>
      </w:r>
      <w:r w:rsidR="00B31722">
        <w:rPr>
          <w:rFonts w:eastAsiaTheme="minorHAnsi"/>
        </w:rPr>
        <w:t xml:space="preserve"> con base en los</w:t>
      </w:r>
      <w:r w:rsidR="008D2D9F">
        <w:rPr>
          <w:rFonts w:eastAsiaTheme="minorHAnsi"/>
        </w:rPr>
        <w:t xml:space="preserve"> </w:t>
      </w:r>
      <w:r w:rsidR="00E54423">
        <w:rPr>
          <w:rFonts w:eastAsiaTheme="minorHAnsi"/>
        </w:rPr>
        <w:t>siguientes motivos:</w:t>
      </w:r>
      <w:r w:rsidR="00E54423" w:rsidRPr="003029A3">
        <w:t xml:space="preserve"> </w:t>
      </w:r>
    </w:p>
    <w:p w:rsidR="00E54423" w:rsidRDefault="00E54423" w:rsidP="00E54423">
      <w:pPr>
        <w:pStyle w:val="ListParagraph"/>
        <w:ind w:left="284" w:right="333"/>
        <w:jc w:val="both"/>
        <w:rPr>
          <w:rFonts w:eastAsia="Calibri"/>
          <w:sz w:val="16"/>
          <w:szCs w:val="16"/>
          <w:lang w:val="es-CR"/>
        </w:rPr>
      </w:pPr>
    </w:p>
    <w:p w:rsidR="00E54423" w:rsidRPr="008D2E9C" w:rsidRDefault="00E54423" w:rsidP="007C0064">
      <w:pPr>
        <w:pStyle w:val="ListParagraph"/>
        <w:ind w:left="567" w:right="720"/>
        <w:jc w:val="both"/>
        <w:rPr>
          <w:rFonts w:eastAsia="Calibri"/>
          <w:sz w:val="16"/>
          <w:szCs w:val="16"/>
          <w:lang w:val="es-CR"/>
        </w:rPr>
      </w:pPr>
      <w:r w:rsidRPr="008D2E9C">
        <w:rPr>
          <w:rFonts w:eastAsia="Calibri"/>
          <w:sz w:val="16"/>
          <w:szCs w:val="16"/>
          <w:lang w:val="es-CR"/>
        </w:rPr>
        <w:t xml:space="preserve">ha señalado la […] Corte […] en el Caso Castillo </w:t>
      </w:r>
      <w:proofErr w:type="spellStart"/>
      <w:r w:rsidRPr="008D2E9C">
        <w:rPr>
          <w:rFonts w:eastAsia="Calibri"/>
          <w:sz w:val="16"/>
          <w:szCs w:val="16"/>
          <w:lang w:val="es-CR"/>
        </w:rPr>
        <w:t>Petruzzi</w:t>
      </w:r>
      <w:proofErr w:type="spellEnd"/>
      <w:r w:rsidRPr="008D2E9C">
        <w:rPr>
          <w:rFonts w:eastAsia="Calibri"/>
          <w:sz w:val="16"/>
          <w:szCs w:val="16"/>
          <w:lang w:val="es-CR"/>
        </w:rPr>
        <w:t xml:space="preserve"> [que] la Ley No. 26248 ‘no trajo mejora alguna […], en cuanto estableció en su artículo 6.4, que ‘[n]o son admisibles Acciones de Hábeas Corpus sustentadas en los mismos hechos o causales, materia de un procedimiento en trámite o ya resuelto’ […] La C</w:t>
      </w:r>
      <w:r>
        <w:rPr>
          <w:rFonts w:eastAsia="Calibri"/>
          <w:sz w:val="16"/>
          <w:szCs w:val="16"/>
          <w:lang w:val="es-CR"/>
        </w:rPr>
        <w:t>omisión</w:t>
      </w:r>
      <w:r w:rsidRPr="008D2E9C">
        <w:rPr>
          <w:rFonts w:eastAsia="Calibri"/>
          <w:sz w:val="16"/>
          <w:szCs w:val="16"/>
          <w:lang w:val="es-CR"/>
        </w:rPr>
        <w:t xml:space="preserve"> </w:t>
      </w:r>
      <w:proofErr w:type="spellStart"/>
      <w:r w:rsidRPr="008D2E9C">
        <w:rPr>
          <w:rFonts w:eastAsia="Calibri"/>
          <w:sz w:val="16"/>
          <w:szCs w:val="16"/>
          <w:lang w:val="es-CR"/>
        </w:rPr>
        <w:t>observ</w:t>
      </w:r>
      <w:proofErr w:type="spellEnd"/>
      <w:r w:rsidRPr="008D2E9C">
        <w:rPr>
          <w:rFonts w:eastAsia="Calibri"/>
          <w:sz w:val="16"/>
          <w:szCs w:val="16"/>
          <w:lang w:val="es-CR"/>
        </w:rPr>
        <w:t>[</w:t>
      </w:r>
      <w:proofErr w:type="spellStart"/>
      <w:r w:rsidRPr="008D2E9C">
        <w:rPr>
          <w:rFonts w:eastAsia="Calibri"/>
          <w:sz w:val="16"/>
          <w:szCs w:val="16"/>
          <w:lang w:val="es-CR"/>
        </w:rPr>
        <w:t>ó</w:t>
      </w:r>
      <w:proofErr w:type="spellEnd"/>
      <w:r w:rsidRPr="008D2E9C">
        <w:rPr>
          <w:rFonts w:eastAsia="Calibri"/>
          <w:sz w:val="16"/>
          <w:szCs w:val="16"/>
          <w:lang w:val="es-CR"/>
        </w:rPr>
        <w:t>] que dado que durante el tiempo que el señor Galindo</w:t>
      </w:r>
      <w:r>
        <w:rPr>
          <w:rFonts w:eastAsia="Calibri"/>
          <w:sz w:val="16"/>
          <w:szCs w:val="16"/>
          <w:lang w:val="es-CR"/>
        </w:rPr>
        <w:t xml:space="preserve"> </w:t>
      </w:r>
      <w:r w:rsidRPr="008D2E9C">
        <w:rPr>
          <w:rFonts w:eastAsia="Calibri"/>
          <w:sz w:val="16"/>
          <w:szCs w:val="16"/>
          <w:lang w:val="es-CR"/>
        </w:rPr>
        <w:t>[…] estuvo privado de la libertad no fue puesto a disposición de un juez [ni] informado sobre su situación jurídica, […] no tuvo a su disposición la posibilidad de interpo</w:t>
      </w:r>
      <w:r>
        <w:rPr>
          <w:rFonts w:eastAsia="Calibri"/>
          <w:sz w:val="16"/>
          <w:szCs w:val="16"/>
          <w:lang w:val="es-CR"/>
        </w:rPr>
        <w:t>ner el recurso de hábeas corpus</w:t>
      </w:r>
      <w:r w:rsidRPr="008D2E9C">
        <w:rPr>
          <w:rFonts w:eastAsia="Calibri"/>
          <w:sz w:val="16"/>
          <w:szCs w:val="16"/>
          <w:lang w:val="es-CR"/>
        </w:rPr>
        <w:t xml:space="preserve">. </w:t>
      </w:r>
    </w:p>
    <w:p w:rsidR="00E54423" w:rsidRPr="005D1549" w:rsidRDefault="00E54423" w:rsidP="00E54423">
      <w:pPr>
        <w:pStyle w:val="ListParagraph"/>
        <w:rPr>
          <w:sz w:val="20"/>
          <w:szCs w:val="20"/>
        </w:rPr>
      </w:pPr>
    </w:p>
    <w:p w:rsidR="00E54423" w:rsidRPr="005D1549" w:rsidRDefault="00E54423" w:rsidP="00E54423">
      <w:pPr>
        <w:pStyle w:val="Estilo1"/>
        <w:numPr>
          <w:ilvl w:val="0"/>
          <w:numId w:val="1"/>
        </w:numPr>
        <w:tabs>
          <w:tab w:val="num" w:pos="17202"/>
          <w:tab w:val="num" w:pos="18282"/>
        </w:tabs>
        <w:spacing w:after="0"/>
        <w:rPr>
          <w:lang w:val="es-CR"/>
        </w:rPr>
      </w:pPr>
      <w:r w:rsidRPr="005D1549">
        <w:t xml:space="preserve">El </w:t>
      </w:r>
      <w:r w:rsidRPr="00757437">
        <w:rPr>
          <w:b/>
          <w:i/>
        </w:rPr>
        <w:t>representante</w:t>
      </w:r>
      <w:r w:rsidRPr="005D1549">
        <w:t>, además de adherir</w:t>
      </w:r>
      <w:r>
        <w:t>se</w:t>
      </w:r>
      <w:r w:rsidRPr="005D1549">
        <w:t xml:space="preserve"> a lo manifestado por la Comisión en el Informe de Fondo, en la audiencia pública destacó, en relación con el artículo 7.6 de la Convención y el recurso de </w:t>
      </w:r>
      <w:r>
        <w:t>hábeas</w:t>
      </w:r>
      <w:r w:rsidRPr="005D1549">
        <w:t xml:space="preserve"> corpus</w:t>
      </w:r>
      <w:r>
        <w:t>,</w:t>
      </w:r>
      <w:r w:rsidRPr="005D1549">
        <w:t xml:space="preserve"> que las Fuerzas Armadas que tenían el control de Huánuco amenazaron a la familia del señor Galindo diciéndole que si “ellos trataban de lograr su liberación, nunca lo iban a hacer”, por lo que cualquier acción legal hubiera sido inútil.</w:t>
      </w:r>
    </w:p>
    <w:p w:rsidR="00E54423" w:rsidRDefault="00E54423" w:rsidP="00E54423">
      <w:pPr>
        <w:pStyle w:val="ListParagraph"/>
        <w:ind w:left="0"/>
        <w:contextualSpacing/>
        <w:jc w:val="both"/>
        <w:rPr>
          <w:sz w:val="20"/>
          <w:szCs w:val="20"/>
          <w:lang w:val="es-CR"/>
        </w:rPr>
      </w:pPr>
    </w:p>
    <w:p w:rsidR="00E54423" w:rsidRDefault="00E54423" w:rsidP="00E54423">
      <w:pPr>
        <w:pStyle w:val="Estilo1"/>
        <w:numPr>
          <w:ilvl w:val="0"/>
          <w:numId w:val="1"/>
        </w:numPr>
        <w:tabs>
          <w:tab w:val="num" w:pos="17202"/>
          <w:tab w:val="num" w:pos="18282"/>
        </w:tabs>
        <w:spacing w:after="0"/>
        <w:rPr>
          <w:lang w:val="es-CR"/>
        </w:rPr>
      </w:pPr>
      <w:r>
        <w:t>A</w:t>
      </w:r>
      <w:r w:rsidRPr="005D1549">
        <w:t xml:space="preserve">gregó que el Estado violó el derecho consagrado en el artículo 8 de la Convención, siendo que no se tuvo en cuenta el puesto de Magistrado del señor Galindo para ser investigado por “el funcionario competente y con las garantías del caso” correspondientes, violándose así el principio de presunción de inocencia, </w:t>
      </w:r>
      <w:r w:rsidRPr="00590205">
        <w:t>además</w:t>
      </w:r>
      <w:r w:rsidRPr="005D1549">
        <w:t xml:space="preserve"> de ser sometido a actos indebidos para que se declarara terrorista. </w:t>
      </w:r>
    </w:p>
    <w:p w:rsidR="00E54423" w:rsidRPr="005D1549" w:rsidRDefault="00E54423" w:rsidP="00E54423">
      <w:pPr>
        <w:pStyle w:val="ListParagraph"/>
        <w:rPr>
          <w:sz w:val="20"/>
        </w:rPr>
      </w:pPr>
    </w:p>
    <w:p w:rsidR="00E54423" w:rsidRPr="005D1549" w:rsidRDefault="00E54423" w:rsidP="00E54423">
      <w:pPr>
        <w:pStyle w:val="Estilo1"/>
        <w:numPr>
          <w:ilvl w:val="0"/>
          <w:numId w:val="1"/>
        </w:numPr>
        <w:tabs>
          <w:tab w:val="num" w:pos="17202"/>
          <w:tab w:val="num" w:pos="18282"/>
        </w:tabs>
        <w:spacing w:after="0"/>
        <w:rPr>
          <w:lang w:val="es-CR"/>
        </w:rPr>
      </w:pPr>
      <w:r w:rsidRPr="005D1549">
        <w:lastRenderedPageBreak/>
        <w:t>El representante argumentó también que el Estado violó el derecho consagrado en el artículo 25 de la Convención, en razón de que le negaron la información y entrega de documentos que solicitó a la Fiscalía Provincial Penal de Huánuco; por situaciones que fueron denunciadas, tampoco atendidas, a las autoridades del Ministerio Público de Lima, debido a las amenazas que sufría la presunta víctima de ser detenido nuevamente por parte de militares de Huánuco</w:t>
      </w:r>
      <w:r>
        <w:t>. Además, durante la audiencia pública</w:t>
      </w:r>
      <w:r w:rsidRPr="005D1549">
        <w:t>, el representante afirmó que “el Estado de</w:t>
      </w:r>
      <w:r>
        <w:t>[l]</w:t>
      </w:r>
      <w:r w:rsidRPr="005D1549">
        <w:t xml:space="preserve"> Perú ha constantemente retrasado el caso y no quieren llegar a la </w:t>
      </w:r>
      <w:proofErr w:type="gramStart"/>
      <w:r w:rsidRPr="005D1549">
        <w:t>verdad[</w:t>
      </w:r>
      <w:proofErr w:type="gramEnd"/>
      <w:r w:rsidRPr="005D1549">
        <w:t>.] [P]</w:t>
      </w:r>
      <w:proofErr w:type="spellStart"/>
      <w:r w:rsidRPr="005D1549">
        <w:t>or</w:t>
      </w:r>
      <w:proofErr w:type="spellEnd"/>
      <w:r w:rsidRPr="005D1549">
        <w:t xml:space="preserve"> esto[s] retrasos varias personas han </w:t>
      </w:r>
      <w:proofErr w:type="gramStart"/>
      <w:r w:rsidRPr="005D1549">
        <w:t>muerto[</w:t>
      </w:r>
      <w:proofErr w:type="gramEnd"/>
      <w:r w:rsidRPr="005D1549">
        <w:t xml:space="preserve">.] [S]e han perdido, o se han destruido muchos </w:t>
      </w:r>
      <w:proofErr w:type="gramStart"/>
      <w:r w:rsidRPr="005D1549">
        <w:t>autos[</w:t>
      </w:r>
      <w:proofErr w:type="gramEnd"/>
      <w:r w:rsidRPr="005D1549">
        <w:t>.] [N]</w:t>
      </w:r>
      <w:proofErr w:type="spellStart"/>
      <w:r w:rsidRPr="005D1549">
        <w:t>unca</w:t>
      </w:r>
      <w:proofErr w:type="spellEnd"/>
      <w:r w:rsidRPr="005D1549">
        <w:t xml:space="preserve"> sabremos la verdad”</w:t>
      </w:r>
      <w:r>
        <w:t>.</w:t>
      </w:r>
    </w:p>
    <w:p w:rsidR="00E54423" w:rsidRPr="005D1549" w:rsidRDefault="00E54423" w:rsidP="00E54423">
      <w:pPr>
        <w:pStyle w:val="ListParagraph"/>
        <w:rPr>
          <w:rFonts w:eastAsiaTheme="minorHAnsi"/>
          <w:sz w:val="20"/>
        </w:rPr>
      </w:pPr>
    </w:p>
    <w:p w:rsidR="00E54423" w:rsidRPr="005D1549" w:rsidRDefault="00E54423" w:rsidP="00E54423">
      <w:pPr>
        <w:pStyle w:val="Estilo1"/>
        <w:numPr>
          <w:ilvl w:val="0"/>
          <w:numId w:val="1"/>
        </w:numPr>
        <w:tabs>
          <w:tab w:val="num" w:pos="17202"/>
          <w:tab w:val="num" w:pos="18282"/>
        </w:tabs>
        <w:spacing w:after="0"/>
        <w:rPr>
          <w:lang w:val="es-CR"/>
        </w:rPr>
      </w:pPr>
      <w:r w:rsidRPr="005D1549">
        <w:rPr>
          <w:rFonts w:eastAsiaTheme="minorHAnsi"/>
        </w:rPr>
        <w:t xml:space="preserve">Por su parte, el </w:t>
      </w:r>
      <w:r w:rsidRPr="00757437">
        <w:rPr>
          <w:rFonts w:eastAsiaTheme="minorHAnsi"/>
          <w:b/>
          <w:i/>
        </w:rPr>
        <w:t>Estado</w:t>
      </w:r>
      <w:r w:rsidRPr="005D1549">
        <w:rPr>
          <w:rFonts w:eastAsiaTheme="minorHAnsi"/>
        </w:rPr>
        <w:t xml:space="preserve"> alegó “que de la manera</w:t>
      </w:r>
      <w:r>
        <w:rPr>
          <w:rFonts w:eastAsiaTheme="minorHAnsi"/>
        </w:rPr>
        <w:t xml:space="preserve"> en la que se encuentra regulado</w:t>
      </w:r>
      <w:r w:rsidRPr="005D1549">
        <w:rPr>
          <w:rFonts w:eastAsiaTheme="minorHAnsi"/>
        </w:rPr>
        <w:t xml:space="preserve"> en la Convención Americana, el derecho a la libertad personal no es un derecho absoluto, pues admite determinadas restricciones, siempre que se cumplan ciertos requisitos”. De igual manera hizo referencia al Estado de emergencia existente, que suspendió determinadas garantías respecto a medidas de privación de libertad</w:t>
      </w:r>
      <w:r>
        <w:rPr>
          <w:rStyle w:val="FootnoteReference"/>
          <w:rFonts w:eastAsiaTheme="minorHAnsi"/>
        </w:rPr>
        <w:footnoteReference w:id="167"/>
      </w:r>
      <w:r w:rsidRPr="005D1549">
        <w:rPr>
          <w:rFonts w:eastAsiaTheme="minorHAnsi"/>
        </w:rPr>
        <w:t>. Alegó en su contestación que el señor Galindo sí fue privado legalmente de su libertad al haberse sometido voluntariamente a los beneficios de la Ley de Arrepentimiento</w:t>
      </w:r>
      <w:r>
        <w:rPr>
          <w:rStyle w:val="FootnoteReference"/>
          <w:rFonts w:eastAsiaTheme="minorHAnsi"/>
        </w:rPr>
        <w:footnoteReference w:id="168"/>
      </w:r>
      <w:r w:rsidRPr="005D1549">
        <w:rPr>
          <w:rFonts w:eastAsiaTheme="minorHAnsi"/>
        </w:rPr>
        <w:t xml:space="preserve">. Al respecto, explicó que el artículo indicado por la Comisión </w:t>
      </w:r>
      <w:r>
        <w:rPr>
          <w:rFonts w:eastAsiaTheme="minorHAnsi"/>
        </w:rPr>
        <w:t xml:space="preserve">Interamericana </w:t>
      </w:r>
      <w:r w:rsidRPr="005D1549">
        <w:rPr>
          <w:rFonts w:eastAsiaTheme="minorHAnsi"/>
        </w:rPr>
        <w:t>de la Ley Orgánica del Poder Judicial como incumplido en la privación de libertad del señor Galindo (</w:t>
      </w:r>
      <w:r w:rsidRPr="005D1549">
        <w:rPr>
          <w:rFonts w:eastAsiaTheme="minorHAnsi"/>
          <w:i/>
        </w:rPr>
        <w:t xml:space="preserve">supra </w:t>
      </w:r>
      <w:r w:rsidRPr="005D1549">
        <w:rPr>
          <w:rFonts w:eastAsiaTheme="minorHAnsi"/>
        </w:rPr>
        <w:t xml:space="preserve">párr. </w:t>
      </w:r>
      <w:r w:rsidR="008E3677">
        <w:rPr>
          <w:rFonts w:eastAsiaTheme="minorHAnsi"/>
        </w:rPr>
        <w:t>1</w:t>
      </w:r>
      <w:r w:rsidR="00AB4251">
        <w:rPr>
          <w:rFonts w:eastAsiaTheme="minorHAnsi"/>
        </w:rPr>
        <w:t>10</w:t>
      </w:r>
      <w:r w:rsidR="008E3677" w:rsidRPr="005D1549">
        <w:rPr>
          <w:rFonts w:eastAsiaTheme="minorHAnsi"/>
        </w:rPr>
        <w:t xml:space="preserve">), </w:t>
      </w:r>
      <w:r w:rsidRPr="005D1549">
        <w:rPr>
          <w:rFonts w:eastAsiaTheme="minorHAnsi"/>
        </w:rPr>
        <w:t xml:space="preserve">aplica a magistrados de carrera judicial, lo que no era el caso del señor Galindo. También adujo que “la privación de libertad del señor Galindo no fue arbitraria por cuanto el procedimiento de arrepentimiento implicaba brindar información relativa a organizaciones terroristas, </w:t>
      </w:r>
      <w:r w:rsidRPr="005D1549">
        <w:rPr>
          <w:rFonts w:eastAsiaTheme="minorHAnsi" w:cs="Arial"/>
        </w:rPr>
        <w:t xml:space="preserve">y </w:t>
      </w:r>
      <w:r w:rsidRPr="005D1549">
        <w:rPr>
          <w:rFonts w:eastAsiaTheme="minorHAnsi"/>
        </w:rPr>
        <w:t>en base a ello, podría existir un riesgo para la vida e integridad del solicitante, más aún cuando ocupaba un cargo público”</w:t>
      </w:r>
      <w:r>
        <w:rPr>
          <w:rStyle w:val="FootnoteReference"/>
          <w:rFonts w:eastAsiaTheme="minorHAnsi"/>
        </w:rPr>
        <w:footnoteReference w:id="169"/>
      </w:r>
      <w:r w:rsidRPr="005D1549">
        <w:rPr>
          <w:rFonts w:eastAsiaTheme="minorHAnsi"/>
        </w:rPr>
        <w:t>. En ese sentido, en la audiencia pública explicó que la “presunta detención” fue hecha en una base militar para darle […] protección al señor Galindo”.</w:t>
      </w:r>
    </w:p>
    <w:p w:rsidR="00E54423" w:rsidRDefault="00E54423" w:rsidP="00E54423">
      <w:pPr>
        <w:pStyle w:val="ListParagraph"/>
        <w:ind w:left="0"/>
        <w:contextualSpacing/>
        <w:jc w:val="both"/>
        <w:rPr>
          <w:sz w:val="20"/>
          <w:szCs w:val="20"/>
          <w:lang w:val="es-CR"/>
        </w:rPr>
      </w:pPr>
    </w:p>
    <w:p w:rsidR="00E54423" w:rsidRDefault="00E54423" w:rsidP="00E54423">
      <w:pPr>
        <w:pStyle w:val="Estilo1"/>
        <w:numPr>
          <w:ilvl w:val="0"/>
          <w:numId w:val="1"/>
        </w:numPr>
        <w:tabs>
          <w:tab w:val="num" w:pos="17202"/>
          <w:tab w:val="num" w:pos="18282"/>
        </w:tabs>
        <w:spacing w:after="0"/>
        <w:rPr>
          <w:lang w:val="es-CR"/>
        </w:rPr>
      </w:pPr>
      <w:r>
        <w:rPr>
          <w:rFonts w:eastAsiaTheme="minorHAnsi"/>
        </w:rPr>
        <w:t xml:space="preserve">Además, </w:t>
      </w:r>
      <w:r w:rsidRPr="005D1549">
        <w:rPr>
          <w:rFonts w:eastAsiaTheme="minorHAnsi"/>
        </w:rPr>
        <w:t xml:space="preserve">el Estado hizo notar que el “señor Galindo no fue sometido a un proceso penal por lo que nunca hubo una acusación fiscal </w:t>
      </w:r>
      <w:r w:rsidR="0010021A" w:rsidRPr="005D1549">
        <w:rPr>
          <w:rFonts w:eastAsiaTheme="minorHAnsi"/>
        </w:rPr>
        <w:t xml:space="preserve"> […]</w:t>
      </w:r>
      <w:r w:rsidR="0010021A">
        <w:rPr>
          <w:rFonts w:eastAsiaTheme="minorHAnsi"/>
        </w:rPr>
        <w:t xml:space="preserve"> </w:t>
      </w:r>
      <w:r w:rsidRPr="005D1549">
        <w:rPr>
          <w:rFonts w:eastAsiaTheme="minorHAnsi"/>
        </w:rPr>
        <w:t xml:space="preserve"> y [</w:t>
      </w:r>
      <w:r w:rsidR="009E35FE" w:rsidRPr="005D1549">
        <w:rPr>
          <w:rFonts w:eastAsiaTheme="minorHAnsi"/>
        </w:rPr>
        <w:t>…]</w:t>
      </w:r>
      <w:r w:rsidR="009E35FE">
        <w:rPr>
          <w:rFonts w:eastAsiaTheme="minorHAnsi"/>
        </w:rPr>
        <w:t xml:space="preserve"> </w:t>
      </w:r>
      <w:r w:rsidRPr="005D1549">
        <w:rPr>
          <w:rFonts w:eastAsiaTheme="minorHAnsi"/>
        </w:rPr>
        <w:t xml:space="preserve"> las exigencia</w:t>
      </w:r>
      <w:r>
        <w:rPr>
          <w:rFonts w:eastAsiaTheme="minorHAnsi"/>
        </w:rPr>
        <w:t>s del artículo 7.4 de la [Convención]</w:t>
      </w:r>
      <w:r w:rsidRPr="005D1549">
        <w:rPr>
          <w:rFonts w:eastAsiaTheme="minorHAnsi"/>
        </w:rPr>
        <w:t xml:space="preserve"> fueron una medida accesoria porque obviamente el señor Galindo sabía perfectamente los motivos de su intervención por parte de la autoridad, no pudiendo alegar que desconocía las razones de su privación de libertad, cuando era a todas luces evidente. Tal argumento aplica también para lo señalado por el artículo 8.2.b de la Convención Americana”. </w:t>
      </w:r>
      <w:r>
        <w:rPr>
          <w:rFonts w:eastAsiaTheme="minorHAnsi"/>
        </w:rPr>
        <w:t xml:space="preserve">Agregó </w:t>
      </w:r>
      <w:r w:rsidRPr="005D1549">
        <w:rPr>
          <w:rFonts w:eastAsiaTheme="minorHAnsi"/>
        </w:rPr>
        <w:t>que “el señor Galindo ejerció su defensa por sí mismo, no por una restricción legal ni de las autoridades sino porque él mismo manifestó que no consideraba necesario contar con la presencia de un abogado pues él mismo era abogado […]. Exigirle al Estado una renuncia formal es una exigencia desproporcionada por cuanto bastaría con su propia declaración, tal como efectivamente sucedió”.</w:t>
      </w:r>
    </w:p>
    <w:p w:rsidR="00E54423" w:rsidRPr="005D1549" w:rsidRDefault="00E54423" w:rsidP="00E54423">
      <w:pPr>
        <w:pStyle w:val="ListParagraph"/>
        <w:ind w:firstLine="708"/>
        <w:rPr>
          <w:rFonts w:eastAsiaTheme="minorHAnsi"/>
          <w:sz w:val="20"/>
        </w:rPr>
      </w:pPr>
    </w:p>
    <w:p w:rsidR="00E54423" w:rsidRPr="00FF4F8E" w:rsidRDefault="00E54423" w:rsidP="00E54423">
      <w:pPr>
        <w:pStyle w:val="Estilo1"/>
        <w:numPr>
          <w:ilvl w:val="0"/>
          <w:numId w:val="1"/>
        </w:numPr>
        <w:tabs>
          <w:tab w:val="num" w:pos="17202"/>
          <w:tab w:val="num" w:pos="18282"/>
        </w:tabs>
        <w:spacing w:after="0"/>
        <w:rPr>
          <w:lang w:val="es-CR"/>
        </w:rPr>
      </w:pPr>
      <w:r w:rsidRPr="005D1549">
        <w:rPr>
          <w:rFonts w:eastAsiaTheme="minorHAnsi"/>
        </w:rPr>
        <w:t xml:space="preserve">El Estado </w:t>
      </w:r>
      <w:r>
        <w:rPr>
          <w:rFonts w:eastAsiaTheme="minorHAnsi"/>
        </w:rPr>
        <w:t xml:space="preserve">indicó </w:t>
      </w:r>
      <w:r w:rsidRPr="005D1549">
        <w:rPr>
          <w:rFonts w:eastAsiaTheme="minorHAnsi"/>
        </w:rPr>
        <w:t xml:space="preserve">que “[l]a </w:t>
      </w:r>
      <w:r>
        <w:rPr>
          <w:rFonts w:eastAsiaTheme="minorHAnsi"/>
        </w:rPr>
        <w:t>Ley de Arrepentimiento como su [r]</w:t>
      </w:r>
      <w:proofErr w:type="spellStart"/>
      <w:r w:rsidRPr="005D1549">
        <w:rPr>
          <w:rFonts w:eastAsiaTheme="minorHAnsi"/>
        </w:rPr>
        <w:t>eglamento</w:t>
      </w:r>
      <w:proofErr w:type="spellEnd"/>
      <w:r w:rsidRPr="005D1549">
        <w:rPr>
          <w:rFonts w:eastAsiaTheme="minorHAnsi"/>
        </w:rPr>
        <w:t xml:space="preserve"> señalan procedimientos diferenciados si es que la persona que se acoge a los beneficios se encuentra o no sometido a una investigación policial, comprendido en un proceso penal o incluso sentenciado por delito de terrorismo”. Además que “[e]n el presente caso, el señor Galindo Cárdenas no se encontraba sometido a una investigación policial, por lo cual, se aplicó lo señalado en el artículo 14 del Reglamento, el cual señala que la declaración debía ser realizada necesariamente ante el representante del Ministerio Público”. El Estado consideró también que el “procedimiento [previsto en la Ley de Arrepentimiento] no estaba orientado a determinar la responsabilidad penal de una persona sino a evaluar si podía verse beneficiada con su manifestación de arrepentimiento”.</w:t>
      </w:r>
      <w:r>
        <w:rPr>
          <w:rFonts w:eastAsiaTheme="minorHAnsi"/>
          <w:b/>
        </w:rPr>
        <w:t xml:space="preserve"> </w:t>
      </w:r>
      <w:r>
        <w:rPr>
          <w:rFonts w:eastAsiaTheme="minorHAnsi"/>
        </w:rPr>
        <w:t>Además, estim</w:t>
      </w:r>
      <w:r w:rsidRPr="00FF4F8E">
        <w:rPr>
          <w:rFonts w:eastAsiaTheme="minorHAnsi"/>
        </w:rPr>
        <w:t>ó que “el plazo que permaneció el señor Galindo Cárdenas en la base militar resultó razonable”.</w:t>
      </w:r>
    </w:p>
    <w:p w:rsidR="00E54423" w:rsidRDefault="00E54423" w:rsidP="00E54423">
      <w:pPr>
        <w:pStyle w:val="ListParagraph"/>
        <w:ind w:left="0"/>
        <w:contextualSpacing/>
        <w:jc w:val="both"/>
        <w:rPr>
          <w:sz w:val="20"/>
          <w:szCs w:val="20"/>
          <w:lang w:val="es-CR"/>
        </w:rPr>
      </w:pPr>
    </w:p>
    <w:p w:rsidR="00E54423" w:rsidRPr="00311815" w:rsidRDefault="00E54423" w:rsidP="00E54423">
      <w:pPr>
        <w:pStyle w:val="Estilo1"/>
        <w:numPr>
          <w:ilvl w:val="0"/>
          <w:numId w:val="1"/>
        </w:numPr>
        <w:tabs>
          <w:tab w:val="num" w:pos="17202"/>
          <w:tab w:val="num" w:pos="18282"/>
        </w:tabs>
        <w:spacing w:after="0"/>
        <w:rPr>
          <w:lang w:val="es-CR"/>
        </w:rPr>
      </w:pPr>
      <w:r w:rsidRPr="005D1549">
        <w:rPr>
          <w:rFonts w:eastAsiaTheme="minorHAnsi"/>
        </w:rPr>
        <w:t xml:space="preserve">El Estado alegó también que “conforme al artículo 200 de la Constitución Política de 1993, el ejercicio de las acciones de hábeas corpus y de amparo no se suspende durante la vigencia de los regímenes de excepción a que se refiere el artículo 137 de la Constitución”. Afirmó que durante la privación de libertad del señor Galindo “se encontraba vigente la Ley No. 23506, Ley de </w:t>
      </w:r>
      <w:r>
        <w:rPr>
          <w:rFonts w:eastAsiaTheme="minorHAnsi"/>
        </w:rPr>
        <w:t>Hábeas</w:t>
      </w:r>
      <w:r w:rsidRPr="005D1549">
        <w:rPr>
          <w:rFonts w:eastAsiaTheme="minorHAnsi"/>
        </w:rPr>
        <w:t xml:space="preserve"> Corpus </w:t>
      </w:r>
      <w:r w:rsidRPr="005D1549">
        <w:rPr>
          <w:rFonts w:eastAsiaTheme="minorHAnsi" w:cs="Arial"/>
        </w:rPr>
        <w:t xml:space="preserve">y </w:t>
      </w:r>
      <w:r w:rsidRPr="005D1549">
        <w:rPr>
          <w:rFonts w:eastAsiaTheme="minorHAnsi"/>
        </w:rPr>
        <w:t xml:space="preserve">Amparo” por lo que “el mismo señor Galindo, sus familiares o su abogado […] pudieron interponer libremente una demanda de </w:t>
      </w:r>
      <w:r>
        <w:rPr>
          <w:rFonts w:eastAsiaTheme="minorHAnsi"/>
        </w:rPr>
        <w:t>hábeas</w:t>
      </w:r>
      <w:r w:rsidRPr="005D1549">
        <w:rPr>
          <w:rFonts w:eastAsiaTheme="minorHAnsi"/>
        </w:rPr>
        <w:t xml:space="preserve"> corpus”. En ese sentido, consideró que “la no interposición del recurso de </w:t>
      </w:r>
      <w:r>
        <w:rPr>
          <w:rFonts w:eastAsiaTheme="minorHAnsi"/>
        </w:rPr>
        <w:t>hábeas</w:t>
      </w:r>
      <w:r w:rsidRPr="005D1549">
        <w:rPr>
          <w:rFonts w:eastAsiaTheme="minorHAnsi"/>
        </w:rPr>
        <w:t xml:space="preserve"> corpus por parte de los familiares es un tema que escapa a la responsabilidad del Estado peruano, pues el mismo se encontraba disponible y no había sido restringido ni abolido”.</w:t>
      </w:r>
    </w:p>
    <w:p w:rsidR="00E54423" w:rsidRDefault="00E54423" w:rsidP="00E54423">
      <w:pPr>
        <w:pStyle w:val="ListParagraph"/>
        <w:ind w:left="0"/>
        <w:rPr>
          <w:rFonts w:eastAsiaTheme="minorHAnsi"/>
          <w:b/>
          <w:i/>
          <w:sz w:val="20"/>
        </w:rPr>
      </w:pPr>
    </w:p>
    <w:p w:rsidR="00E54423" w:rsidRPr="00ED3F38" w:rsidRDefault="00E54423" w:rsidP="00E54423">
      <w:pPr>
        <w:pStyle w:val="ListParagraph"/>
        <w:numPr>
          <w:ilvl w:val="0"/>
          <w:numId w:val="12"/>
        </w:numPr>
        <w:ind w:left="567" w:firstLine="0"/>
        <w:outlineLvl w:val="1"/>
        <w:rPr>
          <w:rFonts w:eastAsiaTheme="minorHAnsi"/>
          <w:b/>
          <w:i/>
          <w:sz w:val="20"/>
        </w:rPr>
      </w:pPr>
      <w:bookmarkStart w:id="285" w:name="_Toc438129718"/>
      <w:r w:rsidRPr="00ED3F38">
        <w:rPr>
          <w:rFonts w:eastAsiaTheme="minorHAnsi"/>
          <w:b/>
          <w:i/>
          <w:sz w:val="20"/>
        </w:rPr>
        <w:t>Consideraciones de la Corte</w:t>
      </w:r>
      <w:bookmarkEnd w:id="285"/>
    </w:p>
    <w:p w:rsidR="00E54423" w:rsidRDefault="00E54423" w:rsidP="00E54423">
      <w:pPr>
        <w:pStyle w:val="ListParagraph"/>
        <w:ind w:left="0"/>
        <w:contextualSpacing/>
        <w:jc w:val="both"/>
        <w:rPr>
          <w:sz w:val="20"/>
          <w:szCs w:val="20"/>
          <w:lang w:val="es-CR"/>
        </w:rPr>
      </w:pPr>
    </w:p>
    <w:p w:rsidR="00E54423" w:rsidRPr="0070530B" w:rsidRDefault="00E54423" w:rsidP="00E54423">
      <w:pPr>
        <w:pStyle w:val="Estilo1"/>
        <w:numPr>
          <w:ilvl w:val="0"/>
          <w:numId w:val="1"/>
        </w:numPr>
        <w:tabs>
          <w:tab w:val="num" w:pos="17202"/>
          <w:tab w:val="num" w:pos="18282"/>
        </w:tabs>
        <w:spacing w:after="0"/>
        <w:rPr>
          <w:lang w:val="es-CR"/>
        </w:rPr>
      </w:pPr>
      <w:r w:rsidRPr="005D1549">
        <w:t>Resulta relevante, en primer término, recordar que la Corte ha indicado que “el contenido esencial del artículo 7 de la Convención Americana es la protección de la libertad del individuo contra toda interferencia arbitraria o ilegal del Estado</w:t>
      </w:r>
      <w:r w:rsidRPr="007A6982">
        <w:rPr>
          <w:rStyle w:val="FootnoteReference"/>
        </w:rPr>
        <w:footnoteReference w:id="170"/>
      </w:r>
      <w:r w:rsidRPr="005D1549">
        <w:t>”. Ha explicado también que dicha norma</w:t>
      </w:r>
    </w:p>
    <w:p w:rsidR="00E54423" w:rsidRDefault="00E54423" w:rsidP="00E54423">
      <w:pPr>
        <w:pStyle w:val="ListParagraph"/>
        <w:rPr>
          <w:sz w:val="20"/>
          <w:szCs w:val="20"/>
        </w:rPr>
      </w:pPr>
    </w:p>
    <w:p w:rsidR="00E54423" w:rsidRDefault="00E54423" w:rsidP="00E54423">
      <w:pPr>
        <w:pStyle w:val="ListParagraph"/>
        <w:ind w:left="567" w:right="720"/>
        <w:contextualSpacing/>
        <w:jc w:val="both"/>
        <w:rPr>
          <w:spacing w:val="-2"/>
          <w:sz w:val="16"/>
          <w:szCs w:val="16"/>
        </w:rPr>
      </w:pPr>
      <w:proofErr w:type="gramStart"/>
      <w:r w:rsidRPr="007A6982">
        <w:rPr>
          <w:spacing w:val="-2"/>
          <w:sz w:val="16"/>
          <w:szCs w:val="16"/>
        </w:rPr>
        <w:t>tiene</w:t>
      </w:r>
      <w:proofErr w:type="gramEnd"/>
      <w:r w:rsidRPr="007A6982">
        <w:rPr>
          <w:spacing w:val="-2"/>
          <w:sz w:val="16"/>
          <w:szCs w:val="16"/>
        </w:rPr>
        <w:t xml:space="preserve"> dos tipos de regulaciones bien diferenciadas entre sí, una general y otra específica. La general se encuentra en el primer numeral: “[t]oda persona tiene el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formulados en contra del detenido (artículo 7.4), al control judicial de la privación de la libertad (artículo 7.5) y a impugnar la legalidad de la detención (artículo 7.6). Cualquier violación de los numerales 2 al 7 del artículo 7 de la Convención acarreará necesariamente la violación del artículo 7.1 de la misma</w:t>
      </w:r>
      <w:r w:rsidRPr="007A6982">
        <w:rPr>
          <w:spacing w:val="-2"/>
          <w:sz w:val="16"/>
          <w:szCs w:val="16"/>
          <w:vertAlign w:val="superscript"/>
        </w:rPr>
        <w:footnoteReference w:id="171"/>
      </w:r>
      <w:r>
        <w:rPr>
          <w:spacing w:val="-2"/>
          <w:sz w:val="16"/>
          <w:szCs w:val="16"/>
        </w:rPr>
        <w:t>.</w:t>
      </w:r>
    </w:p>
    <w:p w:rsidR="00E54423" w:rsidRPr="0070530B" w:rsidRDefault="00E54423" w:rsidP="00E54423">
      <w:pPr>
        <w:pStyle w:val="Estilo1"/>
        <w:numPr>
          <w:ilvl w:val="0"/>
          <w:numId w:val="0"/>
        </w:numPr>
        <w:spacing w:after="0"/>
        <w:rPr>
          <w:lang w:val="es-CR"/>
        </w:rPr>
      </w:pPr>
    </w:p>
    <w:p w:rsidR="00E54423" w:rsidRPr="00D06D6E" w:rsidRDefault="00E54423" w:rsidP="00E54423">
      <w:pPr>
        <w:pStyle w:val="Estilo1"/>
        <w:numPr>
          <w:ilvl w:val="0"/>
          <w:numId w:val="1"/>
        </w:numPr>
        <w:tabs>
          <w:tab w:val="num" w:pos="17202"/>
          <w:tab w:val="num" w:pos="18282"/>
        </w:tabs>
        <w:spacing w:after="0"/>
        <w:rPr>
          <w:lang w:val="es-CR"/>
        </w:rPr>
      </w:pPr>
      <w:r w:rsidRPr="00D06D6E">
        <w:rPr>
          <w:iCs/>
        </w:rPr>
        <w:t>Por los mot</w:t>
      </w:r>
      <w:r>
        <w:rPr>
          <w:iCs/>
        </w:rPr>
        <w:t xml:space="preserve">ivos que siguen, la Corte </w:t>
      </w:r>
      <w:r w:rsidRPr="00F810F3">
        <w:rPr>
          <w:iCs/>
        </w:rPr>
        <w:t>concluye</w:t>
      </w:r>
      <w:r w:rsidRPr="0057542A">
        <w:rPr>
          <w:iCs/>
        </w:rPr>
        <w:t xml:space="preserve"> </w:t>
      </w:r>
      <w:r w:rsidRPr="00D06D6E">
        <w:rPr>
          <w:iCs/>
        </w:rPr>
        <w:t xml:space="preserve">que se violaron los derechos a la libertad personal y garantías judiciales del señor Galindo, vulnerándose los incisos 1 a 6 del artículo 7 de la Convención, así como el artículo 8 en el inciso 2, apartados b) y c).  </w:t>
      </w:r>
    </w:p>
    <w:p w:rsidR="00E54423" w:rsidRDefault="00E54423" w:rsidP="00E54423">
      <w:pPr>
        <w:pStyle w:val="ListParagraph"/>
        <w:ind w:left="0"/>
        <w:contextualSpacing/>
        <w:jc w:val="both"/>
        <w:rPr>
          <w:iCs/>
          <w:sz w:val="20"/>
          <w:szCs w:val="20"/>
        </w:rPr>
      </w:pPr>
    </w:p>
    <w:p w:rsidR="00E54423" w:rsidRPr="00E67FA5" w:rsidRDefault="00E54423" w:rsidP="00E54423">
      <w:pPr>
        <w:pStyle w:val="ListParagraph"/>
        <w:ind w:left="851"/>
        <w:contextualSpacing/>
        <w:jc w:val="both"/>
        <w:outlineLvl w:val="2"/>
        <w:rPr>
          <w:i/>
          <w:iCs/>
          <w:sz w:val="20"/>
          <w:szCs w:val="20"/>
        </w:rPr>
      </w:pPr>
      <w:bookmarkStart w:id="286" w:name="_Toc438129719"/>
      <w:r w:rsidRPr="00E67FA5">
        <w:rPr>
          <w:i/>
          <w:iCs/>
          <w:sz w:val="20"/>
          <w:szCs w:val="20"/>
        </w:rPr>
        <w:t>B.1</w:t>
      </w:r>
      <w:r>
        <w:rPr>
          <w:i/>
          <w:iCs/>
          <w:sz w:val="20"/>
          <w:szCs w:val="20"/>
        </w:rPr>
        <w:t>.</w:t>
      </w:r>
      <w:r w:rsidRPr="00E67FA5">
        <w:rPr>
          <w:i/>
          <w:iCs/>
          <w:sz w:val="20"/>
          <w:szCs w:val="20"/>
        </w:rPr>
        <w:tab/>
      </w:r>
      <w:r w:rsidRPr="00F810F3">
        <w:rPr>
          <w:i/>
          <w:iCs/>
          <w:sz w:val="20"/>
          <w:szCs w:val="20"/>
        </w:rPr>
        <w:t>P</w:t>
      </w:r>
      <w:r w:rsidRPr="00E67FA5">
        <w:rPr>
          <w:i/>
          <w:iCs/>
          <w:sz w:val="20"/>
          <w:szCs w:val="20"/>
        </w:rPr>
        <w:t>rivación ilegal y arbitraria de la libertad del señor Galindo</w:t>
      </w:r>
      <w:r>
        <w:rPr>
          <w:i/>
          <w:iCs/>
          <w:sz w:val="20"/>
          <w:szCs w:val="20"/>
        </w:rPr>
        <w:t xml:space="preserve"> </w:t>
      </w:r>
      <w:r w:rsidRPr="00F810F3">
        <w:rPr>
          <w:i/>
          <w:iCs/>
          <w:sz w:val="20"/>
          <w:szCs w:val="20"/>
        </w:rPr>
        <w:t xml:space="preserve">e </w:t>
      </w:r>
      <w:r w:rsidRPr="00E67FA5">
        <w:rPr>
          <w:i/>
          <w:iCs/>
          <w:sz w:val="20"/>
          <w:szCs w:val="20"/>
        </w:rPr>
        <w:t>incumplimiento del deber de presentación ante una autoridad competente</w:t>
      </w:r>
      <w:bookmarkEnd w:id="286"/>
      <w:r w:rsidRPr="00E67FA5">
        <w:rPr>
          <w:i/>
          <w:iCs/>
          <w:sz w:val="20"/>
          <w:szCs w:val="20"/>
        </w:rPr>
        <w:t xml:space="preserve">   </w:t>
      </w:r>
    </w:p>
    <w:p w:rsidR="00E54423" w:rsidRDefault="00E54423" w:rsidP="00E54423">
      <w:pPr>
        <w:pStyle w:val="ListParagraph"/>
        <w:ind w:left="0"/>
        <w:contextualSpacing/>
        <w:jc w:val="both"/>
        <w:rPr>
          <w:sz w:val="20"/>
          <w:szCs w:val="20"/>
          <w:lang w:val="es-CR"/>
        </w:rPr>
      </w:pPr>
    </w:p>
    <w:p w:rsidR="00E54423" w:rsidRPr="004C6CCF" w:rsidRDefault="00E54423" w:rsidP="00E54423">
      <w:pPr>
        <w:pStyle w:val="Estilo1"/>
        <w:numPr>
          <w:ilvl w:val="0"/>
          <w:numId w:val="1"/>
        </w:numPr>
        <w:tabs>
          <w:tab w:val="num" w:pos="17202"/>
          <w:tab w:val="num" w:pos="18282"/>
        </w:tabs>
        <w:spacing w:after="0"/>
        <w:rPr>
          <w:lang w:val="es-CR"/>
        </w:rPr>
      </w:pPr>
      <w:r w:rsidRPr="004C6CCF">
        <w:rPr>
          <w:iCs/>
        </w:rPr>
        <w:t xml:space="preserve">Surge de los hechos que el señor Galindo permaneció al menos 30 días alojado en un cuartel bajo custodia de autoridades estatales. Perú adujo que el </w:t>
      </w:r>
      <w:r>
        <w:rPr>
          <w:iCs/>
        </w:rPr>
        <w:t>“</w:t>
      </w:r>
      <w:r w:rsidRPr="004C6CCF">
        <w:rPr>
          <w:iCs/>
        </w:rPr>
        <w:t>alojamiento</w:t>
      </w:r>
      <w:r>
        <w:rPr>
          <w:iCs/>
        </w:rPr>
        <w:t>”</w:t>
      </w:r>
      <w:r w:rsidRPr="004C6CCF">
        <w:rPr>
          <w:iCs/>
        </w:rPr>
        <w:t xml:space="preserve"> del señor Galindo en un cuartel tuvo por objeto su propia protección (</w:t>
      </w:r>
      <w:r w:rsidRPr="004C6CCF">
        <w:rPr>
          <w:i/>
          <w:iCs/>
        </w:rPr>
        <w:t>supra</w:t>
      </w:r>
      <w:r w:rsidRPr="004C6CCF">
        <w:rPr>
          <w:iCs/>
        </w:rPr>
        <w:t xml:space="preserve"> párr. </w:t>
      </w:r>
      <w:r w:rsidR="006A20F1">
        <w:rPr>
          <w:iCs/>
        </w:rPr>
        <w:t>17</w:t>
      </w:r>
      <w:r w:rsidR="00AB4251">
        <w:rPr>
          <w:iCs/>
        </w:rPr>
        <w:t>4</w:t>
      </w:r>
      <w:r w:rsidRPr="004C6CCF">
        <w:rPr>
          <w:iCs/>
        </w:rPr>
        <w:t xml:space="preserve">). </w:t>
      </w:r>
      <w:r w:rsidR="006A05EF" w:rsidRPr="00DF3EE2">
        <w:rPr>
          <w:iCs/>
        </w:rPr>
        <w:t xml:space="preserve">Sin embargo, </w:t>
      </w:r>
      <w:r w:rsidR="006A05EF" w:rsidRPr="00DF3EE2">
        <w:rPr>
          <w:iCs/>
        </w:rPr>
        <w:lastRenderedPageBreak/>
        <w:t>de</w:t>
      </w:r>
      <w:r w:rsidR="006A05EF">
        <w:rPr>
          <w:iCs/>
        </w:rPr>
        <w:t xml:space="preserve"> </w:t>
      </w:r>
      <w:r w:rsidRPr="004C6CCF">
        <w:rPr>
          <w:iCs/>
        </w:rPr>
        <w:t>modo independiente a la finalidad que hubiera existido en la medida (cuestión que la Corte no está determinando)</w:t>
      </w:r>
      <w:r>
        <w:rPr>
          <w:iCs/>
        </w:rPr>
        <w:t>,</w:t>
      </w:r>
      <w:r w:rsidRPr="004C6CCF">
        <w:rPr>
          <w:iCs/>
        </w:rPr>
        <w:t xml:space="preserve"> la misma implicó una privación de libertad en los términos de la Convención. Ya ha dicho este Tribunal que </w:t>
      </w:r>
    </w:p>
    <w:p w:rsidR="00E54423" w:rsidRPr="004C6CCF" w:rsidRDefault="00E54423" w:rsidP="00E54423">
      <w:pPr>
        <w:pStyle w:val="ListParagraph"/>
        <w:rPr>
          <w:sz w:val="20"/>
          <w:szCs w:val="20"/>
          <w:lang w:val="es-CR"/>
        </w:rPr>
      </w:pPr>
    </w:p>
    <w:p w:rsidR="00E54423" w:rsidRPr="002F3837" w:rsidRDefault="00E54423" w:rsidP="00E54423">
      <w:pPr>
        <w:pStyle w:val="ListParagraph"/>
        <w:ind w:left="567" w:right="855"/>
        <w:contextualSpacing/>
        <w:jc w:val="both"/>
        <w:rPr>
          <w:iCs/>
          <w:sz w:val="16"/>
          <w:szCs w:val="16"/>
        </w:rPr>
      </w:pPr>
      <w:r w:rsidRPr="002F3837">
        <w:rPr>
          <w:iCs/>
          <w:sz w:val="16"/>
          <w:szCs w:val="16"/>
          <w:lang w:val="es-CR"/>
        </w:rPr>
        <w:t>el componente particular que permite individualizar a una medida como privativa de libertad más allá de la denominación específica que reciba a nivel local […] es el hecho de que la persona […] no puede […] o no tiene […] la posibilidad de salir o abandonar por su propia voluntad el recinto o establecimiento en el cual se encuentra o ha sido alojado. De este modo, cualquier situación o medida que sea caracterizada bajo la anterior definición tornará aplicables todas las garantías asociadas</w:t>
      </w:r>
      <w:r w:rsidRPr="002F3837">
        <w:rPr>
          <w:iCs/>
          <w:sz w:val="16"/>
          <w:szCs w:val="16"/>
        </w:rPr>
        <w:t xml:space="preserve"> que en todo caso, aun en esa circunstancia</w:t>
      </w:r>
      <w:r>
        <w:rPr>
          <w:rStyle w:val="FootnoteReference"/>
          <w:rFonts w:eastAsia="Calibri"/>
          <w:iCs/>
          <w:sz w:val="16"/>
          <w:szCs w:val="16"/>
        </w:rPr>
        <w:footnoteReference w:id="172"/>
      </w:r>
      <w:r w:rsidRPr="002F3837">
        <w:rPr>
          <w:iCs/>
          <w:sz w:val="16"/>
          <w:szCs w:val="16"/>
        </w:rPr>
        <w:t>.</w:t>
      </w:r>
    </w:p>
    <w:p w:rsidR="00E54423" w:rsidRPr="004C6CCF" w:rsidRDefault="00E54423" w:rsidP="00E54423">
      <w:pPr>
        <w:pStyle w:val="ListParagraph"/>
        <w:rPr>
          <w:iCs/>
          <w:sz w:val="20"/>
          <w:szCs w:val="20"/>
        </w:rPr>
      </w:pPr>
    </w:p>
    <w:p w:rsidR="00E54423" w:rsidRPr="004C6CCF" w:rsidRDefault="00E54423" w:rsidP="00E54423">
      <w:pPr>
        <w:pStyle w:val="Estilo1"/>
        <w:numPr>
          <w:ilvl w:val="0"/>
          <w:numId w:val="1"/>
        </w:numPr>
        <w:tabs>
          <w:tab w:val="num" w:pos="17202"/>
          <w:tab w:val="num" w:pos="18282"/>
        </w:tabs>
        <w:spacing w:after="0"/>
        <w:rPr>
          <w:lang w:val="es-CR"/>
        </w:rPr>
      </w:pPr>
      <w:r w:rsidRPr="004C6CCF">
        <w:rPr>
          <w:iCs/>
        </w:rPr>
        <w:t>El inciso 2 del artículo 7 de la Convención remite a las “causas” y “las condiciones” establecidas en las “Constituciones Políticas” o “las leyes dictadas conforme a ellas” para determinar la legalidad de una “priva[</w:t>
      </w:r>
      <w:proofErr w:type="spellStart"/>
      <w:r w:rsidRPr="004C6CCF">
        <w:rPr>
          <w:iCs/>
        </w:rPr>
        <w:t>ción</w:t>
      </w:r>
      <w:proofErr w:type="spellEnd"/>
      <w:r w:rsidRPr="004C6CCF">
        <w:rPr>
          <w:iCs/>
        </w:rPr>
        <w:t>] de [la] libertad física”. Por ende, como ya ha referido la Corte, “[s]</w:t>
      </w:r>
      <w:r w:rsidRPr="004C6CCF">
        <w:rPr>
          <w:spacing w:val="-2"/>
        </w:rPr>
        <w:t>i la normativa interna, tanto en el aspecto material como en el formal, no es observada al privar a una persona de su libertad, tal privación será ilegal y contraria a la Convención Americana”</w:t>
      </w:r>
      <w:r w:rsidRPr="00A34F42">
        <w:rPr>
          <w:spacing w:val="-2"/>
          <w:vertAlign w:val="superscript"/>
        </w:rPr>
        <w:footnoteReference w:id="173"/>
      </w:r>
      <w:r>
        <w:rPr>
          <w:spacing w:val="-2"/>
        </w:rPr>
        <w:t>.</w:t>
      </w:r>
    </w:p>
    <w:p w:rsidR="00E54423" w:rsidRDefault="00E54423" w:rsidP="00E54423">
      <w:pPr>
        <w:pStyle w:val="ListParagraph"/>
        <w:ind w:left="0"/>
        <w:contextualSpacing/>
        <w:jc w:val="both"/>
        <w:rPr>
          <w:sz w:val="20"/>
          <w:szCs w:val="20"/>
          <w:lang w:val="es-CR"/>
        </w:rPr>
      </w:pPr>
    </w:p>
    <w:p w:rsidR="00E54423" w:rsidRDefault="00E54423" w:rsidP="00E54423">
      <w:pPr>
        <w:pStyle w:val="Estilo1"/>
        <w:numPr>
          <w:ilvl w:val="0"/>
          <w:numId w:val="1"/>
        </w:numPr>
        <w:tabs>
          <w:tab w:val="num" w:pos="17202"/>
          <w:tab w:val="num" w:pos="18282"/>
        </w:tabs>
        <w:spacing w:after="0"/>
        <w:rPr>
          <w:lang w:val="es-CR"/>
        </w:rPr>
      </w:pPr>
      <w:r w:rsidRPr="004C6CCF">
        <w:rPr>
          <w:spacing w:val="-2"/>
        </w:rPr>
        <w:t>Lo anterior obliga a considerar la normativa interna peruana pertinente vigente en el momento de los hechos. Al respecto, la Comisión y las partes han aducido normas diversas.</w:t>
      </w:r>
    </w:p>
    <w:p w:rsidR="00E54423" w:rsidRPr="004C6CCF" w:rsidRDefault="00E54423" w:rsidP="00E54423">
      <w:pPr>
        <w:pStyle w:val="ListParagraph"/>
        <w:rPr>
          <w:spacing w:val="-2"/>
          <w:sz w:val="20"/>
          <w:szCs w:val="20"/>
        </w:rPr>
      </w:pPr>
    </w:p>
    <w:p w:rsidR="00E54423" w:rsidRDefault="00E54423" w:rsidP="00E54423">
      <w:pPr>
        <w:pStyle w:val="Estilo1"/>
        <w:numPr>
          <w:ilvl w:val="0"/>
          <w:numId w:val="1"/>
        </w:numPr>
        <w:tabs>
          <w:tab w:val="num" w:pos="17202"/>
          <w:tab w:val="num" w:pos="18282"/>
        </w:tabs>
        <w:spacing w:after="0"/>
        <w:rPr>
          <w:lang w:val="es-CR"/>
        </w:rPr>
      </w:pPr>
      <w:r w:rsidRPr="004C6CCF">
        <w:rPr>
          <w:spacing w:val="-2"/>
        </w:rPr>
        <w:t>E</w:t>
      </w:r>
      <w:r w:rsidRPr="004C6CCF">
        <w:rPr>
          <w:iCs/>
        </w:rPr>
        <w:t>n el Informe de Fondo la Comisión determinó que el señor Galindo fue “detenido” por un tiempo que “</w:t>
      </w:r>
      <w:proofErr w:type="spellStart"/>
      <w:r w:rsidRPr="004C6CCF">
        <w:rPr>
          <w:iCs/>
        </w:rPr>
        <w:t>sobrepas</w:t>
      </w:r>
      <w:proofErr w:type="spellEnd"/>
      <w:r w:rsidRPr="004C6CCF">
        <w:rPr>
          <w:iCs/>
        </w:rPr>
        <w:t>[</w:t>
      </w:r>
      <w:proofErr w:type="spellStart"/>
      <w:r w:rsidRPr="004C6CCF">
        <w:rPr>
          <w:iCs/>
        </w:rPr>
        <w:t>ó</w:t>
      </w:r>
      <w:proofErr w:type="spellEnd"/>
      <w:r w:rsidRPr="004C6CCF">
        <w:rPr>
          <w:iCs/>
        </w:rPr>
        <w:t>] el límite legal” establecido por el Decreto</w:t>
      </w:r>
      <w:r>
        <w:rPr>
          <w:iCs/>
        </w:rPr>
        <w:t xml:space="preserve"> Ley</w:t>
      </w:r>
      <w:r w:rsidR="008733D0">
        <w:rPr>
          <w:iCs/>
        </w:rPr>
        <w:t xml:space="preserve"> No. 25</w:t>
      </w:r>
      <w:r w:rsidRPr="004C6CCF">
        <w:rPr>
          <w:iCs/>
        </w:rPr>
        <w:t xml:space="preserve">475 en su </w:t>
      </w:r>
      <w:r w:rsidRPr="00656B01">
        <w:rPr>
          <w:iCs/>
        </w:rPr>
        <w:t>artículo 1</w:t>
      </w:r>
      <w:r w:rsidRPr="004C6CCF">
        <w:rPr>
          <w:iCs/>
        </w:rPr>
        <w:t>2</w:t>
      </w:r>
      <w:r>
        <w:rPr>
          <w:rStyle w:val="FootnoteReference"/>
          <w:iCs/>
        </w:rPr>
        <w:footnoteReference w:id="174"/>
      </w:r>
      <w:r w:rsidRPr="004C6CCF">
        <w:rPr>
          <w:iCs/>
        </w:rPr>
        <w:t>. Aseveró también, con base en la misma norma, que ello se produjo en “una instalación no autorizada por la ley”. Finalmente, indicó que “no se informó [de la detención] a la Corte Superior de Justicia de Huánuco”, contrariamente al artículo 191 de la Ley Orgánica del Poder Judicial</w:t>
      </w:r>
      <w:r>
        <w:rPr>
          <w:rStyle w:val="FootnoteReference"/>
          <w:iCs/>
        </w:rPr>
        <w:footnoteReference w:id="175"/>
      </w:r>
      <w:r w:rsidRPr="004C6CCF">
        <w:rPr>
          <w:iCs/>
        </w:rPr>
        <w:t xml:space="preserve">. El representante </w:t>
      </w:r>
      <w:r>
        <w:rPr>
          <w:iCs/>
        </w:rPr>
        <w:t xml:space="preserve">se </w:t>
      </w:r>
      <w:r w:rsidRPr="004C6CCF">
        <w:rPr>
          <w:iCs/>
        </w:rPr>
        <w:t>adhirió a lo dicho por la Comisión. El Estado, por su parte, adujo que “el señor Galindo fue privado legalmente de su libertad” dado que se aplicó la “Ley de Arrepentimiento, y a su vez se encontraba vigente un estado de emergencia”, que tenía sustento normativo y constitucional (</w:t>
      </w:r>
      <w:r>
        <w:rPr>
          <w:i/>
          <w:iCs/>
        </w:rPr>
        <w:t>supra</w:t>
      </w:r>
      <w:r w:rsidR="003E4B2C">
        <w:rPr>
          <w:iCs/>
        </w:rPr>
        <w:t xml:space="preserve"> párr. </w:t>
      </w:r>
      <w:r w:rsidR="006A20F1">
        <w:rPr>
          <w:iCs/>
        </w:rPr>
        <w:t>17</w:t>
      </w:r>
      <w:r w:rsidR="00AB4251">
        <w:rPr>
          <w:iCs/>
        </w:rPr>
        <w:t>4</w:t>
      </w:r>
      <w:r w:rsidRPr="004C6CCF">
        <w:rPr>
          <w:iCs/>
        </w:rPr>
        <w:t>). En relación con la Ley de Arrepentimiento, expresó que la misma “implicaba un procedimiento interno de custodia de la persona”.</w:t>
      </w:r>
    </w:p>
    <w:p w:rsidR="00E54423" w:rsidRPr="004C6CCF" w:rsidRDefault="00E54423" w:rsidP="00E54423">
      <w:pPr>
        <w:pStyle w:val="ListParagraph"/>
        <w:rPr>
          <w:iCs/>
          <w:sz w:val="20"/>
          <w:szCs w:val="20"/>
        </w:rPr>
      </w:pPr>
    </w:p>
    <w:p w:rsidR="00E54423" w:rsidRDefault="00E54423" w:rsidP="00E54423">
      <w:pPr>
        <w:pStyle w:val="Estilo1"/>
        <w:numPr>
          <w:ilvl w:val="0"/>
          <w:numId w:val="1"/>
        </w:numPr>
        <w:tabs>
          <w:tab w:val="num" w:pos="17202"/>
          <w:tab w:val="num" w:pos="18282"/>
        </w:tabs>
        <w:spacing w:after="0"/>
        <w:rPr>
          <w:lang w:val="es-CR"/>
        </w:rPr>
      </w:pPr>
      <w:r w:rsidRPr="004C6CCF">
        <w:rPr>
          <w:iCs/>
        </w:rPr>
        <w:t xml:space="preserve">Surge de lo expuesto que frente al señalamiento de la Comisión de que en la privación de libertad del señor Galindo no fue observado el artículo 12 del Decreto </w:t>
      </w:r>
      <w:r>
        <w:rPr>
          <w:iCs/>
        </w:rPr>
        <w:t xml:space="preserve">Ley </w:t>
      </w:r>
      <w:r w:rsidR="008733D0">
        <w:rPr>
          <w:iCs/>
        </w:rPr>
        <w:t>No. 25</w:t>
      </w:r>
      <w:r w:rsidRPr="004C6CCF">
        <w:rPr>
          <w:iCs/>
        </w:rPr>
        <w:t>475 ni el artículo 191 de la Ley Orgáni</w:t>
      </w:r>
      <w:r w:rsidR="00857FD2">
        <w:rPr>
          <w:iCs/>
        </w:rPr>
        <w:t>ca del Poder Judicial</w:t>
      </w:r>
      <w:r w:rsidRPr="004C6CCF">
        <w:rPr>
          <w:iCs/>
        </w:rPr>
        <w:t xml:space="preserve">, el Estado no afirmó que tales normas sí fueron cumplidas. No obstante, argumentó que la privación de libertad del señor Galindo tuvo sustento legal, pero con base en otras normas: el Decreto Supremo No. 084 DE/CCFFAA que prorrogó el estado de emergencia en Huánuco, y la Ley de Arrepentimiento </w:t>
      </w:r>
      <w:r w:rsidRPr="004C6CCF">
        <w:rPr>
          <w:iCs/>
        </w:rPr>
        <w:lastRenderedPageBreak/>
        <w:t>y su reglamento (</w:t>
      </w:r>
      <w:r w:rsidRPr="004C6CCF">
        <w:rPr>
          <w:i/>
          <w:iCs/>
        </w:rPr>
        <w:t>supra</w:t>
      </w:r>
      <w:r w:rsidRPr="004C6CCF">
        <w:rPr>
          <w:iCs/>
        </w:rPr>
        <w:t xml:space="preserve"> párr. </w:t>
      </w:r>
      <w:r w:rsidR="006F28ED">
        <w:rPr>
          <w:iCs/>
        </w:rPr>
        <w:t>103 y 176</w:t>
      </w:r>
      <w:r w:rsidRPr="004C6CCF">
        <w:rPr>
          <w:iCs/>
        </w:rPr>
        <w:t>). Dados los términos de la controversia, este Tribunal estima conveniente examinar lo argumentado por el Estado, que identificó normas que, según adujo, fueron de aplicación al caso y determinaron la legalidad de lo actuado</w:t>
      </w:r>
      <w:r>
        <w:rPr>
          <w:rStyle w:val="FootnoteReference"/>
          <w:iCs/>
        </w:rPr>
        <w:footnoteReference w:id="176"/>
      </w:r>
      <w:r w:rsidRPr="004C6CCF">
        <w:rPr>
          <w:iCs/>
        </w:rPr>
        <w:t xml:space="preserve">. </w:t>
      </w:r>
    </w:p>
    <w:p w:rsidR="00E54423" w:rsidRPr="004C6CCF" w:rsidRDefault="00E54423" w:rsidP="00E54423">
      <w:pPr>
        <w:pStyle w:val="ListParagraph"/>
        <w:rPr>
          <w:iCs/>
          <w:sz w:val="20"/>
          <w:szCs w:val="20"/>
        </w:rPr>
      </w:pPr>
    </w:p>
    <w:p w:rsidR="00E54423" w:rsidRPr="004C6CCF" w:rsidRDefault="00E54423" w:rsidP="00E54423">
      <w:pPr>
        <w:pStyle w:val="Estilo1"/>
        <w:numPr>
          <w:ilvl w:val="0"/>
          <w:numId w:val="1"/>
        </w:numPr>
        <w:tabs>
          <w:tab w:val="num" w:pos="17202"/>
          <w:tab w:val="num" w:pos="18282"/>
        </w:tabs>
        <w:spacing w:after="0"/>
        <w:rPr>
          <w:lang w:val="es-CR"/>
        </w:rPr>
      </w:pPr>
      <w:r w:rsidRPr="004C6CCF">
        <w:rPr>
          <w:iCs/>
        </w:rPr>
        <w:t>Como informó el Estado en su contestación, “la Constitución Política de 1993, vigente al momento de los hechos del presente caso, señala en su artículo 2.24.f</w:t>
      </w:r>
      <w:r>
        <w:rPr>
          <w:iCs/>
        </w:rPr>
        <w:t xml:space="preserve">) </w:t>
      </w:r>
      <w:r w:rsidRPr="004C6CCF">
        <w:rPr>
          <w:iCs/>
        </w:rPr>
        <w:t>que:</w:t>
      </w:r>
    </w:p>
    <w:p w:rsidR="00E54423" w:rsidRPr="0070530B" w:rsidRDefault="00E54423" w:rsidP="00E54423">
      <w:pPr>
        <w:pStyle w:val="ListParagraph"/>
        <w:rPr>
          <w:iCs/>
          <w:sz w:val="20"/>
          <w:szCs w:val="20"/>
          <w:lang w:val="es-CR"/>
        </w:rPr>
      </w:pPr>
    </w:p>
    <w:p w:rsidR="00E54423" w:rsidRPr="00FB578B" w:rsidRDefault="00E54423" w:rsidP="00E54423">
      <w:pPr>
        <w:pStyle w:val="ListParagraph"/>
        <w:ind w:left="567" w:right="720"/>
        <w:contextualSpacing/>
        <w:jc w:val="both"/>
        <w:rPr>
          <w:iCs/>
          <w:sz w:val="16"/>
          <w:szCs w:val="16"/>
        </w:rPr>
      </w:pPr>
      <w:r w:rsidRPr="00FB578B">
        <w:rPr>
          <w:iCs/>
          <w:sz w:val="16"/>
          <w:szCs w:val="16"/>
        </w:rPr>
        <w:t>[…] Nadie puede ser detenido sino por mandamiento escrito y motivado del juez o por las autoridades policiales en caso de flagrante delito. El detenido debe ser puesto a disposición del juzgado correspondiente dentro de las veinticuatro horas o en el término de la distancia. Estos plazos no se aplican a los casos de terrorismo, espionaje y tráfico ilícito de drogas. En tales casos, las autoridades policiales pueden efectuar la detención preventiva de los presuntos implicados por un término no mayor de quince días naturales. Deben dar cuenta al Ministerio Público y al juez, quien puede asumir jurisdicción antes de vencido dicho término</w:t>
      </w:r>
      <w:r>
        <w:rPr>
          <w:iCs/>
          <w:sz w:val="16"/>
          <w:szCs w:val="16"/>
        </w:rPr>
        <w:t>”.</w:t>
      </w:r>
    </w:p>
    <w:p w:rsidR="00E54423" w:rsidRDefault="00E54423" w:rsidP="00E54423">
      <w:pPr>
        <w:rPr>
          <w:iCs/>
          <w:szCs w:val="20"/>
        </w:rPr>
      </w:pPr>
    </w:p>
    <w:p w:rsidR="00E54423" w:rsidRPr="008E65BA" w:rsidRDefault="00E54423" w:rsidP="00E54423">
      <w:pPr>
        <w:autoSpaceDE w:val="0"/>
        <w:autoSpaceDN w:val="0"/>
        <w:adjustRightInd w:val="0"/>
        <w:rPr>
          <w:iCs/>
          <w:szCs w:val="20"/>
        </w:rPr>
      </w:pPr>
      <w:r w:rsidRPr="008E65BA">
        <w:rPr>
          <w:iCs/>
          <w:szCs w:val="20"/>
        </w:rPr>
        <w:t>Además, la Corte nota que el apartado g) del inciso 24 del artículo 2 constitucional establecía que “[n]</w:t>
      </w:r>
      <w:proofErr w:type="spellStart"/>
      <w:r w:rsidRPr="008E65BA">
        <w:rPr>
          <w:rFonts w:eastAsiaTheme="minorHAnsi" w:cs="Arial"/>
          <w:szCs w:val="20"/>
          <w:lang w:val="es-CR"/>
        </w:rPr>
        <w:t>adie</w:t>
      </w:r>
      <w:proofErr w:type="spellEnd"/>
      <w:r w:rsidRPr="008E65BA">
        <w:rPr>
          <w:rFonts w:eastAsiaTheme="minorHAnsi" w:cs="Arial"/>
          <w:szCs w:val="20"/>
          <w:lang w:val="es-CR"/>
        </w:rPr>
        <w:t xml:space="preserve"> puede ser incomunicado sino en caso indispensable para el esclarecimiento de un delito, y en la forma y por el tiempo previstos por la ley.</w:t>
      </w:r>
      <w:r>
        <w:rPr>
          <w:rFonts w:eastAsiaTheme="minorHAnsi" w:cs="Arial"/>
          <w:szCs w:val="20"/>
          <w:lang w:val="es-CR"/>
        </w:rPr>
        <w:t xml:space="preserve"> </w:t>
      </w:r>
      <w:r w:rsidRPr="008E65BA">
        <w:rPr>
          <w:rFonts w:eastAsiaTheme="minorHAnsi" w:cs="Arial"/>
          <w:szCs w:val="20"/>
          <w:lang w:val="es-CR"/>
        </w:rPr>
        <w:t>La autoridad está obligada bajo responsabilidad a señalar, sin dilación y por</w:t>
      </w:r>
      <w:r>
        <w:rPr>
          <w:rFonts w:eastAsiaTheme="minorHAnsi" w:cs="Arial"/>
          <w:szCs w:val="20"/>
          <w:lang w:val="es-CR"/>
        </w:rPr>
        <w:t xml:space="preserve"> </w:t>
      </w:r>
      <w:r w:rsidRPr="008E65BA">
        <w:rPr>
          <w:rFonts w:eastAsiaTheme="minorHAnsi" w:cs="Arial"/>
          <w:szCs w:val="20"/>
          <w:lang w:val="es-CR"/>
        </w:rPr>
        <w:t>escrito, el lugar donde se halla la persona detenida”.</w:t>
      </w:r>
      <w:r>
        <w:rPr>
          <w:rFonts w:eastAsiaTheme="minorHAnsi" w:cs="Arial"/>
          <w:szCs w:val="20"/>
          <w:lang w:val="es-CR"/>
        </w:rPr>
        <w:t xml:space="preserve"> </w:t>
      </w:r>
    </w:p>
    <w:p w:rsidR="00E54423" w:rsidRPr="004C6CCF" w:rsidRDefault="00E54423" w:rsidP="00E54423">
      <w:pPr>
        <w:pStyle w:val="ListParagraph"/>
        <w:rPr>
          <w:iCs/>
          <w:sz w:val="20"/>
          <w:szCs w:val="20"/>
        </w:rPr>
      </w:pPr>
    </w:p>
    <w:p w:rsidR="00E54423" w:rsidRPr="004C6CCF" w:rsidRDefault="00E54423" w:rsidP="00E54423">
      <w:pPr>
        <w:pStyle w:val="Estilo1"/>
        <w:numPr>
          <w:ilvl w:val="0"/>
          <w:numId w:val="1"/>
        </w:numPr>
        <w:tabs>
          <w:tab w:val="num" w:pos="17202"/>
          <w:tab w:val="num" w:pos="18282"/>
        </w:tabs>
        <w:spacing w:after="0"/>
        <w:rPr>
          <w:lang w:val="es-CR"/>
        </w:rPr>
      </w:pPr>
      <w:r w:rsidRPr="004C6CCF">
        <w:rPr>
          <w:iCs/>
        </w:rPr>
        <w:t>La Constitución, en su artículo 137,</w:t>
      </w:r>
      <w:r>
        <w:rPr>
          <w:iCs/>
        </w:rPr>
        <w:t xml:space="preserve"> inciso 1,</w:t>
      </w:r>
      <w:r w:rsidRPr="004C6CCF">
        <w:rPr>
          <w:iCs/>
        </w:rPr>
        <w:t xml:space="preserve"> estableció también la posibilidad de que “[el Presidente de la República, con acuerdo del Consejo de Ministros”</w:t>
      </w:r>
      <w:r>
        <w:rPr>
          <w:iCs/>
        </w:rPr>
        <w:t>,</w:t>
      </w:r>
      <w:r w:rsidRPr="004C6CCF">
        <w:rPr>
          <w:iCs/>
        </w:rPr>
        <w:t xml:space="preserve"> decrete “por plazo determinado, en todo el territorio nacional, o en parte de él [… el e</w:t>
      </w:r>
      <w:proofErr w:type="gramStart"/>
      <w:r w:rsidRPr="004C6CCF">
        <w:rPr>
          <w:iCs/>
        </w:rPr>
        <w:t>]</w:t>
      </w:r>
      <w:proofErr w:type="spellStart"/>
      <w:r w:rsidRPr="004C6CCF">
        <w:rPr>
          <w:iCs/>
        </w:rPr>
        <w:t>stado</w:t>
      </w:r>
      <w:proofErr w:type="spellEnd"/>
      <w:proofErr w:type="gramEnd"/>
      <w:r w:rsidRPr="004C6CCF">
        <w:rPr>
          <w:iCs/>
        </w:rPr>
        <w:t xml:space="preserve"> de emergencia, en caso de perturbación de la paz o del orden interno, de catástrofe o de graves circunstancias que afecten la vida de la Nación”. El mismo artículo previó que “[e]n esta eventualidad, puede restringirse o suspenderse el ejercicio de derechos constitucionales”, incluyendo aquellos “relativos a la libertad y seguridad personales […] comprendido […] en el inciso 24, apartado f del [artículo 2]”. Finalmente, normó que “[e]l plazo del estado de emergencia no excede de sesenta días. Su prórroga requiere nuevo decreto. En estado de emergencia las Fuerzas Armadas asumen el control del orden interno si así lo dispone el Presidente de la República”.</w:t>
      </w:r>
    </w:p>
    <w:p w:rsidR="00E54423" w:rsidRDefault="00E54423" w:rsidP="00E54423">
      <w:pPr>
        <w:pStyle w:val="ListParagraph"/>
        <w:ind w:left="0"/>
        <w:contextualSpacing/>
        <w:jc w:val="both"/>
        <w:rPr>
          <w:sz w:val="20"/>
          <w:szCs w:val="20"/>
          <w:lang w:val="es-CR"/>
        </w:rPr>
      </w:pPr>
    </w:p>
    <w:p w:rsidR="00E54423" w:rsidRPr="004C6CCF" w:rsidRDefault="00E54423" w:rsidP="00E54423">
      <w:pPr>
        <w:pStyle w:val="Estilo1"/>
        <w:numPr>
          <w:ilvl w:val="0"/>
          <w:numId w:val="1"/>
        </w:numPr>
        <w:tabs>
          <w:tab w:val="num" w:pos="17202"/>
          <w:tab w:val="num" w:pos="18282"/>
        </w:tabs>
        <w:spacing w:after="0"/>
        <w:rPr>
          <w:lang w:val="es-CR"/>
        </w:rPr>
      </w:pPr>
      <w:r w:rsidRPr="004C6CCF">
        <w:rPr>
          <w:iCs/>
        </w:rPr>
        <w:t>El 10 de octubre de 1994 se publicó en el Diario Oficial “El Peruano” el Decreto Supremo No. 084 DE/CCFFAA, adoptado por el “Presidente Con</w:t>
      </w:r>
      <w:r>
        <w:rPr>
          <w:iCs/>
        </w:rPr>
        <w:t>stitucional de la República”, c</w:t>
      </w:r>
      <w:r w:rsidRPr="004C6CCF">
        <w:rPr>
          <w:iCs/>
        </w:rPr>
        <w:t>on el voto aprobatorio del Consejo de Minist</w:t>
      </w:r>
      <w:r>
        <w:rPr>
          <w:iCs/>
        </w:rPr>
        <w:t>ros, que decretó una pró</w:t>
      </w:r>
      <w:r w:rsidRPr="004C6CCF">
        <w:rPr>
          <w:iCs/>
        </w:rPr>
        <w:t>rrog</w:t>
      </w:r>
      <w:r>
        <w:rPr>
          <w:iCs/>
        </w:rPr>
        <w:t>a del estado de e</w:t>
      </w:r>
      <w:r w:rsidRPr="004C6CCF">
        <w:rPr>
          <w:iCs/>
        </w:rPr>
        <w:t>mergenc</w:t>
      </w:r>
      <w:r>
        <w:rPr>
          <w:iCs/>
        </w:rPr>
        <w:t>ia por el término de sesenta</w:t>
      </w:r>
      <w:r w:rsidRPr="004C6CCF">
        <w:rPr>
          <w:iCs/>
        </w:rPr>
        <w:t xml:space="preserve"> días a parti</w:t>
      </w:r>
      <w:r>
        <w:rPr>
          <w:iCs/>
        </w:rPr>
        <w:t>r del 10 de octubre de 1994 en diversos departamentos</w:t>
      </w:r>
      <w:r w:rsidRPr="004C6CCF">
        <w:rPr>
          <w:iCs/>
        </w:rPr>
        <w:t xml:space="preserve"> del país, entre ellos, Huánuco. El segundo artí</w:t>
      </w:r>
      <w:r>
        <w:rPr>
          <w:iCs/>
        </w:rPr>
        <w:t xml:space="preserve">culo de la norma determinó la suspensión de la garantía </w:t>
      </w:r>
      <w:r w:rsidRPr="004C6CCF">
        <w:rPr>
          <w:iCs/>
        </w:rPr>
        <w:t xml:space="preserve"> constituci</w:t>
      </w:r>
      <w:r>
        <w:rPr>
          <w:iCs/>
        </w:rPr>
        <w:t>onal contemplada  en el artículo 2 i</w:t>
      </w:r>
      <w:r w:rsidRPr="004C6CCF">
        <w:rPr>
          <w:iCs/>
        </w:rPr>
        <w:t>nciso 24, apartado f</w:t>
      </w:r>
      <w:r>
        <w:rPr>
          <w:iCs/>
        </w:rPr>
        <w:t xml:space="preserve">) </w:t>
      </w:r>
      <w:r w:rsidRPr="004C6CCF">
        <w:rPr>
          <w:iCs/>
        </w:rPr>
        <w:t>de la</w:t>
      </w:r>
      <w:r>
        <w:rPr>
          <w:iCs/>
        </w:rPr>
        <w:t xml:space="preserve"> Constitución Política del Perú</w:t>
      </w:r>
      <w:r w:rsidRPr="004C6CCF">
        <w:rPr>
          <w:iCs/>
        </w:rPr>
        <w:t xml:space="preserve">. El artículo siguiente del Decreto No. 084 DE/CCFFAA ordenó que “[l]as Fuerzas Armadas </w:t>
      </w:r>
      <w:proofErr w:type="spellStart"/>
      <w:r w:rsidRPr="004C6CCF">
        <w:rPr>
          <w:iCs/>
        </w:rPr>
        <w:t>asumi</w:t>
      </w:r>
      <w:proofErr w:type="spellEnd"/>
      <w:r w:rsidRPr="004C6CCF">
        <w:rPr>
          <w:iCs/>
        </w:rPr>
        <w:t>[e]r[a]n el control del [o]</w:t>
      </w:r>
      <w:proofErr w:type="spellStart"/>
      <w:r w:rsidRPr="004C6CCF">
        <w:rPr>
          <w:iCs/>
        </w:rPr>
        <w:t>rden</w:t>
      </w:r>
      <w:proofErr w:type="spellEnd"/>
      <w:r w:rsidRPr="004C6CCF">
        <w:rPr>
          <w:iCs/>
        </w:rPr>
        <w:t xml:space="preserve"> [i]</w:t>
      </w:r>
      <w:proofErr w:type="spellStart"/>
      <w:r w:rsidRPr="004C6CCF">
        <w:rPr>
          <w:iCs/>
        </w:rPr>
        <w:t>nterno</w:t>
      </w:r>
      <w:proofErr w:type="spellEnd"/>
      <w:r w:rsidRPr="004C6CCF">
        <w:rPr>
          <w:iCs/>
        </w:rPr>
        <w:t xml:space="preserve"> de conformidad con lo dispuesto en la Ley No. 24150, ampliada y modificada con el </w:t>
      </w:r>
      <w:r>
        <w:rPr>
          <w:iCs/>
        </w:rPr>
        <w:t>Decreto Legislativo [N</w:t>
      </w:r>
      <w:proofErr w:type="gramStart"/>
      <w:r>
        <w:rPr>
          <w:iCs/>
        </w:rPr>
        <w:t>]</w:t>
      </w:r>
      <w:r w:rsidRPr="004C6CCF">
        <w:rPr>
          <w:iCs/>
        </w:rPr>
        <w:t>o</w:t>
      </w:r>
      <w:proofErr w:type="gramEnd"/>
      <w:r w:rsidRPr="004C6CCF">
        <w:rPr>
          <w:iCs/>
        </w:rPr>
        <w:t xml:space="preserve">. 749”. </w:t>
      </w:r>
    </w:p>
    <w:p w:rsidR="00E54423" w:rsidRPr="00FB578B" w:rsidRDefault="00E54423" w:rsidP="00E54423">
      <w:pPr>
        <w:pStyle w:val="ListParagraph"/>
        <w:ind w:left="0"/>
        <w:rPr>
          <w:iCs/>
          <w:sz w:val="20"/>
          <w:szCs w:val="20"/>
        </w:rPr>
      </w:pPr>
    </w:p>
    <w:p w:rsidR="00E54423" w:rsidRDefault="00E54423" w:rsidP="00E54423">
      <w:pPr>
        <w:pStyle w:val="Estilo1"/>
        <w:numPr>
          <w:ilvl w:val="0"/>
          <w:numId w:val="1"/>
        </w:numPr>
        <w:tabs>
          <w:tab w:val="num" w:pos="17202"/>
          <w:tab w:val="num" w:pos="18282"/>
        </w:tabs>
        <w:spacing w:after="0"/>
        <w:rPr>
          <w:lang w:val="es-CR"/>
        </w:rPr>
      </w:pPr>
      <w:r>
        <w:rPr>
          <w:lang w:val="es-CR"/>
        </w:rPr>
        <w:lastRenderedPageBreak/>
        <w:t>E</w:t>
      </w:r>
      <w:r w:rsidRPr="00135986">
        <w:rPr>
          <w:lang w:val="es-CR"/>
        </w:rPr>
        <w:t>l 12 de noviembre de 1991 se había expedido el Decreto Legislativo No. 749</w:t>
      </w:r>
      <w:r w:rsidR="00261E78">
        <w:rPr>
          <w:lang w:val="es-CR"/>
        </w:rPr>
        <w:t xml:space="preserve"> (</w:t>
      </w:r>
      <w:r w:rsidR="006F28ED">
        <w:rPr>
          <w:i/>
          <w:lang w:val="es-CR"/>
        </w:rPr>
        <w:t>sup</w:t>
      </w:r>
      <w:r w:rsidR="00124D8E">
        <w:rPr>
          <w:i/>
          <w:lang w:val="es-CR"/>
        </w:rPr>
        <w:t>ra</w:t>
      </w:r>
      <w:r w:rsidR="00261E78">
        <w:rPr>
          <w:lang w:val="es-CR"/>
        </w:rPr>
        <w:t xml:space="preserve"> nota</w:t>
      </w:r>
      <w:r w:rsidR="00124D8E">
        <w:rPr>
          <w:lang w:val="es-CR"/>
        </w:rPr>
        <w:t xml:space="preserve"> al pie de página 7</w:t>
      </w:r>
      <w:r w:rsidR="00FC4706">
        <w:rPr>
          <w:lang w:val="es-CR"/>
        </w:rPr>
        <w:t>7</w:t>
      </w:r>
      <w:r w:rsidR="00261E78">
        <w:rPr>
          <w:lang w:val="es-CR"/>
        </w:rPr>
        <w:t>)</w:t>
      </w:r>
      <w:r w:rsidRPr="00135986">
        <w:rPr>
          <w:lang w:val="es-CR"/>
        </w:rPr>
        <w:t>, que conforme su título “[m]</w:t>
      </w:r>
      <w:proofErr w:type="spellStart"/>
      <w:r w:rsidRPr="00135986">
        <w:rPr>
          <w:lang w:val="es-CR"/>
        </w:rPr>
        <w:t>odific</w:t>
      </w:r>
      <w:proofErr w:type="spellEnd"/>
      <w:r w:rsidRPr="00135986">
        <w:rPr>
          <w:lang w:val="es-CR"/>
        </w:rPr>
        <w:t>[</w:t>
      </w:r>
      <w:proofErr w:type="spellStart"/>
      <w:r w:rsidRPr="00135986">
        <w:rPr>
          <w:lang w:val="es-CR"/>
        </w:rPr>
        <w:t>ó</w:t>
      </w:r>
      <w:proofErr w:type="spellEnd"/>
      <w:r w:rsidRPr="00135986">
        <w:rPr>
          <w:lang w:val="es-CR"/>
        </w:rPr>
        <w:t>] el Artículo 5 de la Ley No. 24150 [de 1985, relativa a estados de excepción</w:t>
      </w:r>
      <w:r w:rsidRPr="00135986">
        <w:rPr>
          <w:rStyle w:val="FootnoteReference"/>
          <w:lang w:val="es-CR"/>
        </w:rPr>
        <w:footnoteReference w:id="177"/>
      </w:r>
      <w:r w:rsidRPr="00135986">
        <w:rPr>
          <w:lang w:val="es-CR"/>
        </w:rPr>
        <w:t>], a fin de regular las relaciones del Comando Político Militar de las Zonas declaradas en Emergencia con diversas autoridades de su jurisdicción”. El artículo 5 de la Ley 24150 en su inciso j), de acuerdo al texto “</w:t>
      </w:r>
      <w:proofErr w:type="spellStart"/>
      <w:r w:rsidRPr="00135986">
        <w:rPr>
          <w:lang w:val="es-CR"/>
        </w:rPr>
        <w:t>adici</w:t>
      </w:r>
      <w:proofErr w:type="spellEnd"/>
      <w:r w:rsidRPr="00135986">
        <w:rPr>
          <w:lang w:val="es-CR"/>
        </w:rPr>
        <w:t>[o]na[do]” por mandato del artículo 3 del Decreto Legislativo No. 749, indic</w:t>
      </w:r>
      <w:r>
        <w:rPr>
          <w:lang w:val="es-CR"/>
        </w:rPr>
        <w:t>ó</w:t>
      </w:r>
      <w:r w:rsidRPr="00135986">
        <w:rPr>
          <w:lang w:val="es-CR"/>
        </w:rPr>
        <w:t xml:space="preserve">, </w:t>
      </w:r>
      <w:r w:rsidRPr="00135986">
        <w:rPr>
          <w:i/>
          <w:lang w:val="es-CR"/>
        </w:rPr>
        <w:t xml:space="preserve">inter </w:t>
      </w:r>
      <w:proofErr w:type="spellStart"/>
      <w:r w:rsidRPr="00135986">
        <w:rPr>
          <w:i/>
          <w:lang w:val="es-CR"/>
        </w:rPr>
        <w:t>alia</w:t>
      </w:r>
      <w:proofErr w:type="spellEnd"/>
      <w:r w:rsidRPr="00135986">
        <w:rPr>
          <w:lang w:val="es-CR"/>
        </w:rPr>
        <w:t>, que</w:t>
      </w:r>
    </w:p>
    <w:p w:rsidR="00E54423" w:rsidRPr="00E62C1E" w:rsidRDefault="00E54423" w:rsidP="00E54423">
      <w:pPr>
        <w:pStyle w:val="ListParagraph"/>
        <w:ind w:left="0"/>
        <w:rPr>
          <w:lang w:val="es-CR"/>
        </w:rPr>
      </w:pPr>
    </w:p>
    <w:p w:rsidR="00E54423" w:rsidRPr="00D06D6E" w:rsidRDefault="00E54423" w:rsidP="00E54423">
      <w:pPr>
        <w:pStyle w:val="ListParagraph"/>
        <w:ind w:left="567" w:right="720"/>
        <w:jc w:val="both"/>
        <w:rPr>
          <w:strike/>
          <w:sz w:val="16"/>
          <w:szCs w:val="16"/>
          <w:lang w:val="es-CR"/>
        </w:rPr>
      </w:pPr>
      <w:r w:rsidRPr="00262904">
        <w:rPr>
          <w:sz w:val="16"/>
          <w:szCs w:val="16"/>
          <w:lang w:val="es-CR"/>
        </w:rPr>
        <w:t xml:space="preserve">Son atribuciones del Comando Político Militar: […] Tener bajo su comando a los miembros de la Policía Nacional del Perú que presten servicios en las zonas de su respectiva jurisdicción, quienes cumplirán las instrucciones y disposiciones que en materia de lucha contra el terrorismo y el narcotráfico </w:t>
      </w:r>
      <w:r>
        <w:rPr>
          <w:sz w:val="16"/>
          <w:szCs w:val="16"/>
          <w:lang w:val="es-CR"/>
        </w:rPr>
        <w:t>e</w:t>
      </w:r>
      <w:r w:rsidRPr="00262904">
        <w:rPr>
          <w:sz w:val="16"/>
          <w:szCs w:val="16"/>
          <w:lang w:val="es-CR"/>
        </w:rPr>
        <w:t>mita el Comando Militar.</w:t>
      </w:r>
    </w:p>
    <w:p w:rsidR="00E54423" w:rsidRPr="004C6CCF" w:rsidRDefault="00E54423" w:rsidP="00E54423">
      <w:pPr>
        <w:pStyle w:val="ListParagraph"/>
        <w:rPr>
          <w:sz w:val="20"/>
          <w:szCs w:val="20"/>
          <w:lang w:val="es-CR"/>
        </w:rPr>
      </w:pPr>
    </w:p>
    <w:p w:rsidR="00E54423" w:rsidRDefault="00E54423" w:rsidP="00E54423">
      <w:pPr>
        <w:pStyle w:val="Estilo1"/>
        <w:numPr>
          <w:ilvl w:val="0"/>
          <w:numId w:val="1"/>
        </w:numPr>
        <w:tabs>
          <w:tab w:val="num" w:pos="17202"/>
          <w:tab w:val="num" w:pos="18282"/>
        </w:tabs>
        <w:spacing w:after="0"/>
        <w:rPr>
          <w:lang w:val="es-CR"/>
        </w:rPr>
      </w:pPr>
      <w:r w:rsidRPr="004C6CCF">
        <w:rPr>
          <w:lang w:val="es-CR"/>
        </w:rPr>
        <w:t>Asimismo, como ya se indicó (</w:t>
      </w:r>
      <w:r w:rsidRPr="004C6CCF">
        <w:rPr>
          <w:i/>
          <w:lang w:val="es-CR"/>
        </w:rPr>
        <w:t>supra</w:t>
      </w:r>
      <w:r w:rsidRPr="004C6CCF">
        <w:rPr>
          <w:lang w:val="es-CR"/>
        </w:rPr>
        <w:t xml:space="preserve"> párr. </w:t>
      </w:r>
      <w:r>
        <w:rPr>
          <w:lang w:val="es-CR"/>
        </w:rPr>
        <w:t>1</w:t>
      </w:r>
      <w:r w:rsidR="008E5578">
        <w:rPr>
          <w:lang w:val="es-CR"/>
        </w:rPr>
        <w:t>12</w:t>
      </w:r>
      <w:r w:rsidRPr="004C6CCF">
        <w:rPr>
          <w:lang w:val="es-CR"/>
        </w:rPr>
        <w:t>) el Decreto Su</w:t>
      </w:r>
      <w:r>
        <w:rPr>
          <w:lang w:val="es-CR"/>
        </w:rPr>
        <w:t>premo No. 015-93-JUS aprobó el r</w:t>
      </w:r>
      <w:r w:rsidRPr="004C6CCF">
        <w:rPr>
          <w:lang w:val="es-CR"/>
        </w:rPr>
        <w:t>eglamento de la Ley de Arrepentimiento, estableciendo en el</w:t>
      </w:r>
      <w:r>
        <w:rPr>
          <w:lang w:val="es-CR"/>
        </w:rPr>
        <w:t xml:space="preserve"> artículo 40 el siguiente texto:</w:t>
      </w:r>
      <w:r w:rsidRPr="004C6CCF">
        <w:rPr>
          <w:lang w:val="es-CR"/>
        </w:rPr>
        <w:t xml:space="preserve"> “Las autoridades comprendidas en el artículo 9, durante todo el procedimiento y bajo responsabilidad, deberán adoptar las medidas necesarias para ubicar y mantener al solicitante en un ambiente especial o su domicilio, según sea el caso”.</w:t>
      </w:r>
    </w:p>
    <w:p w:rsidR="00E54423" w:rsidRDefault="00E54423" w:rsidP="00E54423">
      <w:pPr>
        <w:pStyle w:val="ListParagraph"/>
        <w:ind w:left="0"/>
        <w:contextualSpacing/>
        <w:jc w:val="both"/>
        <w:rPr>
          <w:sz w:val="20"/>
          <w:szCs w:val="20"/>
          <w:lang w:val="es-CR"/>
        </w:rPr>
      </w:pPr>
    </w:p>
    <w:p w:rsidR="00E54423" w:rsidRPr="004C6CCF" w:rsidRDefault="00E54423" w:rsidP="00E54423">
      <w:pPr>
        <w:pStyle w:val="Estilo1"/>
        <w:numPr>
          <w:ilvl w:val="0"/>
          <w:numId w:val="1"/>
        </w:numPr>
        <w:tabs>
          <w:tab w:val="num" w:pos="17202"/>
          <w:tab w:val="num" w:pos="18282"/>
        </w:tabs>
        <w:spacing w:after="0"/>
        <w:rPr>
          <w:lang w:val="es-CR"/>
        </w:rPr>
      </w:pPr>
      <w:r w:rsidRPr="004C6CCF">
        <w:rPr>
          <w:iCs/>
        </w:rPr>
        <w:t>Respecto al estado de emergencia vigente en el momento de los hechos (</w:t>
      </w:r>
      <w:r w:rsidRPr="004C6CCF">
        <w:rPr>
          <w:i/>
          <w:iCs/>
        </w:rPr>
        <w:t>supra</w:t>
      </w:r>
      <w:r w:rsidRPr="004C6CCF">
        <w:rPr>
          <w:iCs/>
        </w:rPr>
        <w:t xml:space="preserve"> párr. </w:t>
      </w:r>
      <w:r w:rsidR="00AB4251">
        <w:rPr>
          <w:iCs/>
        </w:rPr>
        <w:t>102</w:t>
      </w:r>
      <w:r w:rsidRPr="004C6CCF">
        <w:rPr>
          <w:iCs/>
        </w:rPr>
        <w:t>), interesa recordar que la Corte ha indicado que “</w:t>
      </w:r>
      <w:r w:rsidRPr="004C6CCF">
        <w:rPr>
          <w:spacing w:val="-2"/>
        </w:rPr>
        <w:t>el artículo 27.1</w:t>
      </w:r>
      <w:r w:rsidRPr="00A34F42">
        <w:rPr>
          <w:spacing w:val="-2"/>
          <w:vertAlign w:val="superscript"/>
        </w:rPr>
        <w:footnoteReference w:id="178"/>
      </w:r>
      <w:r w:rsidRPr="004C6CCF">
        <w:rPr>
          <w:spacing w:val="-2"/>
        </w:rPr>
        <w:t xml:space="preserve"> de la Convención permite la suspensión de [determinadas] obligaciones [convencionales] ‘en la medida y por el tiempo estrictamente limitados a las exigencias de la situación’ de que se trate”</w:t>
      </w:r>
      <w:r>
        <w:rPr>
          <w:rStyle w:val="FootnoteReference"/>
          <w:spacing w:val="-2"/>
        </w:rPr>
        <w:footnoteReference w:id="179"/>
      </w:r>
      <w:r w:rsidRPr="004C6CCF">
        <w:rPr>
          <w:spacing w:val="-2"/>
        </w:rPr>
        <w:t xml:space="preserve">. Al respecto, este Tribunal ha explicado que </w:t>
      </w:r>
    </w:p>
    <w:p w:rsidR="00E54423" w:rsidRPr="004C6CCF" w:rsidRDefault="00E54423" w:rsidP="00E54423">
      <w:pPr>
        <w:pStyle w:val="ListParagraph"/>
        <w:rPr>
          <w:sz w:val="20"/>
          <w:szCs w:val="20"/>
          <w:lang w:val="es-CR"/>
        </w:rPr>
      </w:pPr>
    </w:p>
    <w:p w:rsidR="00E54423" w:rsidRPr="00F96E36" w:rsidRDefault="00E54423" w:rsidP="00E54423">
      <w:pPr>
        <w:pStyle w:val="ListParagraph"/>
        <w:ind w:left="567" w:right="720"/>
        <w:contextualSpacing/>
        <w:jc w:val="both"/>
        <w:rPr>
          <w:iCs/>
          <w:sz w:val="16"/>
          <w:szCs w:val="16"/>
        </w:rPr>
      </w:pPr>
      <w:proofErr w:type="gramStart"/>
      <w:r w:rsidRPr="00F96E36">
        <w:rPr>
          <w:spacing w:val="-2"/>
          <w:sz w:val="16"/>
          <w:szCs w:val="16"/>
        </w:rPr>
        <w:t>la</w:t>
      </w:r>
      <w:proofErr w:type="gramEnd"/>
      <w:r w:rsidRPr="00F96E36">
        <w:rPr>
          <w:spacing w:val="-2"/>
          <w:sz w:val="16"/>
          <w:szCs w:val="16"/>
        </w:rPr>
        <w:t xml:space="preserve"> suspensión de garantías constituye una situación excepcional, según la cual resulta lícito para el gobierno aplicar determinadas medidas restrictivas a los derechos y libertades que, en condiciones normales, están prohibidas o sometidas a requisitos más rigurosos. Esto no significa, sin embargo, que la suspensión de garantías comporte la suspensión temporal del Estado de Derecho o que autorice a los gobernantes a apartar su conducta de la legalidad a la que en todo momento deben ceñirse. Estando suspendidas las garantías, algunos de los límites legales de la actuación del poder público pueden ser distintos de los vigentes en condiciones normales, pero no deben considerarse inexistentes ni cabe, en consecuencia, entender que el gobierno esté investido de poderes absolutos más allá de las condiciones en que tal legalidad excepcional está autorizada</w:t>
      </w:r>
      <w:r w:rsidRPr="00F96E36">
        <w:rPr>
          <w:sz w:val="16"/>
          <w:szCs w:val="16"/>
          <w:vertAlign w:val="superscript"/>
        </w:rPr>
        <w:footnoteReference w:id="180"/>
      </w:r>
      <w:r w:rsidRPr="00F96E36">
        <w:rPr>
          <w:spacing w:val="-2"/>
          <w:sz w:val="16"/>
          <w:szCs w:val="16"/>
        </w:rPr>
        <w:t xml:space="preserve">. </w:t>
      </w:r>
    </w:p>
    <w:p w:rsidR="00E54423" w:rsidRPr="007E75E5" w:rsidRDefault="00E54423" w:rsidP="00E54423">
      <w:pPr>
        <w:pStyle w:val="ListParagraph"/>
        <w:ind w:left="0"/>
        <w:rPr>
          <w:iCs/>
          <w:sz w:val="20"/>
          <w:szCs w:val="20"/>
        </w:rPr>
      </w:pPr>
    </w:p>
    <w:p w:rsidR="00E54423" w:rsidRDefault="00E54423" w:rsidP="00E54423">
      <w:pPr>
        <w:pStyle w:val="ListParagraph"/>
        <w:ind w:left="0"/>
        <w:contextualSpacing/>
        <w:jc w:val="both"/>
        <w:rPr>
          <w:spacing w:val="-2"/>
          <w:sz w:val="20"/>
          <w:szCs w:val="20"/>
        </w:rPr>
      </w:pPr>
      <w:r w:rsidRPr="007957B3">
        <w:rPr>
          <w:spacing w:val="-2"/>
          <w:sz w:val="20"/>
          <w:szCs w:val="20"/>
        </w:rPr>
        <w:lastRenderedPageBreak/>
        <w:t>C</w:t>
      </w:r>
      <w:r>
        <w:rPr>
          <w:spacing w:val="-2"/>
          <w:sz w:val="20"/>
          <w:szCs w:val="20"/>
        </w:rPr>
        <w:t>omo también ha dicho ya este Tribunal</w:t>
      </w:r>
      <w:r w:rsidRPr="007957B3">
        <w:rPr>
          <w:spacing w:val="-2"/>
          <w:sz w:val="20"/>
          <w:szCs w:val="20"/>
        </w:rPr>
        <w:t xml:space="preserve"> “[la] prerrogativa [de suspender garantías] debe ser ejercida e interpretada</w:t>
      </w:r>
      <w:r w:rsidRPr="007957B3">
        <w:rPr>
          <w:spacing w:val="-2"/>
          <w:szCs w:val="20"/>
        </w:rPr>
        <w:t xml:space="preserve"> […] </w:t>
      </w:r>
      <w:r w:rsidRPr="007957B3">
        <w:rPr>
          <w:spacing w:val="-2"/>
          <w:sz w:val="20"/>
          <w:szCs w:val="20"/>
        </w:rPr>
        <w:t>como excepcional y en términos restrictivos</w:t>
      </w:r>
      <w:r>
        <w:rPr>
          <w:spacing w:val="-2"/>
          <w:sz w:val="20"/>
          <w:szCs w:val="20"/>
        </w:rPr>
        <w:t>”</w:t>
      </w:r>
      <w:r w:rsidRPr="007957B3">
        <w:rPr>
          <w:rStyle w:val="FootnoteReference"/>
          <w:rFonts w:eastAsia="Calibri"/>
          <w:spacing w:val="-2"/>
        </w:rPr>
        <w:t xml:space="preserve"> </w:t>
      </w:r>
      <w:r>
        <w:rPr>
          <w:rStyle w:val="FootnoteReference"/>
          <w:rFonts w:eastAsia="Calibri"/>
          <w:spacing w:val="-2"/>
        </w:rPr>
        <w:footnoteReference w:id="181"/>
      </w:r>
      <w:r>
        <w:rPr>
          <w:spacing w:val="-2"/>
          <w:sz w:val="20"/>
          <w:szCs w:val="20"/>
        </w:rPr>
        <w:t>.</w:t>
      </w:r>
    </w:p>
    <w:p w:rsidR="00E54423" w:rsidRPr="004C6CCF" w:rsidRDefault="00E54423" w:rsidP="00E54423">
      <w:pPr>
        <w:pStyle w:val="ListParagraph"/>
        <w:rPr>
          <w:iCs/>
          <w:sz w:val="20"/>
          <w:szCs w:val="20"/>
        </w:rPr>
      </w:pPr>
    </w:p>
    <w:p w:rsidR="00E54423" w:rsidRPr="004C6CCF" w:rsidRDefault="00E54423" w:rsidP="00E54423">
      <w:pPr>
        <w:pStyle w:val="Estilo1"/>
        <w:numPr>
          <w:ilvl w:val="0"/>
          <w:numId w:val="1"/>
        </w:numPr>
        <w:tabs>
          <w:tab w:val="num" w:pos="17202"/>
          <w:tab w:val="num" w:pos="18282"/>
        </w:tabs>
        <w:spacing w:after="0"/>
        <w:rPr>
          <w:lang w:val="es-CR"/>
        </w:rPr>
      </w:pPr>
      <w:r w:rsidRPr="004C6CCF">
        <w:rPr>
          <w:iCs/>
        </w:rPr>
        <w:t>Con base en lo anterior, surge literalmente del texto del Decreto Supremo No. 084 DE/CCFFAA que el mismo, en lo que es pertinente en el presente caso, suspendió la garantía contemplada en el artículo 2 inciso 24, apartado f</w:t>
      </w:r>
      <w:r>
        <w:rPr>
          <w:iCs/>
        </w:rPr>
        <w:t>)</w:t>
      </w:r>
      <w:r w:rsidRPr="004C6CCF">
        <w:rPr>
          <w:iCs/>
        </w:rPr>
        <w:t xml:space="preserve"> constitucional. El mismo establecía la necesidad de que toda detención, para ser lícita, fuera hecha “por mandamiento escrito y motivado del juez o por las autoridades policiales en caso de flagrante delito”. No obstante, no surge del texto del Decreto Supremo No. 084 DE/CCFFAA la suspensión total o parcial de otras normas, y ello tampoco fue indicado por el Estado, los representantes o la Comisión. De este modo, dado que las partes y la Comisión indicaron la existencia y relevancia de otras normas, no basta con considerar la suspensión de garantías para concluir la legalidad del hecho de que el señor Galindo permaneciera bajo custodia de autoridades estatales pese a no haber sido detenido en delito flagrante ni por orden judicial. Al respecto, se destaca que el propio Estado indicó la pertinencia en el caso de </w:t>
      </w:r>
      <w:r>
        <w:rPr>
          <w:iCs/>
        </w:rPr>
        <w:t>la Ley de Arrepentimiento y su r</w:t>
      </w:r>
      <w:r w:rsidRPr="004C6CCF">
        <w:rPr>
          <w:iCs/>
        </w:rPr>
        <w:t>eglamento</w:t>
      </w:r>
      <w:r>
        <w:rPr>
          <w:iCs/>
        </w:rPr>
        <w:t>.</w:t>
      </w:r>
      <w:r w:rsidRPr="004C6CCF">
        <w:rPr>
          <w:iCs/>
        </w:rPr>
        <w:t xml:space="preserve"> </w:t>
      </w:r>
    </w:p>
    <w:p w:rsidR="00E54423" w:rsidRPr="004C6CCF" w:rsidRDefault="00E54423" w:rsidP="00E54423">
      <w:pPr>
        <w:pStyle w:val="ListParagraph"/>
        <w:ind w:left="0"/>
        <w:contextualSpacing/>
        <w:jc w:val="both"/>
        <w:rPr>
          <w:sz w:val="20"/>
          <w:szCs w:val="20"/>
          <w:lang w:val="es-CR"/>
        </w:rPr>
      </w:pPr>
    </w:p>
    <w:p w:rsidR="00E54423" w:rsidRPr="00311815" w:rsidRDefault="00E54423" w:rsidP="00E54423">
      <w:pPr>
        <w:pStyle w:val="Estilo1"/>
        <w:numPr>
          <w:ilvl w:val="0"/>
          <w:numId w:val="1"/>
        </w:numPr>
        <w:tabs>
          <w:tab w:val="num" w:pos="17202"/>
          <w:tab w:val="num" w:pos="18282"/>
        </w:tabs>
        <w:spacing w:after="0"/>
        <w:rPr>
          <w:lang w:val="es-CR"/>
        </w:rPr>
      </w:pPr>
      <w:r>
        <w:rPr>
          <w:iCs/>
        </w:rPr>
        <w:t>El r</w:t>
      </w:r>
      <w:r w:rsidRPr="004C6CCF">
        <w:rPr>
          <w:iCs/>
        </w:rPr>
        <w:t>eglamento de la Ley de Arrepentimiento, en efecto, contempla que las autoridades adopten medidas para “</w:t>
      </w:r>
      <w:r w:rsidRPr="004C6CCF">
        <w:rPr>
          <w:lang w:val="es-CR"/>
        </w:rPr>
        <w:t>ubicar y mantener al solicitante en un ambiente especial o su domicilio”.</w:t>
      </w:r>
      <w:r w:rsidRPr="004C6CCF">
        <w:rPr>
          <w:iCs/>
        </w:rPr>
        <w:t xml:space="preserve"> Surge de los hechos que las autoridades estatales realizaron actuaciones relativas a la Ley de Arrepentimiento a partir </w:t>
      </w:r>
      <w:r w:rsidRPr="00063439">
        <w:rPr>
          <w:iCs/>
        </w:rPr>
        <w:t xml:space="preserve">del </w:t>
      </w:r>
      <w:r w:rsidRPr="00A56B01">
        <w:rPr>
          <w:iCs/>
        </w:rPr>
        <w:t>15 de octubre de 1994;</w:t>
      </w:r>
      <w:r w:rsidRPr="004C6CCF">
        <w:rPr>
          <w:iCs/>
        </w:rPr>
        <w:t xml:space="preserve"> es decir, desde los primeros momentos en que el señor Galindo permaneció en el cuartel de </w:t>
      </w:r>
      <w:proofErr w:type="spellStart"/>
      <w:r w:rsidRPr="004C6CCF">
        <w:rPr>
          <w:iCs/>
        </w:rPr>
        <w:t>Yanac</w:t>
      </w:r>
      <w:proofErr w:type="spellEnd"/>
      <w:r w:rsidRPr="004C6CCF">
        <w:rPr>
          <w:iCs/>
        </w:rPr>
        <w:t xml:space="preserve">. </w:t>
      </w:r>
      <w:r w:rsidRPr="004C6CCF">
        <w:rPr>
          <w:iCs/>
          <w:lang w:val="es-CR"/>
        </w:rPr>
        <w:t>El 2 de noviembre de 1994 la Jefatura Contra el Terrorismo de la Sub Región Huánuco emitió un informe indica</w:t>
      </w:r>
      <w:r w:rsidR="003E4B2C">
        <w:rPr>
          <w:iCs/>
          <w:lang w:val="es-CR"/>
        </w:rPr>
        <w:t>n</w:t>
      </w:r>
      <w:r w:rsidRPr="004C6CCF">
        <w:rPr>
          <w:iCs/>
          <w:lang w:val="es-CR"/>
        </w:rPr>
        <w:t xml:space="preserve">do que el señor Galindo “se </w:t>
      </w:r>
      <w:proofErr w:type="spellStart"/>
      <w:proofErr w:type="gramStart"/>
      <w:r w:rsidRPr="004C6CCF">
        <w:rPr>
          <w:iCs/>
          <w:lang w:val="es-CR"/>
        </w:rPr>
        <w:t>enc</w:t>
      </w:r>
      <w:proofErr w:type="spellEnd"/>
      <w:r w:rsidRPr="004C6CCF">
        <w:rPr>
          <w:iCs/>
          <w:lang w:val="es-CR"/>
        </w:rPr>
        <w:t>[</w:t>
      </w:r>
      <w:proofErr w:type="spellStart"/>
      <w:proofErr w:type="gramEnd"/>
      <w:r w:rsidRPr="004C6CCF">
        <w:rPr>
          <w:iCs/>
          <w:lang w:val="es-CR"/>
        </w:rPr>
        <w:t>ontraba</w:t>
      </w:r>
      <w:proofErr w:type="spellEnd"/>
      <w:r w:rsidRPr="004C6CCF">
        <w:rPr>
          <w:iCs/>
          <w:lang w:val="es-CR"/>
        </w:rPr>
        <w:t>] en un ambiente especial, en salvaguardia de su integridad física” (</w:t>
      </w:r>
      <w:r w:rsidRPr="004C6CCF">
        <w:rPr>
          <w:i/>
          <w:iCs/>
          <w:lang w:val="es-CR"/>
        </w:rPr>
        <w:t>supra</w:t>
      </w:r>
      <w:r w:rsidRPr="004C6CCF">
        <w:rPr>
          <w:iCs/>
          <w:lang w:val="es-CR"/>
        </w:rPr>
        <w:t xml:space="preserve"> párr. </w:t>
      </w:r>
      <w:r>
        <w:rPr>
          <w:iCs/>
          <w:lang w:val="es-CR"/>
        </w:rPr>
        <w:t>1</w:t>
      </w:r>
      <w:r w:rsidR="00AB4251">
        <w:rPr>
          <w:iCs/>
          <w:lang w:val="es-CR"/>
        </w:rPr>
        <w:t>31</w:t>
      </w:r>
      <w:r w:rsidRPr="004C6CCF">
        <w:rPr>
          <w:iCs/>
          <w:lang w:val="es-CR"/>
        </w:rPr>
        <w:t xml:space="preserve">). </w:t>
      </w:r>
      <w:r w:rsidRPr="004C6CCF">
        <w:rPr>
          <w:iCs/>
        </w:rPr>
        <w:t xml:space="preserve">Asimismo, el señor Galindo fue liberado el 16 de noviembre de 1994. </w:t>
      </w:r>
    </w:p>
    <w:p w:rsidR="00E54423" w:rsidRPr="00311815" w:rsidRDefault="00E54423" w:rsidP="00E54423">
      <w:pPr>
        <w:pStyle w:val="ListParagraph"/>
        <w:rPr>
          <w:spacing w:val="-2"/>
          <w:sz w:val="20"/>
          <w:szCs w:val="20"/>
        </w:rPr>
      </w:pPr>
    </w:p>
    <w:p w:rsidR="00E54423" w:rsidRDefault="00E54423" w:rsidP="00E54423">
      <w:pPr>
        <w:pStyle w:val="Estilo1"/>
        <w:numPr>
          <w:ilvl w:val="0"/>
          <w:numId w:val="1"/>
        </w:numPr>
        <w:tabs>
          <w:tab w:val="num" w:pos="17202"/>
          <w:tab w:val="num" w:pos="18282"/>
        </w:tabs>
        <w:spacing w:after="0"/>
        <w:rPr>
          <w:lang w:val="es-CR"/>
        </w:rPr>
      </w:pPr>
      <w:r>
        <w:rPr>
          <w:lang w:val="es-CR"/>
        </w:rPr>
        <w:t xml:space="preserve">Ahora bien, </w:t>
      </w:r>
      <w:r w:rsidRPr="00311815">
        <w:rPr>
          <w:lang w:val="es-CR"/>
        </w:rPr>
        <w:t>el Estado ha indicado que no consta registro de la privación de la libertad del señor Galindo ni de su liberación (</w:t>
      </w:r>
      <w:r w:rsidRPr="00311815">
        <w:rPr>
          <w:i/>
          <w:lang w:val="es-CR"/>
        </w:rPr>
        <w:t>supra</w:t>
      </w:r>
      <w:r w:rsidRPr="00311815">
        <w:rPr>
          <w:lang w:val="es-CR"/>
        </w:rPr>
        <w:t xml:space="preserve"> párr. </w:t>
      </w:r>
      <w:r>
        <w:rPr>
          <w:lang w:val="es-CR"/>
        </w:rPr>
        <w:t>13</w:t>
      </w:r>
      <w:r w:rsidR="00AB4251">
        <w:rPr>
          <w:lang w:val="es-CR"/>
        </w:rPr>
        <w:t>6</w:t>
      </w:r>
      <w:r w:rsidRPr="00311815">
        <w:rPr>
          <w:lang w:val="es-CR"/>
        </w:rPr>
        <w:t>)</w:t>
      </w:r>
      <w:r>
        <w:rPr>
          <w:rStyle w:val="FootnoteReference"/>
          <w:lang w:val="es-CR"/>
        </w:rPr>
        <w:footnoteReference w:id="182"/>
      </w:r>
      <w:r w:rsidRPr="00311815">
        <w:rPr>
          <w:lang w:val="es-CR"/>
        </w:rPr>
        <w:t xml:space="preserve">. La Corte ha </w:t>
      </w:r>
      <w:r w:rsidRPr="0063347B">
        <w:rPr>
          <w:lang w:val="es-CR"/>
        </w:rPr>
        <w:t>considerado</w:t>
      </w:r>
      <w:r w:rsidRPr="00311815">
        <w:rPr>
          <w:lang w:val="es-CR"/>
        </w:rPr>
        <w:t xml:space="preserve"> anteriormente </w:t>
      </w:r>
    </w:p>
    <w:p w:rsidR="00E54423" w:rsidRDefault="00E54423" w:rsidP="00E54423">
      <w:pPr>
        <w:pStyle w:val="ListParagraph"/>
        <w:rPr>
          <w:spacing w:val="-2"/>
          <w:sz w:val="20"/>
          <w:szCs w:val="20"/>
        </w:rPr>
      </w:pPr>
    </w:p>
    <w:p w:rsidR="00E54423" w:rsidRPr="008E65BA" w:rsidRDefault="00E54423" w:rsidP="00E54423">
      <w:pPr>
        <w:ind w:left="567" w:right="855"/>
        <w:contextualSpacing/>
        <w:rPr>
          <w:spacing w:val="-2"/>
          <w:sz w:val="16"/>
          <w:szCs w:val="16"/>
        </w:rPr>
      </w:pPr>
      <w:proofErr w:type="gramStart"/>
      <w:r w:rsidRPr="008E65BA">
        <w:rPr>
          <w:sz w:val="16"/>
          <w:szCs w:val="16"/>
          <w:lang w:val="es-CR"/>
        </w:rPr>
        <w:t>que</w:t>
      </w:r>
      <w:proofErr w:type="gramEnd"/>
      <w:r w:rsidRPr="008E65BA">
        <w:rPr>
          <w:sz w:val="16"/>
          <w:szCs w:val="16"/>
          <w:lang w:val="es-CR"/>
        </w:rPr>
        <w:t xml:space="preserve"> </w:t>
      </w:r>
      <w:r w:rsidRPr="008E65BA">
        <w:rPr>
          <w:spacing w:val="-2"/>
          <w:sz w:val="16"/>
          <w:szCs w:val="16"/>
        </w:rPr>
        <w:t xml:space="preserve">toda detención, independientemente del motivo o duración de la misma, tiene que ser debidamente registrada en el documento pertinente, señalando con claridad las causas de la detención, quién la realizó, la hora de detención y la hora de su puesta en libertad, así como la </w:t>
      </w:r>
      <w:r w:rsidRPr="008E65BA">
        <w:rPr>
          <w:spacing w:val="-2"/>
          <w:sz w:val="16"/>
          <w:szCs w:val="16"/>
        </w:rPr>
        <w:lastRenderedPageBreak/>
        <w:t>constancia de que se dio aviso al juez competente, como mínimo, a fin de proteger contra toda interferencia ilegal o arbitraria de la libertad física</w:t>
      </w:r>
      <w:r w:rsidRPr="008E65BA">
        <w:rPr>
          <w:spacing w:val="-2"/>
          <w:sz w:val="16"/>
          <w:szCs w:val="16"/>
          <w:vertAlign w:val="superscript"/>
        </w:rPr>
        <w:footnoteReference w:id="183"/>
      </w:r>
      <w:r w:rsidRPr="008E65BA">
        <w:rPr>
          <w:spacing w:val="-2"/>
          <w:sz w:val="16"/>
          <w:szCs w:val="16"/>
        </w:rPr>
        <w:t>.</w:t>
      </w:r>
    </w:p>
    <w:p w:rsidR="00E54423" w:rsidRPr="00311815" w:rsidRDefault="00E54423" w:rsidP="00E54423">
      <w:pPr>
        <w:pStyle w:val="ListParagraph"/>
        <w:rPr>
          <w:spacing w:val="-2"/>
          <w:sz w:val="20"/>
          <w:szCs w:val="20"/>
        </w:rPr>
      </w:pPr>
    </w:p>
    <w:p w:rsidR="00E54423" w:rsidRPr="00311815" w:rsidRDefault="00E54423" w:rsidP="00E54423">
      <w:pPr>
        <w:pStyle w:val="Estilo1"/>
        <w:numPr>
          <w:ilvl w:val="0"/>
          <w:numId w:val="1"/>
        </w:numPr>
        <w:tabs>
          <w:tab w:val="num" w:pos="17202"/>
          <w:tab w:val="num" w:pos="18282"/>
        </w:tabs>
        <w:spacing w:after="0"/>
        <w:rPr>
          <w:lang w:val="es-CR"/>
        </w:rPr>
      </w:pPr>
      <w:r w:rsidRPr="00311815">
        <w:rPr>
          <w:spacing w:val="-2"/>
        </w:rPr>
        <w:t>La Corte nota que</w:t>
      </w:r>
      <w:r w:rsidRPr="00311815">
        <w:rPr>
          <w:spacing w:val="-2"/>
          <w:lang w:eastAsia="es-CR"/>
        </w:rPr>
        <w:t xml:space="preserve"> este</w:t>
      </w:r>
      <w:r w:rsidRPr="00311815">
        <w:rPr>
          <w:spacing w:val="-2"/>
        </w:rPr>
        <w:t xml:space="preserve"> deber surgía de </w:t>
      </w:r>
      <w:r>
        <w:rPr>
          <w:spacing w:val="-2"/>
        </w:rPr>
        <w:t xml:space="preserve">una </w:t>
      </w:r>
      <w:r w:rsidRPr="00311815">
        <w:rPr>
          <w:spacing w:val="-2"/>
        </w:rPr>
        <w:t>norma interna que no se encontraba suspendida (artículo 2 inciso 24.</w:t>
      </w:r>
      <w:r w:rsidRPr="00ED3F38">
        <w:rPr>
          <w:spacing w:val="-2"/>
        </w:rPr>
        <w:t>g</w:t>
      </w:r>
      <w:r>
        <w:rPr>
          <w:spacing w:val="-2"/>
        </w:rPr>
        <w:t>)</w:t>
      </w:r>
      <w:r w:rsidRPr="00ED3F38">
        <w:rPr>
          <w:spacing w:val="-2"/>
        </w:rPr>
        <w:t xml:space="preserve"> de la Constitución</w:t>
      </w:r>
      <w:r w:rsidRPr="00311815">
        <w:rPr>
          <w:rFonts w:cs="Verdana"/>
          <w:spacing w:val="-2"/>
        </w:rPr>
        <w:t xml:space="preserve"> </w:t>
      </w:r>
      <w:r w:rsidR="0028130C">
        <w:rPr>
          <w:rFonts w:cs="Verdana"/>
          <w:spacing w:val="-2"/>
        </w:rPr>
        <w:t>(</w:t>
      </w:r>
      <w:r w:rsidRPr="00311815">
        <w:rPr>
          <w:i/>
          <w:spacing w:val="-2"/>
        </w:rPr>
        <w:t xml:space="preserve">supra </w:t>
      </w:r>
      <w:r w:rsidRPr="00311815">
        <w:rPr>
          <w:spacing w:val="-2"/>
        </w:rPr>
        <w:t xml:space="preserve">párr. </w:t>
      </w:r>
      <w:r>
        <w:rPr>
          <w:spacing w:val="-2"/>
        </w:rPr>
        <w:t>18</w:t>
      </w:r>
      <w:r w:rsidR="00AB4251">
        <w:rPr>
          <w:spacing w:val="-2"/>
        </w:rPr>
        <w:t>5</w:t>
      </w:r>
      <w:r w:rsidRPr="00311815">
        <w:rPr>
          <w:spacing w:val="-2"/>
        </w:rPr>
        <w:t xml:space="preserve">). Por ello, la falta de registro de la privación de la libertad del señor Galindo </w:t>
      </w:r>
      <w:r>
        <w:rPr>
          <w:spacing w:val="-2"/>
        </w:rPr>
        <w:t>fue ilegal durante el tiempo que duró su privación.</w:t>
      </w:r>
      <w:r w:rsidRPr="00311815">
        <w:rPr>
          <w:spacing w:val="-2"/>
        </w:rPr>
        <w:t xml:space="preserve"> </w:t>
      </w:r>
    </w:p>
    <w:p w:rsidR="00E54423" w:rsidRDefault="00E54423" w:rsidP="00E54423">
      <w:pPr>
        <w:pStyle w:val="ListParagraph"/>
        <w:ind w:left="0"/>
        <w:contextualSpacing/>
        <w:jc w:val="both"/>
        <w:rPr>
          <w:sz w:val="20"/>
          <w:szCs w:val="20"/>
          <w:lang w:val="es-CR"/>
        </w:rPr>
      </w:pPr>
    </w:p>
    <w:p w:rsidR="00E54423" w:rsidRPr="00D06D6E" w:rsidRDefault="00E54423" w:rsidP="00E54423">
      <w:pPr>
        <w:pStyle w:val="Estilo1"/>
        <w:numPr>
          <w:ilvl w:val="0"/>
          <w:numId w:val="1"/>
        </w:numPr>
        <w:tabs>
          <w:tab w:val="num" w:pos="17202"/>
          <w:tab w:val="num" w:pos="18282"/>
        </w:tabs>
        <w:spacing w:after="0"/>
        <w:rPr>
          <w:strike/>
          <w:lang w:val="es-CR"/>
        </w:rPr>
      </w:pPr>
      <w:r>
        <w:rPr>
          <w:lang w:val="es-CR"/>
        </w:rPr>
        <w:t>Por otra parte,</w:t>
      </w:r>
      <w:r w:rsidRPr="00311815">
        <w:rPr>
          <w:spacing w:val="-2"/>
        </w:rPr>
        <w:t xml:space="preserve"> la </w:t>
      </w:r>
      <w:r w:rsidRPr="00311815">
        <w:t xml:space="preserve">Corte nota que del acervo probatorio y de los hechos establecidos surge que se desarrollaron actuaciones vinculadas a la Ley de Arrepentimiento hasta el 11 de noviembre de 1994. No consta que entre esa fecha y el 16 de noviembre de 1994, cuando el señor Galindo fue liberado, se efectuara </w:t>
      </w:r>
      <w:r w:rsidR="00F27083" w:rsidRPr="00DF3EE2">
        <w:t>diligencia procesal alguna</w:t>
      </w:r>
      <w:r w:rsidRPr="00311815">
        <w:t>. Esto impide a la Corte establecer la existencia de una base normativa que hubiera sustentado que con posterioridad al 11 de noviembre el señor Galindo continuara privado de su libertad. El Estado no ha ofrecido una explicación al respecto. Por lo tanto, la Corte concluye que durante el tiempo transcurrido entre la finalización del procedimiento relativo a la aplicación de la Ley de Arrepentimiento y su liberación, el señor Galindo se vio privado de su libertad en forma ilegal</w:t>
      </w:r>
      <w:r w:rsidRPr="00311815">
        <w:rPr>
          <w:i/>
          <w:spacing w:val="-2"/>
        </w:rPr>
        <w:t>.</w:t>
      </w:r>
      <w:r w:rsidRPr="00311815">
        <w:rPr>
          <w:spacing w:val="-2"/>
        </w:rPr>
        <w:t xml:space="preserve"> </w:t>
      </w:r>
    </w:p>
    <w:p w:rsidR="00E54423" w:rsidRDefault="00E54423" w:rsidP="00E54423">
      <w:pPr>
        <w:pStyle w:val="ListParagraph"/>
        <w:ind w:left="0"/>
        <w:contextualSpacing/>
        <w:jc w:val="both"/>
        <w:rPr>
          <w:sz w:val="20"/>
          <w:szCs w:val="20"/>
          <w:lang w:val="es-CR"/>
        </w:rPr>
      </w:pPr>
    </w:p>
    <w:p w:rsidR="00E54423" w:rsidRPr="00311815" w:rsidRDefault="00E54423" w:rsidP="00E54423">
      <w:pPr>
        <w:pStyle w:val="Estilo1"/>
        <w:numPr>
          <w:ilvl w:val="0"/>
          <w:numId w:val="1"/>
        </w:numPr>
        <w:tabs>
          <w:tab w:val="num" w:pos="17202"/>
          <w:tab w:val="num" w:pos="18282"/>
        </w:tabs>
        <w:spacing w:after="0"/>
        <w:rPr>
          <w:lang w:val="es-CR"/>
        </w:rPr>
      </w:pPr>
      <w:r w:rsidRPr="00311815">
        <w:rPr>
          <w:iCs/>
        </w:rPr>
        <w:t>Dado lo anterior, la Corte considera que no resulta necesario verificar los argumentos de la Comisión s</w:t>
      </w:r>
      <w:r>
        <w:rPr>
          <w:iCs/>
        </w:rPr>
        <w:t xml:space="preserve">obre el artículo 12 del Decreto – Ley </w:t>
      </w:r>
      <w:r w:rsidR="00857FD2">
        <w:rPr>
          <w:iCs/>
        </w:rPr>
        <w:t>No. 25</w:t>
      </w:r>
      <w:r w:rsidRPr="00311815">
        <w:rPr>
          <w:iCs/>
        </w:rPr>
        <w:t>475 ni el artículo 191 de la Ley Orgánica del Poder Judicial (</w:t>
      </w:r>
      <w:r w:rsidRPr="00311815">
        <w:rPr>
          <w:i/>
          <w:iCs/>
        </w:rPr>
        <w:t>supra</w:t>
      </w:r>
      <w:r w:rsidRPr="00311815">
        <w:rPr>
          <w:iCs/>
        </w:rPr>
        <w:t xml:space="preserve"> </w:t>
      </w:r>
      <w:proofErr w:type="spellStart"/>
      <w:r w:rsidRPr="00311815">
        <w:rPr>
          <w:iCs/>
        </w:rPr>
        <w:t>párrs</w:t>
      </w:r>
      <w:proofErr w:type="spellEnd"/>
      <w:r w:rsidRPr="00311815">
        <w:rPr>
          <w:iCs/>
        </w:rPr>
        <w:t xml:space="preserve">. </w:t>
      </w:r>
      <w:r>
        <w:rPr>
          <w:iCs/>
        </w:rPr>
        <w:t>1</w:t>
      </w:r>
      <w:r w:rsidR="003547F6">
        <w:rPr>
          <w:iCs/>
        </w:rPr>
        <w:t>8</w:t>
      </w:r>
      <w:r w:rsidR="00AB4251">
        <w:rPr>
          <w:iCs/>
        </w:rPr>
        <w:t>3</w:t>
      </w:r>
      <w:r>
        <w:rPr>
          <w:iCs/>
        </w:rPr>
        <w:t xml:space="preserve"> y 1</w:t>
      </w:r>
      <w:r w:rsidR="003547F6">
        <w:rPr>
          <w:iCs/>
        </w:rPr>
        <w:t>8</w:t>
      </w:r>
      <w:r w:rsidR="00AB4251">
        <w:rPr>
          <w:iCs/>
        </w:rPr>
        <w:t>4</w:t>
      </w:r>
      <w:r w:rsidRPr="00311815">
        <w:rPr>
          <w:iCs/>
        </w:rPr>
        <w:t xml:space="preserve">). </w:t>
      </w:r>
    </w:p>
    <w:p w:rsidR="00E54423" w:rsidRPr="00311815" w:rsidRDefault="00E54423" w:rsidP="00E54423">
      <w:pPr>
        <w:pStyle w:val="ListParagraph"/>
        <w:jc w:val="right"/>
        <w:rPr>
          <w:iCs/>
          <w:sz w:val="20"/>
          <w:szCs w:val="20"/>
        </w:rPr>
      </w:pPr>
    </w:p>
    <w:p w:rsidR="00E54423" w:rsidRDefault="00E54423" w:rsidP="00E54423">
      <w:pPr>
        <w:pStyle w:val="Estilo1"/>
        <w:numPr>
          <w:ilvl w:val="0"/>
          <w:numId w:val="1"/>
        </w:numPr>
        <w:tabs>
          <w:tab w:val="num" w:pos="17202"/>
          <w:tab w:val="num" w:pos="18282"/>
        </w:tabs>
        <w:spacing w:after="0"/>
        <w:rPr>
          <w:lang w:val="es-CR"/>
        </w:rPr>
      </w:pPr>
      <w:r w:rsidRPr="00311815">
        <w:rPr>
          <w:iCs/>
        </w:rPr>
        <w:t>Ahora bien,</w:t>
      </w:r>
      <w:r w:rsidRPr="00311815">
        <w:rPr>
          <w:spacing w:val="-2"/>
        </w:rPr>
        <w:t xml:space="preserve"> </w:t>
      </w:r>
      <w:r>
        <w:rPr>
          <w:spacing w:val="-2"/>
        </w:rPr>
        <w:t>a partir de lo expuesto, s</w:t>
      </w:r>
      <w:r w:rsidRPr="00311815">
        <w:rPr>
          <w:spacing w:val="-2"/>
        </w:rPr>
        <w:t xml:space="preserve">e ha constatado la ilegalidad de la privación de la libertad del señor Galindo. El hecho de que durante parte del tiempo en que se desarrolló dicha privación de la libertad fuera de aplicación a la misma el artículo </w:t>
      </w:r>
      <w:r w:rsidR="00B1342F">
        <w:rPr>
          <w:iCs/>
          <w:spacing w:val="-2"/>
        </w:rPr>
        <w:t>40 del r</w:t>
      </w:r>
      <w:r w:rsidRPr="00311815">
        <w:rPr>
          <w:iCs/>
          <w:spacing w:val="-2"/>
        </w:rPr>
        <w:t xml:space="preserve">eglamento de la Ley de Arrepentimiento no subsana </w:t>
      </w:r>
      <w:r>
        <w:rPr>
          <w:iCs/>
          <w:spacing w:val="-2"/>
        </w:rPr>
        <w:t>dicha</w:t>
      </w:r>
      <w:r w:rsidRPr="00311815">
        <w:rPr>
          <w:iCs/>
          <w:spacing w:val="-2"/>
        </w:rPr>
        <w:t xml:space="preserve"> ilegalidad. Sin perjuicio de ello, la Corte considera que dicha circunstancia amerita a que se examine si, en los términos del artículo 7.3 de la Convención, hubo una arbitrariedad adicional a la que conlleva la ilegalidad indicada</w:t>
      </w:r>
      <w:r>
        <w:rPr>
          <w:rStyle w:val="FootnoteReference"/>
          <w:spacing w:val="-2"/>
        </w:rPr>
        <w:footnoteReference w:id="184"/>
      </w:r>
      <w:r w:rsidRPr="00311815">
        <w:rPr>
          <w:spacing w:val="-2"/>
        </w:rPr>
        <w:t>.</w:t>
      </w:r>
      <w:r w:rsidRPr="00311815">
        <w:rPr>
          <w:iCs/>
        </w:rPr>
        <w:t xml:space="preserve"> </w:t>
      </w:r>
    </w:p>
    <w:p w:rsidR="00E54423" w:rsidRPr="00311815" w:rsidRDefault="00E54423" w:rsidP="00E54423">
      <w:pPr>
        <w:pStyle w:val="ListParagraph"/>
        <w:rPr>
          <w:iCs/>
          <w:sz w:val="20"/>
          <w:szCs w:val="20"/>
        </w:rPr>
      </w:pPr>
    </w:p>
    <w:p w:rsidR="00E54423" w:rsidRDefault="00E54423" w:rsidP="00E54423">
      <w:pPr>
        <w:pStyle w:val="Estilo1"/>
        <w:numPr>
          <w:ilvl w:val="0"/>
          <w:numId w:val="1"/>
        </w:numPr>
        <w:tabs>
          <w:tab w:val="num" w:pos="17202"/>
          <w:tab w:val="num" w:pos="18282"/>
        </w:tabs>
        <w:spacing w:after="0"/>
        <w:rPr>
          <w:lang w:val="es-CR"/>
        </w:rPr>
      </w:pPr>
      <w:r>
        <w:rPr>
          <w:iCs/>
        </w:rPr>
        <w:t>En relación con el artículo 7.</w:t>
      </w:r>
      <w:r w:rsidRPr="00311815">
        <w:rPr>
          <w:iCs/>
        </w:rPr>
        <w:t xml:space="preserve">3 aludido la Corte </w:t>
      </w:r>
      <w:r w:rsidRPr="00311815">
        <w:t xml:space="preserve">ha establecido que </w:t>
      </w:r>
    </w:p>
    <w:p w:rsidR="00E54423" w:rsidRPr="0070530B" w:rsidRDefault="00E54423" w:rsidP="00E54423">
      <w:pPr>
        <w:pStyle w:val="ListParagraph"/>
        <w:rPr>
          <w:iCs/>
          <w:sz w:val="20"/>
          <w:szCs w:val="20"/>
          <w:lang w:val="es-CR"/>
        </w:rPr>
      </w:pPr>
    </w:p>
    <w:p w:rsidR="00E54423" w:rsidRPr="00B738D2" w:rsidRDefault="00E54423" w:rsidP="00E54423">
      <w:pPr>
        <w:pStyle w:val="ListParagraph"/>
        <w:ind w:left="567" w:right="720"/>
        <w:contextualSpacing/>
        <w:jc w:val="both"/>
        <w:rPr>
          <w:iCs/>
          <w:sz w:val="16"/>
          <w:szCs w:val="16"/>
        </w:rPr>
      </w:pPr>
      <w:r w:rsidRPr="00B738D2">
        <w:rPr>
          <w:sz w:val="16"/>
          <w:szCs w:val="16"/>
        </w:rPr>
        <w:t>nadie puede ser sometido a detención o encarcelamiento por causas y métodos que – aun calificados de legales – puedan reputarse como incompatibles con el respeto a los derechos fundamentales del individuo por ser, entre otras cosas, irrazonables, imprevisibles o faltos de proporcionalidad</w:t>
      </w:r>
      <w:r w:rsidRPr="00B738D2">
        <w:rPr>
          <w:rStyle w:val="FootnoteReference"/>
          <w:rFonts w:eastAsia="Calibri"/>
          <w:sz w:val="16"/>
          <w:szCs w:val="16"/>
        </w:rPr>
        <w:footnoteReference w:id="185"/>
      </w:r>
      <w:r w:rsidRPr="00B738D2">
        <w:rPr>
          <w:sz w:val="16"/>
          <w:szCs w:val="16"/>
        </w:rPr>
        <w:t>. […] Para que la medida privativa de la libertad no se torne arbitraria debe cumplir con los siguientes parámetros: i) que su finalidad sea compatible con la Convención</w:t>
      </w:r>
      <w:r w:rsidRPr="00B738D2">
        <w:rPr>
          <w:rStyle w:val="FootnoteReference"/>
          <w:rFonts w:eastAsia="Calibri"/>
          <w:sz w:val="16"/>
          <w:szCs w:val="16"/>
        </w:rPr>
        <w:footnoteReference w:id="186"/>
      </w:r>
      <w:r w:rsidRPr="00B738D2">
        <w:rPr>
          <w:sz w:val="16"/>
          <w:szCs w:val="16"/>
        </w:rPr>
        <w:t xml:space="preserve"> ; ii) que sea […] idónea […] para cumplir con el fin perseguido</w:t>
      </w:r>
      <w:r w:rsidRPr="00B738D2">
        <w:rPr>
          <w:rStyle w:val="FootnoteReference"/>
          <w:rFonts w:eastAsia="Calibri"/>
          <w:sz w:val="16"/>
          <w:szCs w:val="16"/>
        </w:rPr>
        <w:footnoteReference w:id="187"/>
      </w:r>
      <w:r w:rsidRPr="00B738D2">
        <w:rPr>
          <w:sz w:val="16"/>
          <w:szCs w:val="16"/>
        </w:rPr>
        <w:t>; iii) que sea […] necesaria […], es decir, absolutamente indispensables para conseguir el fin deseado y que no exista una medida menos gravosa respecto al derecho intervenido</w:t>
      </w:r>
      <w:r w:rsidRPr="00B738D2">
        <w:rPr>
          <w:rStyle w:val="FootnoteReference"/>
          <w:rFonts w:eastAsia="Calibri"/>
          <w:sz w:val="16"/>
          <w:szCs w:val="16"/>
        </w:rPr>
        <w:footnoteReference w:id="188"/>
      </w:r>
      <w:r w:rsidRPr="00B738D2">
        <w:rPr>
          <w:sz w:val="16"/>
          <w:szCs w:val="16"/>
        </w:rPr>
        <w:t>; iv) que sea […] estrictamente proporcionales</w:t>
      </w:r>
      <w:r w:rsidRPr="00B738D2">
        <w:rPr>
          <w:rStyle w:val="FootnoteReference"/>
          <w:rFonts w:eastAsia="Calibri"/>
          <w:sz w:val="16"/>
          <w:szCs w:val="16"/>
        </w:rPr>
        <w:footnoteReference w:id="189"/>
      </w:r>
      <w:r w:rsidRPr="00B738D2">
        <w:rPr>
          <w:sz w:val="16"/>
          <w:szCs w:val="16"/>
        </w:rPr>
        <w:t xml:space="preserve">, de tal forma que el sacrificio inherente a la restricción del derecho a la libertad no resulte </w:t>
      </w:r>
      <w:r w:rsidRPr="00B738D2">
        <w:rPr>
          <w:sz w:val="16"/>
          <w:szCs w:val="16"/>
        </w:rPr>
        <w:lastRenderedPageBreak/>
        <w:t>exagerado o desmedido frente a las ventajas que se obtienen mediante tal restricción y el cumplimiento de la finalidad perseguida</w:t>
      </w:r>
      <w:r w:rsidRPr="00B738D2">
        <w:rPr>
          <w:rStyle w:val="FootnoteReference"/>
          <w:rFonts w:eastAsia="Calibri"/>
          <w:sz w:val="16"/>
          <w:szCs w:val="16"/>
        </w:rPr>
        <w:footnoteReference w:id="190"/>
      </w:r>
      <w:r w:rsidRPr="00B738D2">
        <w:rPr>
          <w:sz w:val="16"/>
          <w:szCs w:val="16"/>
        </w:rPr>
        <w:t>; v) cualquier restricción a la libertad que no contenga una motivación suficiente que permita evaluar si se ajusta a las condiciones señaladas será arbitraria y, por tanto, violará el artículo 7.3 de la Convención</w:t>
      </w:r>
      <w:r w:rsidRPr="00B738D2">
        <w:rPr>
          <w:rStyle w:val="FootnoteReference"/>
          <w:rFonts w:eastAsia="Calibri"/>
          <w:sz w:val="16"/>
          <w:szCs w:val="16"/>
        </w:rPr>
        <w:footnoteReference w:id="191"/>
      </w:r>
      <w:r w:rsidRPr="00B738D2">
        <w:rPr>
          <w:sz w:val="16"/>
          <w:szCs w:val="16"/>
        </w:rPr>
        <w:t>.</w:t>
      </w:r>
    </w:p>
    <w:p w:rsidR="00E54423" w:rsidRPr="00311815" w:rsidRDefault="00E54423" w:rsidP="00E54423">
      <w:pPr>
        <w:pStyle w:val="ListParagraph"/>
        <w:rPr>
          <w:iCs/>
          <w:sz w:val="20"/>
          <w:szCs w:val="20"/>
        </w:rPr>
      </w:pPr>
    </w:p>
    <w:p w:rsidR="00E54423" w:rsidRPr="00B7038B" w:rsidRDefault="00E54423" w:rsidP="00E54423">
      <w:pPr>
        <w:pStyle w:val="Estilo1"/>
        <w:numPr>
          <w:ilvl w:val="0"/>
          <w:numId w:val="1"/>
        </w:numPr>
        <w:tabs>
          <w:tab w:val="num" w:pos="17202"/>
          <w:tab w:val="num" w:pos="18282"/>
        </w:tabs>
        <w:spacing w:after="0"/>
        <w:rPr>
          <w:sz w:val="16"/>
          <w:szCs w:val="16"/>
          <w:lang w:val="es-CR"/>
        </w:rPr>
      </w:pPr>
      <w:r w:rsidRPr="00311815">
        <w:rPr>
          <w:iCs/>
        </w:rPr>
        <w:t xml:space="preserve">No ha sido allegada </w:t>
      </w:r>
      <w:r>
        <w:rPr>
          <w:iCs/>
        </w:rPr>
        <w:t>a este</w:t>
      </w:r>
      <w:r w:rsidRPr="00311815">
        <w:rPr>
          <w:iCs/>
        </w:rPr>
        <w:t xml:space="preserve"> Tribunal prueba alguna que evidencie la </w:t>
      </w:r>
      <w:r>
        <w:rPr>
          <w:iCs/>
        </w:rPr>
        <w:t xml:space="preserve">existencia de </w:t>
      </w:r>
      <w:r w:rsidRPr="00311815">
        <w:rPr>
          <w:iCs/>
        </w:rPr>
        <w:t>un acto que diera cuenta de una motivación suficiente sobre las supuestas finalidad, idoneidad, necesidad y proporcionalidad de la privación de libertad que sufrió e</w:t>
      </w:r>
      <w:r>
        <w:rPr>
          <w:iCs/>
        </w:rPr>
        <w:t xml:space="preserve">l señor Galindo. En efecto, de </w:t>
      </w:r>
      <w:r w:rsidRPr="00311815">
        <w:rPr>
          <w:iCs/>
        </w:rPr>
        <w:t>l</w:t>
      </w:r>
      <w:r>
        <w:rPr>
          <w:iCs/>
        </w:rPr>
        <w:t>as</w:t>
      </w:r>
      <w:r w:rsidRPr="00311815">
        <w:rPr>
          <w:iCs/>
        </w:rPr>
        <w:t xml:space="preserve"> acta</w:t>
      </w:r>
      <w:r>
        <w:rPr>
          <w:iCs/>
        </w:rPr>
        <w:t>s</w:t>
      </w:r>
      <w:r w:rsidRPr="00311815">
        <w:rPr>
          <w:iCs/>
        </w:rPr>
        <w:t xml:space="preserve"> de 15 de octubre de 1994 sólo </w:t>
      </w:r>
      <w:r>
        <w:rPr>
          <w:iCs/>
        </w:rPr>
        <w:t>surge</w:t>
      </w:r>
      <w:r w:rsidRPr="00311815">
        <w:rPr>
          <w:iCs/>
        </w:rPr>
        <w:t xml:space="preserve"> que el señor Galindo “</w:t>
      </w:r>
      <w:proofErr w:type="spellStart"/>
      <w:r w:rsidRPr="00311815">
        <w:rPr>
          <w:iCs/>
        </w:rPr>
        <w:t>solicit</w:t>
      </w:r>
      <w:proofErr w:type="spellEnd"/>
      <w:r w:rsidRPr="00311815">
        <w:rPr>
          <w:iCs/>
        </w:rPr>
        <w:t>[</w:t>
      </w:r>
      <w:proofErr w:type="spellStart"/>
      <w:r w:rsidRPr="00311815">
        <w:rPr>
          <w:iCs/>
        </w:rPr>
        <w:t>ó</w:t>
      </w:r>
      <w:proofErr w:type="spellEnd"/>
      <w:r w:rsidRPr="00311815">
        <w:rPr>
          <w:iCs/>
        </w:rPr>
        <w:t>] las garantías del caso para su seguridad personal y de su familia”.</w:t>
      </w:r>
      <w:r w:rsidRPr="00311815">
        <w:rPr>
          <w:iCs/>
          <w:sz w:val="18"/>
        </w:rPr>
        <w:t xml:space="preserve"> </w:t>
      </w:r>
      <w:r>
        <w:rPr>
          <w:iCs/>
        </w:rPr>
        <w:t>L</w:t>
      </w:r>
      <w:r w:rsidRPr="00311815">
        <w:rPr>
          <w:iCs/>
        </w:rPr>
        <w:t xml:space="preserve">a “solicitud” indicada no señala que el señor Galindo </w:t>
      </w:r>
      <w:r>
        <w:rPr>
          <w:iCs/>
        </w:rPr>
        <w:t>requiriera</w:t>
      </w:r>
      <w:r w:rsidRPr="00311815">
        <w:rPr>
          <w:iCs/>
        </w:rPr>
        <w:t xml:space="preserve"> ser privado de su libertad física. </w:t>
      </w:r>
      <w:r>
        <w:rPr>
          <w:iCs/>
        </w:rPr>
        <w:t>A</w:t>
      </w:r>
      <w:r w:rsidR="004454B8">
        <w:rPr>
          <w:iCs/>
        </w:rPr>
        <w:t>u</w:t>
      </w:r>
      <w:r w:rsidRPr="00D06D6E">
        <w:rPr>
          <w:iCs/>
        </w:rPr>
        <w:t>n asumiendo que el texto transcrito refleja la verdad de lo ocurrido, el mismo</w:t>
      </w:r>
      <w:r>
        <w:rPr>
          <w:b/>
          <w:iCs/>
        </w:rPr>
        <w:t xml:space="preserve"> </w:t>
      </w:r>
      <w:r w:rsidRPr="00311815">
        <w:rPr>
          <w:iCs/>
        </w:rPr>
        <w:t xml:space="preserve">no es base suficiente para dar cuenta de la supuesta necesidad de la medida, en tanto no explica, como tampoco lo hace ningún otro medio de prueba allegado a la Corte, por qué </w:t>
      </w:r>
      <w:r w:rsidRPr="00D06D6E">
        <w:rPr>
          <w:iCs/>
        </w:rPr>
        <w:t>habría resultado</w:t>
      </w:r>
      <w:r w:rsidRPr="00311815">
        <w:rPr>
          <w:iCs/>
        </w:rPr>
        <w:t xml:space="preserve"> </w:t>
      </w:r>
      <w:r>
        <w:rPr>
          <w:iCs/>
        </w:rPr>
        <w:t xml:space="preserve">preciso </w:t>
      </w:r>
      <w:r w:rsidRPr="00311815">
        <w:rPr>
          <w:iCs/>
        </w:rPr>
        <w:t>que el señor Galindo se viera privado de la libertad</w:t>
      </w:r>
      <w:r>
        <w:rPr>
          <w:rStyle w:val="FootnoteReference"/>
          <w:iCs/>
        </w:rPr>
        <w:footnoteReference w:id="192"/>
      </w:r>
      <w:r w:rsidRPr="00311815">
        <w:rPr>
          <w:iCs/>
        </w:rPr>
        <w:t xml:space="preserve">. </w:t>
      </w:r>
      <w:r w:rsidRPr="008B771A">
        <w:rPr>
          <w:iCs/>
        </w:rPr>
        <w:t>Por lo tanto, durante todo el tiempo que duró la privación de libertad del señor Galindo, la misma resultó arbitraria.</w:t>
      </w:r>
      <w:r w:rsidRPr="00B7038B">
        <w:rPr>
          <w:i/>
          <w:spacing w:val="-2"/>
          <w:sz w:val="16"/>
          <w:szCs w:val="16"/>
        </w:rPr>
        <w:t xml:space="preserve"> </w:t>
      </w:r>
    </w:p>
    <w:p w:rsidR="00E54423" w:rsidRPr="00B7038B" w:rsidRDefault="00E54423" w:rsidP="00E54423">
      <w:pPr>
        <w:contextualSpacing/>
        <w:rPr>
          <w:b/>
          <w:iCs/>
          <w:sz w:val="16"/>
          <w:szCs w:val="16"/>
        </w:rPr>
      </w:pPr>
    </w:p>
    <w:p w:rsidR="00E54423" w:rsidRPr="00B7038B" w:rsidRDefault="00E54423" w:rsidP="00E54423">
      <w:pPr>
        <w:pStyle w:val="Estilo1"/>
        <w:numPr>
          <w:ilvl w:val="0"/>
          <w:numId w:val="1"/>
        </w:numPr>
        <w:tabs>
          <w:tab w:val="num" w:pos="17202"/>
          <w:tab w:val="num" w:pos="18282"/>
        </w:tabs>
        <w:spacing w:after="0"/>
        <w:rPr>
          <w:lang w:val="es-CR"/>
        </w:rPr>
      </w:pPr>
      <w:r w:rsidRPr="00B7038B">
        <w:rPr>
          <w:spacing w:val="-2"/>
        </w:rPr>
        <w:t xml:space="preserve">Corresponde analizar ahora los argumentos de las partes y la Comisión sobre la alegada falta de control judicial de la privación de libertad del señor Galindo. </w:t>
      </w:r>
    </w:p>
    <w:p w:rsidR="00E54423" w:rsidRPr="00B7038B" w:rsidRDefault="00E54423" w:rsidP="00E54423">
      <w:pPr>
        <w:pStyle w:val="ListParagraph"/>
        <w:ind w:left="0"/>
        <w:contextualSpacing/>
        <w:jc w:val="both"/>
        <w:rPr>
          <w:sz w:val="20"/>
          <w:szCs w:val="20"/>
          <w:lang w:val="es-CR"/>
        </w:rPr>
      </w:pPr>
    </w:p>
    <w:p w:rsidR="00E54423" w:rsidRDefault="00B1342F" w:rsidP="00E54423">
      <w:pPr>
        <w:pStyle w:val="Estilo1"/>
        <w:numPr>
          <w:ilvl w:val="0"/>
          <w:numId w:val="1"/>
        </w:numPr>
        <w:tabs>
          <w:tab w:val="num" w:pos="17202"/>
          <w:tab w:val="num" w:pos="18282"/>
        </w:tabs>
        <w:spacing w:after="0"/>
        <w:rPr>
          <w:lang w:val="es-CR"/>
        </w:rPr>
      </w:pPr>
      <w:r>
        <w:rPr>
          <w:iCs/>
        </w:rPr>
        <w:t>Al respecto,</w:t>
      </w:r>
      <w:r w:rsidR="00E54423" w:rsidRPr="00B7038B">
        <w:rPr>
          <w:iCs/>
        </w:rPr>
        <w:t xml:space="preserve"> cabe advertir que el Decreto Supremo No. 084 DE/CCFFAA suspendió la vigencia del artículo 2.24.f) constitucional, que preveía medidas de control judicial de las detenciones. No obstante, la Corte ha determinado que “l</w:t>
      </w:r>
      <w:r w:rsidR="00E54423" w:rsidRPr="00B7038B">
        <w:rPr>
          <w:iCs/>
          <w:lang w:val="es-CR"/>
        </w:rPr>
        <w:t>a suspensión de ciertos derechos no implica que los mismos son completamente inaplicables. Por</w:t>
      </w:r>
      <w:r w:rsidR="00E54423" w:rsidRPr="004C6CCF">
        <w:rPr>
          <w:iCs/>
          <w:lang w:val="es-CR"/>
        </w:rPr>
        <w:t xml:space="preserve"> consiguiente, aún bajo la vigencia [</w:t>
      </w:r>
      <w:r w:rsidR="00E54423">
        <w:rPr>
          <w:iCs/>
          <w:lang w:val="es-CR"/>
        </w:rPr>
        <w:t xml:space="preserve">de </w:t>
      </w:r>
      <w:r w:rsidR="00E54423" w:rsidRPr="004C6CCF">
        <w:rPr>
          <w:iCs/>
          <w:lang w:val="es-CR"/>
        </w:rPr>
        <w:t>la] suspensión de garantías es necesario analizar la proporcionalidad de las acciones adoptadas por las autoridades estatales”</w:t>
      </w:r>
      <w:r w:rsidR="00E54423">
        <w:rPr>
          <w:rStyle w:val="FootnoteReference"/>
          <w:iCs/>
          <w:lang w:val="es-CR"/>
        </w:rPr>
        <w:footnoteReference w:id="193"/>
      </w:r>
      <w:r w:rsidR="00E54423" w:rsidRPr="004C6CCF">
        <w:rPr>
          <w:iCs/>
          <w:lang w:val="es-CR"/>
        </w:rPr>
        <w:t xml:space="preserve">. </w:t>
      </w:r>
    </w:p>
    <w:p w:rsidR="00E54423" w:rsidRPr="004C6CCF" w:rsidRDefault="00E54423" w:rsidP="00E54423">
      <w:pPr>
        <w:pStyle w:val="ListParagraph"/>
        <w:rPr>
          <w:spacing w:val="-2"/>
          <w:sz w:val="20"/>
          <w:szCs w:val="20"/>
        </w:rPr>
      </w:pPr>
    </w:p>
    <w:p w:rsidR="00E54423" w:rsidRPr="004C6CCF" w:rsidRDefault="00E54423" w:rsidP="00E54423">
      <w:pPr>
        <w:pStyle w:val="Estilo1"/>
        <w:numPr>
          <w:ilvl w:val="0"/>
          <w:numId w:val="1"/>
        </w:numPr>
        <w:tabs>
          <w:tab w:val="num" w:pos="17202"/>
          <w:tab w:val="num" w:pos="18282"/>
        </w:tabs>
        <w:spacing w:after="0"/>
        <w:rPr>
          <w:lang w:val="es-CR"/>
        </w:rPr>
      </w:pPr>
      <w:r w:rsidRPr="004C6CCF">
        <w:rPr>
          <w:spacing w:val="-2"/>
        </w:rPr>
        <w:t xml:space="preserve">La Corte ha establecido que </w:t>
      </w:r>
    </w:p>
    <w:p w:rsidR="00E54423" w:rsidRPr="0070530B" w:rsidRDefault="00E54423" w:rsidP="00E54423">
      <w:pPr>
        <w:pStyle w:val="ListParagraph"/>
        <w:rPr>
          <w:iCs/>
          <w:sz w:val="20"/>
          <w:szCs w:val="20"/>
          <w:lang w:val="es-CR"/>
        </w:rPr>
      </w:pPr>
    </w:p>
    <w:p w:rsidR="00E54423" w:rsidRPr="008A782A" w:rsidRDefault="00E54423" w:rsidP="00E54423">
      <w:pPr>
        <w:pStyle w:val="ListParagraph"/>
        <w:ind w:left="567" w:right="720"/>
        <w:contextualSpacing/>
        <w:jc w:val="both"/>
        <w:rPr>
          <w:iCs/>
          <w:sz w:val="16"/>
          <w:szCs w:val="16"/>
        </w:rPr>
      </w:pPr>
      <w:proofErr w:type="gramStart"/>
      <w:r w:rsidRPr="008A782A">
        <w:rPr>
          <w:spacing w:val="-2"/>
          <w:sz w:val="16"/>
          <w:szCs w:val="16"/>
        </w:rPr>
        <w:t>para</w:t>
      </w:r>
      <w:proofErr w:type="gramEnd"/>
      <w:r w:rsidRPr="008A782A">
        <w:rPr>
          <w:spacing w:val="-2"/>
          <w:sz w:val="16"/>
          <w:szCs w:val="16"/>
        </w:rPr>
        <w:t xml:space="preserve"> satisfacer la exigencia del artículo 7.5 de “ser llevado” sin demora ante un juez</w:t>
      </w:r>
      <w:r w:rsidRPr="008A782A">
        <w:rPr>
          <w:rFonts w:cs="Times"/>
          <w:spacing w:val="-2"/>
          <w:sz w:val="16"/>
          <w:szCs w:val="16"/>
        </w:rPr>
        <w:t xml:space="preserve"> u otro funcionario autorizado por la ley para ejercer funciones judiciales</w:t>
      </w:r>
      <w:r w:rsidRPr="008A782A">
        <w:rPr>
          <w:spacing w:val="-2"/>
          <w:sz w:val="16"/>
          <w:szCs w:val="16"/>
        </w:rPr>
        <w:t xml:space="preserve">, </w:t>
      </w:r>
      <w:r w:rsidRPr="008A782A">
        <w:rPr>
          <w:rFonts w:cs="Times"/>
          <w:spacing w:val="-2"/>
          <w:sz w:val="16"/>
          <w:szCs w:val="16"/>
        </w:rPr>
        <w:t>el detenido debe comparecer personalmente ante la autoridad competente, la cual</w:t>
      </w:r>
      <w:r w:rsidRPr="008A782A">
        <w:rPr>
          <w:spacing w:val="-2"/>
          <w:sz w:val="16"/>
          <w:szCs w:val="16"/>
        </w:rPr>
        <w:t xml:space="preserve"> debe oír personalmente al detenido y valorar todas las explicaciones que éste le proporcione, para decidir si procede la liberación o el mantenimiento de la privación de libertad</w:t>
      </w:r>
      <w:r w:rsidRPr="008A782A">
        <w:rPr>
          <w:spacing w:val="-2"/>
          <w:sz w:val="16"/>
          <w:szCs w:val="16"/>
          <w:vertAlign w:val="superscript"/>
        </w:rPr>
        <w:footnoteReference w:id="194"/>
      </w:r>
      <w:r w:rsidRPr="008A782A">
        <w:rPr>
          <w:spacing w:val="-2"/>
          <w:sz w:val="16"/>
          <w:szCs w:val="16"/>
        </w:rPr>
        <w:t>. El control judicial inmediato es una medida tendiente a evitar la arbitrariedad o ilegalidad de las detenciones, tomando en cuenta que en un Estado de Derecho corresponde al juzgador garantizar los derechos del detenido, autorizar la adopción de medidas cautelares o de coerción cuando sea estrictamente necesario y procurar, en general, que se trate al inculpado de manera consecuente con la presunción de inocencia</w:t>
      </w:r>
      <w:r w:rsidRPr="008A782A">
        <w:rPr>
          <w:spacing w:val="-2"/>
          <w:sz w:val="16"/>
          <w:szCs w:val="16"/>
          <w:vertAlign w:val="superscript"/>
        </w:rPr>
        <w:footnoteReference w:id="195"/>
      </w:r>
      <w:r w:rsidRPr="008A782A">
        <w:rPr>
          <w:spacing w:val="-2"/>
          <w:sz w:val="16"/>
          <w:szCs w:val="16"/>
        </w:rPr>
        <w:t>. La inmediata revisión judicial de la detención tiene particular relevancia cuando se aplica a capturas realizadas sin orden judicial</w:t>
      </w:r>
      <w:r w:rsidRPr="008A782A">
        <w:rPr>
          <w:spacing w:val="-2"/>
          <w:sz w:val="16"/>
          <w:szCs w:val="16"/>
          <w:vertAlign w:val="superscript"/>
        </w:rPr>
        <w:footnoteReference w:id="196"/>
      </w:r>
      <w:r w:rsidRPr="008A782A">
        <w:rPr>
          <w:spacing w:val="-2"/>
          <w:sz w:val="16"/>
          <w:szCs w:val="16"/>
        </w:rPr>
        <w:t>.</w:t>
      </w:r>
    </w:p>
    <w:p w:rsidR="00E54423" w:rsidRPr="004C6CCF" w:rsidRDefault="00E54423" w:rsidP="00E54423">
      <w:pPr>
        <w:pStyle w:val="ListParagraph"/>
        <w:rPr>
          <w:iCs/>
          <w:sz w:val="20"/>
          <w:szCs w:val="20"/>
        </w:rPr>
      </w:pPr>
    </w:p>
    <w:p w:rsidR="00E54423" w:rsidRPr="004C6CCF" w:rsidRDefault="00E54423" w:rsidP="00E54423">
      <w:pPr>
        <w:pStyle w:val="Estilo1"/>
        <w:numPr>
          <w:ilvl w:val="0"/>
          <w:numId w:val="1"/>
        </w:numPr>
        <w:tabs>
          <w:tab w:val="num" w:pos="17202"/>
          <w:tab w:val="num" w:pos="18282"/>
        </w:tabs>
        <w:spacing w:after="0"/>
        <w:rPr>
          <w:lang w:val="es-CR"/>
        </w:rPr>
      </w:pPr>
      <w:r w:rsidRPr="004C6CCF">
        <w:rPr>
          <w:iCs/>
        </w:rPr>
        <w:lastRenderedPageBreak/>
        <w:t xml:space="preserve">No surge de los hechos y no ha sido aducido por las partes que se hubiera llevado al señor Galindo ante un juez en el marco de su privación de la libertad, tampoco que se hubiere informado a un órgano con funciones judiciales sobre tal circunstancia o que de cualquier otro modo un órgano de tales características interviniera respecto a la privación de la libertad indicada. </w:t>
      </w:r>
    </w:p>
    <w:p w:rsidR="00E54423" w:rsidRDefault="00E54423" w:rsidP="00E54423">
      <w:pPr>
        <w:pStyle w:val="ListParagraph"/>
        <w:ind w:left="0"/>
        <w:contextualSpacing/>
        <w:jc w:val="both"/>
        <w:rPr>
          <w:sz w:val="20"/>
          <w:szCs w:val="20"/>
          <w:lang w:val="es-CR"/>
        </w:rPr>
      </w:pPr>
    </w:p>
    <w:p w:rsidR="00E54423" w:rsidRDefault="00E54423" w:rsidP="00E54423">
      <w:pPr>
        <w:pStyle w:val="Estilo1"/>
        <w:numPr>
          <w:ilvl w:val="0"/>
          <w:numId w:val="1"/>
        </w:numPr>
        <w:tabs>
          <w:tab w:val="num" w:pos="17202"/>
          <w:tab w:val="num" w:pos="18282"/>
        </w:tabs>
        <w:spacing w:after="0"/>
        <w:rPr>
          <w:lang w:val="es-CR"/>
        </w:rPr>
      </w:pPr>
      <w:r w:rsidRPr="004C6CCF">
        <w:rPr>
          <w:spacing w:val="-2"/>
        </w:rPr>
        <w:t>Ahora bien, la Comisión relacionó la violación del artículo 7.5 convencio</w:t>
      </w:r>
      <w:r>
        <w:rPr>
          <w:spacing w:val="-2"/>
        </w:rPr>
        <w:t xml:space="preserve">nal con el artículo 12.c) del Decreto - </w:t>
      </w:r>
      <w:r w:rsidRPr="004C6CCF">
        <w:rPr>
          <w:spacing w:val="-2"/>
        </w:rPr>
        <w:t>Ley No. 25475 que, según refirió la Comisión, establecía el requisito de informar al juez cuando se dispusiera la detención de una persona</w:t>
      </w:r>
      <w:r w:rsidRPr="00B1342F">
        <w:rPr>
          <w:spacing w:val="-2"/>
        </w:rPr>
        <w:t>.</w:t>
      </w:r>
      <w:r w:rsidRPr="004C6CCF">
        <w:rPr>
          <w:spacing w:val="-2"/>
        </w:rPr>
        <w:t xml:space="preserve"> También mencionó que el “esquema” de “legislación antiterrorista impuesto en 1992 […] consagró un amplio margen de atribuciones legales sin control legal o jurisdiccional alguno”, en referencia a las funciones policiales en las “</w:t>
      </w:r>
      <w:proofErr w:type="spellStart"/>
      <w:proofErr w:type="gramStart"/>
      <w:r w:rsidRPr="004C6CCF">
        <w:rPr>
          <w:spacing w:val="-2"/>
        </w:rPr>
        <w:t>investigaci</w:t>
      </w:r>
      <w:proofErr w:type="spellEnd"/>
      <w:r w:rsidRPr="004C6CCF">
        <w:rPr>
          <w:spacing w:val="-2"/>
        </w:rPr>
        <w:t>[</w:t>
      </w:r>
      <w:proofErr w:type="spellStart"/>
      <w:proofErr w:type="gramEnd"/>
      <w:r w:rsidRPr="004C6CCF">
        <w:rPr>
          <w:spacing w:val="-2"/>
        </w:rPr>
        <w:t>ones</w:t>
      </w:r>
      <w:proofErr w:type="spellEnd"/>
      <w:r w:rsidRPr="004C6CCF">
        <w:rPr>
          <w:spacing w:val="-2"/>
        </w:rPr>
        <w:t>] preliminar[es]” sobre terrorismo.  El Estado replicó que se aplicó</w:t>
      </w:r>
      <w:r>
        <w:rPr>
          <w:spacing w:val="-2"/>
        </w:rPr>
        <w:t xml:space="preserve"> en el caso el artículo 14 del r</w:t>
      </w:r>
      <w:r w:rsidRPr="004C6CCF">
        <w:rPr>
          <w:spacing w:val="-2"/>
        </w:rPr>
        <w:t xml:space="preserve">eglamento de la Ley de Arrepentimiento, que mandaba que, en palabras del Estado, “la declaración debía ser realizada necesariamente ante el representante del Ministerio Público, lo cual efectivamente sucedió”. Adujo además que correspondía al Estado “determinar las medidas necesarias para garantizar la seguridad nacional y mantener el orden público”, y que “en consecuencia determinó […] los procedimientos [relativos a] la Ley de Arrepentimiento”. </w:t>
      </w:r>
    </w:p>
    <w:p w:rsidR="00E54423" w:rsidRPr="004C6CCF" w:rsidRDefault="00E54423" w:rsidP="00E54423">
      <w:pPr>
        <w:pStyle w:val="ListParagraph"/>
        <w:rPr>
          <w:iCs/>
          <w:sz w:val="20"/>
          <w:szCs w:val="20"/>
        </w:rPr>
      </w:pPr>
    </w:p>
    <w:p w:rsidR="00E54423" w:rsidRPr="004C6CCF" w:rsidRDefault="00E54423" w:rsidP="00E54423">
      <w:pPr>
        <w:pStyle w:val="Estilo1"/>
        <w:numPr>
          <w:ilvl w:val="0"/>
          <w:numId w:val="1"/>
        </w:numPr>
        <w:tabs>
          <w:tab w:val="num" w:pos="17202"/>
          <w:tab w:val="num" w:pos="18282"/>
        </w:tabs>
        <w:spacing w:after="0"/>
        <w:rPr>
          <w:lang w:val="es-CR"/>
        </w:rPr>
      </w:pPr>
      <w:r w:rsidRPr="004C6CCF">
        <w:rPr>
          <w:iCs/>
        </w:rPr>
        <w:t>La Corte ya ha señalado en otro caso respecto de Perú en que también se analizó el artículo 7.5 en una situación de suspensión de la garantía constitucional correspondiente, que “[e]</w:t>
      </w:r>
      <w:r w:rsidRPr="004C6CCF">
        <w:rPr>
          <w:spacing w:val="-2"/>
        </w:rPr>
        <w:t>l significado del término ‘sin demora’ debe examinarse a la luz de las circunstancias específicas del caso concreto”</w:t>
      </w:r>
      <w:r>
        <w:rPr>
          <w:rStyle w:val="FootnoteReference"/>
          <w:spacing w:val="-2"/>
        </w:rPr>
        <w:footnoteReference w:id="197"/>
      </w:r>
      <w:r w:rsidRPr="004C6CCF">
        <w:rPr>
          <w:spacing w:val="-2"/>
        </w:rPr>
        <w:t>. E</w:t>
      </w:r>
      <w:r w:rsidRPr="004C6CCF">
        <w:rPr>
          <w:iCs/>
        </w:rPr>
        <w:t xml:space="preserve">l Estado hizo referencias generales a la “seguridad nacional” y al “orden público”, pero no explicó por qué en el caso concreto las aducidas necesidades de garantizar tales aspectos requerían que la privación de libertad del señor Galindo, durante todo el tiempo que duró, </w:t>
      </w:r>
      <w:r w:rsidRPr="005F0B63">
        <w:rPr>
          <w:iCs/>
        </w:rPr>
        <w:t>se desarrollara sin el control de órganos con funci</w:t>
      </w:r>
      <w:r>
        <w:rPr>
          <w:iCs/>
        </w:rPr>
        <w:t>ones judiciales. L</w:t>
      </w:r>
      <w:r w:rsidRPr="005F0B63">
        <w:rPr>
          <w:iCs/>
        </w:rPr>
        <w:t xml:space="preserve">a Corte </w:t>
      </w:r>
      <w:r w:rsidRPr="005F0B63">
        <w:rPr>
          <w:spacing w:val="-2"/>
        </w:rPr>
        <w:t>estima que no se acreditó en el caso la necesidad de omitir la intervención de órganos con funciones judiciales en el control de la privación de la libertad del señor Galindo.</w:t>
      </w:r>
      <w:r w:rsidRPr="005F0B63">
        <w:rPr>
          <w:color w:val="000000"/>
          <w:spacing w:val="-2"/>
        </w:rPr>
        <w:t xml:space="preserve"> </w:t>
      </w:r>
      <w:r>
        <w:rPr>
          <w:color w:val="000000"/>
          <w:spacing w:val="-2"/>
        </w:rPr>
        <w:t xml:space="preserve">En consecuencia, este Tribunal considera que el Estado violó </w:t>
      </w:r>
      <w:r w:rsidRPr="005F0B63">
        <w:rPr>
          <w:color w:val="000000"/>
          <w:spacing w:val="-2"/>
        </w:rPr>
        <w:t>el artículo 7.5 de la Convención</w:t>
      </w:r>
      <w:r>
        <w:rPr>
          <w:color w:val="000000"/>
          <w:spacing w:val="-2"/>
        </w:rPr>
        <w:t xml:space="preserve">. Además, </w:t>
      </w:r>
      <w:r w:rsidRPr="004C6CCF">
        <w:rPr>
          <w:color w:val="000000"/>
          <w:spacing w:val="-2"/>
        </w:rPr>
        <w:t xml:space="preserve">dada la falta de </w:t>
      </w:r>
      <w:r>
        <w:rPr>
          <w:color w:val="000000"/>
          <w:spacing w:val="-2"/>
        </w:rPr>
        <w:t xml:space="preserve">acreditación de la </w:t>
      </w:r>
      <w:r w:rsidRPr="004C6CCF">
        <w:rPr>
          <w:color w:val="000000"/>
          <w:spacing w:val="-2"/>
        </w:rPr>
        <w:t xml:space="preserve">necesidad de la omisión establecida, la misma conlleva también una conducta estatal arbitraria respecto de la privación de la libertad, en </w:t>
      </w:r>
      <w:r>
        <w:rPr>
          <w:color w:val="000000"/>
          <w:spacing w:val="-2"/>
        </w:rPr>
        <w:t>vulneración d</w:t>
      </w:r>
      <w:r w:rsidRPr="004C6CCF">
        <w:rPr>
          <w:color w:val="000000"/>
          <w:spacing w:val="-2"/>
        </w:rPr>
        <w:t>el artículo 7.3 de</w:t>
      </w:r>
      <w:r>
        <w:rPr>
          <w:color w:val="000000"/>
          <w:spacing w:val="-2"/>
        </w:rPr>
        <w:t xml:space="preserve"> la Convención</w:t>
      </w:r>
      <w:r w:rsidRPr="00A34F42">
        <w:rPr>
          <w:spacing w:val="-2"/>
          <w:vertAlign w:val="superscript"/>
        </w:rPr>
        <w:footnoteReference w:id="198"/>
      </w:r>
      <w:r w:rsidRPr="004C6CCF">
        <w:rPr>
          <w:spacing w:val="-2"/>
        </w:rPr>
        <w:t>.</w:t>
      </w:r>
    </w:p>
    <w:p w:rsidR="00E54423" w:rsidRDefault="00E54423" w:rsidP="00E54423">
      <w:pPr>
        <w:pStyle w:val="ListParagraph"/>
        <w:ind w:left="0"/>
        <w:contextualSpacing/>
        <w:jc w:val="both"/>
        <w:rPr>
          <w:sz w:val="20"/>
          <w:szCs w:val="20"/>
          <w:lang w:val="es-CR"/>
        </w:rPr>
      </w:pPr>
    </w:p>
    <w:p w:rsidR="00E54423" w:rsidRDefault="00E54423" w:rsidP="00E54423">
      <w:pPr>
        <w:pStyle w:val="Estilo1"/>
        <w:numPr>
          <w:ilvl w:val="0"/>
          <w:numId w:val="1"/>
        </w:numPr>
        <w:tabs>
          <w:tab w:val="num" w:pos="17202"/>
          <w:tab w:val="num" w:pos="18282"/>
        </w:tabs>
        <w:spacing w:after="0"/>
        <w:rPr>
          <w:lang w:val="es-CR"/>
        </w:rPr>
      </w:pPr>
      <w:r w:rsidRPr="004C6CCF">
        <w:rPr>
          <w:iCs/>
        </w:rPr>
        <w:t xml:space="preserve">Por todo lo expuesto, la Corte </w:t>
      </w:r>
      <w:r>
        <w:rPr>
          <w:iCs/>
        </w:rPr>
        <w:t>considera</w:t>
      </w:r>
      <w:r w:rsidRPr="004C6CCF">
        <w:rPr>
          <w:iCs/>
        </w:rPr>
        <w:t xml:space="preserve"> que </w:t>
      </w:r>
      <w:r w:rsidRPr="004C6CCF">
        <w:rPr>
          <w:lang w:val="es-CR"/>
        </w:rPr>
        <w:t xml:space="preserve">el Estado violó </w:t>
      </w:r>
      <w:r>
        <w:rPr>
          <w:lang w:val="es-CR"/>
        </w:rPr>
        <w:t xml:space="preserve">el </w:t>
      </w:r>
      <w:r w:rsidRPr="004C6CCF">
        <w:rPr>
          <w:spacing w:val="-2"/>
        </w:rPr>
        <w:t>artículo 7 de la Convención Americana, en sus incisos 1, 2, 3 y 5</w:t>
      </w:r>
      <w:r w:rsidRPr="004C6CCF">
        <w:rPr>
          <w:rFonts w:eastAsiaTheme="minorHAnsi" w:cs="Verdana"/>
          <w:color w:val="000000"/>
          <w:lang w:val="es-CR"/>
        </w:rPr>
        <w:t xml:space="preserve">, en relación con el incumplimiento de la obligación de respetar </w:t>
      </w:r>
      <w:proofErr w:type="gramStart"/>
      <w:r w:rsidRPr="004C6CCF">
        <w:rPr>
          <w:rFonts w:eastAsiaTheme="minorHAnsi" w:cs="Verdana"/>
          <w:color w:val="000000"/>
          <w:lang w:val="es-CR"/>
        </w:rPr>
        <w:t>los derechos establecid</w:t>
      </w:r>
      <w:r>
        <w:rPr>
          <w:rFonts w:eastAsiaTheme="minorHAnsi" w:cs="Verdana"/>
          <w:color w:val="000000"/>
          <w:lang w:val="es-CR"/>
        </w:rPr>
        <w:t>a</w:t>
      </w:r>
      <w:proofErr w:type="gramEnd"/>
      <w:r>
        <w:rPr>
          <w:rFonts w:eastAsiaTheme="minorHAnsi" w:cs="Verdana"/>
          <w:color w:val="000000"/>
          <w:lang w:val="es-CR"/>
        </w:rPr>
        <w:t xml:space="preserve"> en el artículo 1.1 de la Convención</w:t>
      </w:r>
      <w:r w:rsidRPr="004C6CCF">
        <w:rPr>
          <w:rFonts w:eastAsiaTheme="minorHAnsi" w:cs="Verdana"/>
          <w:color w:val="000000"/>
          <w:lang w:val="es-CR"/>
        </w:rPr>
        <w:t>, en perjuicio de Luis Antonio</w:t>
      </w:r>
      <w:r>
        <w:rPr>
          <w:rFonts w:eastAsiaTheme="minorHAnsi" w:cs="Verdana"/>
          <w:color w:val="000000"/>
          <w:lang w:val="es-CR"/>
        </w:rPr>
        <w:t xml:space="preserve"> Galindo Cárdenas</w:t>
      </w:r>
      <w:r w:rsidRPr="004C6CCF">
        <w:rPr>
          <w:rFonts w:eastAsiaTheme="minorHAnsi" w:cs="Verdana"/>
          <w:color w:val="000000"/>
          <w:lang w:val="es-CR"/>
        </w:rPr>
        <w:t>.</w:t>
      </w:r>
    </w:p>
    <w:p w:rsidR="00E54423" w:rsidRPr="0070530B" w:rsidRDefault="00E54423" w:rsidP="00E54423">
      <w:pPr>
        <w:pStyle w:val="ListParagraph"/>
        <w:rPr>
          <w:iCs/>
          <w:sz w:val="20"/>
          <w:szCs w:val="20"/>
          <w:lang w:val="es-CR"/>
        </w:rPr>
      </w:pPr>
    </w:p>
    <w:p w:rsidR="00E54423" w:rsidRPr="00C36C8E" w:rsidRDefault="00E54423" w:rsidP="00E54423">
      <w:pPr>
        <w:pStyle w:val="Estilo1"/>
        <w:numPr>
          <w:ilvl w:val="0"/>
          <w:numId w:val="1"/>
        </w:numPr>
        <w:tabs>
          <w:tab w:val="num" w:pos="17202"/>
          <w:tab w:val="num" w:pos="18282"/>
        </w:tabs>
        <w:spacing w:after="0"/>
        <w:rPr>
          <w:lang w:val="es-CR"/>
        </w:rPr>
      </w:pPr>
      <w:r w:rsidRPr="004C6CCF">
        <w:rPr>
          <w:iCs/>
        </w:rPr>
        <w:t>La Corte advierte que la Comisión relacionó la violación a los incisos indicados del artículo 7 del tratado con la supuesta transgresión del artículo 2 de la Convención. No obstante, la Comisión no precisó qué medida interna legislativa o de otro carácter resultaba, a su entender, contraria a la Convención. Este Tribunal no cuenta con elementos que le permitan concluir que la violación al derecho a la libertad personal del señor Galindo, respecto a los incisos indicados del artículo 7 de la Convención, estuviera vinculado a un hipotético incumplimiento por parte del Estado de su deber de adoptar disposiciones de derecho interno. Por lo tanto, la Corte determina que no se ha acredi</w:t>
      </w:r>
      <w:r>
        <w:rPr>
          <w:iCs/>
        </w:rPr>
        <w:t xml:space="preserve">tado en el caso una </w:t>
      </w:r>
      <w:r w:rsidRPr="003417DB">
        <w:rPr>
          <w:iCs/>
        </w:rPr>
        <w:t>violación</w:t>
      </w:r>
      <w:r>
        <w:rPr>
          <w:iCs/>
        </w:rPr>
        <w:t xml:space="preserve"> del</w:t>
      </w:r>
      <w:r w:rsidRPr="004C6CCF">
        <w:rPr>
          <w:iCs/>
        </w:rPr>
        <w:t xml:space="preserve"> artículo 2 de la Convención Americana. </w:t>
      </w:r>
    </w:p>
    <w:p w:rsidR="00E54423" w:rsidRDefault="00E54423" w:rsidP="00E54423">
      <w:pPr>
        <w:pStyle w:val="ListParagraph"/>
        <w:ind w:left="0"/>
        <w:contextualSpacing/>
        <w:jc w:val="both"/>
        <w:rPr>
          <w:sz w:val="20"/>
          <w:szCs w:val="20"/>
          <w:lang w:val="es-CR"/>
        </w:rPr>
      </w:pPr>
    </w:p>
    <w:p w:rsidR="00E54423" w:rsidRDefault="00E54423" w:rsidP="00E54423">
      <w:pPr>
        <w:ind w:left="851"/>
        <w:outlineLvl w:val="2"/>
        <w:rPr>
          <w:i/>
          <w:iCs/>
          <w:szCs w:val="20"/>
        </w:rPr>
      </w:pPr>
      <w:bookmarkStart w:id="287" w:name="_Toc438129720"/>
      <w:r w:rsidRPr="0063347B">
        <w:rPr>
          <w:i/>
          <w:iCs/>
          <w:szCs w:val="20"/>
        </w:rPr>
        <w:lastRenderedPageBreak/>
        <w:t xml:space="preserve">B.2. </w:t>
      </w:r>
      <w:r w:rsidRPr="00F810F3">
        <w:rPr>
          <w:i/>
          <w:iCs/>
          <w:szCs w:val="20"/>
        </w:rPr>
        <w:t>I</w:t>
      </w:r>
      <w:r w:rsidRPr="0063347B">
        <w:rPr>
          <w:i/>
          <w:iCs/>
          <w:szCs w:val="20"/>
        </w:rPr>
        <w:t>ncumplimiento del deber de informar las razones de la detención y de respetar el derecho de defensa.</w:t>
      </w:r>
      <w:bookmarkEnd w:id="287"/>
    </w:p>
    <w:p w:rsidR="00E54423" w:rsidRPr="0070530B" w:rsidRDefault="00E54423" w:rsidP="00E54423">
      <w:pPr>
        <w:pStyle w:val="ListParagraph"/>
        <w:ind w:left="567"/>
        <w:outlineLvl w:val="2"/>
        <w:rPr>
          <w:i/>
          <w:iCs/>
          <w:sz w:val="20"/>
          <w:szCs w:val="20"/>
          <w:lang w:val="es-ES"/>
        </w:rPr>
      </w:pPr>
    </w:p>
    <w:p w:rsidR="00E54423" w:rsidRPr="00786749" w:rsidRDefault="00E54423" w:rsidP="00E54423">
      <w:pPr>
        <w:pStyle w:val="Estilo1"/>
        <w:numPr>
          <w:ilvl w:val="0"/>
          <w:numId w:val="1"/>
        </w:numPr>
        <w:tabs>
          <w:tab w:val="num" w:pos="17202"/>
          <w:tab w:val="num" w:pos="18282"/>
        </w:tabs>
        <w:spacing w:after="0"/>
      </w:pPr>
      <w:r w:rsidRPr="00786749">
        <w:t>La Corte ha establecido que el inciso 4 del artículo 7 de la Convención</w:t>
      </w:r>
    </w:p>
    <w:p w:rsidR="00E54423" w:rsidRDefault="00E54423" w:rsidP="00E54423">
      <w:pPr>
        <w:pStyle w:val="ListParagraph"/>
        <w:ind w:left="0"/>
        <w:contextualSpacing/>
        <w:jc w:val="both"/>
        <w:rPr>
          <w:iCs/>
          <w:sz w:val="20"/>
          <w:szCs w:val="20"/>
        </w:rPr>
      </w:pPr>
    </w:p>
    <w:p w:rsidR="00E54423" w:rsidRPr="00EE4A5F" w:rsidRDefault="00E54423" w:rsidP="00E54423">
      <w:pPr>
        <w:pStyle w:val="ListParagraph"/>
        <w:ind w:left="567" w:right="720"/>
        <w:contextualSpacing/>
        <w:jc w:val="both"/>
        <w:rPr>
          <w:iCs/>
          <w:sz w:val="16"/>
          <w:szCs w:val="16"/>
        </w:rPr>
      </w:pPr>
      <w:proofErr w:type="gramStart"/>
      <w:r w:rsidRPr="00EE4A5F">
        <w:rPr>
          <w:spacing w:val="-2"/>
          <w:sz w:val="16"/>
          <w:szCs w:val="16"/>
        </w:rPr>
        <w:t>alude</w:t>
      </w:r>
      <w:proofErr w:type="gramEnd"/>
      <w:r w:rsidRPr="00EE4A5F">
        <w:rPr>
          <w:spacing w:val="-2"/>
          <w:sz w:val="16"/>
          <w:szCs w:val="16"/>
        </w:rPr>
        <w:t xml:space="preserve"> a dos garantías para la persona que está siendo detenida: i) la información en forma oral o escrita sobre las razones de la detención, y ii) la notificación, que debe ser por escrito, de los cargos</w:t>
      </w:r>
      <w:r w:rsidRPr="00EE4A5F">
        <w:rPr>
          <w:spacing w:val="-2"/>
          <w:sz w:val="16"/>
          <w:szCs w:val="16"/>
          <w:vertAlign w:val="superscript"/>
        </w:rPr>
        <w:footnoteReference w:id="199"/>
      </w:r>
      <w:r w:rsidRPr="00EE4A5F">
        <w:rPr>
          <w:spacing w:val="-2"/>
          <w:sz w:val="16"/>
          <w:szCs w:val="16"/>
        </w:rPr>
        <w:t>. La información de los “motivos y razones” de la detención debe darse “cuando ésta se produce”, lo cual constituye un mecanismo para evitar detenciones ilegales o arbitrarias desde el momento mismo de la privación de libertad y, a su vez, garantiza el derecho de defensa del individuo</w:t>
      </w:r>
      <w:r w:rsidRPr="00EE4A5F">
        <w:rPr>
          <w:spacing w:val="-2"/>
          <w:sz w:val="16"/>
          <w:szCs w:val="16"/>
          <w:vertAlign w:val="superscript"/>
        </w:rPr>
        <w:footnoteReference w:id="200"/>
      </w:r>
      <w:r w:rsidRPr="00EE4A5F">
        <w:rPr>
          <w:spacing w:val="-2"/>
          <w:sz w:val="16"/>
          <w:szCs w:val="16"/>
        </w:rPr>
        <w:t>. La Corte ha señalado que el agente que lleva a cabo la detención debe informar en un lenguaje simple y libre de tecnicismos, los hechos y bases jurídicas esenciales en los que se basa la detención y que no se satisface el artículo 7.4 de la Convención si sólo se menciona la base legal</w:t>
      </w:r>
      <w:r w:rsidRPr="00EE4A5F">
        <w:rPr>
          <w:spacing w:val="-2"/>
          <w:sz w:val="16"/>
          <w:szCs w:val="16"/>
          <w:vertAlign w:val="superscript"/>
        </w:rPr>
        <w:footnoteReference w:id="201"/>
      </w:r>
      <w:r w:rsidRPr="00EE4A5F">
        <w:rPr>
          <w:spacing w:val="-2"/>
          <w:sz w:val="16"/>
          <w:szCs w:val="16"/>
        </w:rPr>
        <w:t xml:space="preserve">. </w:t>
      </w:r>
      <w:r w:rsidRPr="00EE4A5F">
        <w:rPr>
          <w:rFonts w:eastAsia="Calibri"/>
          <w:spacing w:val="-2"/>
          <w:sz w:val="16"/>
          <w:szCs w:val="16"/>
        </w:rPr>
        <w:t>Si la persona no es informada adecuadamente de las razones de la detención, incluyendo los hechos y su base jurídica, no sabe contra cuál cargo defenderse y, en forma concatenada, se hace ilusorio el control judicial</w:t>
      </w:r>
      <w:r w:rsidRPr="00EE4A5F">
        <w:rPr>
          <w:rFonts w:eastAsia="Calibri"/>
          <w:spacing w:val="-2"/>
          <w:sz w:val="16"/>
          <w:szCs w:val="16"/>
          <w:vertAlign w:val="superscript"/>
        </w:rPr>
        <w:footnoteReference w:id="202"/>
      </w:r>
      <w:r w:rsidRPr="00EE4A5F">
        <w:rPr>
          <w:rFonts w:eastAsia="Calibri"/>
          <w:spacing w:val="-2"/>
          <w:sz w:val="16"/>
          <w:szCs w:val="16"/>
        </w:rPr>
        <w:t>.</w:t>
      </w:r>
    </w:p>
    <w:p w:rsidR="00E54423" w:rsidRPr="00473182" w:rsidRDefault="00E54423" w:rsidP="00E54423">
      <w:pPr>
        <w:pStyle w:val="ListParagraph"/>
        <w:ind w:left="0"/>
        <w:contextualSpacing/>
        <w:jc w:val="both"/>
        <w:rPr>
          <w:sz w:val="20"/>
          <w:szCs w:val="20"/>
          <w:lang w:val="es-CR"/>
        </w:rPr>
      </w:pPr>
    </w:p>
    <w:p w:rsidR="00E54423" w:rsidRDefault="00E54423" w:rsidP="00E54423">
      <w:pPr>
        <w:pStyle w:val="Estilo1"/>
        <w:numPr>
          <w:ilvl w:val="0"/>
          <w:numId w:val="1"/>
        </w:numPr>
        <w:tabs>
          <w:tab w:val="num" w:pos="17202"/>
          <w:tab w:val="num" w:pos="18282"/>
        </w:tabs>
        <w:spacing w:after="0"/>
        <w:rPr>
          <w:lang w:val="es-CR"/>
        </w:rPr>
      </w:pPr>
      <w:r w:rsidRPr="00473182">
        <w:rPr>
          <w:iCs/>
        </w:rPr>
        <w:t xml:space="preserve">Por otra parte, </w:t>
      </w:r>
      <w:r w:rsidRPr="00473182">
        <w:t xml:space="preserve">ha establecido que “el derecho a la defensa debe poder ejercerse desde que se señala a una persona como posible autor[a] o partícipe de un hecho punible y sólo culmina cuando finaliza el proceso. […] El derecho a la defensa obliga al Estado a tratar al individuo en todo momento como un verdadero </w:t>
      </w:r>
      <w:r w:rsidRPr="00473182">
        <w:rPr>
          <w:bCs/>
          <w:iCs/>
        </w:rPr>
        <w:t>sujeto del proceso, en el más amplio sentido de este concepto, y no simplemente como objeto del mismo”</w:t>
      </w:r>
      <w:r w:rsidRPr="009B53DB">
        <w:rPr>
          <w:bCs/>
          <w:iCs/>
          <w:vertAlign w:val="superscript"/>
        </w:rPr>
        <w:footnoteReference w:id="203"/>
      </w:r>
      <w:r w:rsidRPr="00473182">
        <w:rPr>
          <w:bCs/>
          <w:iCs/>
        </w:rPr>
        <w:t>. De acuerdo a lo anterior, también determinó este Tribunal que</w:t>
      </w:r>
      <w:r w:rsidRPr="00473182">
        <w:rPr>
          <w:rFonts w:eastAsia="MS Mincho"/>
          <w:lang w:val="es-CO"/>
        </w:rPr>
        <w:t xml:space="preserve"> “[i]</w:t>
      </w:r>
      <w:proofErr w:type="spellStart"/>
      <w:r w:rsidRPr="00473182">
        <w:rPr>
          <w:bCs/>
          <w:iCs/>
          <w:lang w:val="es-CO"/>
        </w:rPr>
        <w:t>mpedir</w:t>
      </w:r>
      <w:proofErr w:type="spellEnd"/>
      <w:r w:rsidRPr="00473182">
        <w:rPr>
          <w:bCs/>
          <w:iCs/>
          <w:lang w:val="es-CO"/>
        </w:rPr>
        <w:t xml:space="preserve"> que la persona ejerza su derecho de defensa desde que se inicia la investigación en su contra y la autoridad dispone o ejecuta actos que implican afectación de derechos es potenciar los poderes investigativos del Estado en desmedro de derechos fundamentales de la persona investigada”</w:t>
      </w:r>
      <w:r>
        <w:rPr>
          <w:rStyle w:val="FootnoteReference"/>
          <w:iCs/>
          <w:spacing w:val="-2"/>
          <w:lang w:val="es-CO"/>
        </w:rPr>
        <w:footnoteReference w:id="204"/>
      </w:r>
      <w:r w:rsidRPr="00473182">
        <w:rPr>
          <w:bCs/>
          <w:iCs/>
          <w:lang w:val="es-CO"/>
        </w:rPr>
        <w:t xml:space="preserve">. </w:t>
      </w:r>
      <w:r w:rsidRPr="00786749">
        <w:rPr>
          <w:bCs/>
          <w:iCs/>
        </w:rPr>
        <w:t>Asimismo, la Corte ha expresado que “</w:t>
      </w:r>
      <w:r w:rsidRPr="00786749">
        <w:t>el artículo 8.2.b convencional rige incluso antes de que se formule una ‘acusación’ en sentido estricto. Para que el mencionado artículo satisfaga los fines que le son inherentes, es necesario que la notificación ocurra previamente a que el inculpado rinda su primera declaración</w:t>
      </w:r>
      <w:r w:rsidRPr="00406BFF">
        <w:rPr>
          <w:vertAlign w:val="superscript"/>
        </w:rPr>
        <w:footnoteReference w:id="205"/>
      </w:r>
      <w:r w:rsidRPr="00786749">
        <w:t xml:space="preserve"> ante cualquier autoridad pública</w:t>
      </w:r>
      <w:r w:rsidRPr="00406BFF">
        <w:rPr>
          <w:vertAlign w:val="superscript"/>
        </w:rPr>
        <w:footnoteReference w:id="206"/>
      </w:r>
      <w:r w:rsidRPr="00786749">
        <w:t>”.</w:t>
      </w:r>
      <w:r w:rsidRPr="00ED3F38">
        <w:rPr>
          <w:bCs/>
          <w:iCs/>
          <w:lang w:val="es-CO"/>
        </w:rPr>
        <w:t xml:space="preserve"> </w:t>
      </w:r>
      <w:r w:rsidRPr="00590205">
        <w:t>También ha</w:t>
      </w:r>
      <w:r w:rsidRPr="00786749">
        <w:t xml:space="preserve"> destacado que “</w:t>
      </w:r>
      <w:r w:rsidRPr="00786749">
        <w:rPr>
          <w:lang w:val="es-CO"/>
        </w:rPr>
        <w:t>contar con el tiempo y los medios adecuados para preparar la defensa”, en los términos del artículo 8.2.c</w:t>
      </w:r>
      <w:r>
        <w:rPr>
          <w:lang w:val="es-CO"/>
        </w:rPr>
        <w:t>)</w:t>
      </w:r>
      <w:r w:rsidRPr="00786749">
        <w:rPr>
          <w:lang w:val="es-CO"/>
        </w:rPr>
        <w:t xml:space="preserve"> del tratado, es una de “las garantías inherentes al derecho de defensa”</w:t>
      </w:r>
      <w:r w:rsidRPr="00406BFF">
        <w:rPr>
          <w:rStyle w:val="FootnoteReference"/>
          <w:lang w:val="es-CO"/>
        </w:rPr>
        <w:footnoteReference w:id="207"/>
      </w:r>
      <w:r w:rsidRPr="00786749">
        <w:rPr>
          <w:lang w:val="es-CO"/>
        </w:rPr>
        <w:t>.</w:t>
      </w:r>
    </w:p>
    <w:p w:rsidR="00E54423" w:rsidRDefault="00E54423" w:rsidP="00E54423">
      <w:pPr>
        <w:pStyle w:val="ListParagraph"/>
        <w:ind w:left="0"/>
        <w:contextualSpacing/>
        <w:jc w:val="both"/>
        <w:rPr>
          <w:sz w:val="20"/>
          <w:szCs w:val="20"/>
          <w:lang w:val="es-CR"/>
        </w:rPr>
      </w:pPr>
    </w:p>
    <w:p w:rsidR="00E54423" w:rsidRDefault="00E54423" w:rsidP="00E54423">
      <w:pPr>
        <w:pStyle w:val="Estilo1"/>
        <w:numPr>
          <w:ilvl w:val="0"/>
          <w:numId w:val="1"/>
        </w:numPr>
        <w:tabs>
          <w:tab w:val="num" w:pos="17202"/>
          <w:tab w:val="num" w:pos="18282"/>
        </w:tabs>
        <w:spacing w:after="0"/>
        <w:rPr>
          <w:lang w:val="es-CR"/>
        </w:rPr>
      </w:pPr>
      <w:r w:rsidRPr="00F810F3">
        <w:rPr>
          <w:lang w:val="es-CR"/>
        </w:rPr>
        <w:t>En igual sentido,</w:t>
      </w:r>
      <w:r w:rsidRPr="00ED3F38">
        <w:t xml:space="preserve"> la Corte ha precisado que la expresión “juez o tribunal competente” inserta en el artículo 8 del tratado se refiere a “cualquier autoridad pública, sea administrativa, legislativa o judicial, que a través de sus resoluciones determine derechos y obligaciones de las personas”. Por ese motivo, “cualquier órgano del Estado que ejerza funciones de carácter materialmente jurisdiccional, tiene la obligación de adoptar resoluciones apegadas a las garantías del debido proceso legal”</w:t>
      </w:r>
      <w:r w:rsidRPr="00ED3F38">
        <w:rPr>
          <w:vertAlign w:val="superscript"/>
        </w:rPr>
        <w:footnoteReference w:id="208"/>
      </w:r>
      <w:r w:rsidRPr="00ED3F38">
        <w:t>.</w:t>
      </w:r>
    </w:p>
    <w:p w:rsidR="00E54423" w:rsidRDefault="00E54423" w:rsidP="00E54423">
      <w:pPr>
        <w:pStyle w:val="ListParagraph"/>
        <w:ind w:left="0"/>
        <w:contextualSpacing/>
        <w:jc w:val="both"/>
        <w:rPr>
          <w:sz w:val="20"/>
          <w:szCs w:val="20"/>
          <w:lang w:val="es-CR"/>
        </w:rPr>
      </w:pPr>
    </w:p>
    <w:p w:rsidR="00E54423" w:rsidRDefault="00E54423" w:rsidP="00E54423">
      <w:pPr>
        <w:pStyle w:val="Estilo1"/>
        <w:numPr>
          <w:ilvl w:val="0"/>
          <w:numId w:val="1"/>
        </w:numPr>
        <w:tabs>
          <w:tab w:val="num" w:pos="17202"/>
          <w:tab w:val="num" w:pos="18282"/>
        </w:tabs>
        <w:spacing w:after="0"/>
        <w:rPr>
          <w:lang w:val="es-CR"/>
        </w:rPr>
      </w:pPr>
      <w:r w:rsidRPr="00ED3F38">
        <w:rPr>
          <w:lang w:val="es-CR"/>
        </w:rPr>
        <w:t xml:space="preserve">A fin de analizar si en el caso se </w:t>
      </w:r>
      <w:r>
        <w:rPr>
          <w:lang w:val="es-CR"/>
        </w:rPr>
        <w:t>observó el artículo 7.4 de la Convención y el artículo 8 del tratado en su apartado 2, incisos b) y c)</w:t>
      </w:r>
      <w:r w:rsidRPr="00ED3F38">
        <w:rPr>
          <w:lang w:val="es-CR"/>
        </w:rPr>
        <w:t xml:space="preserve">, corresponde en primer lugar dejar sentado que </w:t>
      </w:r>
      <w:r w:rsidRPr="00ED3F38">
        <w:rPr>
          <w:lang w:val="es-CR"/>
        </w:rPr>
        <w:lastRenderedPageBreak/>
        <w:t>e</w:t>
      </w:r>
      <w:r w:rsidRPr="00ED3F38">
        <w:rPr>
          <w:spacing w:val="-2"/>
        </w:rPr>
        <w:t xml:space="preserve">l </w:t>
      </w:r>
      <w:r w:rsidRPr="00ED3F38">
        <w:t>Decreto Supremo No. 084 DE/CCFFAA no suspendió normas vinculadas a dichos mandatos convencionales.</w:t>
      </w:r>
    </w:p>
    <w:p w:rsidR="00E54423" w:rsidRPr="00786749" w:rsidRDefault="00E54423" w:rsidP="00E54423">
      <w:pPr>
        <w:pStyle w:val="ListParagraph"/>
        <w:ind w:left="0"/>
        <w:contextualSpacing/>
        <w:jc w:val="both"/>
        <w:rPr>
          <w:sz w:val="20"/>
          <w:szCs w:val="20"/>
          <w:lang w:val="es-CR"/>
        </w:rPr>
      </w:pPr>
    </w:p>
    <w:p w:rsidR="00E54423" w:rsidRDefault="00193DE9" w:rsidP="00E54423">
      <w:pPr>
        <w:pStyle w:val="Estilo1"/>
        <w:numPr>
          <w:ilvl w:val="0"/>
          <w:numId w:val="1"/>
        </w:numPr>
        <w:tabs>
          <w:tab w:val="num" w:pos="17202"/>
          <w:tab w:val="num" w:pos="18282"/>
        </w:tabs>
        <w:spacing w:after="0"/>
      </w:pPr>
      <w:r>
        <w:rPr>
          <w:lang w:val="es-CR"/>
        </w:rPr>
        <w:t>De acuerdo a la prueba,</w:t>
      </w:r>
      <w:r w:rsidR="00E54423" w:rsidRPr="00613F0E">
        <w:rPr>
          <w:lang w:val="es-CR"/>
        </w:rPr>
        <w:t xml:space="preserve"> no consta un acto en que se motivara la necesidad de privación de libertad del señor Galindo, como tampoco que él solicitara tal medida</w:t>
      </w:r>
      <w:r>
        <w:rPr>
          <w:lang w:val="es-CR"/>
        </w:rPr>
        <w:t>,</w:t>
      </w:r>
      <w:r w:rsidR="00E54423" w:rsidRPr="00613F0E">
        <w:rPr>
          <w:lang w:val="es-CR"/>
        </w:rPr>
        <w:t xml:space="preserve"> </w:t>
      </w:r>
      <w:r>
        <w:rPr>
          <w:lang w:val="es-CR"/>
        </w:rPr>
        <w:t>ni t</w:t>
      </w:r>
      <w:r w:rsidR="00E54423" w:rsidRPr="00613F0E">
        <w:rPr>
          <w:lang w:val="es-CR"/>
        </w:rPr>
        <w:t>ampoco surge de la prueba que al ser el señor Galindo privado de su libertad se le comunicara las razones de ello, ni en forma oral ni escrita. Al respecto</w:t>
      </w:r>
      <w:r w:rsidR="00E54423">
        <w:rPr>
          <w:lang w:val="es-CR"/>
        </w:rPr>
        <w:t>,</w:t>
      </w:r>
      <w:r w:rsidR="00E54423" w:rsidRPr="00613F0E">
        <w:rPr>
          <w:lang w:val="es-CR"/>
        </w:rPr>
        <w:t xml:space="preserve"> </w:t>
      </w:r>
      <w:r w:rsidR="00E54423" w:rsidRPr="006169C9">
        <w:t xml:space="preserve">en el acta de </w:t>
      </w:r>
      <w:r w:rsidR="008C0B6C">
        <w:t xml:space="preserve">las </w:t>
      </w:r>
      <w:r w:rsidR="008C0B6C" w:rsidRPr="004F3835">
        <w:t>8</w:t>
      </w:r>
      <w:r w:rsidR="00E207A2" w:rsidRPr="004F3835">
        <w:t>:00 horas</w:t>
      </w:r>
      <w:r w:rsidR="008C0B6C">
        <w:t xml:space="preserve"> del </w:t>
      </w:r>
      <w:r w:rsidR="00E54423" w:rsidRPr="006169C9">
        <w:t>15 de octubre de 1994 sólo consta que el señor Galindo “</w:t>
      </w:r>
      <w:proofErr w:type="spellStart"/>
      <w:r w:rsidR="00E54423" w:rsidRPr="006169C9">
        <w:t>solicit</w:t>
      </w:r>
      <w:proofErr w:type="spellEnd"/>
      <w:r w:rsidR="00E54423" w:rsidRPr="006169C9">
        <w:t>[</w:t>
      </w:r>
      <w:proofErr w:type="spellStart"/>
      <w:r w:rsidR="00E54423" w:rsidRPr="006169C9">
        <w:t>ó</w:t>
      </w:r>
      <w:proofErr w:type="spellEnd"/>
      <w:r w:rsidR="00E54423" w:rsidRPr="006169C9">
        <w:t>] las garantía</w:t>
      </w:r>
      <w:r w:rsidR="00E54423" w:rsidRPr="00613F0E">
        <w:t>s del caso para su seguridad personal y de su familia”.</w:t>
      </w:r>
      <w:r w:rsidR="00E54423" w:rsidRPr="00613F0E">
        <w:rPr>
          <w:b/>
        </w:rPr>
        <w:t xml:space="preserve"> </w:t>
      </w:r>
      <w:r w:rsidR="00E54423" w:rsidRPr="00613F0E">
        <w:t xml:space="preserve">Ello en modo alguno puede considerarse base suficiente para entender que había sido debidamente informado de las razones de su privación de libertad. </w:t>
      </w:r>
      <w:r w:rsidR="00E54423">
        <w:t xml:space="preserve">En razón de ello, la Corte considera </w:t>
      </w:r>
      <w:r w:rsidR="00E54423" w:rsidRPr="00473182">
        <w:t>que el Estado violó</w:t>
      </w:r>
      <w:r w:rsidR="00E54423">
        <w:t xml:space="preserve"> el</w:t>
      </w:r>
      <w:r w:rsidR="00E54423" w:rsidRPr="00473182">
        <w:t xml:space="preserve"> artículo 7.4</w:t>
      </w:r>
      <w:r w:rsidR="00E54423">
        <w:t xml:space="preserve"> de la Convención,</w:t>
      </w:r>
      <w:r w:rsidR="00E54423" w:rsidRPr="00473182">
        <w:t xml:space="preserve"> en perjuicio del señor Galindo, en relación con la obligación de respetar </w:t>
      </w:r>
      <w:proofErr w:type="gramStart"/>
      <w:r w:rsidR="00E54423" w:rsidRPr="00473182">
        <w:t>los derechos establecida</w:t>
      </w:r>
      <w:proofErr w:type="gramEnd"/>
      <w:r w:rsidR="00E54423" w:rsidRPr="00473182">
        <w:t xml:space="preserve"> en el artículo 1.1 del tratado</w:t>
      </w:r>
      <w:r w:rsidR="00E54423">
        <w:t>.</w:t>
      </w:r>
    </w:p>
    <w:p w:rsidR="00E54423" w:rsidRPr="00D06D6E" w:rsidRDefault="00E54423" w:rsidP="00E54423">
      <w:pPr>
        <w:pStyle w:val="ListParagraph"/>
        <w:rPr>
          <w:strike/>
        </w:rPr>
      </w:pPr>
    </w:p>
    <w:p w:rsidR="00757437" w:rsidRDefault="00E54423" w:rsidP="00757437">
      <w:pPr>
        <w:pStyle w:val="Estilo1"/>
        <w:numPr>
          <w:ilvl w:val="0"/>
          <w:numId w:val="1"/>
        </w:numPr>
        <w:tabs>
          <w:tab w:val="left" w:pos="2552"/>
          <w:tab w:val="num" w:pos="18282"/>
        </w:tabs>
        <w:spacing w:after="0"/>
      </w:pPr>
      <w:r w:rsidRPr="00D06D6E">
        <w:t xml:space="preserve">En cuanto a las garantías judiciales, en el caso se observa que la detención se relacionó con el procedimiento al que el señor Galindo se vio vinculado, cuyas primeras actuaciones, además de la detención, son las actas de 15 de octubre de 1994, y que finalizó con la Resolución Fiscal de 4 de noviembre de 1994, confirmada el 9 de noviembre </w:t>
      </w:r>
      <w:r w:rsidRPr="004454B8">
        <w:t>siguiente.</w:t>
      </w:r>
      <w:r w:rsidRPr="004454B8">
        <w:rPr>
          <w:strike/>
        </w:rPr>
        <w:t xml:space="preserve"> </w:t>
      </w:r>
    </w:p>
    <w:p w:rsidR="00757437" w:rsidRDefault="00757437" w:rsidP="00757437">
      <w:pPr>
        <w:pStyle w:val="ListParagraph"/>
      </w:pPr>
    </w:p>
    <w:p w:rsidR="004454B8" w:rsidRPr="00757437" w:rsidRDefault="00E54423" w:rsidP="00757437">
      <w:pPr>
        <w:pStyle w:val="Estilo1"/>
        <w:numPr>
          <w:ilvl w:val="0"/>
          <w:numId w:val="1"/>
        </w:numPr>
        <w:tabs>
          <w:tab w:val="left" w:pos="2552"/>
          <w:tab w:val="num" w:pos="18282"/>
        </w:tabs>
        <w:spacing w:after="0"/>
      </w:pPr>
      <w:r w:rsidRPr="004454B8">
        <w:t>Se ha señalado la vinculación que presenta la observancia del inciso 4 del artículo 7 de la Convención</w:t>
      </w:r>
      <w:r>
        <w:t>, norma que se ha determinado violada en el caso, con el derecho de defensa</w:t>
      </w:r>
      <w:r w:rsidR="00BD1103">
        <w:t>.</w:t>
      </w:r>
      <w:r w:rsidR="004B2EFD">
        <w:t xml:space="preserve"> </w:t>
      </w:r>
      <w:r w:rsidRPr="00D06D6E">
        <w:t>Ten</w:t>
      </w:r>
      <w:r>
        <w:t xml:space="preserve">iendo en cuenta lo expuesto, </w:t>
      </w:r>
      <w:r w:rsidRPr="00D06D6E">
        <w:t>la Corte encuentra que la falta de información sobre los motivos de su detención y la situación de incertidumbre mientras la misma duró, menoscabó el derecho de defensa del señor Galindo. Las circunstancias del caso y el procedimiento seguido evidencian que la falta de comunicación sobre las razones de la detención implic</w:t>
      </w:r>
      <w:r w:rsidR="004B2EFD">
        <w:t>aron</w:t>
      </w:r>
      <w:r w:rsidRPr="00D06D6E">
        <w:t xml:space="preserve"> una limitación en la posibilidad de cuestionar o controvertir</w:t>
      </w:r>
      <w:r w:rsidR="000004D4">
        <w:t xml:space="preserve"> la pretend</w:t>
      </w:r>
      <w:r w:rsidR="00B67696">
        <w:t>ida</w:t>
      </w:r>
      <w:r w:rsidR="000004D4">
        <w:t xml:space="preserve"> ilicitud del acto que se le atribuía.</w:t>
      </w:r>
    </w:p>
    <w:p w:rsidR="00E54423" w:rsidRDefault="00E54423" w:rsidP="00E54423">
      <w:pPr>
        <w:pStyle w:val="ListParagraph"/>
        <w:rPr>
          <w:iCs/>
          <w:lang w:val="es-CR"/>
        </w:rPr>
      </w:pPr>
    </w:p>
    <w:p w:rsidR="00E54423" w:rsidRDefault="00E54423" w:rsidP="00E54423">
      <w:pPr>
        <w:pStyle w:val="Estilo1"/>
        <w:numPr>
          <w:ilvl w:val="0"/>
          <w:numId w:val="1"/>
        </w:numPr>
        <w:tabs>
          <w:tab w:val="left" w:pos="2552"/>
          <w:tab w:val="num" w:pos="18282"/>
        </w:tabs>
        <w:spacing w:after="0"/>
      </w:pPr>
      <w:r w:rsidRPr="00834F27">
        <w:rPr>
          <w:iCs/>
          <w:lang w:val="es-CR"/>
        </w:rPr>
        <w:t xml:space="preserve">Por lo expuesto, la Corte concluye que </w:t>
      </w:r>
      <w:r w:rsidR="00423860">
        <w:rPr>
          <w:iCs/>
          <w:lang w:val="es-CR"/>
        </w:rPr>
        <w:t xml:space="preserve">Perú vulneró el artículo 8.2.b y 8.2.c </w:t>
      </w:r>
      <w:r w:rsidRPr="00D06D6E">
        <w:rPr>
          <w:iCs/>
          <w:lang w:val="es-CR"/>
        </w:rPr>
        <w:t>de la Convención</w:t>
      </w:r>
      <w:r w:rsidR="00423860">
        <w:rPr>
          <w:iCs/>
          <w:lang w:val="es-CR"/>
        </w:rPr>
        <w:t>,</w:t>
      </w:r>
      <w:r w:rsidRPr="00D06D6E">
        <w:rPr>
          <w:iCs/>
          <w:lang w:val="es-CR"/>
        </w:rPr>
        <w:t xml:space="preserve"> en perjuicio del señor </w:t>
      </w:r>
      <w:r w:rsidR="00423860">
        <w:rPr>
          <w:iCs/>
          <w:lang w:val="es-CR"/>
        </w:rPr>
        <w:t>Luis Antonio Galindo Cárdenas</w:t>
      </w:r>
      <w:r w:rsidRPr="00D06D6E">
        <w:rPr>
          <w:iCs/>
          <w:lang w:val="es-CR"/>
        </w:rPr>
        <w:t>.</w:t>
      </w:r>
      <w:r w:rsidRPr="00834F27">
        <w:rPr>
          <w:iCs/>
          <w:lang w:val="es-CR"/>
        </w:rPr>
        <w:t xml:space="preserve"> </w:t>
      </w:r>
    </w:p>
    <w:p w:rsidR="00E54423" w:rsidRDefault="00E54423" w:rsidP="00E54423">
      <w:pPr>
        <w:pStyle w:val="ListParagraph"/>
        <w:rPr>
          <w:b/>
        </w:rPr>
      </w:pPr>
    </w:p>
    <w:p w:rsidR="00E54423" w:rsidRPr="00D06D6E" w:rsidRDefault="00E54423" w:rsidP="00E54423">
      <w:pPr>
        <w:pStyle w:val="Estilo1"/>
        <w:numPr>
          <w:ilvl w:val="0"/>
          <w:numId w:val="1"/>
        </w:numPr>
        <w:tabs>
          <w:tab w:val="left" w:pos="2552"/>
          <w:tab w:val="num" w:pos="18282"/>
        </w:tabs>
        <w:spacing w:after="0"/>
      </w:pPr>
      <w:r w:rsidRPr="00D06D6E">
        <w:t>De acuerdo a lo concluido, no resulta necesario examinar los argumentos sobre la falta de presencia de un abogado defensor y la imposibilidad del señor Galindo de intervenir en el análisis de prueba (</w:t>
      </w:r>
      <w:r w:rsidRPr="00D06D6E">
        <w:rPr>
          <w:i/>
        </w:rPr>
        <w:t>supra</w:t>
      </w:r>
      <w:r w:rsidRPr="00D06D6E">
        <w:t xml:space="preserve"> párr. </w:t>
      </w:r>
      <w:r>
        <w:t>16</w:t>
      </w:r>
      <w:r w:rsidR="00AB4251">
        <w:t>8</w:t>
      </w:r>
      <w:r w:rsidRPr="00D06D6E">
        <w:t xml:space="preserve">). </w:t>
      </w:r>
    </w:p>
    <w:p w:rsidR="00E54423" w:rsidRPr="009A324E" w:rsidRDefault="00E54423" w:rsidP="00E54423">
      <w:pPr>
        <w:pStyle w:val="ListParagraph"/>
        <w:rPr>
          <w:lang w:val="es-ES"/>
        </w:rPr>
      </w:pPr>
    </w:p>
    <w:p w:rsidR="00E54423" w:rsidRPr="009B23BE" w:rsidRDefault="00E54423" w:rsidP="00E54423">
      <w:pPr>
        <w:pStyle w:val="Estilo1"/>
        <w:numPr>
          <w:ilvl w:val="0"/>
          <w:numId w:val="1"/>
        </w:numPr>
        <w:tabs>
          <w:tab w:val="num" w:pos="17202"/>
          <w:tab w:val="num" w:pos="18282"/>
        </w:tabs>
        <w:spacing w:after="0"/>
        <w:rPr>
          <w:lang w:val="es-CR"/>
        </w:rPr>
      </w:pPr>
      <w:r w:rsidRPr="00D06D6E">
        <w:rPr>
          <w:iCs/>
        </w:rPr>
        <w:t>La Corte considera pertinente señalar que el análisis efectuado toma por base las circunstancias del caso relacionadas con la privación de libertad del señor Galindo, y no el procedimiento previsto en la Ley de Arrepentimiento. Nota además que en el Informe de Fondo, en el título del apartado atinente a las consideraciones sobre el artículo 7</w:t>
      </w:r>
      <w:r w:rsidR="006F28ED">
        <w:rPr>
          <w:iCs/>
        </w:rPr>
        <w:t>.4</w:t>
      </w:r>
      <w:r w:rsidRPr="00D06D6E">
        <w:rPr>
          <w:iCs/>
        </w:rPr>
        <w:t xml:space="preserve"> de la Convención y </w:t>
      </w:r>
      <w:r w:rsidR="006F28ED">
        <w:rPr>
          <w:iCs/>
        </w:rPr>
        <w:t>el</w:t>
      </w:r>
      <w:r w:rsidRPr="00D06D6E">
        <w:rPr>
          <w:iCs/>
        </w:rPr>
        <w:t xml:space="preserve"> artículo 8</w:t>
      </w:r>
      <w:r w:rsidR="006F28ED">
        <w:rPr>
          <w:iCs/>
        </w:rPr>
        <w:t xml:space="preserve"> de la Conven</w:t>
      </w:r>
      <w:r w:rsidR="00DF3EE2">
        <w:rPr>
          <w:iCs/>
        </w:rPr>
        <w:t>ci</w:t>
      </w:r>
      <w:r w:rsidR="006F28ED">
        <w:rPr>
          <w:iCs/>
        </w:rPr>
        <w:t>ón</w:t>
      </w:r>
      <w:r w:rsidRPr="00D06D6E">
        <w:rPr>
          <w:iCs/>
        </w:rPr>
        <w:t>, la Comisión</w:t>
      </w:r>
      <w:r w:rsidRPr="007169C0">
        <w:rPr>
          <w:b/>
          <w:iCs/>
        </w:rPr>
        <w:t xml:space="preserve"> </w:t>
      </w:r>
      <w:r>
        <w:rPr>
          <w:iCs/>
        </w:rPr>
        <w:t xml:space="preserve">mencionó el artículo 2 del tratado, pero en la conclusión de ese apartado no se refirió a esa norma. En todo caso, este Tribunal no encuentra motivos para </w:t>
      </w:r>
      <w:r w:rsidRPr="003417DB">
        <w:rPr>
          <w:iCs/>
        </w:rPr>
        <w:t>considerar violado el</w:t>
      </w:r>
      <w:r>
        <w:rPr>
          <w:iCs/>
        </w:rPr>
        <w:t xml:space="preserve"> artículo 2 de la Convención Americana.</w:t>
      </w:r>
    </w:p>
    <w:p w:rsidR="00E54423" w:rsidRDefault="00E54423" w:rsidP="00E54423">
      <w:pPr>
        <w:pStyle w:val="Estilo1"/>
        <w:numPr>
          <w:ilvl w:val="0"/>
          <w:numId w:val="0"/>
        </w:numPr>
        <w:spacing w:after="0"/>
        <w:rPr>
          <w:rFonts w:eastAsiaTheme="minorHAnsi"/>
          <w:sz w:val="16"/>
          <w:szCs w:val="16"/>
        </w:rPr>
      </w:pPr>
    </w:p>
    <w:p w:rsidR="00E54423" w:rsidRPr="00EC1B3B" w:rsidRDefault="00E54423" w:rsidP="00E54423">
      <w:pPr>
        <w:pStyle w:val="ListParagraph"/>
        <w:ind w:left="851"/>
        <w:jc w:val="both"/>
        <w:outlineLvl w:val="2"/>
        <w:rPr>
          <w:i/>
          <w:sz w:val="20"/>
          <w:szCs w:val="20"/>
        </w:rPr>
      </w:pPr>
      <w:bookmarkStart w:id="288" w:name="_Toc438129721"/>
      <w:r w:rsidRPr="00473182">
        <w:rPr>
          <w:i/>
          <w:iCs/>
          <w:sz w:val="20"/>
          <w:szCs w:val="20"/>
        </w:rPr>
        <w:t>B.3</w:t>
      </w:r>
      <w:r>
        <w:rPr>
          <w:i/>
          <w:iCs/>
          <w:sz w:val="20"/>
          <w:szCs w:val="20"/>
        </w:rPr>
        <w:t>.</w:t>
      </w:r>
      <w:r w:rsidRPr="00EC1B3B">
        <w:rPr>
          <w:iCs/>
          <w:sz w:val="20"/>
          <w:szCs w:val="20"/>
        </w:rPr>
        <w:t xml:space="preserve"> </w:t>
      </w:r>
      <w:r w:rsidRPr="00EC1B3B">
        <w:rPr>
          <w:i/>
          <w:iCs/>
          <w:sz w:val="20"/>
          <w:szCs w:val="20"/>
        </w:rPr>
        <w:t>Alegada vulneración al d</w:t>
      </w:r>
      <w:r w:rsidRPr="00EC1B3B">
        <w:rPr>
          <w:i/>
          <w:sz w:val="20"/>
          <w:szCs w:val="20"/>
        </w:rPr>
        <w:t>erecho a recurrir ante un juez o tribunal competente sobre la legalidad de la detención</w:t>
      </w:r>
      <w:bookmarkEnd w:id="288"/>
      <w:r w:rsidRPr="00EC1B3B">
        <w:rPr>
          <w:i/>
          <w:sz w:val="20"/>
          <w:szCs w:val="20"/>
        </w:rPr>
        <w:t xml:space="preserve"> </w:t>
      </w:r>
    </w:p>
    <w:p w:rsidR="00E54423" w:rsidRPr="00EC1B3B" w:rsidRDefault="00E54423" w:rsidP="00E54423">
      <w:pPr>
        <w:pStyle w:val="ListParagraph"/>
        <w:rPr>
          <w:spacing w:val="-2"/>
          <w:sz w:val="20"/>
          <w:szCs w:val="20"/>
        </w:rPr>
      </w:pPr>
    </w:p>
    <w:p w:rsidR="00E54423" w:rsidRPr="00EC1B3B" w:rsidRDefault="00E54423" w:rsidP="00E54423">
      <w:pPr>
        <w:pStyle w:val="Estilo1"/>
        <w:numPr>
          <w:ilvl w:val="0"/>
          <w:numId w:val="1"/>
        </w:numPr>
        <w:tabs>
          <w:tab w:val="num" w:pos="17202"/>
          <w:tab w:val="num" w:pos="18282"/>
        </w:tabs>
        <w:spacing w:after="0"/>
        <w:rPr>
          <w:lang w:val="es-CR"/>
        </w:rPr>
      </w:pPr>
      <w:r w:rsidRPr="00EC1B3B">
        <w:rPr>
          <w:spacing w:val="-2"/>
        </w:rPr>
        <w:t xml:space="preserve">El artículo 7.6 de la Convención, como esta Corte ha explicado, </w:t>
      </w:r>
    </w:p>
    <w:p w:rsidR="00E54423" w:rsidRPr="0070530B" w:rsidRDefault="00E54423" w:rsidP="00E54423">
      <w:pPr>
        <w:pStyle w:val="ListParagraph"/>
        <w:ind w:left="0"/>
        <w:contextualSpacing/>
        <w:jc w:val="both"/>
        <w:rPr>
          <w:spacing w:val="-2"/>
          <w:sz w:val="20"/>
          <w:szCs w:val="20"/>
          <w:lang w:val="es-CR"/>
        </w:rPr>
      </w:pPr>
    </w:p>
    <w:p w:rsidR="00E54423" w:rsidRPr="00EC1B3B" w:rsidRDefault="00E54423" w:rsidP="00E54423">
      <w:pPr>
        <w:pStyle w:val="ListParagraph"/>
        <w:ind w:left="567" w:right="720"/>
        <w:contextualSpacing/>
        <w:jc w:val="both"/>
        <w:rPr>
          <w:iCs/>
          <w:sz w:val="16"/>
          <w:szCs w:val="16"/>
        </w:rPr>
      </w:pPr>
      <w:proofErr w:type="gramStart"/>
      <w:r w:rsidRPr="00EC1B3B">
        <w:rPr>
          <w:spacing w:val="-2"/>
          <w:sz w:val="16"/>
          <w:szCs w:val="16"/>
        </w:rPr>
        <w:t>protege</w:t>
      </w:r>
      <w:proofErr w:type="gramEnd"/>
      <w:r w:rsidRPr="00EC1B3B">
        <w:rPr>
          <w:spacing w:val="-2"/>
          <w:sz w:val="16"/>
          <w:szCs w:val="16"/>
        </w:rPr>
        <w:t xml:space="preserve"> el derecho de toda persona privada de la libertad a recurrir la legalidad de su detención ante un juez o tribunal competente, a fin de que éste decida, sin demora, sobre la legalidad de la privación </w:t>
      </w:r>
      <w:r w:rsidRPr="00EC1B3B">
        <w:rPr>
          <w:spacing w:val="-2"/>
          <w:sz w:val="16"/>
          <w:szCs w:val="16"/>
        </w:rPr>
        <w:lastRenderedPageBreak/>
        <w:t>de libertad y, en su caso, decrete su libertad</w:t>
      </w:r>
      <w:r w:rsidRPr="00EC1B3B">
        <w:rPr>
          <w:spacing w:val="-2"/>
          <w:sz w:val="16"/>
          <w:szCs w:val="16"/>
          <w:vertAlign w:val="superscript"/>
        </w:rPr>
        <w:footnoteReference w:id="209"/>
      </w:r>
      <w:r w:rsidRPr="00EC1B3B">
        <w:rPr>
          <w:spacing w:val="-2"/>
          <w:sz w:val="16"/>
          <w:szCs w:val="16"/>
        </w:rPr>
        <w:t>. La Corte ha destacado que la autoridad que debe decidir la legalidad del arresto o detención debe ser un juez o tribunal. Con ello la Convención está resguardando que el control de la privación de la libertad debe ser judicial</w:t>
      </w:r>
      <w:r w:rsidRPr="00EC1B3B">
        <w:rPr>
          <w:spacing w:val="-2"/>
          <w:sz w:val="16"/>
          <w:szCs w:val="16"/>
          <w:vertAlign w:val="superscript"/>
        </w:rPr>
        <w:footnoteReference w:id="210"/>
      </w:r>
      <w:r w:rsidRPr="00EC1B3B">
        <w:rPr>
          <w:spacing w:val="-2"/>
          <w:sz w:val="16"/>
          <w:szCs w:val="16"/>
        </w:rPr>
        <w:t>. Asimismo, ha referido que éstos “no solo deben existir formalmente en la legislación sino que deben ser efectivos, esto es, cumplir con el objetivo de obtener sin demora una decisión sobre la legalidad del arresto o de la detención”</w:t>
      </w:r>
      <w:r w:rsidRPr="00EC1B3B">
        <w:rPr>
          <w:spacing w:val="-2"/>
          <w:sz w:val="16"/>
          <w:szCs w:val="16"/>
          <w:vertAlign w:val="superscript"/>
        </w:rPr>
        <w:footnoteReference w:id="211"/>
      </w:r>
      <w:r w:rsidRPr="00EC1B3B">
        <w:rPr>
          <w:spacing w:val="-2"/>
          <w:sz w:val="16"/>
          <w:szCs w:val="16"/>
        </w:rPr>
        <w:t>.</w:t>
      </w:r>
    </w:p>
    <w:p w:rsidR="00E54423" w:rsidRPr="00EC1B3B" w:rsidRDefault="00E54423" w:rsidP="00E54423">
      <w:pPr>
        <w:pStyle w:val="ListParagraph"/>
        <w:ind w:left="0"/>
        <w:contextualSpacing/>
        <w:jc w:val="both"/>
        <w:rPr>
          <w:sz w:val="20"/>
          <w:szCs w:val="20"/>
          <w:lang w:val="es-CR"/>
        </w:rPr>
      </w:pPr>
    </w:p>
    <w:p w:rsidR="00E54423" w:rsidRPr="00EC1B3B" w:rsidRDefault="00E54423" w:rsidP="00E54423">
      <w:pPr>
        <w:pStyle w:val="Estilo1"/>
        <w:numPr>
          <w:ilvl w:val="0"/>
          <w:numId w:val="1"/>
        </w:numPr>
        <w:tabs>
          <w:tab w:val="num" w:pos="17202"/>
          <w:tab w:val="num" w:pos="18282"/>
        </w:tabs>
        <w:spacing w:after="0"/>
        <w:contextualSpacing/>
        <w:rPr>
          <w:lang w:val="es-CR"/>
        </w:rPr>
      </w:pPr>
      <w:r w:rsidRPr="00EC1B3B">
        <w:rPr>
          <w:iCs/>
        </w:rPr>
        <w:t>En cuanto al artículo 25 de la Convención, el mismo “contempla la obligación de los Estados Partes de garantizar, a todas las personas bajo su jurisdicción, un recurso judicial efectivo contra actos violatorios de sus derechos fundamentales”</w:t>
      </w:r>
      <w:r w:rsidRPr="00EC1B3B">
        <w:rPr>
          <w:iCs/>
          <w:vertAlign w:val="superscript"/>
        </w:rPr>
        <w:footnoteReference w:id="212"/>
      </w:r>
      <w:r w:rsidRPr="00EC1B3B">
        <w:rPr>
          <w:iCs/>
        </w:rPr>
        <w:t>. No obstante, e</w:t>
      </w:r>
      <w:r w:rsidRPr="00EC1B3B">
        <w:rPr>
          <w:spacing w:val="-2"/>
        </w:rPr>
        <w:t>n tanto el artículo 7.6 tiene un contenido jurídico propio, no resulta necesario examinar los</w:t>
      </w:r>
      <w:r w:rsidRPr="00EC1B3B">
        <w:rPr>
          <w:iCs/>
        </w:rPr>
        <w:t xml:space="preserve"> alegatos sobre la afectación al derecho establecido en esa norma con base en lo establecido en el artículo 25 de la Convención Americana. </w:t>
      </w:r>
    </w:p>
    <w:p w:rsidR="00E54423" w:rsidRPr="00471C59" w:rsidRDefault="00E54423" w:rsidP="00E54423">
      <w:pPr>
        <w:pStyle w:val="ListParagraph"/>
        <w:rPr>
          <w:rFonts w:eastAsia="Calibri" w:cs="Times New Roman"/>
          <w:iCs/>
          <w:sz w:val="20"/>
          <w:szCs w:val="20"/>
          <w:lang w:val="es-ES"/>
        </w:rPr>
      </w:pPr>
    </w:p>
    <w:p w:rsidR="00E54423" w:rsidRPr="00E207A2" w:rsidRDefault="00BB4744" w:rsidP="00E54423">
      <w:pPr>
        <w:pStyle w:val="Estilo1"/>
        <w:numPr>
          <w:ilvl w:val="0"/>
          <w:numId w:val="1"/>
        </w:numPr>
        <w:tabs>
          <w:tab w:val="num" w:pos="17202"/>
          <w:tab w:val="num" w:pos="18282"/>
        </w:tabs>
        <w:spacing w:after="0"/>
        <w:rPr>
          <w:iCs/>
        </w:rPr>
      </w:pPr>
      <w:r w:rsidRPr="00E207A2">
        <w:rPr>
          <w:iCs/>
        </w:rPr>
        <w:t>Este Tribunal recuerda que al decidir sobre las excepciones preliminares relativa al presente caso, determinó que el Estado antes de la emisión del Informe de Admisibilidad no había logrado acreditar la efectividad del hábeas corpus frente a señalamientos del señor Galindo, quien había referido</w:t>
      </w:r>
    </w:p>
    <w:p w:rsidR="00E54423" w:rsidRPr="008627F6" w:rsidRDefault="00E54423" w:rsidP="00E54423">
      <w:pPr>
        <w:pStyle w:val="Estilo1"/>
        <w:numPr>
          <w:ilvl w:val="0"/>
          <w:numId w:val="0"/>
        </w:numPr>
        <w:spacing w:after="0"/>
        <w:rPr>
          <w:w w:val="95"/>
          <w:lang w:val="es-CL"/>
        </w:rPr>
      </w:pPr>
    </w:p>
    <w:p w:rsidR="00E54423" w:rsidRPr="00043057" w:rsidRDefault="00E54423" w:rsidP="00E54423">
      <w:pPr>
        <w:pStyle w:val="Estilo1"/>
        <w:numPr>
          <w:ilvl w:val="0"/>
          <w:numId w:val="0"/>
        </w:numPr>
        <w:ind w:left="567" w:right="720"/>
      </w:pPr>
      <w:proofErr w:type="gramStart"/>
      <w:r w:rsidRPr="008627F6">
        <w:rPr>
          <w:rFonts w:eastAsia="Times New Roman"/>
          <w:sz w:val="16"/>
          <w:szCs w:val="16"/>
          <w:lang w:val="es-MX" w:eastAsia="es-MX"/>
        </w:rPr>
        <w:t>una</w:t>
      </w:r>
      <w:proofErr w:type="gramEnd"/>
      <w:r w:rsidRPr="008627F6">
        <w:rPr>
          <w:rFonts w:eastAsia="Times New Roman"/>
          <w:sz w:val="16"/>
          <w:szCs w:val="16"/>
          <w:lang w:val="es-MX" w:eastAsia="es-MX"/>
        </w:rPr>
        <w:t xml:space="preserve"> presunta situación general de inefectividad práctica de tal tipo de acciones. En ese sentido, consta que entre sus argumentos hizo alusión a la vigencia de un estado de excepción en la ciudad de Huánuco. Asimismo, expresó que dicha ciudad estaba bajo control militar y que existía una “absoluta inseguridad jurídica” […]. También se [había] </w:t>
      </w:r>
      <w:proofErr w:type="spellStart"/>
      <w:proofErr w:type="gramStart"/>
      <w:r w:rsidRPr="008627F6">
        <w:rPr>
          <w:rFonts w:eastAsia="Times New Roman"/>
          <w:sz w:val="16"/>
          <w:szCs w:val="16"/>
          <w:lang w:val="es-MX" w:eastAsia="es-MX"/>
        </w:rPr>
        <w:t>manifest</w:t>
      </w:r>
      <w:proofErr w:type="spellEnd"/>
      <w:r w:rsidRPr="008627F6">
        <w:rPr>
          <w:rFonts w:eastAsia="Times New Roman"/>
          <w:sz w:val="16"/>
          <w:szCs w:val="16"/>
          <w:lang w:val="es-MX" w:eastAsia="es-MX"/>
        </w:rPr>
        <w:t>[</w:t>
      </w:r>
      <w:proofErr w:type="spellStart"/>
      <w:proofErr w:type="gramEnd"/>
      <w:r w:rsidRPr="008627F6">
        <w:rPr>
          <w:rFonts w:eastAsia="Times New Roman"/>
          <w:sz w:val="16"/>
          <w:szCs w:val="16"/>
          <w:lang w:val="es-MX" w:eastAsia="es-MX"/>
        </w:rPr>
        <w:t>ado</w:t>
      </w:r>
      <w:proofErr w:type="spellEnd"/>
      <w:r w:rsidRPr="008627F6">
        <w:rPr>
          <w:rFonts w:eastAsia="Times New Roman"/>
          <w:sz w:val="16"/>
          <w:szCs w:val="16"/>
          <w:lang w:val="es-MX" w:eastAsia="es-MX"/>
        </w:rPr>
        <w:t>] sobre una situación general de falta de garantías en la administración de justicia, hostigamiento y “sometimiento” de sus autoridades</w:t>
      </w:r>
      <w:r w:rsidRPr="00F810F3">
        <w:rPr>
          <w:sz w:val="16"/>
          <w:szCs w:val="16"/>
        </w:rPr>
        <w:t>.</w:t>
      </w:r>
    </w:p>
    <w:p w:rsidR="00E54423" w:rsidRPr="00F810F3" w:rsidRDefault="00E54423" w:rsidP="00F810F3">
      <w:pPr>
        <w:pStyle w:val="Estilo1"/>
        <w:numPr>
          <w:ilvl w:val="0"/>
          <w:numId w:val="0"/>
        </w:numPr>
        <w:spacing w:after="0"/>
        <w:rPr>
          <w:w w:val="95"/>
          <w:u w:val="single"/>
          <w:lang w:val="es-CL"/>
        </w:rPr>
      </w:pPr>
      <w:r w:rsidRPr="008627F6">
        <w:rPr>
          <w:rFonts w:eastAsia="Times New Roman"/>
          <w:lang w:val="es-MX" w:eastAsia="es-MX"/>
        </w:rPr>
        <w:t xml:space="preserve">En el proceso ante la Corte, el Estado tampoco presentó argumentos o prueba pertinentes para desestimar esos </w:t>
      </w:r>
      <w:r w:rsidRPr="00590205">
        <w:rPr>
          <w:rFonts w:eastAsia="Times New Roman"/>
          <w:lang w:val="es-MX" w:eastAsia="es-MX"/>
        </w:rPr>
        <w:t>señalamientos.</w:t>
      </w:r>
      <w:r w:rsidR="00F810F3" w:rsidRPr="00590205">
        <w:rPr>
          <w:w w:val="95"/>
          <w:lang w:val="es-CL"/>
        </w:rPr>
        <w:t xml:space="preserve"> </w:t>
      </w:r>
    </w:p>
    <w:p w:rsidR="00E54423" w:rsidRPr="00E207A2" w:rsidRDefault="00E54423" w:rsidP="00E54423">
      <w:pPr>
        <w:pStyle w:val="Estilo1"/>
        <w:numPr>
          <w:ilvl w:val="0"/>
          <w:numId w:val="0"/>
        </w:numPr>
        <w:spacing w:after="0"/>
        <w:rPr>
          <w:iCs/>
        </w:rPr>
      </w:pPr>
    </w:p>
    <w:p w:rsidR="0023362E" w:rsidRPr="00E207A2" w:rsidRDefault="00BB4744" w:rsidP="00E54423">
      <w:pPr>
        <w:pStyle w:val="Estilo1"/>
        <w:numPr>
          <w:ilvl w:val="0"/>
          <w:numId w:val="1"/>
        </w:numPr>
        <w:tabs>
          <w:tab w:val="num" w:pos="17202"/>
          <w:tab w:val="num" w:pos="18282"/>
        </w:tabs>
        <w:rPr>
          <w:iCs/>
        </w:rPr>
      </w:pPr>
      <w:r w:rsidRPr="00E207A2">
        <w:rPr>
          <w:iCs/>
        </w:rPr>
        <w:t>La Corte nota que, de acuerdo al contexto que se vivía en Perú, para el año 1994 aún persistía una convulsión social generada por los actos terroristas</w:t>
      </w:r>
      <w:r w:rsidRPr="00E207A2">
        <w:rPr>
          <w:iCs/>
          <w:vertAlign w:val="superscript"/>
        </w:rPr>
        <w:footnoteReference w:id="213"/>
      </w:r>
      <w:r w:rsidRPr="00E207A2">
        <w:rPr>
          <w:iCs/>
        </w:rPr>
        <w:t xml:space="preserve">. Además, pese a la vigencia formal del hábeas corpus, mediante el Decreto Supremo No. 84 DE/CCFFAA emitido el 10 de octubre de 1994 se decretó un estado de emergencia que estaba vigente al momento de los hechos del presente caso. </w:t>
      </w:r>
    </w:p>
    <w:p w:rsidR="00E54423" w:rsidRPr="00E207A2" w:rsidRDefault="00BB4744" w:rsidP="00E54423">
      <w:pPr>
        <w:pStyle w:val="Estilo1"/>
        <w:numPr>
          <w:ilvl w:val="0"/>
          <w:numId w:val="1"/>
        </w:numPr>
        <w:tabs>
          <w:tab w:val="num" w:pos="17202"/>
          <w:tab w:val="num" w:pos="18282"/>
        </w:tabs>
        <w:rPr>
          <w:iCs/>
        </w:rPr>
      </w:pPr>
      <w:r w:rsidRPr="00E207A2">
        <w:rPr>
          <w:iCs/>
        </w:rPr>
        <w:t>En el marco de esa situación de emergencia, de conformidad al Decreto Supremo aludido, una garantía suspendida fue la “contemplada […] en […el a</w:t>
      </w:r>
      <w:proofErr w:type="gramStart"/>
      <w:r w:rsidRPr="00E207A2">
        <w:rPr>
          <w:iCs/>
        </w:rPr>
        <w:t>]</w:t>
      </w:r>
      <w:proofErr w:type="spellStart"/>
      <w:r w:rsidRPr="00E207A2">
        <w:rPr>
          <w:iCs/>
        </w:rPr>
        <w:t>rtículo</w:t>
      </w:r>
      <w:proofErr w:type="spellEnd"/>
      <w:proofErr w:type="gramEnd"/>
      <w:r w:rsidRPr="00E207A2">
        <w:rPr>
          <w:iCs/>
        </w:rPr>
        <w:t xml:space="preserve"> 2 […i]</w:t>
      </w:r>
      <w:proofErr w:type="spellStart"/>
      <w:r w:rsidRPr="00E207A2">
        <w:rPr>
          <w:iCs/>
        </w:rPr>
        <w:t>nciso</w:t>
      </w:r>
      <w:proofErr w:type="spellEnd"/>
      <w:r w:rsidRPr="00E207A2">
        <w:rPr>
          <w:iCs/>
        </w:rPr>
        <w:t xml:space="preserve"> 24 apartado f […] de la Constitución Política del Perú”, que indica que “[n]</w:t>
      </w:r>
      <w:proofErr w:type="spellStart"/>
      <w:r w:rsidRPr="00E207A2">
        <w:rPr>
          <w:iCs/>
        </w:rPr>
        <w:t>adie</w:t>
      </w:r>
      <w:proofErr w:type="spellEnd"/>
      <w:r w:rsidRPr="00E207A2">
        <w:rPr>
          <w:iCs/>
        </w:rPr>
        <w:t xml:space="preserve"> puede ser detenido sino por mandamiento escrito y motivado del Juez o por las autoridades policiales en caso de flagrantes delito”. Frente a la suspensión de esa norma constitucional, la Corte, a partir de la información con la que cuenta, no advierte que la interposición de un recurso de hábeas corpus hubiera podido ser útil para la revisión de la legalidad de una situación de privación de libertad como la sufrida por el se</w:t>
      </w:r>
      <w:r w:rsidRPr="004454B8">
        <w:rPr>
          <w:iCs/>
        </w:rPr>
        <w:t>ñor Galindo.</w:t>
      </w:r>
      <w:r w:rsidR="000004D4" w:rsidRPr="004454B8">
        <w:rPr>
          <w:iCs/>
        </w:rPr>
        <w:t xml:space="preserve"> Es relevante destacar que</w:t>
      </w:r>
      <w:r w:rsidRPr="004454B8">
        <w:rPr>
          <w:iCs/>
        </w:rPr>
        <w:t xml:space="preserve"> Perú no ha </w:t>
      </w:r>
      <w:r w:rsidR="00D4773A" w:rsidRPr="004454B8">
        <w:rPr>
          <w:iCs/>
        </w:rPr>
        <w:t>presentado</w:t>
      </w:r>
      <w:r w:rsidRPr="004454B8">
        <w:rPr>
          <w:iCs/>
        </w:rPr>
        <w:t xml:space="preserve"> </w:t>
      </w:r>
      <w:r w:rsidR="000004D4" w:rsidRPr="004454B8">
        <w:rPr>
          <w:iCs/>
        </w:rPr>
        <w:t xml:space="preserve">a este Tribunal </w:t>
      </w:r>
      <w:r w:rsidRPr="004454B8">
        <w:rPr>
          <w:iCs/>
        </w:rPr>
        <w:t xml:space="preserve">información, argumentos o pruebas que permitan </w:t>
      </w:r>
      <w:r w:rsidR="000004D4" w:rsidRPr="004454B8">
        <w:rPr>
          <w:iCs/>
        </w:rPr>
        <w:t>inferir la utilidad del hábeas corpus estando suspendida la norma constitucional mencionada</w:t>
      </w:r>
      <w:r w:rsidRPr="004454B8">
        <w:rPr>
          <w:iCs/>
        </w:rPr>
        <w:t>.</w:t>
      </w:r>
    </w:p>
    <w:p w:rsidR="00E54423" w:rsidRPr="008627F6" w:rsidRDefault="00BB4744" w:rsidP="00E54423">
      <w:pPr>
        <w:pStyle w:val="Estilo1"/>
        <w:numPr>
          <w:ilvl w:val="0"/>
          <w:numId w:val="1"/>
        </w:numPr>
        <w:tabs>
          <w:tab w:val="num" w:pos="17202"/>
          <w:tab w:val="num" w:pos="18282"/>
        </w:tabs>
        <w:rPr>
          <w:lang w:val="es-CR"/>
        </w:rPr>
      </w:pPr>
      <w:r w:rsidRPr="00E207A2">
        <w:rPr>
          <w:iCs/>
        </w:rPr>
        <w:t xml:space="preserve">Asimismo, en el Informe de la CVR, el cual comprende el período entre 1980 y 2000 señala que en esa época se realizan detenciones ilegales o de hecho a personas que se les </w:t>
      </w:r>
      <w:r w:rsidRPr="00E207A2">
        <w:rPr>
          <w:lang w:val="es-CR"/>
        </w:rPr>
        <w:t xml:space="preserve">imputaba el delito de terrorismo, a quienes se les desconocían los mecanismos de </w:t>
      </w:r>
      <w:r w:rsidRPr="00E207A2">
        <w:rPr>
          <w:lang w:val="es-CR"/>
        </w:rPr>
        <w:lastRenderedPageBreak/>
        <w:t>protección. En ese sentido, el referido Informe indica “que las autoridades civiles (jueces y fiscales) fueron renuentes generalmente en asegurar una eficaz aplicación de las acciones de garantía. De esta forma, acciones de garantías tuvieron en la realidad una vigencia meramente formal”</w:t>
      </w:r>
      <w:r w:rsidRPr="00E207A2">
        <w:rPr>
          <w:vertAlign w:val="superscript"/>
          <w:lang w:val="es-CR"/>
        </w:rPr>
        <w:footnoteReference w:id="214"/>
      </w:r>
      <w:r w:rsidRPr="005C4DF5">
        <w:rPr>
          <w:vertAlign w:val="subscript"/>
          <w:lang w:val="es-CR"/>
        </w:rPr>
        <w:t>.</w:t>
      </w:r>
      <w:r w:rsidRPr="00E207A2">
        <w:rPr>
          <w:lang w:val="es-CR"/>
        </w:rPr>
        <w:t xml:space="preserve"> </w:t>
      </w:r>
    </w:p>
    <w:p w:rsidR="00E54423" w:rsidRPr="008627F6" w:rsidRDefault="00BB4744" w:rsidP="00E54423">
      <w:pPr>
        <w:pStyle w:val="Estilo1"/>
        <w:numPr>
          <w:ilvl w:val="0"/>
          <w:numId w:val="1"/>
        </w:numPr>
        <w:tabs>
          <w:tab w:val="num" w:pos="17202"/>
          <w:tab w:val="num" w:pos="18282"/>
        </w:tabs>
        <w:rPr>
          <w:lang w:val="es-CR"/>
        </w:rPr>
      </w:pPr>
      <w:r w:rsidRPr="00E207A2">
        <w:rPr>
          <w:lang w:val="es-CR"/>
        </w:rPr>
        <w:t xml:space="preserve">Por otra parte, al analizar un caso cuyos hechos relevantes ocurrieron durante 1994, en fechas próximas a la detención del señor Galindo, la Corte indicó que se presentaba en Perú </w:t>
      </w:r>
    </w:p>
    <w:p w:rsidR="00E54423" w:rsidRPr="00E207A2" w:rsidRDefault="00BB4744" w:rsidP="00E54423">
      <w:pPr>
        <w:pStyle w:val="Estilo1"/>
        <w:numPr>
          <w:ilvl w:val="0"/>
          <w:numId w:val="0"/>
        </w:numPr>
        <w:tabs>
          <w:tab w:val="left" w:pos="709"/>
        </w:tabs>
        <w:spacing w:after="0"/>
        <w:ind w:left="567" w:right="571"/>
        <w:rPr>
          <w:sz w:val="16"/>
          <w:lang w:val="es-CR"/>
        </w:rPr>
      </w:pPr>
      <w:proofErr w:type="gramStart"/>
      <w:r w:rsidRPr="00E207A2">
        <w:rPr>
          <w:sz w:val="16"/>
          <w:lang w:val="es-CR"/>
        </w:rPr>
        <w:t>una</w:t>
      </w:r>
      <w:proofErr w:type="gramEnd"/>
      <w:r w:rsidRPr="00E207A2">
        <w:rPr>
          <w:sz w:val="16"/>
          <w:lang w:val="es-CR"/>
        </w:rPr>
        <w:t xml:space="preserve"> situación en la que el hábeas corpus como remedio judicial expedito se tornó inefectivo. Era una práctica generalizada que “los operadores de justicia incurrieron en falta contra su deber de cautelar los derechos de los ciudadanos al declarar improcedente</w:t>
      </w:r>
      <w:r w:rsidR="005D127B">
        <w:rPr>
          <w:sz w:val="16"/>
          <w:lang w:val="es-CR"/>
        </w:rPr>
        <w:t>s los recursos de há</w:t>
      </w:r>
      <w:r w:rsidRPr="00E207A2">
        <w:rPr>
          <w:sz w:val="16"/>
          <w:lang w:val="es-CR"/>
        </w:rPr>
        <w:t>beas corpus” y que el Ministerio Público “abdicó su función de controlar el estricto respeto a los derechos humanos que debía observarse en las detenciones y se mostró insensible a los pedidos de los familiares de las víctimas”, y no cumplía con su deber de investigar adecuadamente los crímenes, por su falta de independencia frente al Poder Ejecutivo. Esto tuvo particular incidencia respecto de las personas identificadas por autoridades estatales como presuntos miembros de Sendero Luminoso o del MRTA</w:t>
      </w:r>
      <w:r w:rsidRPr="00E207A2">
        <w:rPr>
          <w:sz w:val="16"/>
          <w:szCs w:val="16"/>
          <w:vertAlign w:val="superscript"/>
          <w:lang w:val="es-CR"/>
        </w:rPr>
        <w:footnoteReference w:id="215"/>
      </w:r>
      <w:r w:rsidRPr="00E207A2">
        <w:rPr>
          <w:sz w:val="16"/>
          <w:lang w:val="es-CR"/>
        </w:rPr>
        <w:t xml:space="preserve">. </w:t>
      </w:r>
    </w:p>
    <w:p w:rsidR="00E54423" w:rsidRPr="00E207A2" w:rsidRDefault="00E54423" w:rsidP="00E54423">
      <w:pPr>
        <w:pStyle w:val="ListParagraph"/>
        <w:rPr>
          <w:rFonts w:eastAsia="Calibri" w:cs="Times New Roman"/>
          <w:sz w:val="20"/>
          <w:szCs w:val="20"/>
          <w:lang w:val="es-CR"/>
        </w:rPr>
      </w:pPr>
    </w:p>
    <w:p w:rsidR="00E54423" w:rsidRPr="008C3D05" w:rsidRDefault="00BB4744" w:rsidP="00E54423">
      <w:pPr>
        <w:pStyle w:val="Estilo1"/>
        <w:numPr>
          <w:ilvl w:val="0"/>
          <w:numId w:val="1"/>
        </w:numPr>
        <w:tabs>
          <w:tab w:val="num" w:pos="17202"/>
          <w:tab w:val="num" w:pos="18282"/>
        </w:tabs>
        <w:spacing w:after="0"/>
        <w:rPr>
          <w:lang w:val="es-CR"/>
        </w:rPr>
      </w:pPr>
      <w:r w:rsidRPr="008C3D05">
        <w:rPr>
          <w:lang w:val="es-CR"/>
        </w:rPr>
        <w:t>Ahora bien, de conformidad con los hechos, este Tribunal nota que el señor Galindo se desempeñaba como Vocal Provisional de la Corte Superior de Huánuco cuando fue detenido, permaneciendo privado de la libertad en la</w:t>
      </w:r>
      <w:r w:rsidRPr="00DB5D94">
        <w:rPr>
          <w:lang w:val="es-CR"/>
        </w:rPr>
        <w:t xml:space="preserve"> Base Militar de </w:t>
      </w:r>
      <w:proofErr w:type="spellStart"/>
      <w:r w:rsidRPr="00DB5D94">
        <w:rPr>
          <w:lang w:val="es-CR"/>
        </w:rPr>
        <w:t>Yanac</w:t>
      </w:r>
      <w:proofErr w:type="spellEnd"/>
      <w:r w:rsidRPr="00DB5D94">
        <w:rPr>
          <w:lang w:val="es-CR"/>
        </w:rPr>
        <w:t xml:space="preserve">. Coincidentemente, </w:t>
      </w:r>
      <w:r w:rsidR="005C4DF5" w:rsidRPr="00DB5D94">
        <w:rPr>
          <w:lang w:val="es-CR"/>
        </w:rPr>
        <w:t xml:space="preserve">de acuerdo a prensa escrita, </w:t>
      </w:r>
      <w:r w:rsidRPr="00DB5D94">
        <w:rPr>
          <w:lang w:val="es-CR"/>
        </w:rPr>
        <w:t xml:space="preserve">en un canal de televisión de la ciudad de Lima, en una entrevista, el Presidente </w:t>
      </w:r>
      <w:r w:rsidR="005C4DF5" w:rsidRPr="008C3D05">
        <w:rPr>
          <w:lang w:val="es-CR"/>
        </w:rPr>
        <w:t>Fujimori, acusó a dos personas</w:t>
      </w:r>
      <w:r w:rsidRPr="008C3D05">
        <w:rPr>
          <w:lang w:val="es-CR"/>
        </w:rPr>
        <w:t xml:space="preserve"> de tener vínculos con Sendero Luminoso, siendo uno de ellos, el Presidente de la Corte </w:t>
      </w:r>
      <w:r w:rsidR="005C4DF5" w:rsidRPr="008C3D05">
        <w:rPr>
          <w:lang w:val="es-CR"/>
        </w:rPr>
        <w:t xml:space="preserve">de Justicia </w:t>
      </w:r>
      <w:r w:rsidRPr="008C3D05">
        <w:rPr>
          <w:lang w:val="es-CR"/>
        </w:rPr>
        <w:t xml:space="preserve">de Huánuco. Posteriormente, el </w:t>
      </w:r>
      <w:r w:rsidR="005C4DF5" w:rsidRPr="008C3D05">
        <w:rPr>
          <w:lang w:val="es-CR"/>
        </w:rPr>
        <w:t xml:space="preserve">17 o el 18 de octubre de 1994 </w:t>
      </w:r>
      <w:r w:rsidRPr="008C3D05">
        <w:rPr>
          <w:lang w:val="es-CR"/>
        </w:rPr>
        <w:t>se rectificó el señalamie</w:t>
      </w:r>
      <w:r w:rsidR="005C4DF5" w:rsidRPr="008C3D05">
        <w:rPr>
          <w:lang w:val="es-CR"/>
        </w:rPr>
        <w:t xml:space="preserve">nto del Presidente y se indicó </w:t>
      </w:r>
      <w:r w:rsidRPr="008C3D05">
        <w:rPr>
          <w:lang w:val="es-CR"/>
        </w:rPr>
        <w:t xml:space="preserve">que </w:t>
      </w:r>
      <w:r w:rsidR="005C4DF5" w:rsidRPr="008C3D05">
        <w:rPr>
          <w:lang w:val="es-CR"/>
        </w:rPr>
        <w:t>“</w:t>
      </w:r>
      <w:r w:rsidRPr="008C3D05">
        <w:rPr>
          <w:lang w:val="es-CR"/>
        </w:rPr>
        <w:t>la acusación corresponde a un Vocal de la Corte Superior de Huánuco”</w:t>
      </w:r>
      <w:r w:rsidR="008C3D05">
        <w:rPr>
          <w:lang w:val="es-CR"/>
        </w:rPr>
        <w:t xml:space="preserve"> (</w:t>
      </w:r>
      <w:r w:rsidR="008C3D05" w:rsidRPr="006F4741">
        <w:rPr>
          <w:i/>
          <w:lang w:val="es-CR"/>
        </w:rPr>
        <w:t>supra</w:t>
      </w:r>
      <w:r w:rsidR="008C3D05">
        <w:rPr>
          <w:i/>
          <w:lang w:val="es-CR"/>
        </w:rPr>
        <w:t xml:space="preserve"> </w:t>
      </w:r>
      <w:r w:rsidR="008C3D05">
        <w:rPr>
          <w:lang w:val="es-CR"/>
        </w:rPr>
        <w:t>párr. 122)</w:t>
      </w:r>
      <w:r w:rsidRPr="008C3D05">
        <w:rPr>
          <w:lang w:val="es-CR"/>
        </w:rPr>
        <w:t xml:space="preserve">. Un día antes, el 17 de octubre de 1994, el Ministerio de Defensa del Frente Huallaga, mediante un comunicado de prensa se refirió a que </w:t>
      </w:r>
      <w:r w:rsidR="005C4DF5" w:rsidRPr="00DB5D94">
        <w:rPr>
          <w:lang w:val="es-CR"/>
        </w:rPr>
        <w:t xml:space="preserve">la detención del señor Galindo </w:t>
      </w:r>
      <w:r w:rsidRPr="00DB5D94">
        <w:rPr>
          <w:lang w:val="es-CR"/>
        </w:rPr>
        <w:t xml:space="preserve">durante la ejecución de </w:t>
      </w:r>
      <w:r w:rsidR="005C4DF5" w:rsidRPr="00DB5D94">
        <w:rPr>
          <w:lang w:val="es-CR"/>
        </w:rPr>
        <w:t>“</w:t>
      </w:r>
      <w:r w:rsidRPr="00DB5D94">
        <w:rPr>
          <w:lang w:val="es-CR"/>
        </w:rPr>
        <w:t xml:space="preserve">operaciones </w:t>
      </w:r>
      <w:r w:rsidR="005C4DF5" w:rsidRPr="00DB5D94">
        <w:rPr>
          <w:lang w:val="es-CR"/>
        </w:rPr>
        <w:t xml:space="preserve">por la </w:t>
      </w:r>
      <w:r w:rsidRPr="00DB5D94">
        <w:rPr>
          <w:lang w:val="es-CR"/>
        </w:rPr>
        <w:t xml:space="preserve">pacificación que </w:t>
      </w:r>
      <w:proofErr w:type="gramStart"/>
      <w:r w:rsidRPr="00DB5D94">
        <w:rPr>
          <w:lang w:val="es-CR"/>
        </w:rPr>
        <w:t>realiza</w:t>
      </w:r>
      <w:r w:rsidR="005C4DF5" w:rsidRPr="00DB5D94">
        <w:rPr>
          <w:lang w:val="es-CR"/>
        </w:rPr>
        <w:t>[</w:t>
      </w:r>
      <w:proofErr w:type="spellStart"/>
      <w:proofErr w:type="gramEnd"/>
      <w:r w:rsidRPr="00DB5D94">
        <w:rPr>
          <w:lang w:val="es-CR"/>
        </w:rPr>
        <w:t>ban</w:t>
      </w:r>
      <w:proofErr w:type="spellEnd"/>
      <w:r w:rsidR="005C4DF5" w:rsidRPr="00DB5D94">
        <w:rPr>
          <w:lang w:val="es-CR"/>
        </w:rPr>
        <w:t>]</w:t>
      </w:r>
      <w:r w:rsidRPr="00DB5D94">
        <w:rPr>
          <w:lang w:val="es-CR"/>
        </w:rPr>
        <w:t xml:space="preserve"> las fuerzas del orden”</w:t>
      </w:r>
      <w:r w:rsidR="008C3D05">
        <w:rPr>
          <w:lang w:val="es-CR"/>
        </w:rPr>
        <w:t xml:space="preserve"> (</w:t>
      </w:r>
      <w:r w:rsidR="008C3D05" w:rsidRPr="00DC45F5">
        <w:rPr>
          <w:i/>
          <w:lang w:val="es-CR"/>
        </w:rPr>
        <w:t>supra</w:t>
      </w:r>
      <w:r w:rsidR="008C3D05">
        <w:rPr>
          <w:i/>
          <w:lang w:val="es-CR"/>
        </w:rPr>
        <w:t xml:space="preserve"> </w:t>
      </w:r>
      <w:r w:rsidR="008C3D05">
        <w:rPr>
          <w:lang w:val="es-CR"/>
        </w:rPr>
        <w:t>párr. 122)</w:t>
      </w:r>
      <w:r w:rsidRPr="008C3D05">
        <w:rPr>
          <w:lang w:val="es-CR"/>
        </w:rPr>
        <w:t>. De lo anterior, se desprende que en el presente caso aun cuando no se mencionara el nombre del Vocal de la Corte Superior de Huánuco desde el inicio se vinculó al señor Galind</w:t>
      </w:r>
      <w:r w:rsidR="005C4DF5" w:rsidRPr="008C3D05">
        <w:rPr>
          <w:lang w:val="es-CR"/>
        </w:rPr>
        <w:t>o, ya que era el magistrado</w:t>
      </w:r>
      <w:r w:rsidR="003B743F" w:rsidRPr="008C3D05">
        <w:rPr>
          <w:lang w:val="es-CR"/>
        </w:rPr>
        <w:t xml:space="preserve"> detenido en ese momento.</w:t>
      </w:r>
      <w:r w:rsidRPr="008C3D05">
        <w:rPr>
          <w:lang w:val="es-CR"/>
        </w:rPr>
        <w:t xml:space="preserve"> Además, la situación de la presunta víctima fue conocida directamente por el propio Presidente de la República. La Corte considera esto como un elemento adicional a la situación referida con anterioridad que, dada la influencia del Poder Ejecutivo, coadyuva a los señalamientos que indican la inefectividad de una acción de hábeas corpus en el caso. </w:t>
      </w:r>
    </w:p>
    <w:p w:rsidR="00E54423" w:rsidRPr="00E207A2" w:rsidRDefault="00E54423" w:rsidP="00E54423">
      <w:pPr>
        <w:pStyle w:val="Estilo1"/>
        <w:numPr>
          <w:ilvl w:val="0"/>
          <w:numId w:val="0"/>
        </w:numPr>
        <w:spacing w:after="0"/>
        <w:rPr>
          <w:lang w:val="es-CR"/>
        </w:rPr>
      </w:pPr>
    </w:p>
    <w:p w:rsidR="00E54423" w:rsidRPr="00E207A2" w:rsidRDefault="00BB4744" w:rsidP="00E54423">
      <w:pPr>
        <w:pStyle w:val="Estilo1"/>
        <w:numPr>
          <w:ilvl w:val="0"/>
          <w:numId w:val="1"/>
        </w:numPr>
        <w:tabs>
          <w:tab w:val="num" w:pos="17202"/>
          <w:tab w:val="num" w:pos="18282"/>
        </w:tabs>
        <w:rPr>
          <w:lang w:val="es-CR"/>
        </w:rPr>
      </w:pPr>
      <w:r w:rsidRPr="00E207A2">
        <w:rPr>
          <w:lang w:val="es-CR"/>
        </w:rPr>
        <w:t>La Corte, con base en lo expuesto, arriba a la conclusión de que el señor Galindo no tuvo acceso a la posibilidad de presentar una acción efectiva para que un juez o tribunal decidera sin demora sobre su detención y pudiera ordenar su libertad. Para llegar a tal conclusión, la Corte no solo considera la situación de Perú en la época de los hechos, según lo ya indicado (</w:t>
      </w:r>
      <w:r w:rsidRPr="006A20F1">
        <w:rPr>
          <w:i/>
          <w:lang w:val="es-CR"/>
        </w:rPr>
        <w:t xml:space="preserve">supra </w:t>
      </w:r>
      <w:proofErr w:type="spellStart"/>
      <w:r w:rsidRPr="00E207A2">
        <w:rPr>
          <w:lang w:val="es-CR"/>
        </w:rPr>
        <w:t>párrs</w:t>
      </w:r>
      <w:proofErr w:type="spellEnd"/>
      <w:r w:rsidRPr="00E207A2">
        <w:rPr>
          <w:lang w:val="es-CR"/>
        </w:rPr>
        <w:t xml:space="preserve">. </w:t>
      </w:r>
      <w:r w:rsidR="00193DE9">
        <w:rPr>
          <w:lang w:val="es-CR"/>
        </w:rPr>
        <w:t>9</w:t>
      </w:r>
      <w:r w:rsidR="00AB4251">
        <w:rPr>
          <w:lang w:val="es-CR"/>
        </w:rPr>
        <w:t>3</w:t>
      </w:r>
      <w:r w:rsidR="00193DE9">
        <w:rPr>
          <w:lang w:val="es-CR"/>
        </w:rPr>
        <w:t xml:space="preserve"> a 9</w:t>
      </w:r>
      <w:r w:rsidR="00AB4251">
        <w:rPr>
          <w:lang w:val="es-CR"/>
        </w:rPr>
        <w:t>9</w:t>
      </w:r>
      <w:r w:rsidRPr="00E207A2">
        <w:rPr>
          <w:lang w:val="es-CR"/>
        </w:rPr>
        <w:t xml:space="preserve">), sino también las particularidades del caso concreto, en las cuales incluso como se indicó el Presidente Fujimori tuvo algún conocimiento. La Corte advierte que el derecho a recurrir la legalidad de la detención ante un juez debe garantizarse en todo momento que la persona esté privada de su libertad, y en este caso el Estado no desvirtuó la imposibilidad de interponer el recurso, de conformidad con los elementos de convicción antedichos. </w:t>
      </w:r>
    </w:p>
    <w:p w:rsidR="00E54423" w:rsidRPr="008733D0" w:rsidRDefault="00BB4744" w:rsidP="00CA3FDD">
      <w:pPr>
        <w:pStyle w:val="Estilo1"/>
        <w:numPr>
          <w:ilvl w:val="0"/>
          <w:numId w:val="1"/>
        </w:numPr>
        <w:tabs>
          <w:tab w:val="num" w:pos="17202"/>
          <w:tab w:val="num" w:pos="18282"/>
        </w:tabs>
        <w:spacing w:after="0"/>
        <w:rPr>
          <w:lang w:val="es-CR"/>
        </w:rPr>
      </w:pPr>
      <w:r w:rsidRPr="008733D0">
        <w:rPr>
          <w:lang w:val="es-CR"/>
        </w:rPr>
        <w:t>Lo anterior hace innecesario examinar argumentos diversos presentados por la Comisión y el representante (</w:t>
      </w:r>
      <w:r w:rsidRPr="008733D0">
        <w:rPr>
          <w:i/>
          <w:lang w:val="es-CR"/>
        </w:rPr>
        <w:t>supra</w:t>
      </w:r>
      <w:r w:rsidRPr="008733D0">
        <w:rPr>
          <w:lang w:val="es-CR"/>
        </w:rPr>
        <w:t xml:space="preserve"> </w:t>
      </w:r>
      <w:proofErr w:type="spellStart"/>
      <w:r w:rsidRPr="008733D0">
        <w:rPr>
          <w:lang w:val="es-CR"/>
        </w:rPr>
        <w:t>párrs</w:t>
      </w:r>
      <w:proofErr w:type="spellEnd"/>
      <w:r w:rsidRPr="008733D0">
        <w:rPr>
          <w:lang w:val="es-CR"/>
        </w:rPr>
        <w:t>. 16</w:t>
      </w:r>
      <w:r w:rsidR="006B2A0E">
        <w:rPr>
          <w:lang w:val="es-CR"/>
        </w:rPr>
        <w:t>7</w:t>
      </w:r>
      <w:r w:rsidR="008733D0" w:rsidRPr="008733D0">
        <w:rPr>
          <w:lang w:val="es-CR"/>
        </w:rPr>
        <w:t xml:space="preserve"> a 1</w:t>
      </w:r>
      <w:r w:rsidR="00AB4251">
        <w:rPr>
          <w:lang w:val="es-CR"/>
        </w:rPr>
        <w:t>7</w:t>
      </w:r>
      <w:r w:rsidR="006B2A0E">
        <w:rPr>
          <w:lang w:val="es-CR"/>
        </w:rPr>
        <w:t>3</w:t>
      </w:r>
      <w:r w:rsidRPr="008733D0">
        <w:rPr>
          <w:lang w:val="es-CR"/>
        </w:rPr>
        <w:t>).</w:t>
      </w:r>
    </w:p>
    <w:p w:rsidR="00CA3FDD" w:rsidRPr="00E207A2" w:rsidRDefault="00CA3FDD" w:rsidP="00CA3FDD">
      <w:pPr>
        <w:pStyle w:val="Estilo1"/>
        <w:numPr>
          <w:ilvl w:val="0"/>
          <w:numId w:val="0"/>
        </w:numPr>
        <w:tabs>
          <w:tab w:val="num" w:pos="19632"/>
        </w:tabs>
        <w:spacing w:after="0"/>
        <w:rPr>
          <w:lang w:val="es-CR"/>
        </w:rPr>
      </w:pPr>
    </w:p>
    <w:p w:rsidR="00E54423" w:rsidRPr="00E207A2" w:rsidRDefault="00BB4744" w:rsidP="00CA3FDD">
      <w:pPr>
        <w:pStyle w:val="Estilo1"/>
        <w:numPr>
          <w:ilvl w:val="0"/>
          <w:numId w:val="1"/>
        </w:numPr>
        <w:tabs>
          <w:tab w:val="num" w:pos="17202"/>
          <w:tab w:val="num" w:pos="18282"/>
        </w:tabs>
        <w:spacing w:after="0"/>
        <w:rPr>
          <w:lang w:val="es-CR"/>
        </w:rPr>
      </w:pPr>
      <w:r w:rsidRPr="00E207A2">
        <w:rPr>
          <w:lang w:val="es-CR"/>
        </w:rPr>
        <w:lastRenderedPageBreak/>
        <w:t xml:space="preserve">Por tanto, la Corte concluye que el Estado es responsable de la violación de la libertad personal consagrado en el artículo 7.6 de la Convención, en relación con el artículo 1.1 de la misma, en perjuicio de Luis Antonio Galindo Cárdenas. </w:t>
      </w:r>
    </w:p>
    <w:p w:rsidR="00E54423" w:rsidRPr="00E207A2" w:rsidRDefault="00E54423" w:rsidP="00E54423">
      <w:pPr>
        <w:pStyle w:val="Estilo1"/>
        <w:numPr>
          <w:ilvl w:val="0"/>
          <w:numId w:val="0"/>
        </w:numPr>
        <w:spacing w:after="0"/>
        <w:rPr>
          <w:lang w:val="es-CR"/>
        </w:rPr>
      </w:pPr>
    </w:p>
    <w:p w:rsidR="00E54423" w:rsidRPr="00E207A2" w:rsidRDefault="00BB4744" w:rsidP="00E54423">
      <w:pPr>
        <w:pStyle w:val="Estilo1"/>
        <w:numPr>
          <w:ilvl w:val="0"/>
          <w:numId w:val="0"/>
        </w:numPr>
        <w:spacing w:after="0"/>
        <w:jc w:val="left"/>
        <w:rPr>
          <w:i/>
          <w:lang w:val="es-CR"/>
        </w:rPr>
      </w:pPr>
      <w:r w:rsidRPr="00E207A2">
        <w:rPr>
          <w:lang w:val="es-CR"/>
        </w:rPr>
        <w:tab/>
      </w:r>
      <w:r w:rsidRPr="00E207A2">
        <w:rPr>
          <w:i/>
          <w:lang w:val="es-CR"/>
        </w:rPr>
        <w:t>B.4. Conclusión</w:t>
      </w:r>
    </w:p>
    <w:p w:rsidR="00E54423" w:rsidRPr="00755EBF" w:rsidRDefault="00E54423" w:rsidP="00E54423">
      <w:pPr>
        <w:pStyle w:val="Estilo1"/>
        <w:numPr>
          <w:ilvl w:val="0"/>
          <w:numId w:val="0"/>
        </w:numPr>
        <w:spacing w:after="0"/>
        <w:rPr>
          <w:iCs/>
          <w:highlight w:val="yellow"/>
          <w:u w:val="single"/>
        </w:rPr>
      </w:pPr>
    </w:p>
    <w:p w:rsidR="00E54423" w:rsidRPr="00F810F3" w:rsidRDefault="00E54423" w:rsidP="00E54423">
      <w:pPr>
        <w:pStyle w:val="Estilo1"/>
        <w:numPr>
          <w:ilvl w:val="0"/>
          <w:numId w:val="1"/>
        </w:numPr>
        <w:tabs>
          <w:tab w:val="num" w:pos="17202"/>
          <w:tab w:val="num" w:pos="18282"/>
        </w:tabs>
        <w:spacing w:after="0"/>
        <w:rPr>
          <w:iCs/>
        </w:rPr>
      </w:pPr>
      <w:r w:rsidRPr="00F810F3">
        <w:rPr>
          <w:iCs/>
        </w:rPr>
        <w:t>De acuerdo a lo determinado con anterioridad, este Tribunal considera que el Estado violó los derechos a la libertad personal y a las garantías judiciales, consag</w:t>
      </w:r>
      <w:r w:rsidR="00B70124">
        <w:rPr>
          <w:iCs/>
        </w:rPr>
        <w:t>rados en los artículos 7,</w:t>
      </w:r>
      <w:r w:rsidRPr="00F810F3">
        <w:rPr>
          <w:iCs/>
        </w:rPr>
        <w:t xml:space="preserve"> incisos 1, 2, 3, 4, 5 y 6; y 8, </w:t>
      </w:r>
      <w:r w:rsidR="00B70124" w:rsidRPr="00F810F3">
        <w:rPr>
          <w:iCs/>
        </w:rPr>
        <w:t>inciso 2</w:t>
      </w:r>
      <w:r w:rsidR="00B70124">
        <w:rPr>
          <w:iCs/>
        </w:rPr>
        <w:t xml:space="preserve">, </w:t>
      </w:r>
      <w:r w:rsidRPr="00F810F3">
        <w:rPr>
          <w:iCs/>
        </w:rPr>
        <w:t xml:space="preserve">en los apartados b) y c), en relación con el artículo 1.1. del tratado, en perjuicio de Luis Antonio Galindo Cárdenas. </w:t>
      </w:r>
    </w:p>
    <w:p w:rsidR="00756334" w:rsidRDefault="00756334" w:rsidP="0046046C">
      <w:pPr>
        <w:pStyle w:val="Estilo1"/>
        <w:numPr>
          <w:ilvl w:val="0"/>
          <w:numId w:val="0"/>
        </w:numPr>
        <w:spacing w:after="0"/>
        <w:rPr>
          <w:b/>
          <w:w w:val="95"/>
          <w:lang w:val="es-CL"/>
        </w:rPr>
      </w:pPr>
    </w:p>
    <w:p w:rsidR="00980F62" w:rsidRPr="00E54423" w:rsidRDefault="00980F62" w:rsidP="0046046C">
      <w:pPr>
        <w:pStyle w:val="Estilo1"/>
        <w:numPr>
          <w:ilvl w:val="0"/>
          <w:numId w:val="0"/>
        </w:numPr>
        <w:spacing w:after="0"/>
        <w:rPr>
          <w:b/>
          <w:iCs/>
          <w:u w:val="single"/>
        </w:rPr>
      </w:pPr>
    </w:p>
    <w:p w:rsidR="00006EF2" w:rsidRPr="00313708" w:rsidRDefault="004D461F" w:rsidP="00006EF2">
      <w:pPr>
        <w:pStyle w:val="Heading1"/>
      </w:pPr>
      <w:bookmarkStart w:id="289" w:name="_Toc415507406"/>
      <w:bookmarkStart w:id="290" w:name="_Toc418530491"/>
      <w:bookmarkStart w:id="291" w:name="_Toc420940019"/>
      <w:bookmarkStart w:id="292" w:name="_Toc420941750"/>
      <w:bookmarkStart w:id="293" w:name="_Toc430869803"/>
      <w:bookmarkStart w:id="294" w:name="_Toc438129722"/>
      <w:bookmarkStart w:id="295" w:name="_Toc415507416"/>
      <w:bookmarkStart w:id="296" w:name="_Toc418530502"/>
      <w:bookmarkStart w:id="297" w:name="_Toc420940030"/>
      <w:bookmarkStart w:id="298" w:name="_Toc420941761"/>
      <w:bookmarkStart w:id="299" w:name="_Toc424313497"/>
      <w:r>
        <w:t>VIII.2</w:t>
      </w:r>
      <w:bookmarkEnd w:id="289"/>
      <w:bookmarkEnd w:id="290"/>
      <w:bookmarkEnd w:id="291"/>
      <w:bookmarkEnd w:id="292"/>
      <w:bookmarkEnd w:id="293"/>
      <w:bookmarkEnd w:id="294"/>
      <w:r w:rsidR="00006EF2" w:rsidRPr="00313708">
        <w:t xml:space="preserve"> </w:t>
      </w:r>
    </w:p>
    <w:p w:rsidR="00006EF2" w:rsidRPr="00313708" w:rsidRDefault="00006EF2" w:rsidP="00006EF2">
      <w:pPr>
        <w:pStyle w:val="Heading1"/>
      </w:pPr>
      <w:bookmarkStart w:id="300" w:name="_Toc415503967"/>
      <w:bookmarkStart w:id="301" w:name="_Toc415507407"/>
      <w:bookmarkStart w:id="302" w:name="_Toc418530492"/>
      <w:bookmarkStart w:id="303" w:name="_Toc420940020"/>
      <w:bookmarkStart w:id="304" w:name="_Toc420941751"/>
      <w:bookmarkStart w:id="305" w:name="_Toc430869804"/>
      <w:bookmarkStart w:id="306" w:name="_Toc438129723"/>
      <w:r w:rsidRPr="00313708">
        <w:t>DERECHO A LA INTEGRIDAD PERSONAL EN RELACIÓN CON</w:t>
      </w:r>
      <w:bookmarkEnd w:id="300"/>
      <w:bookmarkEnd w:id="301"/>
      <w:bookmarkEnd w:id="302"/>
      <w:bookmarkEnd w:id="303"/>
      <w:bookmarkEnd w:id="304"/>
      <w:bookmarkEnd w:id="305"/>
      <w:bookmarkEnd w:id="306"/>
      <w:r w:rsidRPr="00313708">
        <w:t xml:space="preserve"> </w:t>
      </w:r>
    </w:p>
    <w:p w:rsidR="00006EF2" w:rsidRPr="00313708" w:rsidRDefault="00006EF2" w:rsidP="00006EF2">
      <w:pPr>
        <w:pStyle w:val="Heading1"/>
      </w:pPr>
      <w:bookmarkStart w:id="307" w:name="_Toc415503968"/>
      <w:bookmarkStart w:id="308" w:name="_Toc415507408"/>
      <w:bookmarkStart w:id="309" w:name="_Toc418530493"/>
      <w:bookmarkStart w:id="310" w:name="_Toc420941752"/>
      <w:bookmarkStart w:id="311" w:name="_Toc430869805"/>
      <w:bookmarkStart w:id="312" w:name="_Toc438129724"/>
      <w:r w:rsidRPr="00313708">
        <w:t>LA OBLIGACIÓN DE RESPETAR LOS DERECHOS</w:t>
      </w:r>
      <w:bookmarkEnd w:id="307"/>
      <w:bookmarkEnd w:id="308"/>
      <w:bookmarkEnd w:id="309"/>
      <w:bookmarkEnd w:id="310"/>
      <w:bookmarkEnd w:id="311"/>
      <w:bookmarkEnd w:id="312"/>
    </w:p>
    <w:p w:rsidR="00272138" w:rsidRDefault="00272138" w:rsidP="00006EF2">
      <w:pPr>
        <w:pStyle w:val="Estilo1"/>
        <w:numPr>
          <w:ilvl w:val="0"/>
          <w:numId w:val="0"/>
        </w:numPr>
        <w:spacing w:after="0"/>
        <w:rPr>
          <w:lang w:val="es-CR"/>
        </w:rPr>
      </w:pPr>
    </w:p>
    <w:p w:rsidR="007F6493" w:rsidRDefault="00FF510E" w:rsidP="00E207A2">
      <w:pPr>
        <w:pStyle w:val="Estilo1"/>
        <w:spacing w:after="0"/>
        <w:rPr>
          <w:lang w:val="es-CR"/>
        </w:rPr>
      </w:pPr>
      <w:bookmarkStart w:id="313" w:name="_Toc430869812"/>
      <w:r w:rsidRPr="00FF510E">
        <w:rPr>
          <w:lang w:val="es-CR"/>
        </w:rPr>
        <w:t>El</w:t>
      </w:r>
      <w:r w:rsidR="00C428DA" w:rsidRPr="00FF510E">
        <w:rPr>
          <w:lang w:val="es-CR"/>
        </w:rPr>
        <w:t xml:space="preserve"> presente</w:t>
      </w:r>
      <w:r w:rsidR="00C428DA" w:rsidRPr="00C428DA">
        <w:rPr>
          <w:lang w:val="es-CR"/>
        </w:rPr>
        <w:t xml:space="preserve"> capítulo la Corte analizará la alegada violación al derecho a la integridad personal</w:t>
      </w:r>
      <w:r w:rsidR="00C428DA" w:rsidRPr="00C428DA">
        <w:rPr>
          <w:vertAlign w:val="superscript"/>
          <w:lang w:val="es-CR"/>
        </w:rPr>
        <w:footnoteReference w:id="216"/>
      </w:r>
      <w:r w:rsidR="00C428DA" w:rsidRPr="00C428DA">
        <w:rPr>
          <w:lang w:val="es-CR"/>
        </w:rPr>
        <w:t>, en relación con la obligación de respetar los derechos</w:t>
      </w:r>
      <w:r w:rsidR="00C428DA" w:rsidRPr="00C428DA">
        <w:rPr>
          <w:lang w:val="es-MX"/>
        </w:rPr>
        <w:t xml:space="preserve">, en perjuicio del señor Luis Antonio Galindo Cárdenas, así como de Irma Díaz de Galindo, su esposa, y Luis </w:t>
      </w:r>
      <w:proofErr w:type="spellStart"/>
      <w:r w:rsidR="00C428DA" w:rsidRPr="00C428DA">
        <w:rPr>
          <w:lang w:val="es-MX"/>
        </w:rPr>
        <w:t>Idelso</w:t>
      </w:r>
      <w:proofErr w:type="spellEnd"/>
      <w:r w:rsidR="00C428DA" w:rsidRPr="00C428DA">
        <w:rPr>
          <w:lang w:val="es-MX"/>
        </w:rPr>
        <w:t xml:space="preserve"> Galindo Díaz, su hijo</w:t>
      </w:r>
      <w:r w:rsidR="00C428DA" w:rsidRPr="00C428DA">
        <w:rPr>
          <w:vertAlign w:val="superscript"/>
          <w:lang w:val="es-MX"/>
        </w:rPr>
        <w:footnoteReference w:id="217"/>
      </w:r>
      <w:r w:rsidR="00C428DA" w:rsidRPr="00C428DA">
        <w:rPr>
          <w:lang w:val="es-MX"/>
        </w:rPr>
        <w:t>, tal como fue alegado por la Comisión y el representante.</w:t>
      </w:r>
    </w:p>
    <w:p w:rsidR="00C428DA" w:rsidRPr="00C428DA" w:rsidRDefault="00C428DA" w:rsidP="00C428DA">
      <w:pPr>
        <w:ind w:right="29"/>
        <w:rPr>
          <w:rFonts w:eastAsia="Times New Roman" w:cstheme="minorBidi"/>
          <w:szCs w:val="20"/>
          <w:lang w:val="es-MX"/>
        </w:rPr>
      </w:pPr>
    </w:p>
    <w:p w:rsidR="00C428DA" w:rsidRPr="00C428DA" w:rsidRDefault="00C428DA" w:rsidP="00C428DA">
      <w:pPr>
        <w:numPr>
          <w:ilvl w:val="0"/>
          <w:numId w:val="8"/>
        </w:numPr>
        <w:ind w:left="567" w:right="29" w:firstLine="0"/>
        <w:contextualSpacing/>
        <w:jc w:val="left"/>
        <w:outlineLvl w:val="1"/>
        <w:rPr>
          <w:rFonts w:eastAsia="Times New Roman" w:cstheme="minorBidi"/>
          <w:b/>
          <w:i/>
          <w:szCs w:val="20"/>
          <w:lang w:val="es-MX"/>
        </w:rPr>
      </w:pPr>
      <w:bookmarkStart w:id="314" w:name="_Toc400725045"/>
      <w:bookmarkStart w:id="315" w:name="_Toc415503970"/>
      <w:bookmarkStart w:id="316" w:name="_Toc415507410"/>
      <w:bookmarkStart w:id="317" w:name="_Toc418530496"/>
      <w:bookmarkStart w:id="318" w:name="_Toc420941755"/>
      <w:bookmarkStart w:id="319" w:name="_Toc430869806"/>
      <w:bookmarkStart w:id="320" w:name="_Toc438129725"/>
      <w:r w:rsidRPr="00C428DA">
        <w:rPr>
          <w:rFonts w:eastAsia="Times New Roman" w:cstheme="minorBidi"/>
          <w:b/>
          <w:i/>
          <w:szCs w:val="20"/>
          <w:lang w:val="es-MX"/>
        </w:rPr>
        <w:t>Alegatos de la Comisión y de las partes</w:t>
      </w:r>
      <w:bookmarkEnd w:id="314"/>
      <w:bookmarkEnd w:id="315"/>
      <w:bookmarkEnd w:id="316"/>
      <w:bookmarkEnd w:id="317"/>
      <w:bookmarkEnd w:id="318"/>
      <w:bookmarkEnd w:id="319"/>
      <w:bookmarkEnd w:id="320"/>
    </w:p>
    <w:p w:rsidR="00C428DA" w:rsidRPr="00C428DA" w:rsidRDefault="00C428DA" w:rsidP="00C428DA">
      <w:pPr>
        <w:jc w:val="left"/>
        <w:rPr>
          <w:lang w:val="es-MX"/>
        </w:rPr>
      </w:pPr>
    </w:p>
    <w:p w:rsidR="00C428DA" w:rsidRPr="00C428DA" w:rsidRDefault="00C428DA" w:rsidP="00C729D3">
      <w:pPr>
        <w:keepNext/>
        <w:ind w:left="851" w:firstLine="3"/>
        <w:outlineLvl w:val="2"/>
        <w:rPr>
          <w:rFonts w:eastAsia="Times New Roman"/>
          <w:bCs/>
          <w:i/>
          <w:color w:val="000000" w:themeColor="text1"/>
          <w:szCs w:val="20"/>
          <w:lang w:val="es-MX"/>
        </w:rPr>
      </w:pPr>
      <w:bookmarkStart w:id="321" w:name="_Toc415507411"/>
      <w:bookmarkStart w:id="322" w:name="_Toc418530497"/>
      <w:bookmarkStart w:id="323" w:name="_Toc420941756"/>
      <w:bookmarkStart w:id="324" w:name="_Toc430869807"/>
      <w:bookmarkStart w:id="325" w:name="_Toc438129726"/>
      <w:r w:rsidRPr="00C428DA">
        <w:rPr>
          <w:rFonts w:eastAsia="Times New Roman"/>
          <w:bCs/>
          <w:i/>
          <w:color w:val="000000" w:themeColor="text1"/>
          <w:szCs w:val="20"/>
          <w:lang w:val="es-MX"/>
        </w:rPr>
        <w:t>A.1. Respecto al señor Galindo Cárdenas</w:t>
      </w:r>
      <w:bookmarkEnd w:id="321"/>
      <w:bookmarkEnd w:id="322"/>
      <w:bookmarkEnd w:id="323"/>
      <w:bookmarkEnd w:id="324"/>
      <w:bookmarkEnd w:id="325"/>
    </w:p>
    <w:p w:rsidR="00C428DA" w:rsidRPr="00C428DA" w:rsidRDefault="00C428DA" w:rsidP="00C729D3">
      <w:pPr>
        <w:jc w:val="left"/>
        <w:rPr>
          <w:lang w:val="es-MX"/>
        </w:rPr>
      </w:pPr>
    </w:p>
    <w:p w:rsidR="00E437CC" w:rsidRDefault="00C428DA" w:rsidP="00C729D3">
      <w:pPr>
        <w:pStyle w:val="Estilo1"/>
        <w:spacing w:after="0"/>
      </w:pPr>
      <w:r w:rsidRPr="00C428DA">
        <w:rPr>
          <w:lang w:val="es-MX"/>
        </w:rPr>
        <w:t xml:space="preserve">La </w:t>
      </w:r>
      <w:proofErr w:type="spellStart"/>
      <w:r w:rsidRPr="00C428DA">
        <w:rPr>
          <w:b/>
          <w:i/>
          <w:lang w:val="es-MX"/>
        </w:rPr>
        <w:t>Comisi</w:t>
      </w:r>
      <w:r w:rsidRPr="00C428DA">
        <w:rPr>
          <w:b/>
          <w:i/>
          <w:lang w:val="es-CO"/>
        </w:rPr>
        <w:t>ón</w:t>
      </w:r>
      <w:proofErr w:type="spellEnd"/>
      <w:r w:rsidRPr="00C428DA">
        <w:rPr>
          <w:lang w:val="es-CO"/>
        </w:rPr>
        <w:t xml:space="preserve"> en su Informe de Fondo indicó que</w:t>
      </w:r>
      <w:r w:rsidRPr="00C428DA">
        <w:t xml:space="preserve"> el señor Galindo “estuvo privado de su libertad en régimen de incomunicación inicialmente, tal y como lo ha reconocido el Estado, aunque sin indicar durante qué plazo y, posteriormente, solamente pudo recibir tres visitas”.</w:t>
      </w:r>
      <w:r w:rsidRPr="00C428DA">
        <w:rPr>
          <w:b/>
          <w:sz w:val="16"/>
          <w:szCs w:val="16"/>
          <w:lang w:val="es-CR"/>
        </w:rPr>
        <w:t xml:space="preserve"> </w:t>
      </w:r>
      <w:r w:rsidRPr="00C428DA">
        <w:rPr>
          <w:lang w:val="es-CR"/>
        </w:rPr>
        <w:t>Agregó, que las Fuerzas Armadas no permitieron que el Presidente de la Corte Suprema Superior de Huánuco se comunicara con el señor Galindo y tampoco se le permitió conversar con tres congresistas que viajaron a Huánuco en dos ocasiones con ese propósito.</w:t>
      </w:r>
      <w:r w:rsidRPr="00C428DA">
        <w:rPr>
          <w:b/>
          <w:lang w:val="es-CR"/>
        </w:rPr>
        <w:t xml:space="preserve"> </w:t>
      </w:r>
      <w:r w:rsidRPr="00C428DA">
        <w:rPr>
          <w:b/>
          <w:sz w:val="16"/>
          <w:szCs w:val="16"/>
          <w:lang w:val="es-CR"/>
        </w:rPr>
        <w:t xml:space="preserve"> </w:t>
      </w:r>
      <w:r w:rsidRPr="00C428DA">
        <w:t xml:space="preserve">Además, se remitió a lo manifestado por el señor Galindo, quién expresó que durante su privación de libertad, </w:t>
      </w:r>
    </w:p>
    <w:p w:rsidR="00E437CC" w:rsidRDefault="00E437CC" w:rsidP="00E437CC">
      <w:pPr>
        <w:rPr>
          <w:szCs w:val="20"/>
        </w:rPr>
      </w:pPr>
    </w:p>
    <w:p w:rsidR="00E437CC" w:rsidRPr="00C428DA" w:rsidRDefault="00E437CC" w:rsidP="00E437CC">
      <w:pPr>
        <w:ind w:left="540" w:right="720"/>
        <w:rPr>
          <w:rFonts w:cstheme="minorBidi"/>
          <w:sz w:val="16"/>
          <w:szCs w:val="16"/>
          <w:lang w:val="es-CR"/>
        </w:rPr>
      </w:pPr>
      <w:r w:rsidRPr="00C428DA">
        <w:rPr>
          <w:rFonts w:cstheme="minorBidi"/>
          <w:sz w:val="16"/>
          <w:szCs w:val="16"/>
          <w:lang w:val="es-CR"/>
        </w:rPr>
        <w:t>sólo tuvo acceso a agua potable por 10 minutos cada mañana y 10 en la tarde; durante las noches se realizaron diligencia de amedrentamiento y ablandamiento como por ejemp</w:t>
      </w:r>
      <w:r w:rsidR="0068579A">
        <w:rPr>
          <w:rFonts w:cstheme="minorBidi"/>
          <w:sz w:val="16"/>
          <w:szCs w:val="16"/>
          <w:lang w:val="es-CR"/>
        </w:rPr>
        <w:t xml:space="preserve">lo ingresando en su celda </w:t>
      </w:r>
      <w:r w:rsidRPr="00C428DA">
        <w:rPr>
          <w:rFonts w:cstheme="minorBidi"/>
          <w:sz w:val="16"/>
          <w:szCs w:val="16"/>
          <w:lang w:val="es-CR"/>
        </w:rPr>
        <w:t xml:space="preserve">“una terrorista arrepentida encapuchada” para que lo sindicara como “abogado democrático”; y fue presionado psicológicamente por el Jefe Político Militar de Huánuco a fin de que se acogiera a la Ley de Arrepentimiento y sindicara como integrantes de Sendero Luminoso al Presidente de la Corte Superior de Justicia de Huánuco y a otros dos jueces, a lo cual se negó. </w:t>
      </w:r>
    </w:p>
    <w:p w:rsidR="00E437CC" w:rsidRDefault="00E437CC" w:rsidP="00E437CC">
      <w:pPr>
        <w:rPr>
          <w:szCs w:val="20"/>
        </w:rPr>
      </w:pPr>
    </w:p>
    <w:p w:rsidR="00E437CC" w:rsidRDefault="00C428DA" w:rsidP="00C729D3">
      <w:pPr>
        <w:pStyle w:val="Estilo1"/>
        <w:spacing w:after="0"/>
      </w:pPr>
      <w:r w:rsidRPr="00E437CC">
        <w:t xml:space="preserve">La Comisión también señaló que la detención del señor Galindo se realizó “con la intención de que se acogiera a la Ley de Arrepentimiento y en ese sentido anular [su] voluntad”. En consecuencia, la detención del señor Galindo en condiciones de incomunicación inicialmente, y de incertidumbre e irregularidad, en el contexto existente en dicha época habría provocado un sufrimiento y angustia para [él]”. Agregó que como lo expresó el señor Galindo “en el momento que se [le] sindicó […] públicamente como un terrorista arrepentido por el propio Presidente de la República, en violación de la legislación </w:t>
      </w:r>
      <w:r w:rsidRPr="00E437CC">
        <w:lastRenderedPageBreak/>
        <w:t xml:space="preserve">terrorista, se puso en peligro su integridad física y personal, se le expuso a vejaciones en diversas reparticiones públicas y se entorpeció la labor profesional como abogado”, y como consecuencia renunció del cargo de Vocal de la Corte Superior de Justicia de Huánuco Pasco. Por último, señaló que los funcionarios del Ministerio Público que intervinieron en la investigación a la que había sido sometido, le habían amenazado de que lo podían detener por los mismos hechos nuevamente. </w:t>
      </w:r>
      <w:r w:rsidRPr="00E437CC">
        <w:rPr>
          <w:lang w:val="es-MX"/>
        </w:rPr>
        <w:t>En consecuencia,</w:t>
      </w:r>
      <w:r w:rsidRPr="00E437CC">
        <w:t xml:space="preserve"> “atendiendo al conjunto de las circunstancias del caso y el contexto en que se produjeron los hechos […] el modo y las circunstancias en las que se produjo la privación de libertad del señor Galindo […] pueden ser calificados de tratos crueles, inhumanos o degradantes”, la Comisión consideró que el Estado violó en su perjuicio “el artículo 5.1 y 5.2 de la Convención Americana en conexión con los artículos 1.1 y 2 del</w:t>
      </w:r>
      <w:r w:rsidRPr="00E437CC">
        <w:rPr>
          <w:b/>
        </w:rPr>
        <w:t xml:space="preserve"> </w:t>
      </w:r>
      <w:r w:rsidRPr="00E437CC">
        <w:t>mismo instrumento”</w:t>
      </w:r>
      <w:r w:rsidR="00590205" w:rsidRPr="00E437CC">
        <w:t>.</w:t>
      </w:r>
    </w:p>
    <w:p w:rsidR="00E437CC" w:rsidRDefault="00E437CC" w:rsidP="00C729D3">
      <w:pPr>
        <w:rPr>
          <w:szCs w:val="20"/>
        </w:rPr>
      </w:pPr>
    </w:p>
    <w:p w:rsidR="00420D8F" w:rsidRDefault="00C428DA" w:rsidP="00C729D3">
      <w:pPr>
        <w:pStyle w:val="Estilo1"/>
        <w:spacing w:after="0"/>
      </w:pPr>
      <w:r w:rsidRPr="00C428DA">
        <w:t>El</w:t>
      </w:r>
      <w:r w:rsidRPr="00E437CC">
        <w:rPr>
          <w:lang w:val="es-MX"/>
        </w:rPr>
        <w:t xml:space="preserve"> </w:t>
      </w:r>
      <w:r w:rsidR="00BB4744" w:rsidRPr="00E437CC">
        <w:rPr>
          <w:b/>
          <w:i/>
          <w:lang w:val="es-MX"/>
        </w:rPr>
        <w:t>representante</w:t>
      </w:r>
      <w:r w:rsidRPr="00E437CC">
        <w:rPr>
          <w:i/>
          <w:lang w:val="es-MX"/>
        </w:rPr>
        <w:t xml:space="preserve"> </w:t>
      </w:r>
      <w:r w:rsidRPr="00E437CC">
        <w:rPr>
          <w:lang w:val="es-MX"/>
        </w:rPr>
        <w:t xml:space="preserve">se remitió a lo señalado por la Comisión en su escrito de sometimiento. </w:t>
      </w:r>
    </w:p>
    <w:p w:rsidR="00420D8F" w:rsidRDefault="00420D8F" w:rsidP="00C729D3">
      <w:pPr>
        <w:pStyle w:val="ListParagraph"/>
        <w:rPr>
          <w:szCs w:val="20"/>
          <w:lang w:val="es-MX"/>
        </w:rPr>
      </w:pPr>
    </w:p>
    <w:p w:rsidR="00420D8F" w:rsidRPr="00420D8F" w:rsidRDefault="00C428DA" w:rsidP="00C729D3">
      <w:pPr>
        <w:pStyle w:val="Estilo1"/>
        <w:spacing w:after="0"/>
      </w:pPr>
      <w:r w:rsidRPr="00420D8F">
        <w:rPr>
          <w:lang w:val="es-MX"/>
        </w:rPr>
        <w:t xml:space="preserve">Por su parte, el </w:t>
      </w:r>
      <w:r w:rsidRPr="006B30AF">
        <w:rPr>
          <w:b/>
          <w:i/>
          <w:lang w:val="es-MX"/>
        </w:rPr>
        <w:t>Estado</w:t>
      </w:r>
      <w:r w:rsidRPr="00420D8F">
        <w:rPr>
          <w:b/>
          <w:lang w:val="es-MX"/>
        </w:rPr>
        <w:t xml:space="preserve"> </w:t>
      </w:r>
      <w:r w:rsidRPr="00420D8F">
        <w:rPr>
          <w:lang w:val="es-MX"/>
        </w:rPr>
        <w:t xml:space="preserve">alegó </w:t>
      </w:r>
      <w:r w:rsidRPr="00420D8F">
        <w:rPr>
          <w:rFonts w:eastAsiaTheme="minorHAnsi"/>
        </w:rPr>
        <w:t>que la “incomunicación</w:t>
      </w:r>
      <w:r w:rsidRPr="00C428DA">
        <w:rPr>
          <w:rFonts w:eastAsiaTheme="minorHAnsi"/>
          <w:vertAlign w:val="superscript"/>
        </w:rPr>
        <w:footnoteReference w:id="218"/>
      </w:r>
      <w:r w:rsidRPr="00420D8F">
        <w:rPr>
          <w:rFonts w:eastAsiaTheme="minorHAnsi"/>
        </w:rPr>
        <w:t xml:space="preserve"> temporal del señor Galindo fue excepcional porque así lo requería la investigación de los hechos confesados”, y “el procedimiento de las investigaciones se realizaron conforme a la</w:t>
      </w:r>
      <w:r w:rsidRPr="00420D8F">
        <w:rPr>
          <w:rFonts w:eastAsiaTheme="minorHAnsi"/>
          <w:b/>
        </w:rPr>
        <w:t xml:space="preserve"> </w:t>
      </w:r>
      <w:r w:rsidRPr="00420D8F">
        <w:rPr>
          <w:rFonts w:eastAsiaTheme="minorHAnsi"/>
        </w:rPr>
        <w:t>normativa vigente a la época”</w:t>
      </w:r>
      <w:r w:rsidRPr="00C428DA">
        <w:rPr>
          <w:rFonts w:eastAsiaTheme="minorHAnsi"/>
          <w:vertAlign w:val="superscript"/>
        </w:rPr>
        <w:footnoteReference w:id="219"/>
      </w:r>
      <w:r w:rsidRPr="00420D8F">
        <w:rPr>
          <w:rFonts w:eastAsiaTheme="minorHAnsi"/>
        </w:rPr>
        <w:t>.</w:t>
      </w:r>
      <w:r w:rsidRPr="00420D8F">
        <w:rPr>
          <w:b/>
          <w:lang w:val="es-CR"/>
        </w:rPr>
        <w:t xml:space="preserve"> </w:t>
      </w:r>
      <w:r w:rsidRPr="00420D8F">
        <w:rPr>
          <w:rFonts w:eastAsiaTheme="minorHAnsi"/>
        </w:rPr>
        <w:t>Agregó que, “la privación de libertad del señor Galindo Cárdenas no</w:t>
      </w:r>
      <w:r w:rsidRPr="00420D8F">
        <w:rPr>
          <w:rFonts w:eastAsiaTheme="minorHAnsi"/>
          <w:b/>
        </w:rPr>
        <w:t xml:space="preserve"> </w:t>
      </w:r>
      <w:r w:rsidRPr="00420D8F">
        <w:rPr>
          <w:rFonts w:eastAsiaTheme="minorHAnsi"/>
        </w:rPr>
        <w:t xml:space="preserve">fue una acción deliberada con la intención de someterlo a sufrimientos físicos o psicológicos, sino que correspondió a hechos inherentes a la aplicación de medidas legales para la verificación del arrepentimiento a fin de otorgarle los beneficios del mismo, lo cual devino en una privación de su libertad a fin de investigar su participación o los de las personas mencionadas en los hechos declarados </w:t>
      </w:r>
      <w:r w:rsidRPr="00420D8F">
        <w:rPr>
          <w:rFonts w:eastAsiaTheme="minorHAnsi" w:cs="Arial"/>
        </w:rPr>
        <w:t xml:space="preserve">y </w:t>
      </w:r>
      <w:r w:rsidRPr="00420D8F">
        <w:rPr>
          <w:rFonts w:eastAsiaTheme="minorHAnsi"/>
        </w:rPr>
        <w:t xml:space="preserve">asimismo, brindarle seguridad a su vida e integridad personal”. </w:t>
      </w:r>
      <w:r w:rsidR="00762FEA" w:rsidRPr="00420D8F">
        <w:rPr>
          <w:rFonts w:eastAsiaTheme="minorHAnsi"/>
        </w:rPr>
        <w:t>Añadió</w:t>
      </w:r>
      <w:r w:rsidRPr="00420D8F">
        <w:rPr>
          <w:rFonts w:eastAsiaTheme="minorHAnsi"/>
        </w:rPr>
        <w:t xml:space="preserve"> que durante el período de detención y mientras estuvo bajo custodia de las autoridades del Estado,</w:t>
      </w:r>
      <w:r w:rsidR="0068579A">
        <w:rPr>
          <w:rFonts w:eastAsiaTheme="minorHAnsi"/>
        </w:rPr>
        <w:t xml:space="preserve"> “</w:t>
      </w:r>
      <w:r w:rsidRPr="00420D8F">
        <w:rPr>
          <w:rFonts w:eastAsiaTheme="minorHAnsi"/>
        </w:rPr>
        <w:t>en ningún momento el señor Galindo fue sometido a situaciones de violencia física o psicológica, ni a actos intencionales que tuvieran la fina</w:t>
      </w:r>
      <w:r w:rsidR="0068579A">
        <w:rPr>
          <w:rFonts w:eastAsiaTheme="minorHAnsi"/>
        </w:rPr>
        <w:t>lidad de ocasionarle algún daño”</w:t>
      </w:r>
      <w:r w:rsidRPr="00420D8F">
        <w:rPr>
          <w:rFonts w:eastAsiaTheme="minorHAnsi"/>
        </w:rPr>
        <w:t>. El Estado rechazó que el señor Galindo fuera sometido a actos constitutivos de tortura, así como los supuestos maltratos psicológicos a los cuales se refiere el [señor Galindo], los mismos no se han demostrado hasta la fecha, y continúan sin verificación por parte de funcionarios especializados del Instituto de Medicina Legal debido a [su] inconcurrencia”</w:t>
      </w:r>
      <w:r w:rsidR="0068579A">
        <w:rPr>
          <w:rFonts w:eastAsiaTheme="minorHAnsi"/>
        </w:rPr>
        <w:t>.</w:t>
      </w:r>
      <w:r w:rsidRPr="00420D8F">
        <w:rPr>
          <w:rFonts w:eastAsiaTheme="minorHAnsi"/>
        </w:rPr>
        <w:t xml:space="preserve"> El Estado consideró que “según la fase de la investigación de los hechos en que se encuentra el Ministerio Público, más bien demuestra que no se acredita que el señor Luis Alberto Galindo Cárdenas haya sufrido maltrato psicológico”</w:t>
      </w:r>
      <w:r w:rsidRPr="00C428DA">
        <w:rPr>
          <w:rFonts w:eastAsiaTheme="minorHAnsi"/>
          <w:vertAlign w:val="superscript"/>
        </w:rPr>
        <w:footnoteReference w:id="220"/>
      </w:r>
      <w:r w:rsidRPr="00420D8F">
        <w:rPr>
          <w:rFonts w:eastAsiaTheme="minorHAnsi"/>
        </w:rPr>
        <w:t xml:space="preserve">. </w:t>
      </w:r>
    </w:p>
    <w:p w:rsidR="00420D8F" w:rsidRDefault="00420D8F" w:rsidP="00420D8F">
      <w:pPr>
        <w:rPr>
          <w:szCs w:val="20"/>
        </w:rPr>
      </w:pPr>
    </w:p>
    <w:p w:rsidR="00420D8F" w:rsidRDefault="00C428DA" w:rsidP="00C729D3">
      <w:pPr>
        <w:pStyle w:val="Estilo1"/>
        <w:spacing w:after="0"/>
      </w:pPr>
      <w:r w:rsidRPr="00420D8F">
        <w:rPr>
          <w:rFonts w:eastAsiaTheme="minorHAnsi"/>
        </w:rPr>
        <w:t xml:space="preserve">Perú concluyó que “los hechos del caso no contienen los elementos necesarios para ser calificados como tratos crueles, inhumanos o degradantes, y menos aún actos de tortura, conforme lo establece el </w:t>
      </w:r>
      <w:r w:rsidRPr="00420D8F">
        <w:rPr>
          <w:rFonts w:eastAsiaTheme="minorHAnsi"/>
          <w:bCs/>
        </w:rPr>
        <w:t>artículo 5 de la Convención […], en concordancia con el artículo 1.1 del mismo instrumento”.</w:t>
      </w:r>
    </w:p>
    <w:p w:rsidR="00420D8F" w:rsidRPr="00C428DA" w:rsidRDefault="00420D8F" w:rsidP="00C729D3">
      <w:pPr>
        <w:tabs>
          <w:tab w:val="left" w:pos="567"/>
          <w:tab w:val="left" w:pos="1134"/>
        </w:tabs>
        <w:rPr>
          <w:szCs w:val="20"/>
          <w:lang w:val="es-MX"/>
        </w:rPr>
      </w:pPr>
    </w:p>
    <w:p w:rsidR="00420D8F" w:rsidRPr="00C428DA" w:rsidRDefault="00420D8F" w:rsidP="00C729D3">
      <w:pPr>
        <w:tabs>
          <w:tab w:val="left" w:pos="567"/>
          <w:tab w:val="left" w:pos="1134"/>
        </w:tabs>
        <w:ind w:left="851"/>
        <w:outlineLvl w:val="2"/>
        <w:rPr>
          <w:i/>
          <w:szCs w:val="20"/>
          <w:lang w:val="es-MX"/>
        </w:rPr>
      </w:pPr>
      <w:r w:rsidRPr="00C428DA">
        <w:rPr>
          <w:i/>
          <w:szCs w:val="20"/>
          <w:lang w:val="es-MX"/>
        </w:rPr>
        <w:tab/>
      </w:r>
      <w:bookmarkStart w:id="326" w:name="_Toc415507412"/>
      <w:bookmarkStart w:id="327" w:name="_Toc418530498"/>
      <w:bookmarkStart w:id="328" w:name="_Toc420941757"/>
      <w:bookmarkStart w:id="329" w:name="_Toc430869808"/>
      <w:bookmarkStart w:id="330" w:name="_Toc438129727"/>
      <w:r w:rsidRPr="00C428DA">
        <w:rPr>
          <w:i/>
          <w:szCs w:val="20"/>
          <w:lang w:val="es-MX"/>
        </w:rPr>
        <w:t>A.2. Respecto a los familiares del señor Galindo Cárdenas</w:t>
      </w:r>
      <w:bookmarkEnd w:id="326"/>
      <w:bookmarkEnd w:id="327"/>
      <w:bookmarkEnd w:id="328"/>
      <w:bookmarkEnd w:id="329"/>
      <w:bookmarkEnd w:id="330"/>
    </w:p>
    <w:p w:rsidR="00420D8F" w:rsidRDefault="00420D8F" w:rsidP="00420D8F">
      <w:pPr>
        <w:pStyle w:val="ListParagraph"/>
        <w:rPr>
          <w:szCs w:val="20"/>
          <w:lang w:val="es-MX"/>
        </w:rPr>
      </w:pPr>
    </w:p>
    <w:p w:rsidR="00420D8F" w:rsidRDefault="00C428DA" w:rsidP="00C729D3">
      <w:pPr>
        <w:pStyle w:val="Estilo1"/>
        <w:spacing w:after="0"/>
      </w:pPr>
      <w:r w:rsidRPr="00420D8F">
        <w:rPr>
          <w:lang w:val="es-MX"/>
        </w:rPr>
        <w:lastRenderedPageBreak/>
        <w:t>La</w:t>
      </w:r>
      <w:r w:rsidRPr="00420D8F">
        <w:rPr>
          <w:b/>
          <w:lang w:val="es-MX"/>
        </w:rPr>
        <w:t xml:space="preserve"> </w:t>
      </w:r>
      <w:r w:rsidRPr="00420D8F">
        <w:rPr>
          <w:b/>
          <w:i/>
          <w:lang w:val="es-MX"/>
        </w:rPr>
        <w:t>Comisión</w:t>
      </w:r>
      <w:r w:rsidRPr="00420D8F">
        <w:rPr>
          <w:lang w:val="es-MX"/>
        </w:rPr>
        <w:t xml:space="preserve"> </w:t>
      </w:r>
      <w:r w:rsidRPr="00420D8F">
        <w:rPr>
          <w:lang w:val="es-CR"/>
        </w:rPr>
        <w:t>dio por probado, conforme a los informes psicológicos presentados, que como consecuencia de lo sucedido al señor Galindo, su esposa e hijo sufrieron “neurosis depresiva y neurosis depresiva infantil”, respectivamente, y tuvieron que “recibir ayu</w:t>
      </w:r>
      <w:r w:rsidR="00590205" w:rsidRPr="00420D8F">
        <w:rPr>
          <w:lang w:val="es-CR"/>
        </w:rPr>
        <w:t>da psicológica y farmacológica”.</w:t>
      </w:r>
      <w:r w:rsidRPr="00420D8F">
        <w:t xml:space="preserve"> Agregó que el Estado “tenía la obligación de garantizar el derecho a la integridad personal de los familiares también por la vía de las investigaciones efectivas, la ausencia de recursos efectivos </w:t>
      </w:r>
      <w:proofErr w:type="spellStart"/>
      <w:r w:rsidRPr="00420D8F">
        <w:t>constituy</w:t>
      </w:r>
      <w:proofErr w:type="spellEnd"/>
      <w:r w:rsidRPr="00420D8F">
        <w:t>[</w:t>
      </w:r>
      <w:proofErr w:type="spellStart"/>
      <w:r w:rsidRPr="00420D8F">
        <w:t>ó</w:t>
      </w:r>
      <w:proofErr w:type="spellEnd"/>
      <w:r w:rsidRPr="00420D8F">
        <w:t xml:space="preserve">] fuente de sufrimiento y angustia adicionales”, a las presuntas víctimas, "una de las cuales era un niño al momento de los hechos". Por lo expuesto, consideró que el Estado violó el artículo 5 de la Convención, en relación con el artículo 1.1, en perjuicio de la esposa y el hijo del señor Galindo. </w:t>
      </w:r>
    </w:p>
    <w:p w:rsidR="00420D8F" w:rsidRDefault="00420D8F" w:rsidP="00C729D3">
      <w:pPr>
        <w:rPr>
          <w:szCs w:val="20"/>
        </w:rPr>
      </w:pPr>
    </w:p>
    <w:p w:rsidR="00420D8F" w:rsidRDefault="00C428DA" w:rsidP="00C729D3">
      <w:pPr>
        <w:pStyle w:val="Estilo1"/>
        <w:spacing w:after="0"/>
      </w:pPr>
      <w:r w:rsidRPr="00420D8F">
        <w:t xml:space="preserve">El </w:t>
      </w:r>
      <w:r w:rsidRPr="00420D8F">
        <w:rPr>
          <w:b/>
          <w:i/>
        </w:rPr>
        <w:t>representante</w:t>
      </w:r>
      <w:r w:rsidRPr="00420D8F">
        <w:t xml:space="preserve"> se remitió a lo alegado por la Comisión.</w:t>
      </w:r>
    </w:p>
    <w:p w:rsidR="00420D8F" w:rsidRDefault="00420D8F" w:rsidP="00C729D3">
      <w:pPr>
        <w:pStyle w:val="ListParagraph"/>
        <w:rPr>
          <w:szCs w:val="20"/>
          <w:lang w:val="es-MX"/>
        </w:rPr>
      </w:pPr>
    </w:p>
    <w:p w:rsidR="00420D8F" w:rsidRDefault="00C428DA" w:rsidP="00C729D3">
      <w:pPr>
        <w:pStyle w:val="Estilo1"/>
        <w:spacing w:after="0"/>
      </w:pPr>
      <w:r w:rsidRPr="00420D8F">
        <w:rPr>
          <w:lang w:val="es-MX"/>
        </w:rPr>
        <w:t xml:space="preserve">El </w:t>
      </w:r>
      <w:r w:rsidRPr="00420D8F">
        <w:rPr>
          <w:b/>
          <w:i/>
          <w:lang w:val="es-MX"/>
        </w:rPr>
        <w:t>Estado</w:t>
      </w:r>
      <w:r w:rsidRPr="00420D8F">
        <w:rPr>
          <w:lang w:val="es-MX"/>
        </w:rPr>
        <w:t xml:space="preserve"> rechazó la alegada violación del artículo 5 de la Convención, en perjuicio de la señora </w:t>
      </w:r>
      <w:r w:rsidRPr="00420D8F">
        <w:rPr>
          <w:lang w:val="es-CR"/>
        </w:rPr>
        <w:t xml:space="preserve">Irma Díaz de Galindo y su hijo. </w:t>
      </w:r>
      <w:r w:rsidRPr="00420D8F">
        <w:rPr>
          <w:rFonts w:eastAsiaTheme="minorHAnsi"/>
        </w:rPr>
        <w:t xml:space="preserve"> Adujo que </w:t>
      </w:r>
      <w:r w:rsidR="00762FEA" w:rsidRPr="00420D8F">
        <w:rPr>
          <w:rFonts w:eastAsiaTheme="minorHAnsi"/>
        </w:rPr>
        <w:t>“</w:t>
      </w:r>
      <w:r w:rsidRPr="00420D8F">
        <w:rPr>
          <w:rFonts w:eastAsiaTheme="minorHAnsi"/>
        </w:rPr>
        <w:t>la situación emocional descrita no se encuentra vinculada de manera directa con los hechos ocurridos a la presunta víctima en 1994, pues se tratan de frustraciones que tienen un origen posterior a la fecha de los hechos que originaron la presentación de la petición ante la [Comisión]”. El Estado concluyó que “no es responsable por la violación del derecho a la integridad personal […] de los familiares del señor Galindo Cárdenas”.</w:t>
      </w:r>
    </w:p>
    <w:p w:rsidR="00420D8F" w:rsidRPr="00C428DA" w:rsidRDefault="00420D8F" w:rsidP="00420D8F">
      <w:pPr>
        <w:tabs>
          <w:tab w:val="left" w:pos="567"/>
          <w:tab w:val="left" w:pos="1134"/>
        </w:tabs>
        <w:outlineLvl w:val="1"/>
        <w:rPr>
          <w:szCs w:val="20"/>
          <w:lang w:val="es-MX"/>
        </w:rPr>
      </w:pPr>
    </w:p>
    <w:p w:rsidR="00420D8F" w:rsidRPr="00C428DA" w:rsidRDefault="00420D8F" w:rsidP="00420D8F">
      <w:pPr>
        <w:ind w:left="567" w:right="29"/>
        <w:contextualSpacing/>
        <w:jc w:val="left"/>
        <w:outlineLvl w:val="1"/>
        <w:rPr>
          <w:rFonts w:eastAsia="Times New Roman" w:cstheme="minorBidi"/>
          <w:b/>
          <w:i/>
          <w:szCs w:val="20"/>
          <w:lang w:val="es-CR"/>
        </w:rPr>
      </w:pPr>
      <w:bookmarkStart w:id="331" w:name="_Toc400725046"/>
      <w:bookmarkStart w:id="332" w:name="_Toc415503971"/>
      <w:bookmarkStart w:id="333" w:name="_Toc415507413"/>
      <w:bookmarkStart w:id="334" w:name="_Toc418530499"/>
      <w:bookmarkStart w:id="335" w:name="_Toc420941758"/>
      <w:bookmarkStart w:id="336" w:name="_Toc430869809"/>
      <w:bookmarkStart w:id="337" w:name="_Toc438129728"/>
      <w:r>
        <w:rPr>
          <w:rFonts w:eastAsia="Times New Roman" w:cstheme="minorBidi"/>
          <w:b/>
          <w:i/>
          <w:szCs w:val="20"/>
          <w:lang w:val="es-CR"/>
        </w:rPr>
        <w:t>B)</w:t>
      </w:r>
      <w:r>
        <w:rPr>
          <w:rFonts w:eastAsia="Times New Roman" w:cstheme="minorBidi"/>
          <w:b/>
          <w:i/>
          <w:szCs w:val="20"/>
          <w:lang w:val="es-CR"/>
        </w:rPr>
        <w:tab/>
      </w:r>
      <w:r w:rsidRPr="00C428DA">
        <w:rPr>
          <w:rFonts w:eastAsia="Times New Roman" w:cstheme="minorBidi"/>
          <w:b/>
          <w:i/>
          <w:szCs w:val="20"/>
          <w:lang w:val="es-CR"/>
        </w:rPr>
        <w:t>Consideraciones de la Corte</w:t>
      </w:r>
      <w:bookmarkEnd w:id="331"/>
      <w:bookmarkEnd w:id="332"/>
      <w:bookmarkEnd w:id="333"/>
      <w:bookmarkEnd w:id="334"/>
      <w:bookmarkEnd w:id="335"/>
      <w:bookmarkEnd w:id="336"/>
      <w:bookmarkEnd w:id="337"/>
    </w:p>
    <w:p w:rsidR="00420D8F" w:rsidRDefault="00420D8F" w:rsidP="00420D8F">
      <w:pPr>
        <w:pStyle w:val="ListParagraph"/>
        <w:rPr>
          <w:szCs w:val="20"/>
        </w:rPr>
      </w:pPr>
    </w:p>
    <w:p w:rsidR="00420D8F" w:rsidRDefault="00C428DA" w:rsidP="00347658">
      <w:pPr>
        <w:pStyle w:val="Estilo1"/>
      </w:pPr>
      <w:r w:rsidRPr="00420D8F">
        <w:t>El artículo 5.1 de la Convención consagra en términos generales el derecho a la integridad personal, tanto física y psíquica como moral. Por su parte, el artículo 5.2 establece, de manera más específica, la prohibición absoluta de someter a alguien a torturas o a penas o tratos crueles, inhumanos o degradantes, así como el derecho de toda persona privada de libertad a ser tratada con el respeto debido a la dignidad inherente al ser humano</w:t>
      </w:r>
      <w:r w:rsidRPr="00C428DA">
        <w:rPr>
          <w:vertAlign w:val="superscript"/>
          <w:lang w:bidi="en-US"/>
        </w:rPr>
        <w:footnoteReference w:id="221"/>
      </w:r>
      <w:r w:rsidRPr="00420D8F">
        <w:t>. La Corte entiende que cualquier violación del artículo 5.2 de la Convención Americana acarreará necesariamente la violación del artículo 5.1 de la misma</w:t>
      </w:r>
      <w:r w:rsidRPr="00C428DA">
        <w:rPr>
          <w:vertAlign w:val="superscript"/>
          <w:lang w:bidi="en-US"/>
        </w:rPr>
        <w:footnoteReference w:id="222"/>
      </w:r>
      <w:r w:rsidRPr="00420D8F">
        <w:t>.</w:t>
      </w:r>
    </w:p>
    <w:p w:rsidR="00420D8F" w:rsidRDefault="00420D8F" w:rsidP="00420D8F">
      <w:pPr>
        <w:rPr>
          <w:szCs w:val="20"/>
        </w:rPr>
      </w:pPr>
    </w:p>
    <w:p w:rsidR="00420D8F" w:rsidRDefault="0011489C" w:rsidP="00C729D3">
      <w:pPr>
        <w:pStyle w:val="Estilo1"/>
        <w:spacing w:after="0"/>
      </w:pPr>
      <w:r w:rsidRPr="00420D8F">
        <w:t>L</w:t>
      </w:r>
      <w:r w:rsidR="00C428DA" w:rsidRPr="00420D8F">
        <w:t xml:space="preserve">a Comisión </w:t>
      </w:r>
      <w:r w:rsidRPr="00420D8F">
        <w:t xml:space="preserve">alegó que </w:t>
      </w:r>
      <w:r w:rsidR="00C428DA" w:rsidRPr="00420D8F">
        <w:t xml:space="preserve">este derecho fue vulnerado por el Estado por el modo y las circunstancias en las que se produjo la privación de libertad del señor Galindo, </w:t>
      </w:r>
      <w:r w:rsidR="003B0237" w:rsidRPr="00420D8F">
        <w:t>y adujo</w:t>
      </w:r>
      <w:r w:rsidRPr="00420D8F">
        <w:t xml:space="preserve"> </w:t>
      </w:r>
      <w:r w:rsidR="00C428DA" w:rsidRPr="00420D8F">
        <w:t xml:space="preserve">que pueden ser calificados de tratos crueles, inhumanos o degradantes. </w:t>
      </w:r>
      <w:r w:rsidR="003B0237" w:rsidRPr="00420D8F">
        <w:t>El representante en su escrito de solicitudes y argumentos adhirió a lo señalado por la Comisión</w:t>
      </w:r>
      <w:r w:rsidRPr="00420D8F">
        <w:rPr>
          <w:rStyle w:val="FootnoteReference"/>
        </w:rPr>
        <w:footnoteReference w:id="223"/>
      </w:r>
      <w:r w:rsidRPr="00420D8F">
        <w:t xml:space="preserve">. </w:t>
      </w:r>
    </w:p>
    <w:p w:rsidR="00420D8F" w:rsidRPr="00C428DA" w:rsidRDefault="00420D8F" w:rsidP="00C729D3">
      <w:pPr>
        <w:tabs>
          <w:tab w:val="left" w:pos="567"/>
          <w:tab w:val="left" w:pos="1134"/>
        </w:tabs>
        <w:rPr>
          <w:szCs w:val="20"/>
        </w:rPr>
      </w:pPr>
    </w:p>
    <w:p w:rsidR="00420D8F" w:rsidRPr="00C428DA" w:rsidRDefault="00420D8F" w:rsidP="00C729D3">
      <w:pPr>
        <w:tabs>
          <w:tab w:val="left" w:pos="1440"/>
        </w:tabs>
        <w:ind w:left="851"/>
        <w:outlineLvl w:val="2"/>
        <w:rPr>
          <w:i/>
          <w:szCs w:val="20"/>
        </w:rPr>
      </w:pPr>
      <w:bookmarkStart w:id="338" w:name="_Toc415507414"/>
      <w:bookmarkStart w:id="339" w:name="_Toc418530500"/>
      <w:bookmarkStart w:id="340" w:name="_Toc420941759"/>
      <w:bookmarkStart w:id="341" w:name="_Toc430869810"/>
      <w:bookmarkStart w:id="342" w:name="_Toc438129729"/>
      <w:r w:rsidRPr="00C428DA">
        <w:rPr>
          <w:i/>
          <w:szCs w:val="20"/>
        </w:rPr>
        <w:t>B.1.</w:t>
      </w:r>
      <w:r w:rsidRPr="00C428DA">
        <w:rPr>
          <w:i/>
          <w:szCs w:val="20"/>
        </w:rPr>
        <w:tab/>
        <w:t>La alegada vulneración del artículo 5 de la Convención en perjuicio del señor Galindo Cárdenas</w:t>
      </w:r>
      <w:bookmarkEnd w:id="338"/>
      <w:bookmarkEnd w:id="339"/>
      <w:bookmarkEnd w:id="340"/>
      <w:bookmarkEnd w:id="341"/>
      <w:bookmarkEnd w:id="342"/>
    </w:p>
    <w:p w:rsidR="00420D8F" w:rsidRDefault="00420D8F" w:rsidP="00C729D3">
      <w:pPr>
        <w:pStyle w:val="ListParagraph"/>
        <w:rPr>
          <w:szCs w:val="20"/>
        </w:rPr>
      </w:pPr>
    </w:p>
    <w:p w:rsidR="00420D8F" w:rsidRPr="00420D8F" w:rsidRDefault="00C428DA" w:rsidP="00C729D3">
      <w:pPr>
        <w:pStyle w:val="Estilo1"/>
        <w:spacing w:after="0"/>
      </w:pPr>
      <w:r w:rsidRPr="00420D8F">
        <w:t xml:space="preserve">De acuerdo a los hechos, la Corte nota que luego de que el señor Galindo Cárdenas fue detenido en el cuartel militar de </w:t>
      </w:r>
      <w:proofErr w:type="spellStart"/>
      <w:r w:rsidRPr="00420D8F">
        <w:t>Yanac</w:t>
      </w:r>
      <w:proofErr w:type="spellEnd"/>
      <w:r w:rsidRPr="00420D8F">
        <w:t xml:space="preserve">, (JECOTE) entre el 17 y el 21 de octubre de 1994 recibió la visita de su hermana María Luisa Galindo y/o de su esposa </w:t>
      </w:r>
      <w:r w:rsidRPr="00420D8F">
        <w:rPr>
          <w:lang w:val="es-MX"/>
        </w:rPr>
        <w:t xml:space="preserve">Irma Díaz de Galindo </w:t>
      </w:r>
      <w:r w:rsidRPr="00420D8F">
        <w:rPr>
          <w:lang w:val="es-MX"/>
        </w:rPr>
        <w:lastRenderedPageBreak/>
        <w:t>(</w:t>
      </w:r>
      <w:r w:rsidRPr="00420D8F">
        <w:rPr>
          <w:i/>
          <w:lang w:val="es-MX"/>
        </w:rPr>
        <w:t>supra</w:t>
      </w:r>
      <w:r w:rsidRPr="00420D8F">
        <w:rPr>
          <w:lang w:val="es-MX"/>
        </w:rPr>
        <w:t xml:space="preserve"> párr. 12</w:t>
      </w:r>
      <w:r w:rsidR="00AB4251">
        <w:rPr>
          <w:lang w:val="es-MX"/>
        </w:rPr>
        <w:t>7</w:t>
      </w:r>
      <w:r w:rsidRPr="00420D8F">
        <w:rPr>
          <w:lang w:val="es-MX"/>
        </w:rPr>
        <w:t>)</w:t>
      </w:r>
      <w:r w:rsidRPr="00420D8F">
        <w:t xml:space="preserve">, </w:t>
      </w:r>
      <w:r w:rsidRPr="00420D8F">
        <w:rPr>
          <w:lang w:val="es-CR"/>
        </w:rPr>
        <w:t>a quienes se les permitió “una visita diaria, que era al mediodía, por espacio de 20 a 30 minutos” y el suministro de alimentos al señor Galindo, ya que “[p]</w:t>
      </w:r>
      <w:proofErr w:type="spellStart"/>
      <w:r w:rsidRPr="00420D8F">
        <w:rPr>
          <w:szCs w:val="16"/>
          <w:lang w:val="es-CR"/>
        </w:rPr>
        <w:t>or</w:t>
      </w:r>
      <w:proofErr w:type="spellEnd"/>
      <w:r w:rsidRPr="00420D8F">
        <w:rPr>
          <w:szCs w:val="16"/>
          <w:lang w:val="es-CR"/>
        </w:rPr>
        <w:t xml:space="preserve"> razones de seguridad, por parte de él y […] de [ellas] declina[ron] los alimentos proporcionados por el Cuartel Militar, debido a que el Jefe del Cuartel Militar [… le] manifestó que [su] hermano debía desaparecer” (</w:t>
      </w:r>
      <w:r w:rsidRPr="00420D8F">
        <w:rPr>
          <w:i/>
          <w:szCs w:val="16"/>
          <w:lang w:val="es-CR"/>
        </w:rPr>
        <w:t>supra</w:t>
      </w:r>
      <w:r w:rsidRPr="00420D8F">
        <w:rPr>
          <w:szCs w:val="16"/>
          <w:lang w:val="es-CR"/>
        </w:rPr>
        <w:t xml:space="preserve"> nota a pie de página </w:t>
      </w:r>
      <w:r w:rsidR="00193DE9" w:rsidRPr="00420D8F">
        <w:rPr>
          <w:szCs w:val="16"/>
          <w:lang w:val="es-CR"/>
        </w:rPr>
        <w:t>10</w:t>
      </w:r>
      <w:r w:rsidR="00FC4706">
        <w:rPr>
          <w:szCs w:val="16"/>
          <w:lang w:val="es-CR"/>
        </w:rPr>
        <w:t>5</w:t>
      </w:r>
      <w:r w:rsidRPr="00420D8F">
        <w:rPr>
          <w:lang w:val="es-CR"/>
        </w:rPr>
        <w:t>). El señor Galindo fue visitado el 26 de octubre de 1994 por la Fiscal General de la Nación con la presencia del Fiscal Provincial de la Primera Fiscalía Provincial de Huánuco. En esa ocasión la Fiscal de la Nación le preguntó al señor Galindo si había sido víctima de maltrato o amenaza, a lo que él respondió que “maltrato físico no, pero sí psicológico, propio del encierro”. El 9 de noviembre de 1994 fue visitado por delegados del Comité Internacional de la Cruz Roja (</w:t>
      </w:r>
      <w:r w:rsidRPr="00420D8F">
        <w:rPr>
          <w:i/>
          <w:lang w:val="es-CR"/>
        </w:rPr>
        <w:t>supra</w:t>
      </w:r>
      <w:r w:rsidRPr="00420D8F">
        <w:rPr>
          <w:lang w:val="es-CR"/>
        </w:rPr>
        <w:t xml:space="preserve"> párr. 12</w:t>
      </w:r>
      <w:r w:rsidR="00AB4251">
        <w:rPr>
          <w:lang w:val="es-CR"/>
        </w:rPr>
        <w:t>7</w:t>
      </w:r>
      <w:r w:rsidRPr="00420D8F">
        <w:rPr>
          <w:lang w:val="es-CR"/>
        </w:rPr>
        <w:t>).</w:t>
      </w:r>
      <w:r w:rsidRPr="00420D8F" w:rsidDel="001847AC">
        <w:rPr>
          <w:b/>
          <w:lang w:val="es-CR"/>
        </w:rPr>
        <w:t xml:space="preserve"> </w:t>
      </w:r>
    </w:p>
    <w:p w:rsidR="00420D8F" w:rsidRDefault="00420D8F" w:rsidP="00420D8F">
      <w:pPr>
        <w:rPr>
          <w:szCs w:val="20"/>
        </w:rPr>
      </w:pPr>
    </w:p>
    <w:p w:rsidR="00420D8F" w:rsidRDefault="00C428DA" w:rsidP="00C729D3">
      <w:pPr>
        <w:pStyle w:val="Estilo1"/>
        <w:spacing w:after="0"/>
      </w:pPr>
      <w:r w:rsidRPr="00420D8F">
        <w:rPr>
          <w:lang w:val="es-CR"/>
        </w:rPr>
        <w:t>L</w:t>
      </w:r>
      <w:r w:rsidRPr="00420D8F">
        <w:t>a Corte ha determinado en varios casos</w:t>
      </w:r>
      <w:r w:rsidRPr="00C428DA">
        <w:rPr>
          <w:vertAlign w:val="superscript"/>
        </w:rPr>
        <w:footnoteReference w:id="224"/>
      </w:r>
      <w:r w:rsidRPr="00420D8F">
        <w:t xml:space="preserve"> que la incomunicación puede generar una situación de extremo sufrimiento psicológico y moral para el detenido. No obstante, de acuerdo a los hechos del presente caso, no hay evidencia de que la incomunicación inicial que habría sufrido el señor Galindo generase tal tipo de sufrimiento. Luego del referido período inicial las señoras </w:t>
      </w:r>
      <w:r w:rsidRPr="00420D8F">
        <w:rPr>
          <w:lang w:val="es-MX"/>
        </w:rPr>
        <w:t xml:space="preserve">Irma Díaz de Galindo y </w:t>
      </w:r>
      <w:r w:rsidRPr="00420D8F">
        <w:t xml:space="preserve">María Luisa Galindo, </w:t>
      </w:r>
      <w:r w:rsidRPr="00420D8F">
        <w:rPr>
          <w:lang w:val="es-MX"/>
        </w:rPr>
        <w:t xml:space="preserve">pudieron visitarlo todos los días y </w:t>
      </w:r>
      <w:r w:rsidRPr="00420D8F">
        <w:t xml:space="preserve">suministrarle los alimentos y las prendas de vestir necesarias durante su permanencia en dicho lugar, lo cual fue confirmado por el propio señor Galindo durante su declaración rendida ante la Corte. </w:t>
      </w:r>
    </w:p>
    <w:p w:rsidR="00420D8F" w:rsidRDefault="00420D8F" w:rsidP="00C729D3">
      <w:pPr>
        <w:pStyle w:val="ListParagraph"/>
        <w:rPr>
          <w:szCs w:val="20"/>
          <w:lang w:val="es-CR"/>
        </w:rPr>
      </w:pPr>
    </w:p>
    <w:p w:rsidR="00420D8F" w:rsidRDefault="00C428DA" w:rsidP="00C729D3">
      <w:pPr>
        <w:pStyle w:val="Estilo1"/>
        <w:spacing w:after="0"/>
      </w:pPr>
      <w:r w:rsidRPr="00420D8F">
        <w:rPr>
          <w:lang w:val="es-CR"/>
        </w:rPr>
        <w:t>En la audiencia pública el señor Galindo manifestó que el espacio que ocupó durante su permanencia en la JECOTE “probablemente tendría unos tres por cuatro metros, doce</w:t>
      </w:r>
      <w:r w:rsidR="0068579A">
        <w:rPr>
          <w:lang w:val="es-CR"/>
        </w:rPr>
        <w:t xml:space="preserve"> metros”, en el cual había "</w:t>
      </w:r>
      <w:r w:rsidRPr="00420D8F">
        <w:rPr>
          <w:lang w:val="es-CR"/>
        </w:rPr>
        <w:t xml:space="preserve">un ropero de madera viejo y un mueble viejo de escritorio y una cama de metal”. Agregó que en “el ambiente [en que se encontraba] tenía un baño y contiguo [a este] había otro ambiente [y había] una puerta que [permanecía] </w:t>
      </w:r>
      <w:proofErr w:type="gramStart"/>
      <w:r w:rsidRPr="00420D8F">
        <w:rPr>
          <w:lang w:val="es-CR"/>
        </w:rPr>
        <w:t>cerrada[</w:t>
      </w:r>
      <w:proofErr w:type="gramEnd"/>
      <w:r w:rsidRPr="00420D8F">
        <w:rPr>
          <w:lang w:val="es-CR"/>
        </w:rPr>
        <w:t>, p]</w:t>
      </w:r>
      <w:proofErr w:type="spellStart"/>
      <w:r w:rsidRPr="00420D8F">
        <w:rPr>
          <w:lang w:val="es-CR"/>
        </w:rPr>
        <w:t>orque</w:t>
      </w:r>
      <w:proofErr w:type="spellEnd"/>
      <w:r w:rsidRPr="00420D8F">
        <w:rPr>
          <w:lang w:val="es-CR"/>
        </w:rPr>
        <w:t xml:space="preserve"> la policía por razones de seguridad [los] mantenía incomunicados”. </w:t>
      </w:r>
      <w:r w:rsidRPr="00420D8F">
        <w:t xml:space="preserve">En consecuencia, de acuerdo a las circunstancias del presente caso, este Tribunal considera que el señor Galindo no se vio afectado en su integridad personal por las condiciones en que permaneció alojado en las instalaciones del cuartel militar de </w:t>
      </w:r>
      <w:proofErr w:type="spellStart"/>
      <w:r w:rsidRPr="00420D8F">
        <w:t>Yanac</w:t>
      </w:r>
      <w:proofErr w:type="spellEnd"/>
      <w:r w:rsidRPr="00420D8F">
        <w:t xml:space="preserve">. </w:t>
      </w:r>
    </w:p>
    <w:p w:rsidR="00420D8F" w:rsidRDefault="00420D8F" w:rsidP="00420D8F">
      <w:pPr>
        <w:pStyle w:val="ListParagraph"/>
        <w:rPr>
          <w:szCs w:val="20"/>
        </w:rPr>
      </w:pPr>
    </w:p>
    <w:p w:rsidR="00420D8F" w:rsidRDefault="00C428DA" w:rsidP="00C729D3">
      <w:pPr>
        <w:pStyle w:val="Estilo1"/>
        <w:spacing w:after="0"/>
      </w:pPr>
      <w:r w:rsidRPr="00420D8F">
        <w:t xml:space="preserve">Ahora bien, mención aparte merece lo que se refiere al </w:t>
      </w:r>
      <w:r w:rsidRPr="00420D8F">
        <w:rPr>
          <w:lang w:val="es-CR"/>
        </w:rPr>
        <w:t>amedrentamiento, presiones y “ablandamiento” aducidos. Según manifestó el señor Galindo ante la Corte “</w:t>
      </w:r>
      <w:proofErr w:type="gramStart"/>
      <w:r w:rsidRPr="00420D8F">
        <w:rPr>
          <w:lang w:val="es-CR"/>
        </w:rPr>
        <w:t>ingres[</w:t>
      </w:r>
      <w:proofErr w:type="gramEnd"/>
      <w:r w:rsidRPr="00420D8F">
        <w:rPr>
          <w:lang w:val="es-CR"/>
        </w:rPr>
        <w:t>aba] a [su] celda una ‘terrorista arrepentida encapuchada’ para que lo sindicara como ‘abogado democrático’”, escuchaba gritos y disparos y fue “</w:t>
      </w:r>
      <w:r w:rsidRPr="00420D8F">
        <w:t>sometido a permanentes presiones, abusos, y torturas de carácter psicológico, en horas de la madrugada</w:t>
      </w:r>
      <w:r w:rsidRPr="00420D8F">
        <w:rPr>
          <w:lang w:val="es-CR"/>
        </w:rPr>
        <w:t xml:space="preserve">”. </w:t>
      </w:r>
    </w:p>
    <w:p w:rsidR="00420D8F" w:rsidRDefault="00420D8F" w:rsidP="00C729D3">
      <w:pPr>
        <w:pStyle w:val="ListParagraph"/>
        <w:rPr>
          <w:szCs w:val="20"/>
          <w:lang w:val="es-CR"/>
        </w:rPr>
      </w:pPr>
    </w:p>
    <w:p w:rsidR="00420D8F" w:rsidRPr="00514845" w:rsidRDefault="00C428DA" w:rsidP="00C729D3">
      <w:pPr>
        <w:pStyle w:val="Estilo1"/>
        <w:spacing w:after="0"/>
      </w:pPr>
      <w:r w:rsidRPr="00420D8F">
        <w:rPr>
          <w:lang w:val="es-CR"/>
        </w:rPr>
        <w:t xml:space="preserve">Los hechos descritos, debido a su naturaleza, se caracterizan por una limitación en los medios de prueba. Asimismo, estos deben apreciarse en el marco de la presión y temor que supone una detención ilegal y arbitraria dentro de la lucha contra el terrorismo, en el </w:t>
      </w:r>
      <w:r w:rsidRPr="00514845">
        <w:rPr>
          <w:lang w:val="es-CR"/>
        </w:rPr>
        <w:t>contexto social, político e institucional de Perú en la época (</w:t>
      </w:r>
      <w:r w:rsidRPr="00514845">
        <w:rPr>
          <w:i/>
          <w:lang w:val="es-CR"/>
        </w:rPr>
        <w:t xml:space="preserve">supra </w:t>
      </w:r>
      <w:proofErr w:type="spellStart"/>
      <w:r w:rsidRPr="00514845">
        <w:rPr>
          <w:lang w:val="es-CR"/>
        </w:rPr>
        <w:t>párrs</w:t>
      </w:r>
      <w:proofErr w:type="spellEnd"/>
      <w:r w:rsidRPr="00514845">
        <w:rPr>
          <w:lang w:val="es-CR"/>
        </w:rPr>
        <w:t>. 9</w:t>
      </w:r>
      <w:r w:rsidR="00AB4251" w:rsidRPr="00514845">
        <w:rPr>
          <w:lang w:val="es-CR"/>
        </w:rPr>
        <w:t>3</w:t>
      </w:r>
      <w:r w:rsidRPr="00514845">
        <w:rPr>
          <w:lang w:val="es-CR"/>
        </w:rPr>
        <w:t xml:space="preserve"> a 9</w:t>
      </w:r>
      <w:r w:rsidR="00AB4251" w:rsidRPr="00514845">
        <w:rPr>
          <w:lang w:val="es-CR"/>
        </w:rPr>
        <w:t>9</w:t>
      </w:r>
      <w:r w:rsidRPr="00514845">
        <w:rPr>
          <w:lang w:val="es-CR"/>
        </w:rPr>
        <w:t>). En ese sentido,</w:t>
      </w:r>
      <w:r w:rsidR="00C729D3" w:rsidRPr="00514845">
        <w:rPr>
          <w:lang w:val="es-CR"/>
        </w:rPr>
        <w:t xml:space="preserve"> en el presente caso </w:t>
      </w:r>
      <w:r w:rsidRPr="00514845">
        <w:rPr>
          <w:lang w:val="es-CR"/>
        </w:rPr>
        <w:t xml:space="preserve">cobra relevancia que el mismo Presidente de la República, Alberto Fujimori, intervino mediante declaraciones públicas de las que se infería la consideración del señor Galindo como un terrorista. </w:t>
      </w:r>
    </w:p>
    <w:p w:rsidR="00420D8F" w:rsidRPr="00514845" w:rsidRDefault="00420D8F" w:rsidP="00C729D3">
      <w:pPr>
        <w:pStyle w:val="ListParagraph"/>
        <w:rPr>
          <w:szCs w:val="20"/>
          <w:lang w:val="es-CR"/>
        </w:rPr>
      </w:pPr>
    </w:p>
    <w:p w:rsidR="00420D8F" w:rsidRPr="00514845" w:rsidRDefault="00C428DA" w:rsidP="00C729D3">
      <w:pPr>
        <w:pStyle w:val="Estilo1"/>
        <w:spacing w:after="0"/>
      </w:pPr>
      <w:r w:rsidRPr="00514845">
        <w:rPr>
          <w:lang w:val="es-CR"/>
        </w:rPr>
        <w:t xml:space="preserve">En razón de ello, la Corte considera </w:t>
      </w:r>
      <w:r w:rsidR="00C729D3" w:rsidRPr="00514845">
        <w:rPr>
          <w:lang w:val="es-CR"/>
        </w:rPr>
        <w:t>que en el presente caso</w:t>
      </w:r>
      <w:r w:rsidRPr="00514845">
        <w:rPr>
          <w:lang w:val="es-CR"/>
        </w:rPr>
        <w:t xml:space="preserve"> las circunstancias narradas por el señor Galindo, así como la incertidumbre sobre la duración que tendría su privación de libertad y lo que podría sucederle, generaron</w:t>
      </w:r>
      <w:r w:rsidR="00C729D3" w:rsidRPr="00514845">
        <w:rPr>
          <w:lang w:val="es-CR"/>
        </w:rPr>
        <w:t xml:space="preserve"> una afectación a su</w:t>
      </w:r>
      <w:r w:rsidRPr="00514845">
        <w:rPr>
          <w:lang w:val="es-CR"/>
        </w:rPr>
        <w:t xml:space="preserve"> integridad psíquica y moral. </w:t>
      </w:r>
    </w:p>
    <w:p w:rsidR="00420D8F" w:rsidRDefault="00420D8F" w:rsidP="00C729D3">
      <w:pPr>
        <w:pStyle w:val="ListParagraph"/>
        <w:rPr>
          <w:szCs w:val="20"/>
        </w:rPr>
      </w:pPr>
    </w:p>
    <w:p w:rsidR="00420D8F" w:rsidRDefault="00C428DA" w:rsidP="00C729D3">
      <w:pPr>
        <w:pStyle w:val="Estilo1"/>
        <w:spacing w:after="0"/>
      </w:pPr>
      <w:r w:rsidRPr="00420D8F">
        <w:lastRenderedPageBreak/>
        <w:t>Por otro lado, actualmente en el ámbito interno se realiza una investigación preliminar ante la Fiscalía Especializada en Delitos de Terrorismo y Lesa Humanidad del Distrito Judicial de Huánuco por la supuesta tortura psicológica sufrida por el señor Luis Antonio Galindo Cárdenas, por lo que la Corte considera que el Estado debe continuar con la investigación referida a efectos esclarecer los hechos y determinar las consecuencias jurídicas correspondientes.</w:t>
      </w:r>
      <w:r w:rsidRPr="00420D8F">
        <w:rPr>
          <w:b/>
          <w:lang w:val="es-CR"/>
        </w:rPr>
        <w:t xml:space="preserve"> </w:t>
      </w:r>
    </w:p>
    <w:p w:rsidR="00420D8F" w:rsidRDefault="00420D8F" w:rsidP="00420D8F">
      <w:pPr>
        <w:pStyle w:val="ListParagraph"/>
        <w:rPr>
          <w:szCs w:val="20"/>
        </w:rPr>
      </w:pPr>
    </w:p>
    <w:p w:rsidR="00420D8F" w:rsidRDefault="00C428DA" w:rsidP="00C729D3">
      <w:pPr>
        <w:pStyle w:val="Estilo1"/>
        <w:spacing w:after="0"/>
      </w:pPr>
      <w:r w:rsidRPr="00420D8F">
        <w:t>En consecuencia, este Tribunal encuentra fundamento para concluir que el Estado violó el artículo 5.1 de la Con</w:t>
      </w:r>
      <w:r w:rsidR="009D7E89">
        <w:t xml:space="preserve">vención Americana, en relación con </w:t>
      </w:r>
      <w:r w:rsidRPr="00420D8F">
        <w:t xml:space="preserve">el artículo 1.1 de la Convención, en perjuicio del señor </w:t>
      </w:r>
      <w:r w:rsidR="0068579A">
        <w:t xml:space="preserve">Luis Antonio </w:t>
      </w:r>
      <w:r w:rsidRPr="00420D8F">
        <w:t>Galindo</w:t>
      </w:r>
      <w:r w:rsidR="0068579A">
        <w:t xml:space="preserve"> Cárdenas</w:t>
      </w:r>
      <w:r w:rsidRPr="00420D8F">
        <w:t>.</w:t>
      </w:r>
    </w:p>
    <w:p w:rsidR="00DF3EE2" w:rsidRDefault="00DF3EE2" w:rsidP="00C729D3">
      <w:pPr>
        <w:pStyle w:val="ListParagraph"/>
        <w:rPr>
          <w:szCs w:val="20"/>
        </w:rPr>
      </w:pPr>
    </w:p>
    <w:p w:rsidR="00420D8F" w:rsidRDefault="00420D8F" w:rsidP="00C729D3">
      <w:pPr>
        <w:tabs>
          <w:tab w:val="left" w:pos="851"/>
          <w:tab w:val="left" w:pos="1134"/>
        </w:tabs>
        <w:ind w:left="851"/>
        <w:outlineLvl w:val="2"/>
        <w:rPr>
          <w:i/>
          <w:szCs w:val="20"/>
        </w:rPr>
      </w:pPr>
      <w:bookmarkStart w:id="343" w:name="_Toc415507415"/>
      <w:bookmarkStart w:id="344" w:name="_Toc418530501"/>
      <w:bookmarkStart w:id="345" w:name="_Toc420941760"/>
      <w:bookmarkStart w:id="346" w:name="_Toc430869811"/>
      <w:bookmarkStart w:id="347" w:name="_Toc438129730"/>
      <w:r w:rsidRPr="00C428DA">
        <w:rPr>
          <w:i/>
          <w:szCs w:val="20"/>
        </w:rPr>
        <w:t>B.2.</w:t>
      </w:r>
      <w:r w:rsidRPr="00C428DA">
        <w:rPr>
          <w:i/>
          <w:szCs w:val="20"/>
        </w:rPr>
        <w:tab/>
        <w:t>Derecho a la integridad personal de los familiares del señor Galindo</w:t>
      </w:r>
      <w:bookmarkEnd w:id="343"/>
      <w:bookmarkEnd w:id="344"/>
      <w:bookmarkEnd w:id="345"/>
      <w:bookmarkEnd w:id="346"/>
      <w:bookmarkEnd w:id="347"/>
    </w:p>
    <w:p w:rsidR="00420D8F" w:rsidRDefault="00420D8F" w:rsidP="00420D8F">
      <w:pPr>
        <w:pStyle w:val="ListParagraph"/>
        <w:rPr>
          <w:szCs w:val="20"/>
        </w:rPr>
      </w:pPr>
    </w:p>
    <w:p w:rsidR="00420D8F" w:rsidRDefault="00C428DA" w:rsidP="00C729D3">
      <w:pPr>
        <w:pStyle w:val="Estilo1"/>
        <w:spacing w:after="0"/>
      </w:pPr>
      <w:r w:rsidRPr="00420D8F">
        <w:t>Esta Corte ha señalado que los familiares de las víctimas de violaciones de los derechos humanos pueden ser, a su vez, víctimas. En esta línea, la Corte ha considerado violado el derecho a la integridad psíquica y moral de los familiares de las víctimas con motivo del sufrimiento adicional que estos han padecido como producto de las circunstancias particulares de las violaciones perpetradas contra sus seres queridos y a causa de las posteriores actuaciones u omisiones de las autoridades estatales frente a los hechos</w:t>
      </w:r>
      <w:r w:rsidRPr="00C428DA">
        <w:rPr>
          <w:vertAlign w:val="superscript"/>
        </w:rPr>
        <w:footnoteReference w:id="225"/>
      </w:r>
      <w:r w:rsidRPr="00420D8F">
        <w:t>.</w:t>
      </w:r>
    </w:p>
    <w:p w:rsidR="00420D8F" w:rsidRDefault="00420D8F" w:rsidP="00C729D3">
      <w:pPr>
        <w:rPr>
          <w:szCs w:val="20"/>
        </w:rPr>
      </w:pPr>
    </w:p>
    <w:p w:rsidR="00420D8F" w:rsidRDefault="00C428DA" w:rsidP="00C729D3">
      <w:pPr>
        <w:pStyle w:val="Estilo1"/>
        <w:spacing w:after="0"/>
      </w:pPr>
      <w:r w:rsidRPr="00420D8F">
        <w:t xml:space="preserve">Dados los hechos del presente caso, tanto la Comisión como los representantes alegaron que el Estado es responsable por la violación del artículo 5 de la Convención en perjuicio de Irma Díaz de Galindo, su esposa, y Luis </w:t>
      </w:r>
      <w:proofErr w:type="spellStart"/>
      <w:r w:rsidRPr="00420D8F">
        <w:t>Idelso</w:t>
      </w:r>
      <w:proofErr w:type="spellEnd"/>
      <w:r w:rsidRPr="00420D8F">
        <w:t xml:space="preserve"> Galindo Díaz, su hijo, por el sufrimiento que padecieron como consecuencia de lo sucedido a su esposo y padre, respectivamente. El Estado, por su parte, alegó respecto a la esposa e hijo del señor Galindo sobre las supuestas secuelas físicas o emocionales a las cuales aluden no fueron producto de actos atribuibles al Estado. </w:t>
      </w:r>
    </w:p>
    <w:p w:rsidR="00420D8F" w:rsidRDefault="00420D8F" w:rsidP="00C729D3">
      <w:pPr>
        <w:pStyle w:val="ListParagraph"/>
      </w:pPr>
    </w:p>
    <w:p w:rsidR="00C428DA" w:rsidRPr="00420D8F" w:rsidRDefault="009D7E89" w:rsidP="00C729D3">
      <w:pPr>
        <w:pStyle w:val="Estilo1"/>
        <w:spacing w:after="0"/>
      </w:pPr>
      <w:r>
        <w:t xml:space="preserve">Dados los hechos </w:t>
      </w:r>
      <w:r w:rsidRPr="002B2FEB">
        <w:t>del</w:t>
      </w:r>
      <w:r w:rsidR="004B2EFD" w:rsidRPr="002B2FEB">
        <w:t xml:space="preserve"> caso, la</w:t>
      </w:r>
      <w:r w:rsidR="004B2EFD" w:rsidRPr="002B2FEB">
        <w:rPr>
          <w:lang w:val="es-MX"/>
        </w:rPr>
        <w:t xml:space="preserve"> Corte constata </w:t>
      </w:r>
      <w:r w:rsidRPr="002B2FEB">
        <w:rPr>
          <w:lang w:val="es-MX"/>
        </w:rPr>
        <w:t xml:space="preserve">que en el presente caso </w:t>
      </w:r>
      <w:r w:rsidR="004B2EFD" w:rsidRPr="002B2FEB">
        <w:rPr>
          <w:lang w:val="es-MX"/>
        </w:rPr>
        <w:t>la privación de libertad del señor Galindo, el hecho de haber sido sindicado públicamente como terrorista arrepentido por el propio Presidente de la República, así como</w:t>
      </w:r>
      <w:r w:rsidR="004B2EFD" w:rsidRPr="00420D8F">
        <w:rPr>
          <w:lang w:val="es-MX"/>
        </w:rPr>
        <w:t xml:space="preserve"> la incertidumbre por la falta de investigación, generaron sufrimiento y angustia a sus familiares. Por lo tanto, tanto su esposa como su hijo, vieron afectada su </w:t>
      </w:r>
      <w:r w:rsidR="004B2EFD" w:rsidRPr="004454B8">
        <w:t>integridad personal. En consecuencia, este Tribunal considera que el Estado violó el artículo 5</w:t>
      </w:r>
      <w:r w:rsidR="00B70124">
        <w:t>.1</w:t>
      </w:r>
      <w:r w:rsidR="004B2EFD" w:rsidRPr="004454B8">
        <w:t xml:space="preserve"> de la Convención</w:t>
      </w:r>
      <w:r w:rsidR="001C3BBB">
        <w:t xml:space="preserve"> Americana</w:t>
      </w:r>
      <w:r w:rsidR="004B2EFD" w:rsidRPr="004454B8">
        <w:t>,</w:t>
      </w:r>
      <w:r>
        <w:t xml:space="preserve"> en relación con el artículo 1.1 del mismo tratado,</w:t>
      </w:r>
      <w:r w:rsidR="004B2EFD" w:rsidRPr="004454B8">
        <w:t xml:space="preserve"> en perjuicio de </w:t>
      </w:r>
      <w:r w:rsidR="004B2EFD" w:rsidRPr="00420D8F">
        <w:rPr>
          <w:lang w:val="es-MX"/>
        </w:rPr>
        <w:t xml:space="preserve">Irma Díaz de Galindo y Luis </w:t>
      </w:r>
      <w:proofErr w:type="spellStart"/>
      <w:r w:rsidR="004B2EFD" w:rsidRPr="00420D8F">
        <w:rPr>
          <w:lang w:val="es-MX"/>
        </w:rPr>
        <w:t>Idelso</w:t>
      </w:r>
      <w:proofErr w:type="spellEnd"/>
      <w:r w:rsidR="004B2EFD" w:rsidRPr="00420D8F">
        <w:rPr>
          <w:lang w:val="es-MX"/>
        </w:rPr>
        <w:t xml:space="preserve"> Galindo Díaz</w:t>
      </w:r>
      <w:r w:rsidR="004B2EFD" w:rsidRPr="004454B8">
        <w:t>.</w:t>
      </w:r>
    </w:p>
    <w:p w:rsidR="00C729D3" w:rsidRDefault="00C729D3" w:rsidP="00445E3E">
      <w:pPr>
        <w:pStyle w:val="Estilo1"/>
        <w:numPr>
          <w:ilvl w:val="0"/>
          <w:numId w:val="0"/>
        </w:numPr>
        <w:spacing w:after="0"/>
      </w:pPr>
    </w:p>
    <w:p w:rsidR="00756334" w:rsidRPr="00DF7CEB" w:rsidRDefault="00AF4414" w:rsidP="00C729D3">
      <w:pPr>
        <w:pStyle w:val="Estilo1"/>
        <w:numPr>
          <w:ilvl w:val="0"/>
          <w:numId w:val="0"/>
        </w:numPr>
        <w:spacing w:after="0"/>
        <w:jc w:val="center"/>
      </w:pPr>
      <w:r w:rsidRPr="00590205">
        <w:rPr>
          <w:b/>
        </w:rPr>
        <w:t>VIII.3</w:t>
      </w:r>
      <w:bookmarkEnd w:id="295"/>
      <w:bookmarkEnd w:id="296"/>
      <w:bookmarkEnd w:id="297"/>
      <w:bookmarkEnd w:id="298"/>
      <w:bookmarkEnd w:id="299"/>
      <w:bookmarkEnd w:id="313"/>
    </w:p>
    <w:p w:rsidR="00756334" w:rsidRPr="00313708" w:rsidRDefault="00756334" w:rsidP="00756334">
      <w:pPr>
        <w:pStyle w:val="Heading1"/>
        <w:rPr>
          <w:szCs w:val="20"/>
        </w:rPr>
      </w:pPr>
      <w:bookmarkStart w:id="348" w:name="_Toc415507417"/>
      <w:bookmarkStart w:id="349" w:name="_Toc418530503"/>
      <w:bookmarkStart w:id="350" w:name="_Toc420941762"/>
      <w:bookmarkStart w:id="351" w:name="_Toc424313498"/>
      <w:bookmarkStart w:id="352" w:name="_Toc430869813"/>
      <w:bookmarkStart w:id="353" w:name="_Toc438129731"/>
      <w:r w:rsidRPr="00313708">
        <w:rPr>
          <w:szCs w:val="20"/>
        </w:rPr>
        <w:t>DERECHOS A LAS GARANTÍAS JUDICIALES Y A LA PROTECCIÓN JUDICIAL EN RELACIÓN C</w:t>
      </w:r>
      <w:r w:rsidR="00E74A5E">
        <w:rPr>
          <w:szCs w:val="20"/>
        </w:rPr>
        <w:t>ON LAS OBLIGACIO</w:t>
      </w:r>
      <w:r w:rsidRPr="00313708">
        <w:rPr>
          <w:szCs w:val="20"/>
        </w:rPr>
        <w:t>NES DE RESPETAR LOS DERECHOS Y ADOPTAR DISPOSICIÓNES DE DERECHO INTERNO RESPECTO A LA INVESTIGACIÓN DE LOS HECHOS</w:t>
      </w:r>
      <w:bookmarkEnd w:id="348"/>
      <w:bookmarkEnd w:id="349"/>
      <w:bookmarkEnd w:id="350"/>
      <w:bookmarkEnd w:id="351"/>
      <w:bookmarkEnd w:id="352"/>
      <w:bookmarkEnd w:id="353"/>
    </w:p>
    <w:p w:rsidR="00756334" w:rsidRPr="00E74A5E" w:rsidRDefault="00756334" w:rsidP="00E74A5E">
      <w:pPr>
        <w:rPr>
          <w:b/>
        </w:rPr>
      </w:pPr>
    </w:p>
    <w:p w:rsidR="0017102D" w:rsidRDefault="0017102D" w:rsidP="00C729D3">
      <w:pPr>
        <w:pStyle w:val="Estilo1"/>
        <w:spacing w:after="0"/>
      </w:pPr>
      <w:bookmarkStart w:id="354" w:name="_Toc415507420"/>
      <w:bookmarkStart w:id="355" w:name="_Toc418530506"/>
      <w:bookmarkStart w:id="356" w:name="_Toc420940034"/>
      <w:bookmarkStart w:id="357" w:name="_Toc420941765"/>
      <w:bookmarkStart w:id="358" w:name="_Toc424313506"/>
      <w:bookmarkStart w:id="359" w:name="_Toc430869816"/>
      <w:r>
        <w:t>En el presente apartado la Corte examinará la supuesta violación a los artículos 8</w:t>
      </w:r>
      <w:r w:rsidR="00DF7CEB">
        <w:t>.1</w:t>
      </w:r>
      <w:r>
        <w:t xml:space="preserve"> y 25</w:t>
      </w:r>
      <w:r w:rsidR="00DF7CEB">
        <w:t>.1</w:t>
      </w:r>
      <w:r>
        <w:t xml:space="preserve"> de la Convención, en relación con sus artículos 1.1 y 2</w:t>
      </w:r>
      <w:r w:rsidR="00590205">
        <w:t>,</w:t>
      </w:r>
      <w:r>
        <w:t xml:space="preserve"> en relación con la aducida ausencia de investigación de los hechos.</w:t>
      </w:r>
    </w:p>
    <w:p w:rsidR="0017102D" w:rsidRDefault="0017102D" w:rsidP="00C729D3">
      <w:pPr>
        <w:pStyle w:val="ListParagraph"/>
        <w:ind w:left="0"/>
        <w:rPr>
          <w:sz w:val="20"/>
          <w:szCs w:val="20"/>
        </w:rPr>
      </w:pPr>
    </w:p>
    <w:p w:rsidR="006A0D0A" w:rsidRDefault="006A0D0A" w:rsidP="00C729D3">
      <w:pPr>
        <w:pStyle w:val="ListParagraph"/>
        <w:ind w:left="0"/>
        <w:rPr>
          <w:sz w:val="20"/>
          <w:szCs w:val="20"/>
        </w:rPr>
      </w:pPr>
    </w:p>
    <w:p w:rsidR="006A0D0A" w:rsidRDefault="006A0D0A" w:rsidP="00C729D3">
      <w:pPr>
        <w:pStyle w:val="ListParagraph"/>
        <w:ind w:left="0"/>
        <w:rPr>
          <w:sz w:val="20"/>
          <w:szCs w:val="20"/>
        </w:rPr>
      </w:pPr>
    </w:p>
    <w:p w:rsidR="0017102D" w:rsidRDefault="0017102D" w:rsidP="005D3491">
      <w:pPr>
        <w:pStyle w:val="ListParagraph"/>
        <w:numPr>
          <w:ilvl w:val="0"/>
          <w:numId w:val="20"/>
        </w:numPr>
        <w:ind w:left="567" w:firstLine="0"/>
        <w:outlineLvl w:val="1"/>
        <w:rPr>
          <w:b/>
          <w:i/>
          <w:sz w:val="20"/>
          <w:szCs w:val="20"/>
        </w:rPr>
      </w:pPr>
      <w:bookmarkStart w:id="360" w:name="_Toc430869814"/>
      <w:bookmarkStart w:id="361" w:name="_Toc424313499"/>
      <w:bookmarkStart w:id="362" w:name="_Toc420941763"/>
      <w:bookmarkStart w:id="363" w:name="_Toc418530504"/>
      <w:bookmarkStart w:id="364" w:name="_Toc415507418"/>
      <w:bookmarkStart w:id="365" w:name="_Toc438129732"/>
      <w:r>
        <w:rPr>
          <w:b/>
          <w:i/>
          <w:sz w:val="20"/>
          <w:szCs w:val="20"/>
        </w:rPr>
        <w:lastRenderedPageBreak/>
        <w:t>Argumentos de la Comisión y de las partes</w:t>
      </w:r>
      <w:bookmarkEnd w:id="360"/>
      <w:bookmarkEnd w:id="361"/>
      <w:bookmarkEnd w:id="362"/>
      <w:bookmarkEnd w:id="363"/>
      <w:bookmarkEnd w:id="364"/>
      <w:bookmarkEnd w:id="365"/>
    </w:p>
    <w:p w:rsidR="0017102D" w:rsidRDefault="0017102D" w:rsidP="0017102D">
      <w:pPr>
        <w:pStyle w:val="ListParagraph"/>
        <w:ind w:left="0"/>
      </w:pPr>
    </w:p>
    <w:p w:rsidR="0017102D" w:rsidRDefault="0017102D" w:rsidP="00347658">
      <w:pPr>
        <w:pStyle w:val="Estilo1"/>
        <w:tabs>
          <w:tab w:val="clear" w:pos="18282"/>
        </w:tabs>
        <w:spacing w:after="0"/>
      </w:pPr>
      <w:r>
        <w:t xml:space="preserve">La </w:t>
      </w:r>
      <w:r>
        <w:rPr>
          <w:b/>
          <w:i/>
        </w:rPr>
        <w:t>Comisión</w:t>
      </w:r>
      <w:r>
        <w:t xml:space="preserve"> afirmó que las autoridades estatales, cuando tienen conocimiento de un hecho de violación de derechos humanos, incluidos los derechos a la integridad personal y libertad personal, tienen el deber de iniciar de oficio y sin </w:t>
      </w:r>
      <w:r>
        <w:rPr>
          <w:rFonts w:eastAsiaTheme="minorHAnsi"/>
        </w:rPr>
        <w:t>dilación</w:t>
      </w:r>
      <w:r>
        <w:t xml:space="preserve"> una investigación seria, imparcial y efectiva, la cual debe llevarse a cabo en un plazo razonable. Contrariamente a tal deber, lo sucedido al señor Galindo no fue investigado. Él presentó diversas denuncias, incluyendo una de 13 de diciembre de 1994 en que refería expresamente, </w:t>
      </w:r>
      <w:r>
        <w:rPr>
          <w:i/>
        </w:rPr>
        <w:t xml:space="preserve">inter </w:t>
      </w:r>
      <w:proofErr w:type="spellStart"/>
      <w:r>
        <w:rPr>
          <w:i/>
        </w:rPr>
        <w:t>alia</w:t>
      </w:r>
      <w:proofErr w:type="spellEnd"/>
      <w:r>
        <w:t>, que su detención había sido arbitraria y que sufrió tortura</w:t>
      </w:r>
      <w:r w:rsidR="00DF7CEB">
        <w:t xml:space="preserve"> psicológica e incomunicación. Además el </w:t>
      </w:r>
      <w:r>
        <w:t xml:space="preserve">8 de mayo de 1998 el Ministerio Público resolvió archivar la denuncia formulada por el señor Galindo en contra del ex Fiscal Provincial y el ex Fiscal Superior Decano, con base en la Ley de Amnistía, que es incompatible con la Convención. </w:t>
      </w:r>
      <w:r w:rsidR="00DF7CEB">
        <w:t xml:space="preserve">La </w:t>
      </w:r>
      <w:r>
        <w:t>C</w:t>
      </w:r>
      <w:r w:rsidR="00DF7CEB">
        <w:t>omisión c</w:t>
      </w:r>
      <w:r>
        <w:t>oncluyó que el Estado “violó los derechos a las garantías judiciales y protección judicial, consagra</w:t>
      </w:r>
      <w:r w:rsidR="0068579A">
        <w:t xml:space="preserve">dos en los artículos 8.1 y </w:t>
      </w:r>
      <w:proofErr w:type="gramStart"/>
      <w:r w:rsidR="0068579A">
        <w:t>25.1</w:t>
      </w:r>
      <w:r>
        <w:t>[</w:t>
      </w:r>
      <w:proofErr w:type="gramEnd"/>
      <w:r w:rsidR="0068579A">
        <w:t>,</w:t>
      </w:r>
      <w:r>
        <w:t>…] en relación con las obligaciones establ</w:t>
      </w:r>
      <w:r w:rsidR="0068579A">
        <w:t>ecidas en los artículos 1.1 y 2</w:t>
      </w:r>
      <w:r>
        <w:t>[</w:t>
      </w:r>
      <w:r w:rsidR="0068579A">
        <w:t>,</w:t>
      </w:r>
      <w:r>
        <w:t>…] en perjuicio de[l señor Galindo]”.</w:t>
      </w:r>
      <w:r>
        <w:rPr>
          <w:b/>
        </w:rPr>
        <w:t xml:space="preserve"> </w:t>
      </w:r>
    </w:p>
    <w:p w:rsidR="0017102D" w:rsidRDefault="0017102D" w:rsidP="0017102D">
      <w:pPr>
        <w:pStyle w:val="Estilo1"/>
        <w:numPr>
          <w:ilvl w:val="0"/>
          <w:numId w:val="0"/>
        </w:numPr>
        <w:spacing w:after="0"/>
      </w:pPr>
    </w:p>
    <w:p w:rsidR="0017102D" w:rsidRDefault="0017102D" w:rsidP="00347658">
      <w:pPr>
        <w:pStyle w:val="Estilo1"/>
        <w:tabs>
          <w:tab w:val="clear" w:pos="18282"/>
        </w:tabs>
        <w:spacing w:after="0"/>
      </w:pPr>
      <w:r>
        <w:t xml:space="preserve">El </w:t>
      </w:r>
      <w:r>
        <w:rPr>
          <w:b/>
          <w:i/>
        </w:rPr>
        <w:t>representante</w:t>
      </w:r>
      <w:r>
        <w:t xml:space="preserve"> adhirió a lo aseverado por la Comisión. También adujo que el Estado violó el derecho consagrado en el artículo 25 de la Convención, en razón de que al señor Galindo le negaron la información y entrega de documentos que solicitó a la Fiscalía Provincial Penal de Huánuco; por situaciones que fueron denunciadas, tampoco atendidas, a las autoridades del Ministerio Público de Lima, debido a las amenazas que sufría la presunta víctima de ser detenido nuevamente por parte de militares de Huánuco. </w:t>
      </w:r>
    </w:p>
    <w:p w:rsidR="0017102D" w:rsidRDefault="0017102D" w:rsidP="0017102D">
      <w:pPr>
        <w:pStyle w:val="ListParagraph"/>
        <w:ind w:left="0"/>
        <w:rPr>
          <w:rFonts w:eastAsiaTheme="minorHAnsi"/>
        </w:rPr>
      </w:pPr>
    </w:p>
    <w:p w:rsidR="0017102D" w:rsidRDefault="0017102D" w:rsidP="00347658">
      <w:pPr>
        <w:pStyle w:val="Estilo1"/>
        <w:tabs>
          <w:tab w:val="clear" w:pos="18282"/>
        </w:tabs>
        <w:spacing w:after="0"/>
      </w:pPr>
      <w:r>
        <w:rPr>
          <w:rFonts w:eastAsiaTheme="minorHAnsi"/>
        </w:rPr>
        <w:t xml:space="preserve">El </w:t>
      </w:r>
      <w:r>
        <w:rPr>
          <w:rFonts w:eastAsiaTheme="minorHAnsi"/>
          <w:b/>
          <w:i/>
        </w:rPr>
        <w:t>Estado</w:t>
      </w:r>
      <w:r>
        <w:rPr>
          <w:rFonts w:eastAsiaTheme="minorHAnsi"/>
        </w:rPr>
        <w:t xml:space="preserve"> expresó, respecto a la atribución de responsabilidad a Perú por falta de investigación, que las comunicaciones presentadas en sede interna a favor de la presunta víctima </w:t>
      </w:r>
      <w:r w:rsidR="0025450C">
        <w:rPr>
          <w:rFonts w:eastAsiaTheme="minorHAnsi"/>
        </w:rPr>
        <w:t>“</w:t>
      </w:r>
      <w:r>
        <w:rPr>
          <w:rFonts w:eastAsiaTheme="minorHAnsi"/>
        </w:rPr>
        <w:t>no constituyeron denuncias orientadas a la investigación de los hechos</w:t>
      </w:r>
      <w:r w:rsidR="003B0237" w:rsidRPr="008D2D9F">
        <w:rPr>
          <w:rFonts w:eastAsiaTheme="minorHAnsi"/>
        </w:rPr>
        <w:t>”</w:t>
      </w:r>
      <w:r>
        <w:rPr>
          <w:rFonts w:eastAsiaTheme="minorHAnsi"/>
        </w:rPr>
        <w:t xml:space="preserve">, sino “[s]e trató de comunicaciones que daban cuenta de los hechos, pero por vías distintas a las que implican o dan lugar a una investigación y un proceso penal”. </w:t>
      </w:r>
      <w:r>
        <w:rPr>
          <w:rFonts w:eastAsiaTheme="minorHAnsi"/>
          <w:b/>
        </w:rPr>
        <w:t xml:space="preserve"> </w:t>
      </w:r>
      <w:r>
        <w:rPr>
          <w:rFonts w:eastAsiaTheme="minorHAnsi"/>
        </w:rPr>
        <w:t xml:space="preserve">Explicó que “[e]n cuanto a […] haber sufrido tortura psicológica e incomunicación inicial [las presentaciones hechas por el señor Galindo] no </w:t>
      </w:r>
      <w:proofErr w:type="spellStart"/>
      <w:r>
        <w:rPr>
          <w:rFonts w:eastAsiaTheme="minorHAnsi"/>
        </w:rPr>
        <w:t>cont</w:t>
      </w:r>
      <w:proofErr w:type="spellEnd"/>
      <w:r>
        <w:rPr>
          <w:rFonts w:eastAsiaTheme="minorHAnsi"/>
        </w:rPr>
        <w:t>[aron] con una precisión de los supuestos actos lesivos, salvo en la Ayuda Memoria-Informe que entregó a la Oficina de Control de la Magistratura del Poder Judicial”. Al respecto, el Estado aseveró que la denuncia de esos hechos debió hacerse ante el Ministerio Público y no ante el órgano de control funcional de los jueces. Precisó que “[l]a respuesta que recibió [el señor Galindo] al respecto fue que el Consejo Ejecutivo del Poder Judicial transmitió el documento […] a la Fiscal de la Nación y a otras autoridades el Poder Ejecutivo”.</w:t>
      </w:r>
    </w:p>
    <w:p w:rsidR="0017102D" w:rsidRDefault="0017102D" w:rsidP="0017102D">
      <w:pPr>
        <w:pStyle w:val="Estilo1"/>
        <w:numPr>
          <w:ilvl w:val="0"/>
          <w:numId w:val="0"/>
        </w:numPr>
        <w:spacing w:after="0"/>
      </w:pPr>
    </w:p>
    <w:p w:rsidR="0017102D" w:rsidRDefault="00396A7E" w:rsidP="00347658">
      <w:pPr>
        <w:pStyle w:val="Estilo1"/>
        <w:tabs>
          <w:tab w:val="clear" w:pos="18282"/>
        </w:tabs>
        <w:spacing w:after="0"/>
      </w:pPr>
      <w:r>
        <w:rPr>
          <w:rFonts w:eastAsiaTheme="minorHAnsi"/>
        </w:rPr>
        <w:t>Asimismo, s</w:t>
      </w:r>
      <w:r w:rsidR="0017102D">
        <w:rPr>
          <w:rFonts w:eastAsiaTheme="minorHAnsi"/>
        </w:rPr>
        <w:t xml:space="preserve">e refirió a </w:t>
      </w:r>
      <w:r>
        <w:rPr>
          <w:rFonts w:eastAsiaTheme="minorHAnsi"/>
        </w:rPr>
        <w:t>lo indicado</w:t>
      </w:r>
      <w:r w:rsidR="0017102D">
        <w:rPr>
          <w:rFonts w:eastAsiaTheme="minorHAnsi"/>
        </w:rPr>
        <w:t xml:space="preserve"> por la Comisión en el Informe de Fondo de que, el 8 de mayo de 1998 el Ministerio Público resolvió archivar</w:t>
      </w:r>
      <w:r w:rsidR="00A65F25">
        <w:rPr>
          <w:rFonts w:eastAsiaTheme="minorHAnsi"/>
        </w:rPr>
        <w:t xml:space="preserve"> </w:t>
      </w:r>
      <w:r w:rsidR="0017102D">
        <w:rPr>
          <w:rFonts w:eastAsiaTheme="minorHAnsi"/>
        </w:rPr>
        <w:t xml:space="preserve">la denuncia en contra del “ex Fiscal Provincial de la Primera Fiscalía Provincial Mixta de Huánuco y el ex Fiscal Superior Decano de </w:t>
      </w:r>
      <w:r w:rsidR="0017102D">
        <w:t>Huánuco”</w:t>
      </w:r>
      <w:r w:rsidR="0017102D">
        <w:rPr>
          <w:rFonts w:eastAsiaTheme="minorHAnsi"/>
        </w:rPr>
        <w:t xml:space="preserve"> por los delitos de abuso de autoridad, contra la función pública y prevaricato, en virtud a que los hechos se encontraron dentro de los alcances de la legislación de amnistía. </w:t>
      </w:r>
      <w:r>
        <w:rPr>
          <w:rFonts w:eastAsiaTheme="minorHAnsi"/>
        </w:rPr>
        <w:t>Al respecto, o</w:t>
      </w:r>
      <w:r w:rsidR="0017102D">
        <w:rPr>
          <w:rFonts w:eastAsiaTheme="minorHAnsi"/>
        </w:rPr>
        <w:t>bservó que “la resolución del Ministerio Público expedida al amparo de las leyes de amnistía fue emitida por parte de una instancia de control interno de los fiscales en cuanto a su conducta funcional (la Fiscalía Suprema de Control Interno) y no por un órgano fiscal competente para ejercer denuncia penal. Se trató, en consecuencia, de un archivamiento de un procedimiento administrativo”.</w:t>
      </w:r>
    </w:p>
    <w:p w:rsidR="0017102D" w:rsidRDefault="0017102D" w:rsidP="0017102D">
      <w:pPr>
        <w:pStyle w:val="ListParagraph"/>
        <w:ind w:left="0"/>
        <w:rPr>
          <w:rFonts w:eastAsiaTheme="minorHAnsi"/>
          <w:sz w:val="20"/>
          <w:szCs w:val="20"/>
        </w:rPr>
      </w:pPr>
    </w:p>
    <w:p w:rsidR="0017102D" w:rsidRDefault="0017102D" w:rsidP="00347658">
      <w:pPr>
        <w:pStyle w:val="Estilo1"/>
        <w:tabs>
          <w:tab w:val="clear" w:pos="18282"/>
        </w:tabs>
        <w:spacing w:after="0"/>
      </w:pPr>
      <w:r>
        <w:rPr>
          <w:rFonts w:eastAsiaTheme="minorHAnsi"/>
        </w:rPr>
        <w:t>Perú indicó también que “en virtud a que los efectos jurídicos de las anteriores leyes fueron invalidados en virtud de la [S]</w:t>
      </w:r>
      <w:proofErr w:type="spellStart"/>
      <w:r>
        <w:rPr>
          <w:rFonts w:eastAsiaTheme="minorHAnsi"/>
        </w:rPr>
        <w:t>entencia</w:t>
      </w:r>
      <w:proofErr w:type="spellEnd"/>
      <w:r>
        <w:rPr>
          <w:rFonts w:eastAsiaTheme="minorHAnsi"/>
        </w:rPr>
        <w:t xml:space="preserve"> de la Corte Interamericana en el Caso </w:t>
      </w:r>
      <w:r>
        <w:rPr>
          <w:rFonts w:eastAsiaTheme="minorHAnsi"/>
          <w:i/>
        </w:rPr>
        <w:t>Barrios Altos</w:t>
      </w:r>
      <w:r>
        <w:rPr>
          <w:rFonts w:eastAsiaTheme="minorHAnsi"/>
        </w:rPr>
        <w:t xml:space="preserve">, a partir de [esa decisión] fecha no existieron impedimentos para la realización de una investigación acerca de la presunta violación de los derechos del señor Galindo”. Agregó que “a razón de la emisión del Informe de Fondo del presente caso [la] representación [del </w:t>
      </w:r>
      <w:r>
        <w:rPr>
          <w:rFonts w:eastAsiaTheme="minorHAnsi"/>
        </w:rPr>
        <w:lastRenderedPageBreak/>
        <w:t>Estado] puso en conocimiento del Ministerio Público los hechos allí señalados y […] el 19 de marzo de 2013, la Fiscalía Especializada en Delitos de Terrorismo y Lesa Humanidad del Distrito Judicial de Huánuco informó que había recibido la instrucción de investigar los hechos del presente caso, por lo que dispuso llevar a cabo diversas diligencias preliminares para el esclarecimiento de los hechos”. “De esta manera, serán los órganos competentes de administrar justicia en el Perú quienes aseguren que en el presente caso el o los responsables materiales e intelectuales de los hechos denunciados serán identificados, investigados, juzgados y, de ser el caso, sancionados”.</w:t>
      </w:r>
    </w:p>
    <w:p w:rsidR="0017102D" w:rsidRDefault="0017102D" w:rsidP="0017102D">
      <w:pPr>
        <w:rPr>
          <w:rFonts w:eastAsiaTheme="minorHAnsi"/>
          <w:b/>
          <w:i/>
          <w:szCs w:val="20"/>
        </w:rPr>
      </w:pPr>
    </w:p>
    <w:p w:rsidR="0017102D" w:rsidRDefault="0017102D" w:rsidP="005D3491">
      <w:pPr>
        <w:pStyle w:val="ListParagraph"/>
        <w:numPr>
          <w:ilvl w:val="0"/>
          <w:numId w:val="20"/>
        </w:numPr>
        <w:ind w:left="567" w:firstLine="0"/>
        <w:outlineLvl w:val="1"/>
        <w:rPr>
          <w:rFonts w:eastAsiaTheme="minorHAnsi"/>
          <w:b/>
          <w:i/>
          <w:sz w:val="20"/>
          <w:szCs w:val="20"/>
        </w:rPr>
      </w:pPr>
      <w:bookmarkStart w:id="366" w:name="_Toc430869815"/>
      <w:bookmarkStart w:id="367" w:name="_Toc424313500"/>
      <w:bookmarkStart w:id="368" w:name="_Toc420941764"/>
      <w:bookmarkStart w:id="369" w:name="_Toc418530505"/>
      <w:bookmarkStart w:id="370" w:name="_Toc415507419"/>
      <w:bookmarkStart w:id="371" w:name="_Toc438129733"/>
      <w:r>
        <w:rPr>
          <w:rFonts w:eastAsiaTheme="minorHAnsi"/>
          <w:b/>
          <w:i/>
          <w:sz w:val="20"/>
          <w:szCs w:val="20"/>
        </w:rPr>
        <w:t>Consideraciones de la Corte</w:t>
      </w:r>
      <w:bookmarkEnd w:id="366"/>
      <w:bookmarkEnd w:id="367"/>
      <w:bookmarkEnd w:id="368"/>
      <w:bookmarkEnd w:id="369"/>
      <w:bookmarkEnd w:id="370"/>
      <w:bookmarkEnd w:id="371"/>
    </w:p>
    <w:p w:rsidR="0017102D" w:rsidRDefault="0017102D" w:rsidP="0017102D">
      <w:pPr>
        <w:pStyle w:val="Estilo1"/>
        <w:numPr>
          <w:ilvl w:val="0"/>
          <w:numId w:val="0"/>
        </w:numPr>
        <w:spacing w:after="0"/>
      </w:pPr>
    </w:p>
    <w:p w:rsidR="0017102D" w:rsidRDefault="0017102D" w:rsidP="00347658">
      <w:pPr>
        <w:pStyle w:val="Estilo1"/>
        <w:tabs>
          <w:tab w:val="clear" w:pos="18282"/>
        </w:tabs>
        <w:spacing w:after="0"/>
      </w:pPr>
      <w:r>
        <w:rPr>
          <w:spacing w:val="-2"/>
        </w:rPr>
        <w:t xml:space="preserve">La Corte ha establecido que, </w:t>
      </w:r>
    </w:p>
    <w:p w:rsidR="0017102D" w:rsidRDefault="0017102D" w:rsidP="0017102D">
      <w:pPr>
        <w:pStyle w:val="Estilo1"/>
        <w:numPr>
          <w:ilvl w:val="0"/>
          <w:numId w:val="0"/>
        </w:numPr>
        <w:spacing w:after="0"/>
        <w:rPr>
          <w:spacing w:val="-2"/>
        </w:rPr>
      </w:pPr>
    </w:p>
    <w:p w:rsidR="0017102D" w:rsidRDefault="0017102D" w:rsidP="0017102D">
      <w:pPr>
        <w:tabs>
          <w:tab w:val="left" w:pos="8931"/>
        </w:tabs>
        <w:ind w:left="567" w:right="855"/>
        <w:contextualSpacing/>
        <w:rPr>
          <w:spacing w:val="-2"/>
          <w:sz w:val="16"/>
          <w:szCs w:val="16"/>
        </w:rPr>
      </w:pPr>
      <w:r>
        <w:rPr>
          <w:spacing w:val="-2"/>
          <w:sz w:val="16"/>
          <w:szCs w:val="16"/>
        </w:rPr>
        <w:t>de conformidad con la Convención Americana, los Estados Partes tienen la obligación de proveer recursos judiciales efectivos a</w:t>
      </w:r>
      <w:r w:rsidR="00590205">
        <w:rPr>
          <w:spacing w:val="-2"/>
          <w:sz w:val="16"/>
          <w:szCs w:val="16"/>
        </w:rPr>
        <w:t xml:space="preserve"> las personas que aleguen ser ví</w:t>
      </w:r>
      <w:r>
        <w:rPr>
          <w:spacing w:val="-2"/>
          <w:sz w:val="16"/>
          <w:szCs w:val="16"/>
        </w:rPr>
        <w:t>ctimas de violaciones de los derechos humanos (artículo 25), los cuales deben ser sustanciados de conformidad con las reglas del debido proceso legal (artículo 8.1)</w:t>
      </w:r>
      <w:r w:rsidRPr="00590205">
        <w:rPr>
          <w:spacing w:val="-2"/>
          <w:sz w:val="16"/>
          <w:szCs w:val="16"/>
        </w:rPr>
        <w:t>,</w:t>
      </w:r>
      <w:r>
        <w:rPr>
          <w:spacing w:val="-2"/>
          <w:sz w:val="16"/>
          <w:szCs w:val="16"/>
        </w:rPr>
        <w:t xml:space="preserve"> todo ello dentro de la obligación general de garantizar el libre y pleno ejercicio de los derechos reconocidos por la Convención a toda persona que se encuentre bajo su jurisdicción (artículo 1.1)</w:t>
      </w:r>
      <w:r>
        <w:rPr>
          <w:spacing w:val="-2"/>
          <w:sz w:val="16"/>
          <w:szCs w:val="16"/>
          <w:vertAlign w:val="superscript"/>
        </w:rPr>
        <w:footnoteReference w:id="226"/>
      </w:r>
      <w:r>
        <w:rPr>
          <w:spacing w:val="-2"/>
          <w:sz w:val="16"/>
          <w:szCs w:val="16"/>
        </w:rPr>
        <w:t>. Asimismo, ha señalado que[,siendo pertinente de acuerdo a los hechos en cuestión</w:t>
      </w:r>
      <w:r>
        <w:rPr>
          <w:rStyle w:val="FootnoteReference"/>
          <w:spacing w:val="-2"/>
          <w:sz w:val="16"/>
          <w:szCs w:val="16"/>
        </w:rPr>
        <w:footnoteReference w:id="227"/>
      </w:r>
      <w:r>
        <w:rPr>
          <w:spacing w:val="-2"/>
          <w:sz w:val="16"/>
          <w:szCs w:val="16"/>
        </w:rPr>
        <w:t>,] el derecho de acceso a la justicia debe asegurar, en tiempo razonable, el derecho de las presuntas víctimas o sus familiares a que se haga todo lo necesario para conocer la verdad de lo sucedido e investigar, juzgar y, en su caso, sancionar a los eventuales responsables</w:t>
      </w:r>
      <w:r>
        <w:rPr>
          <w:spacing w:val="-2"/>
          <w:sz w:val="16"/>
          <w:szCs w:val="16"/>
          <w:vertAlign w:val="superscript"/>
        </w:rPr>
        <w:footnoteReference w:id="228"/>
      </w:r>
      <w:r>
        <w:rPr>
          <w:spacing w:val="-2"/>
          <w:sz w:val="16"/>
          <w:szCs w:val="16"/>
        </w:rPr>
        <w:t xml:space="preserve">. </w:t>
      </w:r>
    </w:p>
    <w:p w:rsidR="0017102D" w:rsidRDefault="0017102D" w:rsidP="0017102D">
      <w:pPr>
        <w:pStyle w:val="Estilo1"/>
        <w:numPr>
          <w:ilvl w:val="0"/>
          <w:numId w:val="0"/>
        </w:numPr>
        <w:spacing w:after="0"/>
      </w:pPr>
    </w:p>
    <w:p w:rsidR="0017102D" w:rsidRDefault="0017102D" w:rsidP="00347658">
      <w:pPr>
        <w:pStyle w:val="Estilo1"/>
        <w:tabs>
          <w:tab w:val="clear" w:pos="18282"/>
        </w:tabs>
        <w:spacing w:after="0"/>
      </w:pPr>
      <w:r>
        <w:rPr>
          <w:spacing w:val="-2"/>
        </w:rPr>
        <w:t>Además, este Tribunal ha señalado que</w:t>
      </w:r>
    </w:p>
    <w:p w:rsidR="0017102D" w:rsidRDefault="0017102D" w:rsidP="0017102D">
      <w:pPr>
        <w:pStyle w:val="Estilo1"/>
        <w:numPr>
          <w:ilvl w:val="0"/>
          <w:numId w:val="0"/>
        </w:numPr>
        <w:spacing w:after="0"/>
        <w:rPr>
          <w:spacing w:val="-2"/>
        </w:rPr>
      </w:pPr>
    </w:p>
    <w:p w:rsidR="0017102D" w:rsidRDefault="0017102D" w:rsidP="0017102D">
      <w:pPr>
        <w:tabs>
          <w:tab w:val="left" w:pos="8789"/>
          <w:tab w:val="left" w:pos="9214"/>
        </w:tabs>
        <w:ind w:left="567" w:right="855"/>
        <w:contextualSpacing/>
        <w:rPr>
          <w:rFonts w:cs="Arial"/>
          <w:spacing w:val="-2"/>
          <w:sz w:val="16"/>
          <w:szCs w:val="16"/>
        </w:rPr>
      </w:pPr>
      <w:r>
        <w:rPr>
          <w:spacing w:val="-2"/>
          <w:sz w:val="16"/>
          <w:szCs w:val="16"/>
        </w:rPr>
        <w:t>[….E</w:t>
      </w:r>
      <w:proofErr w:type="gramStart"/>
      <w:r>
        <w:rPr>
          <w:spacing w:val="-2"/>
          <w:sz w:val="16"/>
          <w:szCs w:val="16"/>
        </w:rPr>
        <w:t>]</w:t>
      </w:r>
      <w:r>
        <w:rPr>
          <w:rFonts w:cs="Arial"/>
          <w:spacing w:val="-2"/>
          <w:sz w:val="16"/>
          <w:szCs w:val="16"/>
        </w:rPr>
        <w:t>l</w:t>
      </w:r>
      <w:proofErr w:type="gramEnd"/>
      <w:r>
        <w:rPr>
          <w:rFonts w:cs="Arial"/>
          <w:spacing w:val="-2"/>
          <w:sz w:val="16"/>
          <w:szCs w:val="16"/>
        </w:rPr>
        <w:t xml:space="preserve"> deber de investigar es una obligación de medio y no de resultado, que debe ser asumida por el Estado como un deber jurídico </w:t>
      </w:r>
      <w:r>
        <w:rPr>
          <w:spacing w:val="-2"/>
          <w:sz w:val="16"/>
          <w:szCs w:val="16"/>
        </w:rPr>
        <w:t>propio</w:t>
      </w:r>
      <w:r>
        <w:rPr>
          <w:rFonts w:cs="Arial"/>
          <w:spacing w:val="-2"/>
          <w:sz w:val="16"/>
          <w:szCs w:val="16"/>
        </w:rPr>
        <w:t xml:space="preserve"> y no </w:t>
      </w:r>
      <w:r>
        <w:rPr>
          <w:spacing w:val="-2"/>
          <w:sz w:val="16"/>
          <w:szCs w:val="16"/>
        </w:rPr>
        <w:t>como</w:t>
      </w:r>
      <w:r>
        <w:rPr>
          <w:rFonts w:cs="Arial"/>
          <w:spacing w:val="-2"/>
          <w:sz w:val="16"/>
          <w:szCs w:val="16"/>
        </w:rPr>
        <w:t xml:space="preserve"> una simple formalidad condenada de antemano a ser infructuosa, o como una mera gestión de </w:t>
      </w:r>
      <w:r>
        <w:rPr>
          <w:rFonts w:eastAsia="Batang"/>
          <w:spacing w:val="-2"/>
          <w:sz w:val="16"/>
          <w:szCs w:val="16"/>
        </w:rPr>
        <w:t>intereses</w:t>
      </w:r>
      <w:r>
        <w:rPr>
          <w:rFonts w:cs="Arial"/>
          <w:spacing w:val="-2"/>
          <w:sz w:val="16"/>
          <w:szCs w:val="16"/>
        </w:rPr>
        <w:t xml:space="preserve"> particulares</w:t>
      </w:r>
      <w:r>
        <w:rPr>
          <w:spacing w:val="-2"/>
          <w:sz w:val="16"/>
          <w:szCs w:val="16"/>
          <w:lang w:eastAsia="es-MX"/>
        </w:rPr>
        <w:t xml:space="preserve">, que dependa de la iniciativa procesal de las víctimas o de sus familiares o de la aportación privada de </w:t>
      </w:r>
      <w:r>
        <w:rPr>
          <w:spacing w:val="-2"/>
          <w:sz w:val="16"/>
          <w:szCs w:val="16"/>
        </w:rPr>
        <w:t>elementos</w:t>
      </w:r>
      <w:r>
        <w:rPr>
          <w:spacing w:val="-2"/>
          <w:sz w:val="16"/>
          <w:szCs w:val="16"/>
          <w:lang w:eastAsia="es-MX"/>
        </w:rPr>
        <w:t xml:space="preserve"> probatorios</w:t>
      </w:r>
      <w:r>
        <w:rPr>
          <w:spacing w:val="-2"/>
          <w:sz w:val="16"/>
          <w:szCs w:val="16"/>
          <w:vertAlign w:val="superscript"/>
          <w:lang w:eastAsia="es-MX"/>
        </w:rPr>
        <w:footnoteReference w:id="229"/>
      </w:r>
      <w:r>
        <w:rPr>
          <w:rFonts w:cs="Arial"/>
          <w:spacing w:val="-2"/>
          <w:sz w:val="16"/>
          <w:szCs w:val="16"/>
        </w:rPr>
        <w:t xml:space="preserve">. […] Asimismo, </w:t>
      </w:r>
      <w:r>
        <w:rPr>
          <w:spacing w:val="-2"/>
          <w:sz w:val="16"/>
          <w:szCs w:val="16"/>
        </w:rPr>
        <w:t>la debida diligencia exige que el órgano que investiga lleve a cabo todas aquellas actuaciones y averiguaciones necesarias para procurar el resultado que se persigue. De otro modo, la investigación no es efectiva en los términos de la Convención</w:t>
      </w:r>
      <w:r>
        <w:rPr>
          <w:spacing w:val="-2"/>
          <w:sz w:val="16"/>
          <w:szCs w:val="16"/>
          <w:vertAlign w:val="superscript"/>
        </w:rPr>
        <w:footnoteReference w:id="230"/>
      </w:r>
      <w:r>
        <w:rPr>
          <w:spacing w:val="-2"/>
          <w:sz w:val="16"/>
          <w:szCs w:val="16"/>
        </w:rPr>
        <w:t xml:space="preserve">. </w:t>
      </w:r>
      <w:r>
        <w:rPr>
          <w:rFonts w:eastAsia="Batang"/>
          <w:spacing w:val="-2"/>
          <w:sz w:val="16"/>
          <w:szCs w:val="16"/>
        </w:rPr>
        <w:t>De forma particular, de conformidad con el artículo 1.1 de la Convención Americana, la obligación de garantizar los derechos reconocidos en los artículos 5.1 y 5.2 de la Convención Americana implica el deber del Estado de investigar posibles actos de tortura u otros tratos crueles, inhumanos o degradantes</w:t>
      </w:r>
      <w:r>
        <w:rPr>
          <w:rFonts w:eastAsia="Batang"/>
          <w:spacing w:val="-2"/>
          <w:sz w:val="16"/>
          <w:szCs w:val="16"/>
          <w:vertAlign w:val="superscript"/>
        </w:rPr>
        <w:footnoteReference w:id="231"/>
      </w:r>
      <w:r>
        <w:rPr>
          <w:rFonts w:eastAsia="Batang"/>
          <w:spacing w:val="-2"/>
          <w:sz w:val="16"/>
          <w:szCs w:val="16"/>
        </w:rPr>
        <w:t>.</w:t>
      </w:r>
    </w:p>
    <w:p w:rsidR="0017102D" w:rsidRDefault="0017102D" w:rsidP="0017102D">
      <w:pPr>
        <w:pStyle w:val="Estilo1"/>
        <w:numPr>
          <w:ilvl w:val="0"/>
          <w:numId w:val="0"/>
        </w:numPr>
        <w:spacing w:after="0"/>
      </w:pPr>
    </w:p>
    <w:p w:rsidR="0017102D" w:rsidRPr="004454B8" w:rsidRDefault="00BE7E3C" w:rsidP="00347658">
      <w:pPr>
        <w:pStyle w:val="Estilo1"/>
        <w:tabs>
          <w:tab w:val="clear" w:pos="18282"/>
        </w:tabs>
        <w:spacing w:after="0"/>
      </w:pPr>
      <w:r w:rsidRPr="004454B8">
        <w:rPr>
          <w:spacing w:val="-2"/>
        </w:rPr>
        <w:t xml:space="preserve">Sin perjuicio de lo expresado, la </w:t>
      </w:r>
      <w:r w:rsidR="00BB4744" w:rsidRPr="004454B8">
        <w:rPr>
          <w:spacing w:val="-2"/>
        </w:rPr>
        <w:t xml:space="preserve">Comisión y el representante han </w:t>
      </w:r>
      <w:r w:rsidRPr="004454B8">
        <w:rPr>
          <w:spacing w:val="-2"/>
        </w:rPr>
        <w:t xml:space="preserve">argüido que </w:t>
      </w:r>
      <w:r w:rsidR="00BB4744" w:rsidRPr="004454B8">
        <w:rPr>
          <w:spacing w:val="-2"/>
        </w:rPr>
        <w:t>el incumplimiento del deber de investigar</w:t>
      </w:r>
      <w:r w:rsidRPr="004454B8">
        <w:rPr>
          <w:spacing w:val="-2"/>
        </w:rPr>
        <w:t xml:space="preserve"> implicó una violación de</w:t>
      </w:r>
      <w:r w:rsidR="00BB4744" w:rsidRPr="004454B8">
        <w:rPr>
          <w:spacing w:val="-2"/>
        </w:rPr>
        <w:t xml:space="preserve"> los derechos a las garantías judiciales y a la protección judicia</w:t>
      </w:r>
      <w:r w:rsidR="00470CD8">
        <w:rPr>
          <w:spacing w:val="-2"/>
        </w:rPr>
        <w:t xml:space="preserve">l establecidos en los artículos </w:t>
      </w:r>
      <w:r w:rsidR="00BB4744" w:rsidRPr="004454B8">
        <w:rPr>
          <w:spacing w:val="-2"/>
        </w:rPr>
        <w:t>8 y 25 de la Convención,</w:t>
      </w:r>
      <w:r w:rsidRPr="004454B8">
        <w:rPr>
          <w:spacing w:val="-2"/>
        </w:rPr>
        <w:t xml:space="preserve"> y no </w:t>
      </w:r>
      <w:r w:rsidRPr="004454B8">
        <w:rPr>
          <w:spacing w:val="-2"/>
        </w:rPr>
        <w:lastRenderedPageBreak/>
        <w:t>a otras normas. Teniendo en cuenta lo dicho, en este caso la Corte estima procedente limitar el examen de la aducida falta de investigación en lo atinente a</w:t>
      </w:r>
      <w:r w:rsidR="004B2EFD" w:rsidRPr="004454B8">
        <w:rPr>
          <w:spacing w:val="-2"/>
        </w:rPr>
        <w:t xml:space="preserve"> los derechos a</w:t>
      </w:r>
      <w:r w:rsidRPr="004454B8">
        <w:rPr>
          <w:spacing w:val="-2"/>
        </w:rPr>
        <w:t xml:space="preserve"> las garantías judiciales y </w:t>
      </w:r>
      <w:r w:rsidR="004B2EFD" w:rsidRPr="004454B8">
        <w:rPr>
          <w:spacing w:val="-2"/>
        </w:rPr>
        <w:t xml:space="preserve">a la </w:t>
      </w:r>
      <w:r w:rsidRPr="004454B8">
        <w:rPr>
          <w:spacing w:val="-2"/>
        </w:rPr>
        <w:t>p</w:t>
      </w:r>
      <w:r w:rsidR="004B2EFD" w:rsidRPr="004454B8">
        <w:rPr>
          <w:spacing w:val="-2"/>
        </w:rPr>
        <w:t>rotección judicial.</w:t>
      </w:r>
    </w:p>
    <w:p w:rsidR="0017102D" w:rsidRDefault="0017102D" w:rsidP="0017102D">
      <w:pPr>
        <w:pStyle w:val="Estilo1"/>
        <w:numPr>
          <w:ilvl w:val="0"/>
          <w:numId w:val="0"/>
        </w:numPr>
        <w:spacing w:after="0"/>
      </w:pPr>
    </w:p>
    <w:p w:rsidR="0017102D" w:rsidRDefault="0017102D" w:rsidP="00347658">
      <w:pPr>
        <w:pStyle w:val="Estilo1"/>
        <w:tabs>
          <w:tab w:val="clear" w:pos="18282"/>
        </w:tabs>
        <w:spacing w:after="0"/>
      </w:pPr>
      <w:r>
        <w:rPr>
          <w:spacing w:val="-2"/>
        </w:rPr>
        <w:t xml:space="preserve">De acuerdo a lo dicho en precedentes de este Tribunal, </w:t>
      </w:r>
    </w:p>
    <w:p w:rsidR="0017102D" w:rsidRDefault="0017102D" w:rsidP="0017102D">
      <w:pPr>
        <w:pStyle w:val="ListParagraph"/>
        <w:ind w:left="0"/>
        <w:rPr>
          <w:spacing w:val="-2"/>
        </w:rPr>
      </w:pPr>
    </w:p>
    <w:p w:rsidR="0017102D" w:rsidRDefault="0017102D" w:rsidP="0017102D">
      <w:pPr>
        <w:ind w:left="567" w:right="855"/>
        <w:rPr>
          <w:sz w:val="16"/>
          <w:szCs w:val="16"/>
        </w:rPr>
      </w:pPr>
      <w:proofErr w:type="spellStart"/>
      <w:proofErr w:type="gramStart"/>
      <w:r>
        <w:rPr>
          <w:sz w:val="16"/>
          <w:szCs w:val="16"/>
        </w:rPr>
        <w:t>aún</w:t>
      </w:r>
      <w:proofErr w:type="spellEnd"/>
      <w:proofErr w:type="gramEnd"/>
      <w:r>
        <w:rPr>
          <w:sz w:val="16"/>
          <w:szCs w:val="16"/>
        </w:rPr>
        <w:t xml:space="preserve"> cuando los actos de tortura o tratos crueles, inhumanos o degradantes no hayan sido denunciados ante las autoridades competentes por la propia víctima, en todo caso en que existan indicios de su ocurrencia, el Estado deberá iniciar de oficio y de inmediato una investigación imparcial, independiente y minuciosa que permita determinar la naturaleza y el origen de las lesiones advertidas, identificar a los responsables e iniciar su procesamiento</w:t>
      </w:r>
      <w:r>
        <w:rPr>
          <w:sz w:val="16"/>
          <w:szCs w:val="16"/>
          <w:vertAlign w:val="superscript"/>
        </w:rPr>
        <w:footnoteReference w:id="232"/>
      </w:r>
      <w:r>
        <w:rPr>
          <w:sz w:val="16"/>
          <w:szCs w:val="16"/>
        </w:rPr>
        <w:t>.</w:t>
      </w:r>
    </w:p>
    <w:p w:rsidR="0017102D" w:rsidRDefault="0017102D" w:rsidP="0017102D">
      <w:pPr>
        <w:pStyle w:val="ListParagraph"/>
        <w:ind w:left="0"/>
        <w:rPr>
          <w:spacing w:val="-2"/>
        </w:rPr>
      </w:pPr>
    </w:p>
    <w:p w:rsidR="0017102D" w:rsidRDefault="0017102D" w:rsidP="00347658">
      <w:pPr>
        <w:pStyle w:val="Estilo1"/>
        <w:tabs>
          <w:tab w:val="clear" w:pos="18282"/>
        </w:tabs>
        <w:spacing w:after="0"/>
      </w:pPr>
      <w:r>
        <w:rPr>
          <w:spacing w:val="-2"/>
        </w:rPr>
        <w:t xml:space="preserve">Surge de los hechos que </w:t>
      </w:r>
      <w:r>
        <w:t>e</w:t>
      </w:r>
      <w:r>
        <w:rPr>
          <w:lang w:val="es-CR"/>
        </w:rPr>
        <w:t xml:space="preserve">l 13 de diciembre de 1994 el señor Galindo, al solicitar  “copias certificadas” de la “investigación policial-militar” al Fiscal Provincial de la Primera Fiscalía Penal de Huánuco, indicó que “[s]e [le] recluyó en una base militar, donde </w:t>
      </w:r>
      <w:proofErr w:type="spellStart"/>
      <w:proofErr w:type="gramStart"/>
      <w:r>
        <w:rPr>
          <w:lang w:val="es-CR"/>
        </w:rPr>
        <w:t>sufr</w:t>
      </w:r>
      <w:proofErr w:type="spellEnd"/>
      <w:r>
        <w:rPr>
          <w:lang w:val="es-CR"/>
        </w:rPr>
        <w:t>[</w:t>
      </w:r>
      <w:proofErr w:type="spellStart"/>
      <w:proofErr w:type="gramEnd"/>
      <w:r>
        <w:rPr>
          <w:lang w:val="es-CR"/>
        </w:rPr>
        <w:t>ió</w:t>
      </w:r>
      <w:proofErr w:type="spellEnd"/>
      <w:r>
        <w:rPr>
          <w:lang w:val="es-CR"/>
        </w:rPr>
        <w:t>] tortura psicológica e incomunicación inicialmente” (</w:t>
      </w:r>
      <w:r>
        <w:rPr>
          <w:i/>
          <w:lang w:val="es-CR"/>
        </w:rPr>
        <w:t>supra</w:t>
      </w:r>
      <w:r>
        <w:rPr>
          <w:lang w:val="es-CR"/>
        </w:rPr>
        <w:t xml:space="preserve"> párr. 1</w:t>
      </w:r>
      <w:r w:rsidR="008E5578">
        <w:rPr>
          <w:lang w:val="es-CR"/>
        </w:rPr>
        <w:t>41</w:t>
      </w:r>
      <w:r>
        <w:rPr>
          <w:lang w:val="es-CR"/>
        </w:rPr>
        <w:t xml:space="preserve">). Los días 16 y </w:t>
      </w:r>
      <w:r w:rsidR="003B0237" w:rsidRPr="008D2D9F">
        <w:rPr>
          <w:lang w:val="es-CR"/>
        </w:rPr>
        <w:t>23</w:t>
      </w:r>
      <w:r>
        <w:rPr>
          <w:lang w:val="es-CR"/>
        </w:rPr>
        <w:t xml:space="preserve"> de enero de 1995 el señor Galindo hizo el mismo señalamiento en sus presentaciones ante la Fiscalía General de la Nación y la Comisión de Derechos Humanos del Congreso Constituyente (</w:t>
      </w:r>
      <w:r>
        <w:rPr>
          <w:i/>
          <w:lang w:val="es-CR"/>
        </w:rPr>
        <w:t>supra</w:t>
      </w:r>
      <w:r>
        <w:rPr>
          <w:lang w:val="es-CR"/>
        </w:rPr>
        <w:t xml:space="preserve"> </w:t>
      </w:r>
      <w:proofErr w:type="spellStart"/>
      <w:r>
        <w:rPr>
          <w:lang w:val="es-CR"/>
        </w:rPr>
        <w:t>párrs</w:t>
      </w:r>
      <w:proofErr w:type="spellEnd"/>
      <w:r>
        <w:rPr>
          <w:lang w:val="es-CR"/>
        </w:rPr>
        <w:t>. 1</w:t>
      </w:r>
      <w:r w:rsidR="00AB4251">
        <w:rPr>
          <w:lang w:val="es-CR"/>
        </w:rPr>
        <w:t>40</w:t>
      </w:r>
      <w:r>
        <w:rPr>
          <w:lang w:val="es-CR"/>
        </w:rPr>
        <w:t xml:space="preserve"> a 1</w:t>
      </w:r>
      <w:r w:rsidR="00AB4251">
        <w:rPr>
          <w:lang w:val="es-CR"/>
        </w:rPr>
        <w:t>42</w:t>
      </w:r>
      <w:r>
        <w:rPr>
          <w:lang w:val="es-CR"/>
        </w:rPr>
        <w:t xml:space="preserve">). En la presentación del 16 de enero de 1995, el señor Galindo, luego de exponer circunstancias de su privación de libertad, solicitó la investigación “de los hechos, así como de “la inconducta funcional” de “funcionarios del Ministerio Público de Huánuco”. </w:t>
      </w:r>
    </w:p>
    <w:p w:rsidR="0017102D" w:rsidRDefault="0017102D" w:rsidP="0017102D">
      <w:pPr>
        <w:pStyle w:val="Estilo1"/>
        <w:numPr>
          <w:ilvl w:val="0"/>
          <w:numId w:val="0"/>
        </w:numPr>
        <w:spacing w:after="0"/>
      </w:pPr>
    </w:p>
    <w:p w:rsidR="0017102D" w:rsidRDefault="0017102D" w:rsidP="00347658">
      <w:pPr>
        <w:pStyle w:val="Estilo1"/>
        <w:tabs>
          <w:tab w:val="clear" w:pos="18282"/>
        </w:tabs>
        <w:spacing w:after="0"/>
      </w:pPr>
      <w:r>
        <w:rPr>
          <w:spacing w:val="-2"/>
        </w:rPr>
        <w:t xml:space="preserve">No consta que el Estado </w:t>
      </w:r>
      <w:r w:rsidR="00F27083" w:rsidRPr="00DF3EE2">
        <w:rPr>
          <w:spacing w:val="-2"/>
        </w:rPr>
        <w:t>iniciar</w:t>
      </w:r>
      <w:r w:rsidR="006A05EF" w:rsidRPr="00DF3EE2">
        <w:rPr>
          <w:spacing w:val="-2"/>
        </w:rPr>
        <w:t>a</w:t>
      </w:r>
      <w:r w:rsidR="00D4195F">
        <w:rPr>
          <w:b/>
          <w:spacing w:val="-2"/>
        </w:rPr>
        <w:t xml:space="preserve"> </w:t>
      </w:r>
      <w:r>
        <w:rPr>
          <w:spacing w:val="-2"/>
        </w:rPr>
        <w:t>acciones de investigación sobre la “tortura psicológica” aludida sino hasta el 14 de septiembre de 2012 (</w:t>
      </w:r>
      <w:r>
        <w:rPr>
          <w:i/>
          <w:spacing w:val="-2"/>
        </w:rPr>
        <w:t>supra</w:t>
      </w:r>
      <w:r>
        <w:rPr>
          <w:spacing w:val="-2"/>
        </w:rPr>
        <w:t xml:space="preserve"> párr. 1</w:t>
      </w:r>
      <w:r w:rsidR="007D3AF6">
        <w:rPr>
          <w:spacing w:val="-2"/>
        </w:rPr>
        <w:t>50</w:t>
      </w:r>
      <w:r>
        <w:rPr>
          <w:spacing w:val="-2"/>
        </w:rPr>
        <w:t xml:space="preserve">). </w:t>
      </w:r>
    </w:p>
    <w:p w:rsidR="0017102D" w:rsidRDefault="0017102D" w:rsidP="0017102D">
      <w:pPr>
        <w:pStyle w:val="ListParagraph"/>
        <w:ind w:left="0"/>
        <w:rPr>
          <w:spacing w:val="-2"/>
        </w:rPr>
      </w:pPr>
    </w:p>
    <w:p w:rsidR="0017102D" w:rsidRDefault="0017102D" w:rsidP="00347658">
      <w:pPr>
        <w:pStyle w:val="Estilo1"/>
        <w:tabs>
          <w:tab w:val="clear" w:pos="18282"/>
        </w:tabs>
        <w:spacing w:after="0"/>
      </w:pPr>
      <w:r>
        <w:rPr>
          <w:spacing w:val="-2"/>
        </w:rPr>
        <w:t xml:space="preserve">Por otra parte, el </w:t>
      </w:r>
      <w:r>
        <w:rPr>
          <w:lang w:val="es-CR"/>
        </w:rPr>
        <w:t>8 de mayo de 1998 el Ministerio Público resolvió archivar definitivamente la denuncia formulada por el señor de Galindo “por los delitos de [a]</w:t>
      </w:r>
      <w:proofErr w:type="spellStart"/>
      <w:r>
        <w:rPr>
          <w:lang w:val="es-CR"/>
        </w:rPr>
        <w:t>buso</w:t>
      </w:r>
      <w:proofErr w:type="spellEnd"/>
      <w:r>
        <w:rPr>
          <w:lang w:val="es-CR"/>
        </w:rPr>
        <w:t xml:space="preserve"> de [a]</w:t>
      </w:r>
      <w:proofErr w:type="spellStart"/>
      <w:r>
        <w:rPr>
          <w:lang w:val="es-CR"/>
        </w:rPr>
        <w:t>utoridad</w:t>
      </w:r>
      <w:proofErr w:type="spellEnd"/>
      <w:r>
        <w:rPr>
          <w:lang w:val="es-CR"/>
        </w:rPr>
        <w:t>, [c]</w:t>
      </w:r>
      <w:proofErr w:type="spellStart"/>
      <w:r>
        <w:rPr>
          <w:lang w:val="es-CR"/>
        </w:rPr>
        <w:t>ontra</w:t>
      </w:r>
      <w:proofErr w:type="spellEnd"/>
      <w:r>
        <w:rPr>
          <w:lang w:val="es-CR"/>
        </w:rPr>
        <w:t xml:space="preserve"> la [f]unción [j]</w:t>
      </w:r>
      <w:proofErr w:type="spellStart"/>
      <w:r>
        <w:rPr>
          <w:lang w:val="es-CR"/>
        </w:rPr>
        <w:t>urisdiccional</w:t>
      </w:r>
      <w:proofErr w:type="spellEnd"/>
      <w:r>
        <w:rPr>
          <w:lang w:val="es-CR"/>
        </w:rPr>
        <w:t xml:space="preserve"> y [p]</w:t>
      </w:r>
      <w:proofErr w:type="spellStart"/>
      <w:r>
        <w:rPr>
          <w:lang w:val="es-CR"/>
        </w:rPr>
        <w:t>revaricato</w:t>
      </w:r>
      <w:proofErr w:type="spellEnd"/>
      <w:r w:rsidRPr="00AF0324">
        <w:rPr>
          <w:lang w:val="es-CR"/>
        </w:rPr>
        <w:t>”, e</w:t>
      </w:r>
      <w:r>
        <w:rPr>
          <w:lang w:val="es-CR"/>
        </w:rPr>
        <w:t xml:space="preserve">n razón de la aplicación de legislación de amnistía, la Ley No. 26479 y su ampliatoria Ley No. 26492, normas que la Corte ha determinado contrarias a la Convención </w:t>
      </w:r>
      <w:r w:rsidRPr="003B743F">
        <w:rPr>
          <w:lang w:val="es-CR"/>
        </w:rPr>
        <w:t>Americana</w:t>
      </w:r>
      <w:r w:rsidR="00A65F25" w:rsidRPr="003B743F">
        <w:rPr>
          <w:lang w:val="es-CR"/>
        </w:rPr>
        <w:t xml:space="preserve"> (</w:t>
      </w:r>
      <w:r w:rsidR="00A65F25" w:rsidRPr="003B743F">
        <w:rPr>
          <w:i/>
          <w:lang w:val="es-CR"/>
        </w:rPr>
        <w:t xml:space="preserve">supra </w:t>
      </w:r>
      <w:r w:rsidR="00A65F25" w:rsidRPr="003B743F">
        <w:rPr>
          <w:lang w:val="es-CR"/>
        </w:rPr>
        <w:t>párr. 11</w:t>
      </w:r>
      <w:r w:rsidR="007D3AF6">
        <w:rPr>
          <w:lang w:val="es-CR"/>
        </w:rPr>
        <w:t>6</w:t>
      </w:r>
      <w:r w:rsidR="00A65F25" w:rsidRPr="003B743F">
        <w:rPr>
          <w:lang w:val="es-CR"/>
        </w:rPr>
        <w:t>)</w:t>
      </w:r>
      <w:r w:rsidRPr="003B743F">
        <w:rPr>
          <w:lang w:val="es-CR"/>
        </w:rPr>
        <w:t>.</w:t>
      </w:r>
      <w:r>
        <w:rPr>
          <w:lang w:val="es-CR"/>
        </w:rPr>
        <w:t xml:space="preserve"> No obstante, e</w:t>
      </w:r>
      <w:r>
        <w:t>n tanto la aplicación en el caso de legislación de amnistía,</w:t>
      </w:r>
      <w:r>
        <w:rPr>
          <w:b/>
        </w:rPr>
        <w:t xml:space="preserve"> </w:t>
      </w:r>
      <w:r>
        <w:t xml:space="preserve">se relacionó a un procedimiento distinto al de la investigación de la “tortura psicológica” que el señor Galindo aduce haber sufrido, la Corte no observa que se haya demostrado que tuviera incidencia en la falta de investigación en lo que es relevante al caso. Por ende no considera procedente pronunciarse en esta oportunidad sobre dichas normas en relación con el artículo 2 de la Convención Americana.   </w:t>
      </w:r>
    </w:p>
    <w:p w:rsidR="0017102D" w:rsidRDefault="0017102D" w:rsidP="0017102D">
      <w:pPr>
        <w:pStyle w:val="Estilo1"/>
        <w:numPr>
          <w:ilvl w:val="0"/>
          <w:numId w:val="0"/>
        </w:numPr>
        <w:spacing w:after="0"/>
      </w:pPr>
    </w:p>
    <w:p w:rsidR="0017102D" w:rsidRDefault="00BA39D5" w:rsidP="0017102D">
      <w:pPr>
        <w:pStyle w:val="Estilo1"/>
        <w:tabs>
          <w:tab w:val="clear" w:pos="18282"/>
        </w:tabs>
        <w:spacing w:after="0"/>
      </w:pPr>
      <w:r>
        <w:t xml:space="preserve">Por último, </w:t>
      </w:r>
      <w:r w:rsidR="0017102D">
        <w:t>la Corte no considera necesario examinar el argumento del representante sobre la falta de entrega de copias (</w:t>
      </w:r>
      <w:r w:rsidR="0017102D">
        <w:rPr>
          <w:i/>
        </w:rPr>
        <w:t>supra</w:t>
      </w:r>
      <w:r w:rsidR="0017102D">
        <w:t xml:space="preserve"> párr. 25</w:t>
      </w:r>
      <w:r w:rsidR="007D3AF6">
        <w:t>4</w:t>
      </w:r>
      <w:r w:rsidR="0049424D">
        <w:t xml:space="preserve">), pues este Tribunal ha analizado la </w:t>
      </w:r>
      <w:r w:rsidR="0017102D">
        <w:t>vulneración al artículo 25</w:t>
      </w:r>
      <w:r w:rsidR="00470CD8">
        <w:t>.1</w:t>
      </w:r>
      <w:r w:rsidR="0017102D">
        <w:t xml:space="preserve"> de la</w:t>
      </w:r>
      <w:r w:rsidR="0049424D">
        <w:t xml:space="preserve"> Convención, en conjunto con el </w:t>
      </w:r>
      <w:r w:rsidR="0017102D">
        <w:t>artículo 8</w:t>
      </w:r>
      <w:r w:rsidR="00470CD8">
        <w:t>.1</w:t>
      </w:r>
      <w:r w:rsidR="0049424D">
        <w:t xml:space="preserve"> de la misma</w:t>
      </w:r>
      <w:r w:rsidR="0017102D">
        <w:t>, por la falta de investigación de los hechos, y no advierte que el análisis del argumento referido pueda derivar en conclusione</w:t>
      </w:r>
      <w:r w:rsidR="00F33529">
        <w:t>s distintas o adicionales.</w:t>
      </w:r>
    </w:p>
    <w:p w:rsidR="00470CD8" w:rsidRPr="00F33529" w:rsidRDefault="00470CD8" w:rsidP="00470CD8">
      <w:pPr>
        <w:pStyle w:val="Estilo1"/>
        <w:numPr>
          <w:ilvl w:val="0"/>
          <w:numId w:val="0"/>
        </w:numPr>
        <w:spacing w:after="0"/>
      </w:pPr>
    </w:p>
    <w:p w:rsidR="0017102D" w:rsidRDefault="0017102D" w:rsidP="00347658">
      <w:pPr>
        <w:pStyle w:val="Estilo1"/>
        <w:tabs>
          <w:tab w:val="clear" w:pos="18282"/>
        </w:tabs>
        <w:spacing w:after="0"/>
      </w:pPr>
      <w:r>
        <w:rPr>
          <w:spacing w:val="-2"/>
        </w:rPr>
        <w:t>Lo expuesto resulta suficiente para concluir que el Estado incumplió su deber de iniciar una investigación en forma inmediata sobre la “tortura psicológica” aludida por el señor Galindo en sus presentaciones</w:t>
      </w:r>
      <w:r w:rsidR="00D54B5A">
        <w:rPr>
          <w:spacing w:val="-2"/>
        </w:rPr>
        <w:t xml:space="preserve"> (</w:t>
      </w:r>
      <w:r w:rsidR="00D54B5A" w:rsidRPr="00D54B5A">
        <w:rPr>
          <w:i/>
          <w:spacing w:val="-2"/>
        </w:rPr>
        <w:t>supra</w:t>
      </w:r>
      <w:r w:rsidR="00D54B5A">
        <w:rPr>
          <w:spacing w:val="-2"/>
        </w:rPr>
        <w:t xml:space="preserve"> 262)</w:t>
      </w:r>
      <w:r>
        <w:rPr>
          <w:spacing w:val="-2"/>
        </w:rPr>
        <w:t xml:space="preserve">. En consecuencia, la Corte considera que el Estado </w:t>
      </w:r>
      <w:r>
        <w:rPr>
          <w:spacing w:val="-2"/>
        </w:rPr>
        <w:lastRenderedPageBreak/>
        <w:t xml:space="preserve">violó el </w:t>
      </w:r>
      <w:r w:rsidR="00DF7CEB">
        <w:rPr>
          <w:spacing w:val="-2"/>
        </w:rPr>
        <w:t xml:space="preserve">derecho </w:t>
      </w:r>
      <w:r>
        <w:rPr>
          <w:spacing w:val="-2"/>
        </w:rPr>
        <w:t xml:space="preserve">a acceder a la justicia, consagrado en los artículos 8.1 y 25.1 de la Convención Americana, en relación con la obligación de respetar </w:t>
      </w:r>
      <w:proofErr w:type="gramStart"/>
      <w:r>
        <w:rPr>
          <w:spacing w:val="-2"/>
        </w:rPr>
        <w:t>los derechos establecida en el artículo 1.1 de la Convención</w:t>
      </w:r>
      <w:r w:rsidR="00DF7CEB">
        <w:rPr>
          <w:spacing w:val="-2"/>
        </w:rPr>
        <w:t>, en perjuicio del señor Luis Antonio Galindo Cárdenas</w:t>
      </w:r>
      <w:proofErr w:type="gramEnd"/>
      <w:r>
        <w:rPr>
          <w:spacing w:val="-2"/>
        </w:rPr>
        <w:t xml:space="preserve">. </w:t>
      </w:r>
    </w:p>
    <w:p w:rsidR="007A5F65" w:rsidRPr="0017102D" w:rsidRDefault="007A5F65" w:rsidP="0000297E">
      <w:pPr>
        <w:pStyle w:val="ListParagraph"/>
        <w:jc w:val="center"/>
        <w:outlineLvl w:val="0"/>
        <w:rPr>
          <w:b/>
          <w:sz w:val="20"/>
          <w:szCs w:val="20"/>
          <w:lang w:val="es-ES"/>
        </w:rPr>
      </w:pPr>
    </w:p>
    <w:p w:rsidR="00AF4414" w:rsidRDefault="00AF4414" w:rsidP="007A5F65">
      <w:pPr>
        <w:pStyle w:val="Heading1"/>
      </w:pPr>
      <w:bookmarkStart w:id="372" w:name="_Toc438129734"/>
      <w:bookmarkStart w:id="373" w:name="_Toc424313491"/>
      <w:bookmarkStart w:id="374" w:name="_Toc430869793"/>
      <w:bookmarkStart w:id="375" w:name="_Toc415507387"/>
      <w:bookmarkStart w:id="376" w:name="_Toc418530476"/>
      <w:bookmarkStart w:id="377" w:name="_Toc420941738"/>
      <w:r>
        <w:t>VIII.4</w:t>
      </w:r>
      <w:bookmarkEnd w:id="372"/>
    </w:p>
    <w:p w:rsidR="007A5F65" w:rsidRPr="00657EF6" w:rsidRDefault="007A5F65" w:rsidP="007A5F65">
      <w:pPr>
        <w:pStyle w:val="Heading1"/>
        <w:rPr>
          <w:strike/>
        </w:rPr>
      </w:pPr>
      <w:bookmarkStart w:id="378" w:name="_Toc438129735"/>
      <w:r>
        <w:t>P</w:t>
      </w:r>
      <w:r w:rsidRPr="00B72D8C">
        <w:t>RINCIPIO DE LEGALIDAD</w:t>
      </w:r>
      <w:bookmarkEnd w:id="373"/>
      <w:bookmarkEnd w:id="374"/>
      <w:bookmarkEnd w:id="378"/>
      <w:r w:rsidRPr="00B72D8C">
        <w:t xml:space="preserve"> </w:t>
      </w:r>
      <w:bookmarkEnd w:id="375"/>
      <w:bookmarkEnd w:id="376"/>
      <w:bookmarkEnd w:id="377"/>
    </w:p>
    <w:p w:rsidR="007A5F65" w:rsidRPr="00834F27" w:rsidRDefault="007A5F65" w:rsidP="007A5F65">
      <w:pPr>
        <w:pStyle w:val="Estilo1"/>
        <w:numPr>
          <w:ilvl w:val="0"/>
          <w:numId w:val="0"/>
        </w:numPr>
        <w:spacing w:after="0"/>
        <w:rPr>
          <w:lang w:val="es-CR"/>
        </w:rPr>
      </w:pPr>
    </w:p>
    <w:p w:rsidR="009D03FD" w:rsidRPr="00834F27" w:rsidRDefault="009D03FD" w:rsidP="00347658">
      <w:pPr>
        <w:pStyle w:val="Estilo1"/>
        <w:tabs>
          <w:tab w:val="clear" w:pos="18282"/>
        </w:tabs>
        <w:rPr>
          <w:lang w:val="es-CR"/>
        </w:rPr>
      </w:pPr>
      <w:r w:rsidRPr="007D7AC9">
        <w:t>En este capítulo la Corte primeramente presentara los alegatos de la Comisión y de las partes</w:t>
      </w:r>
      <w:r>
        <w:t xml:space="preserve"> </w:t>
      </w:r>
      <w:r w:rsidRPr="00834F27">
        <w:t>en relación con la supuesta vulneración de</w:t>
      </w:r>
      <w:r>
        <w:t xml:space="preserve">l </w:t>
      </w:r>
      <w:r w:rsidRPr="00834F27">
        <w:t>principio de legalidad</w:t>
      </w:r>
      <w:r>
        <w:rPr>
          <w:rStyle w:val="FootnoteReference"/>
        </w:rPr>
        <w:footnoteReference w:id="233"/>
      </w:r>
      <w:r w:rsidR="003625C6">
        <w:t xml:space="preserve"> y l</w:t>
      </w:r>
      <w:r w:rsidRPr="00834F27">
        <w:t>uego rea</w:t>
      </w:r>
      <w:r>
        <w:t>lizará la evaluación respectiva</w:t>
      </w:r>
      <w:r w:rsidRPr="00834F27">
        <w:t xml:space="preserve">. </w:t>
      </w:r>
    </w:p>
    <w:p w:rsidR="009D03FD" w:rsidRPr="007D7AC9" w:rsidRDefault="009D03FD" w:rsidP="009D03FD">
      <w:pPr>
        <w:pStyle w:val="ListParagraph"/>
        <w:rPr>
          <w:b/>
        </w:rPr>
      </w:pPr>
    </w:p>
    <w:p w:rsidR="009D03FD" w:rsidRPr="00F663DD" w:rsidRDefault="009D03FD" w:rsidP="009D03FD">
      <w:pPr>
        <w:pStyle w:val="ListParagraph"/>
        <w:numPr>
          <w:ilvl w:val="0"/>
          <w:numId w:val="11"/>
        </w:numPr>
        <w:ind w:left="567" w:firstLine="0"/>
        <w:contextualSpacing/>
        <w:jc w:val="both"/>
        <w:outlineLvl w:val="1"/>
        <w:rPr>
          <w:b/>
          <w:i/>
          <w:sz w:val="20"/>
          <w:szCs w:val="20"/>
        </w:rPr>
      </w:pPr>
      <w:bookmarkStart w:id="379" w:name="_Toc415507388"/>
      <w:bookmarkStart w:id="380" w:name="_Toc418530477"/>
      <w:bookmarkStart w:id="381" w:name="_Toc420941739"/>
      <w:bookmarkStart w:id="382" w:name="_Toc424313492"/>
      <w:bookmarkStart w:id="383" w:name="_Toc430869794"/>
      <w:bookmarkStart w:id="384" w:name="_Toc438129736"/>
      <w:r w:rsidRPr="00F663DD">
        <w:rPr>
          <w:b/>
          <w:i/>
          <w:sz w:val="20"/>
          <w:szCs w:val="20"/>
        </w:rPr>
        <w:t>Alegatos de la Comisión y de las partes</w:t>
      </w:r>
      <w:bookmarkEnd w:id="379"/>
      <w:bookmarkEnd w:id="380"/>
      <w:bookmarkEnd w:id="381"/>
      <w:bookmarkEnd w:id="382"/>
      <w:bookmarkEnd w:id="383"/>
      <w:bookmarkEnd w:id="384"/>
      <w:r w:rsidRPr="00F663DD">
        <w:rPr>
          <w:b/>
          <w:i/>
          <w:sz w:val="20"/>
          <w:szCs w:val="20"/>
        </w:rPr>
        <w:t xml:space="preserve"> </w:t>
      </w:r>
    </w:p>
    <w:p w:rsidR="009D03FD" w:rsidRPr="004A7FE7" w:rsidRDefault="009D03FD" w:rsidP="009D03FD">
      <w:pPr>
        <w:pStyle w:val="ListParagraph"/>
        <w:ind w:left="0"/>
        <w:contextualSpacing/>
        <w:jc w:val="both"/>
        <w:rPr>
          <w:sz w:val="20"/>
          <w:szCs w:val="20"/>
        </w:rPr>
      </w:pPr>
    </w:p>
    <w:p w:rsidR="009D03FD" w:rsidRPr="00453E55" w:rsidRDefault="009D03FD" w:rsidP="00347658">
      <w:pPr>
        <w:pStyle w:val="Estilo1"/>
        <w:tabs>
          <w:tab w:val="clear" w:pos="18282"/>
        </w:tabs>
        <w:spacing w:after="0"/>
      </w:pPr>
      <w:r w:rsidRPr="004A7FE7">
        <w:t xml:space="preserve">La </w:t>
      </w:r>
      <w:r w:rsidRPr="005F71A5">
        <w:rPr>
          <w:b/>
          <w:i/>
        </w:rPr>
        <w:t xml:space="preserve">Comisión </w:t>
      </w:r>
      <w:r w:rsidRPr="004A7FE7">
        <w:t>observó que el artículo 4 del Decreto</w:t>
      </w:r>
      <w:r>
        <w:t>-</w:t>
      </w:r>
      <w:r w:rsidRPr="004A7FE7">
        <w:t>Ley 25475 describe numerosas y diferentes conductas penales que constituyen el delito de colaboración con el terrorismo</w:t>
      </w:r>
      <w:r>
        <w:t>”</w:t>
      </w:r>
      <w:r w:rsidRPr="004A7FE7">
        <w:t xml:space="preserve">. </w:t>
      </w:r>
      <w:r>
        <w:t>Adujo que n</w:t>
      </w:r>
      <w:r w:rsidRPr="004A7FE7">
        <w:t>o obstante, el Fiscal Provincial omitió especificar en su resolución de 4 de noviembre de 1994</w:t>
      </w:r>
      <w:r>
        <w:t>, que fue</w:t>
      </w:r>
      <w:r w:rsidRPr="004A7FE7">
        <w:t xml:space="preserve"> confirmada por el Fisc</w:t>
      </w:r>
      <w:r>
        <w:t>al Superior el 9 de noviembre,</w:t>
      </w:r>
      <w:r w:rsidRPr="004A7FE7">
        <w:t xml:space="preserve"> </w:t>
      </w:r>
      <w:r>
        <w:t>“</w:t>
      </w:r>
      <w:r w:rsidRPr="004A7FE7">
        <w:t xml:space="preserve">cuál o cuáles de </w:t>
      </w:r>
      <w:r>
        <w:t xml:space="preserve">esas </w:t>
      </w:r>
      <w:r w:rsidRPr="004A7FE7">
        <w:t xml:space="preserve">conductas eran las cometidas por la presunta víctima </w:t>
      </w:r>
      <w:r>
        <w:t>para ser responsable del delito”</w:t>
      </w:r>
      <w:r w:rsidR="007D6DE9">
        <w:t>.</w:t>
      </w:r>
      <w:r w:rsidRPr="004454B8">
        <w:t xml:space="preserve"> La</w:t>
      </w:r>
      <w:r w:rsidRPr="004A7FE7">
        <w:t xml:space="preserve"> Comisión consideró</w:t>
      </w:r>
      <w:r>
        <w:t xml:space="preserve"> </w:t>
      </w:r>
      <w:r w:rsidRPr="004A7FE7">
        <w:t xml:space="preserve">”que aunque no se trate de una autoridad judicial, la naturaleza de la resolución de 4 de noviembre de 1994 tiene el efecto de una decisión final, firme, en la que quedó plasmada la responsabilidad penal del señor Galindo Cárdenas y su respectivo arrepentimiento”. </w:t>
      </w:r>
      <w:r w:rsidRPr="00453E55">
        <w:t>P</w:t>
      </w:r>
      <w:r>
        <w:t>or ello,</w:t>
      </w:r>
      <w:r w:rsidRPr="00453E55">
        <w:t xml:space="preserve"> solicitó que se declare la violación del artículo 9 de la Convención.</w:t>
      </w:r>
    </w:p>
    <w:p w:rsidR="009D03FD" w:rsidRPr="004A7FE7" w:rsidRDefault="009D03FD" w:rsidP="00FF510E">
      <w:pPr>
        <w:pStyle w:val="ListParagraph"/>
        <w:ind w:left="0"/>
        <w:rPr>
          <w:sz w:val="20"/>
          <w:szCs w:val="20"/>
        </w:rPr>
      </w:pPr>
    </w:p>
    <w:p w:rsidR="009D03FD" w:rsidRPr="004A7FE7" w:rsidRDefault="009D03FD" w:rsidP="00347658">
      <w:pPr>
        <w:pStyle w:val="Estilo1"/>
        <w:tabs>
          <w:tab w:val="clear" w:pos="18282"/>
        </w:tabs>
        <w:spacing w:after="0"/>
      </w:pPr>
      <w:r w:rsidRPr="004A7FE7">
        <w:t>Asimismo, la Comisión consideró “como violatorio del principio de legalidad el acto de criminalización de una actividad que conforme al derecho internacional de los derechos humanos no pue</w:t>
      </w:r>
      <w:r>
        <w:t>de ser considerada un delito</w:t>
      </w:r>
      <w:r w:rsidRPr="004A7FE7">
        <w:t>”,</w:t>
      </w:r>
      <w:r w:rsidRPr="004A7FE7">
        <w:rPr>
          <w:b/>
        </w:rPr>
        <w:t xml:space="preserve"> </w:t>
      </w:r>
      <w:r w:rsidRPr="004A7FE7">
        <w:t>ya que</w:t>
      </w:r>
      <w:r>
        <w:t xml:space="preserve"> </w:t>
      </w:r>
      <w:r w:rsidRPr="004A7FE7">
        <w:t>“conforme al artículo 27.2 de la Convención Americana el derecho a la defensa no puede derogarse en situaciones excepcionales, por lo que no se podría penalizar ejercer o asumir la defensa de un presunto terrorista”</w:t>
      </w:r>
      <w:r w:rsidRPr="00FB0592">
        <w:t xml:space="preserve">. </w:t>
      </w:r>
    </w:p>
    <w:p w:rsidR="009D03FD" w:rsidRPr="004A7FE7" w:rsidRDefault="009D03FD" w:rsidP="00FF510E">
      <w:pPr>
        <w:pStyle w:val="ListParagraph"/>
        <w:ind w:left="0"/>
        <w:rPr>
          <w:sz w:val="20"/>
          <w:szCs w:val="20"/>
        </w:rPr>
      </w:pPr>
    </w:p>
    <w:p w:rsidR="009D03FD" w:rsidRPr="004A7FE7" w:rsidRDefault="009D03FD" w:rsidP="00347658">
      <w:pPr>
        <w:pStyle w:val="Estilo1"/>
        <w:tabs>
          <w:tab w:val="clear" w:pos="18282"/>
        </w:tabs>
      </w:pPr>
      <w:r w:rsidRPr="004A7FE7">
        <w:t xml:space="preserve">Por su parte, el </w:t>
      </w:r>
      <w:r w:rsidRPr="004A7FE7">
        <w:rPr>
          <w:b/>
          <w:i/>
        </w:rPr>
        <w:t>representante</w:t>
      </w:r>
      <w:r w:rsidRPr="004A7FE7">
        <w:t xml:space="preserve"> </w:t>
      </w:r>
      <w:r>
        <w:t xml:space="preserve">en general </w:t>
      </w:r>
      <w:r w:rsidRPr="004A7FE7">
        <w:t xml:space="preserve">se ha remitido a lo señalado por la Comisión en el escrito de sometimiento. </w:t>
      </w:r>
      <w:r>
        <w:t xml:space="preserve">Además, manifestó que </w:t>
      </w:r>
      <w:r w:rsidRPr="004A7FE7">
        <w:t>“se desnaturalizó el irrestricto ejercicio profesional de abogado por parte de los funcionarios</w:t>
      </w:r>
      <w:r>
        <w:t>” estatales</w:t>
      </w:r>
      <w:r w:rsidRPr="004A7FE7">
        <w:t xml:space="preserve">, </w:t>
      </w:r>
      <w:r>
        <w:t>por cuanto se criminalizó el ejercicio profesional del señor Galindo</w:t>
      </w:r>
      <w:r w:rsidRPr="004A7FE7">
        <w:t xml:space="preserve"> como una actividad terrorista, de manera deliberada, </w:t>
      </w:r>
      <w:r>
        <w:t>por lo que el Estado violó “el derecho al principio de legalidad”.</w:t>
      </w:r>
    </w:p>
    <w:p w:rsidR="009D03FD" w:rsidRPr="004A7FE7" w:rsidRDefault="009D03FD" w:rsidP="00E852BD">
      <w:pPr>
        <w:pStyle w:val="ListParagraph"/>
        <w:ind w:left="0"/>
        <w:rPr>
          <w:sz w:val="20"/>
          <w:szCs w:val="20"/>
        </w:rPr>
      </w:pPr>
    </w:p>
    <w:p w:rsidR="009D03FD" w:rsidRPr="00390038" w:rsidRDefault="009D03FD" w:rsidP="00347658">
      <w:pPr>
        <w:pStyle w:val="Estilo1"/>
        <w:tabs>
          <w:tab w:val="clear" w:pos="18282"/>
        </w:tabs>
        <w:spacing w:after="0"/>
      </w:pPr>
      <w:r w:rsidRPr="004A7FE7">
        <w:t xml:space="preserve">El </w:t>
      </w:r>
      <w:r w:rsidRPr="004A7FE7">
        <w:rPr>
          <w:b/>
          <w:i/>
        </w:rPr>
        <w:t>Estado</w:t>
      </w:r>
      <w:r>
        <w:t xml:space="preserve"> expres</w:t>
      </w:r>
      <w:r w:rsidRPr="00390038">
        <w:t xml:space="preserve">ó que “[s]i bien en su resolución de 4 de noviembre de 1994 la Primera Fiscalía Provincial Penal de Huánuco consideró que los hechos en los que participó el señor Galindo </w:t>
      </w:r>
      <w:proofErr w:type="spellStart"/>
      <w:proofErr w:type="gramStart"/>
      <w:r w:rsidRPr="00390038">
        <w:t>constitu</w:t>
      </w:r>
      <w:proofErr w:type="spellEnd"/>
      <w:r w:rsidRPr="00390038">
        <w:t>[</w:t>
      </w:r>
      <w:proofErr w:type="spellStart"/>
      <w:proofErr w:type="gramEnd"/>
      <w:r w:rsidRPr="00390038">
        <w:t>ían</w:t>
      </w:r>
      <w:proofErr w:type="spellEnd"/>
      <w:r w:rsidRPr="00390038">
        <w:t>] actos de colaboración previstos y sancionados por el artículo 4 del Decreto Ley [No.] 25475</w:t>
      </w:r>
      <w:r>
        <w:t>”</w:t>
      </w:r>
      <w:r w:rsidRPr="00390038">
        <w:t xml:space="preserve">, dicha clasificación </w:t>
      </w:r>
      <w:r>
        <w:t>“</w:t>
      </w:r>
      <w:r w:rsidRPr="00390038">
        <w:t xml:space="preserve">se enmarcó en un procedimiento relativo al acogimiento de los beneficios contemplados en </w:t>
      </w:r>
      <w:r>
        <w:t>la Ley de Arrepentimiento y su [r]</w:t>
      </w:r>
      <w:proofErr w:type="spellStart"/>
      <w:r w:rsidRPr="00390038">
        <w:t>eglamento</w:t>
      </w:r>
      <w:proofErr w:type="spellEnd"/>
      <w:r w:rsidRPr="00390038">
        <w:t xml:space="preserve">, no en el marco de un proceso penal”. Recalcó que el señor Galindo “[s]e sometió, en forma voluntaria, a un procedimiento de arrepentimiento, regulado mediante una ley que fue reglamentada”, donde “no intervino un juez o tribunal sino </w:t>
      </w:r>
      <w:r>
        <w:t>m</w:t>
      </w:r>
      <w:r w:rsidRPr="00390038">
        <w:t xml:space="preserve">agistrados del Ministerio Público, es decir fiscales”. </w:t>
      </w:r>
      <w:r>
        <w:t>Adicionó que e</w:t>
      </w:r>
      <w:r w:rsidRPr="00390038">
        <w:t xml:space="preserve">n este caso “no </w:t>
      </w:r>
      <w:proofErr w:type="spellStart"/>
      <w:proofErr w:type="gramStart"/>
      <w:r w:rsidRPr="00390038">
        <w:t>exist</w:t>
      </w:r>
      <w:proofErr w:type="spellEnd"/>
      <w:r w:rsidRPr="00390038">
        <w:t>[</w:t>
      </w:r>
      <w:proofErr w:type="spellStart"/>
      <w:proofErr w:type="gramEnd"/>
      <w:r w:rsidRPr="00390038">
        <w:t>ió</w:t>
      </w:r>
      <w:proofErr w:type="spellEnd"/>
      <w:r>
        <w:t>…</w:t>
      </w:r>
      <w:r w:rsidRPr="00390038">
        <w:t xml:space="preserve">] sentencia condenatoria y, por consiguiente, tampoco </w:t>
      </w:r>
      <w:proofErr w:type="spellStart"/>
      <w:r w:rsidRPr="00390038">
        <w:t>exist</w:t>
      </w:r>
      <w:proofErr w:type="spellEnd"/>
      <w:r w:rsidRPr="00390038">
        <w:t>[</w:t>
      </w:r>
      <w:proofErr w:type="spellStart"/>
      <w:r w:rsidRPr="00390038">
        <w:t>ió</w:t>
      </w:r>
      <w:proofErr w:type="spellEnd"/>
      <w:r w:rsidRPr="00390038">
        <w:t xml:space="preserve">] </w:t>
      </w:r>
      <w:r w:rsidRPr="00390038">
        <w:rPr>
          <w:color w:val="000000" w:themeColor="text1"/>
        </w:rPr>
        <w:t xml:space="preserve">condena del acto de asesoría o </w:t>
      </w:r>
      <w:r w:rsidRPr="00390038">
        <w:rPr>
          <w:color w:val="000000" w:themeColor="text1"/>
        </w:rPr>
        <w:lastRenderedPageBreak/>
        <w:t>consejería jurídica o de patrocinio legal”. Asimismo, manifestó que “las resoluciones fiscales no estuvieron relacionadas con una acción orientada a determinar si la presunta víctima era responsable de un delito, cuando el procedimiento de arrepentimiento no tenía esa característica”.</w:t>
      </w:r>
      <w:r w:rsidRPr="00390038">
        <w:rPr>
          <w:b/>
          <w:color w:val="000000" w:themeColor="text1"/>
        </w:rPr>
        <w:t xml:space="preserve">  </w:t>
      </w:r>
    </w:p>
    <w:p w:rsidR="009D03FD" w:rsidRPr="004A7FE7" w:rsidRDefault="009D03FD" w:rsidP="00E852BD">
      <w:pPr>
        <w:pStyle w:val="ListParagraph"/>
        <w:ind w:left="0"/>
        <w:rPr>
          <w:sz w:val="20"/>
          <w:szCs w:val="20"/>
        </w:rPr>
      </w:pPr>
    </w:p>
    <w:p w:rsidR="009D03FD" w:rsidRPr="00834F27" w:rsidRDefault="009D03FD" w:rsidP="00347658">
      <w:pPr>
        <w:pStyle w:val="Estilo1"/>
        <w:tabs>
          <w:tab w:val="clear" w:pos="18282"/>
        </w:tabs>
        <w:spacing w:after="0"/>
      </w:pPr>
      <w:r>
        <w:t xml:space="preserve">Por último, el Estado señaló que la presunta víctima “no buscó en sede interna la protección de derecho, como tampoco lo hizo en sede internacional”. </w:t>
      </w:r>
      <w:r w:rsidR="00BB4744" w:rsidRPr="00E207A2">
        <w:t>En ese sentido, señaló que “no</w:t>
      </w:r>
      <w:r>
        <w:t xml:space="preserve"> obra en […] los alegatos” de la presunta víctima “a nivel interno o ante la C[omisión]” el “haberse criminalizado la defensa técnica”. Agregó que la Comisión no cuestionó el artículo 4 del Decreto-Ley 25475, ni indicó que la presunta violación del artículo 9 se realice en conexión con el artículo 2 de </w:t>
      </w:r>
      <w:r w:rsidR="00BB4744" w:rsidRPr="00E207A2">
        <w:t>la Convención</w:t>
      </w:r>
      <w:r w:rsidRPr="006F2043">
        <w:t>. A</w:t>
      </w:r>
      <w:r w:rsidR="00BB4744" w:rsidRPr="00E207A2">
        <w:t>dujo</w:t>
      </w:r>
      <w:r>
        <w:t xml:space="preserve"> que la Comisión lo que alegó es que se habría dado una “aplicación arbitraria” del artículo 4 citado, que habría sido por la omisión de especificar “cuál o cuáles de las conductas […] fueron las cometidas por la presunta víctima para ser responsable del delito”, por lo que Estado entiende que “se trataría de un problema de ausencia de motivación de las resoluciones fiscales”</w:t>
      </w:r>
      <w:r w:rsidR="00DF7CEB">
        <w:t>.</w:t>
      </w:r>
      <w:r>
        <w:t xml:space="preserve"> Entonces el Estado señaló que “pareciera ser” que lo que </w:t>
      </w:r>
      <w:r w:rsidRPr="004A7FE7">
        <w:t xml:space="preserve">la Comisión </w:t>
      </w:r>
      <w:r>
        <w:t>cuestiona “es que dicha omisión implicó</w:t>
      </w:r>
      <w:r w:rsidRPr="004A7FE7">
        <w:t xml:space="preserve"> </w:t>
      </w:r>
      <w:r>
        <w:t>‘haber criminalizado</w:t>
      </w:r>
      <w:r w:rsidRPr="004A7FE7">
        <w:t xml:space="preserve"> </w:t>
      </w:r>
      <w:r>
        <w:t xml:space="preserve">el ejercicio de la abogacía, en particular, de la </w:t>
      </w:r>
      <w:r w:rsidRPr="004A7FE7">
        <w:t>defensa técnica</w:t>
      </w:r>
      <w:r>
        <w:t xml:space="preserve">’”. Sin embargo, Perú sostuvo que “entre un aspecto </w:t>
      </w:r>
      <w:r w:rsidRPr="004A7FE7">
        <w:t xml:space="preserve">(la omisión de los fiscales) y otro (criminalizar la defensa técnica) no </w:t>
      </w:r>
      <w:r>
        <w:t xml:space="preserve">hay </w:t>
      </w:r>
      <w:r w:rsidRPr="004A7FE7">
        <w:t>relación alguna”.</w:t>
      </w:r>
    </w:p>
    <w:p w:rsidR="009D03FD" w:rsidRDefault="009D03FD" w:rsidP="009D03FD">
      <w:pPr>
        <w:pStyle w:val="Estilo1"/>
        <w:numPr>
          <w:ilvl w:val="0"/>
          <w:numId w:val="0"/>
        </w:numPr>
        <w:spacing w:after="0"/>
        <w:rPr>
          <w:b/>
        </w:rPr>
      </w:pPr>
    </w:p>
    <w:p w:rsidR="009D03FD" w:rsidRDefault="009D03FD" w:rsidP="009D03FD">
      <w:pPr>
        <w:pStyle w:val="ListParagraph"/>
        <w:numPr>
          <w:ilvl w:val="0"/>
          <w:numId w:val="11"/>
        </w:numPr>
        <w:ind w:left="567" w:firstLine="0"/>
        <w:outlineLvl w:val="1"/>
        <w:rPr>
          <w:b/>
          <w:i/>
          <w:sz w:val="20"/>
          <w:szCs w:val="20"/>
        </w:rPr>
      </w:pPr>
      <w:bookmarkStart w:id="385" w:name="_Toc415507389"/>
      <w:bookmarkStart w:id="386" w:name="_Toc418530478"/>
      <w:bookmarkStart w:id="387" w:name="_Toc420941740"/>
      <w:bookmarkStart w:id="388" w:name="_Toc424313493"/>
      <w:bookmarkStart w:id="389" w:name="_Toc430869795"/>
      <w:bookmarkStart w:id="390" w:name="_Toc438129737"/>
      <w:r w:rsidRPr="00F663DD">
        <w:rPr>
          <w:b/>
          <w:i/>
          <w:sz w:val="20"/>
          <w:szCs w:val="20"/>
        </w:rPr>
        <w:t>Consideraciones de la Corte</w:t>
      </w:r>
      <w:bookmarkEnd w:id="385"/>
      <w:bookmarkEnd w:id="386"/>
      <w:bookmarkEnd w:id="387"/>
      <w:bookmarkEnd w:id="388"/>
      <w:bookmarkEnd w:id="389"/>
      <w:bookmarkEnd w:id="390"/>
      <w:r w:rsidRPr="00F663DD">
        <w:rPr>
          <w:b/>
          <w:i/>
          <w:sz w:val="20"/>
          <w:szCs w:val="20"/>
        </w:rPr>
        <w:t xml:space="preserve"> </w:t>
      </w:r>
    </w:p>
    <w:p w:rsidR="009D03FD" w:rsidRPr="00286A53" w:rsidRDefault="009D03FD" w:rsidP="009D03FD">
      <w:pPr>
        <w:pStyle w:val="Estilo1"/>
        <w:numPr>
          <w:ilvl w:val="0"/>
          <w:numId w:val="0"/>
        </w:numPr>
        <w:spacing w:after="0"/>
        <w:rPr>
          <w:lang w:val="es-CR"/>
        </w:rPr>
      </w:pPr>
    </w:p>
    <w:p w:rsidR="009D03FD" w:rsidRPr="009D2DA1" w:rsidRDefault="009D03FD" w:rsidP="00347658">
      <w:pPr>
        <w:pStyle w:val="Estilo1"/>
        <w:tabs>
          <w:tab w:val="clear" w:pos="18282"/>
        </w:tabs>
        <w:spacing w:after="0"/>
        <w:rPr>
          <w:lang w:val="es-CR"/>
        </w:rPr>
      </w:pPr>
      <w:r>
        <w:rPr>
          <w:rFonts w:cs="Verdana"/>
          <w:lang w:val="es-CR"/>
        </w:rPr>
        <w:t>E</w:t>
      </w:r>
      <w:r w:rsidRPr="009D2DA1">
        <w:t>l artículo 9 de la Convención señala que “[n]</w:t>
      </w:r>
      <w:proofErr w:type="spellStart"/>
      <w:r w:rsidRPr="009D2DA1">
        <w:rPr>
          <w:rFonts w:eastAsiaTheme="minorHAnsi" w:cstheme="minorBidi"/>
          <w:color w:val="000000"/>
          <w:szCs w:val="16"/>
          <w:lang w:val="es-ES_tradnl" w:eastAsia="es-ES_tradnl"/>
        </w:rPr>
        <w:t>adie</w:t>
      </w:r>
      <w:proofErr w:type="spellEnd"/>
      <w:r w:rsidRPr="009D2DA1">
        <w:rPr>
          <w:rFonts w:eastAsiaTheme="minorHAnsi" w:cstheme="minorBidi"/>
          <w:color w:val="000000"/>
          <w:szCs w:val="16"/>
          <w:lang w:val="es-ES_tradnl" w:eastAsia="es-ES_tradnl"/>
        </w:rPr>
        <w:t xml:space="preserve"> puede ser condenado por acciones u omisiones que en el momento de cometerse no fueran delictivos según el derecho aplicable”.</w:t>
      </w:r>
      <w:r>
        <w:rPr>
          <w:rFonts w:cs="Verdana"/>
        </w:rPr>
        <w:t xml:space="preserve"> D</w:t>
      </w:r>
      <w:r w:rsidRPr="009D2DA1">
        <w:t>el texto del artículo surge con claridad que la palabra “condena” se refiere a la sanción por parte del Estado de una conducta establecida como delito por el derecho aplicable. Bajo este entendimiento el término en cuestión hace referencia a una manifestación del ejercicio del poder punitivo del Estado. En ese sentido, en ocasiones anteriores en que la Corte ha determinado una vulneración al artículo 9 del tratado, se pronunció respecto de “condenas” en el sentido expresado</w:t>
      </w:r>
      <w:r w:rsidRPr="009D2DA1">
        <w:rPr>
          <w:rStyle w:val="FootnoteReference"/>
        </w:rPr>
        <w:footnoteReference w:id="234"/>
      </w:r>
      <w:r w:rsidRPr="009D2DA1">
        <w:t xml:space="preserve">. </w:t>
      </w:r>
    </w:p>
    <w:p w:rsidR="009D03FD" w:rsidRDefault="009D03FD" w:rsidP="00E852BD">
      <w:pPr>
        <w:pStyle w:val="ListParagraph"/>
        <w:ind w:left="0"/>
        <w:rPr>
          <w:b/>
        </w:rPr>
      </w:pPr>
    </w:p>
    <w:p w:rsidR="009D03FD" w:rsidRPr="00834F27" w:rsidRDefault="009D03FD" w:rsidP="00347658">
      <w:pPr>
        <w:pStyle w:val="Estilo1"/>
        <w:tabs>
          <w:tab w:val="clear" w:pos="18282"/>
        </w:tabs>
        <w:spacing w:after="0"/>
        <w:contextualSpacing/>
      </w:pPr>
      <w:r w:rsidRPr="00834F27">
        <w:t>De conformidad con los hechos, según el procedimiento establecido en la “Ley de Arrepentimiento”</w:t>
      </w:r>
      <w:r>
        <w:t>, el 4 de noviembre de 1994</w:t>
      </w:r>
      <w:r w:rsidRPr="00834F27">
        <w:t xml:space="preserve"> el Fiscal Provincial de la Primera Fiscalía Provincial Penal- Huánuco emitió una resolución otorg</w:t>
      </w:r>
      <w:r>
        <w:t>a</w:t>
      </w:r>
      <w:r w:rsidRPr="00834F27">
        <w:t xml:space="preserve">ndo </w:t>
      </w:r>
      <w:r>
        <w:t xml:space="preserve">al </w:t>
      </w:r>
      <w:r w:rsidRPr="00834F27">
        <w:t xml:space="preserve">señor Galindo el beneficio de </w:t>
      </w:r>
      <w:r w:rsidRPr="00286A53">
        <w:t>exención de la pena, y remitió las actuaciones al Fiscal Superior Decano del Distrito Judicial de Huánuco-Pa</w:t>
      </w:r>
      <w:r w:rsidR="000E1309" w:rsidRPr="00286A53">
        <w:t>s</w:t>
      </w:r>
      <w:r w:rsidRPr="00286A53">
        <w:t>co, para</w:t>
      </w:r>
      <w:r w:rsidRPr="00834F27">
        <w:t xml:space="preserve"> que procediera de acuerdo a sus atribuciones</w:t>
      </w:r>
      <w:r>
        <w:t xml:space="preserve">. </w:t>
      </w:r>
      <w:r w:rsidRPr="00834F27">
        <w:rPr>
          <w:b/>
        </w:rPr>
        <w:t xml:space="preserve"> </w:t>
      </w:r>
      <w:r w:rsidRPr="00834F27">
        <w:t xml:space="preserve">En dicha resolución se indicó que “los hechos en los que ha participado el [señor Galindo] constituyen actos de colaboración previstos y sancionados </w:t>
      </w:r>
      <w:r>
        <w:t>por</w:t>
      </w:r>
      <w:r w:rsidRPr="00834F27">
        <w:t xml:space="preserve"> el artículo </w:t>
      </w:r>
      <w:r>
        <w:t>cuarto</w:t>
      </w:r>
      <w:r w:rsidRPr="00834F27">
        <w:t xml:space="preserve"> del Decreto Ley [No. 25475]</w:t>
      </w:r>
      <w:r>
        <w:t>”</w:t>
      </w:r>
      <w:r w:rsidRPr="00834F27">
        <w:t xml:space="preserve">, </w:t>
      </w:r>
      <w:r>
        <w:t>p</w:t>
      </w:r>
      <w:r w:rsidRPr="00834F27">
        <w:t>or lo que</w:t>
      </w:r>
      <w:r>
        <w:t xml:space="preserve"> </w:t>
      </w:r>
      <w:r w:rsidR="00BB4744" w:rsidRPr="00E665C7">
        <w:t>determinó que</w:t>
      </w:r>
      <w:r w:rsidRPr="00CE3AA8">
        <w:rPr>
          <w:b/>
        </w:rPr>
        <w:t xml:space="preserve"> </w:t>
      </w:r>
      <w:r>
        <w:t>era</w:t>
      </w:r>
      <w:r w:rsidRPr="00834F27">
        <w:t xml:space="preserve"> aplicable el beneficio de </w:t>
      </w:r>
      <w:r>
        <w:t>“</w:t>
      </w:r>
      <w:r w:rsidRPr="00834F27">
        <w:t xml:space="preserve">exención de la pena contemplado en el </w:t>
      </w:r>
      <w:r>
        <w:t>[</w:t>
      </w:r>
      <w:r w:rsidRPr="00834F27">
        <w:t>a</w:t>
      </w:r>
      <w:r>
        <w:t>]</w:t>
      </w:r>
      <w:proofErr w:type="spellStart"/>
      <w:r w:rsidRPr="00834F27">
        <w:t>rtículo</w:t>
      </w:r>
      <w:proofErr w:type="spellEnd"/>
      <w:r w:rsidRPr="00834F27">
        <w:t xml:space="preserve"> primero numeral </w:t>
      </w:r>
      <w:r>
        <w:t>II</w:t>
      </w:r>
      <w:r w:rsidRPr="00834F27">
        <w:t xml:space="preserve"> </w:t>
      </w:r>
      <w:r>
        <w:t>[</w:t>
      </w:r>
      <w:r w:rsidRPr="00834F27">
        <w:t>i</w:t>
      </w:r>
      <w:r>
        <w:t>]</w:t>
      </w:r>
      <w:proofErr w:type="spellStart"/>
      <w:r w:rsidRPr="00834F27">
        <w:t>nc</w:t>
      </w:r>
      <w:proofErr w:type="spellEnd"/>
      <w:r>
        <w:t>[</w:t>
      </w:r>
      <w:proofErr w:type="spellStart"/>
      <w:r w:rsidRPr="00834F27">
        <w:t>iso</w:t>
      </w:r>
      <w:proofErr w:type="spellEnd"/>
      <w:r>
        <w:t>]</w:t>
      </w:r>
      <w:r w:rsidRPr="00834F27">
        <w:t xml:space="preserve"> a) del Decreto Ley [No. 25499] y </w:t>
      </w:r>
      <w:r>
        <w:t>[</w:t>
      </w:r>
      <w:r w:rsidRPr="00834F27">
        <w:t>a</w:t>
      </w:r>
      <w:r>
        <w:t>]</w:t>
      </w:r>
      <w:proofErr w:type="spellStart"/>
      <w:r w:rsidRPr="00834F27">
        <w:t>rtículo</w:t>
      </w:r>
      <w:proofErr w:type="spellEnd"/>
      <w:r w:rsidRPr="00834F27">
        <w:t xml:space="preserve"> seis del Decreto Supremo [No. 015-93 JUS]”</w:t>
      </w:r>
      <w:r>
        <w:t xml:space="preserve"> (</w:t>
      </w:r>
      <w:r>
        <w:rPr>
          <w:i/>
        </w:rPr>
        <w:t>supra</w:t>
      </w:r>
      <w:r>
        <w:t xml:space="preserve"> </w:t>
      </w:r>
      <w:proofErr w:type="spellStart"/>
      <w:r>
        <w:t>párrs</w:t>
      </w:r>
      <w:proofErr w:type="spellEnd"/>
      <w:r>
        <w:t>. 1</w:t>
      </w:r>
      <w:r w:rsidR="007D3AF6">
        <w:t>32</w:t>
      </w:r>
      <w:r>
        <w:t xml:space="preserve"> y 1</w:t>
      </w:r>
      <w:r w:rsidR="006F2043">
        <w:t>3</w:t>
      </w:r>
      <w:r w:rsidR="007D3AF6">
        <w:t>3</w:t>
      </w:r>
      <w:r>
        <w:t>)</w:t>
      </w:r>
      <w:r w:rsidRPr="00834F27">
        <w:t>.</w:t>
      </w:r>
      <w:r w:rsidRPr="00834F27">
        <w:rPr>
          <w:b/>
        </w:rPr>
        <w:t xml:space="preserve"> </w:t>
      </w:r>
    </w:p>
    <w:p w:rsidR="009D03FD" w:rsidRDefault="009D03FD" w:rsidP="00E852BD">
      <w:pPr>
        <w:pStyle w:val="ListParagraph"/>
        <w:ind w:left="0"/>
      </w:pPr>
    </w:p>
    <w:p w:rsidR="009D03FD" w:rsidRDefault="009D03FD" w:rsidP="00347658">
      <w:pPr>
        <w:pStyle w:val="Estilo1"/>
        <w:tabs>
          <w:tab w:val="clear" w:pos="18282"/>
        </w:tabs>
        <w:spacing w:after="0"/>
      </w:pPr>
      <w:r w:rsidRPr="00834F27">
        <w:t xml:space="preserve">La controversia del presente caso en relación con el principio de legalidad tiene por </w:t>
      </w:r>
      <w:r>
        <w:t>fundamento</w:t>
      </w:r>
      <w:r w:rsidRPr="00834F27">
        <w:t xml:space="preserve"> lo establecido en la Resolución de 4 de noviembre de 1994, confirmada el día 9 </w:t>
      </w:r>
      <w:r w:rsidRPr="00834F27">
        <w:lastRenderedPageBreak/>
        <w:t>siguiente, que determinó la aplicación del beneficio de exención de la pena a favor del señor Galindo</w:t>
      </w:r>
      <w:r>
        <w:t>,</w:t>
      </w:r>
      <w:r w:rsidRPr="00834F27">
        <w:t xml:space="preserve"> sobre la base que él había cometido actos de colaboración terrorista. En efecto, el argumento de la Comisión y el representante es que dicha Resolución no especificó cuál o cuáles de las conductas establecidas en el artículo 4 del Decreto Ley No. 25.475 fueron cometidas por el señor Galindo, lo que violaría el artículo 9 de la Convención. </w:t>
      </w:r>
    </w:p>
    <w:p w:rsidR="009D03FD" w:rsidRPr="00834F27" w:rsidRDefault="009D03FD" w:rsidP="00E852BD">
      <w:pPr>
        <w:pStyle w:val="ListParagraph"/>
        <w:ind w:left="0"/>
      </w:pPr>
    </w:p>
    <w:p w:rsidR="009D03FD" w:rsidRDefault="009D03FD" w:rsidP="00347658">
      <w:pPr>
        <w:pStyle w:val="Estilo1"/>
        <w:tabs>
          <w:tab w:val="clear" w:pos="18282"/>
        </w:tabs>
        <w:spacing w:after="0"/>
      </w:pPr>
      <w:r w:rsidRPr="009D2DA1">
        <w:t>La Resolución de 4 de n</w:t>
      </w:r>
      <w:r w:rsidR="003625C6">
        <w:t>oviembre de 1994</w:t>
      </w:r>
      <w:r w:rsidRPr="009D2DA1">
        <w:t>, confirmada el 9 de los mismos mes y año, no puede asimilarse a una sentencia condenatoria ni en un sentido formal ni en un sentido sustantivo. En efecto, por una parte, no se trata de una decisión judicial emitida en el marco de un proceso</w:t>
      </w:r>
      <w:r w:rsidRPr="00834F27">
        <w:t xml:space="preserve"> penal que establezca, con efectos legales, la responsabilidad penal de un individuo. Por otra parte, la Resolución de 4 de noviembre de 1993 y su confirmación de 9 de noviembre siguiente son actos que no han tenido efectos directos sobre los derechos, obligaciones o, en general, la situación jurídica del señor Galindo. Al respecto, consultado por la</w:t>
      </w:r>
      <w:r w:rsidR="003625C6">
        <w:t xml:space="preserve"> Corte, el Estado ha informado </w:t>
      </w:r>
      <w:r w:rsidRPr="00834F27">
        <w:t xml:space="preserve">que las resoluciones fiscales de 4 y 9 de noviembre de 1994 “bajo ninguna circunstancia […] implicaron que el señor Galindo Cárdenas sea considerado como una persona que había cometido un ilícito penal”. Perú explicó que tales actos “no generaron ningún otro efecto legal o jurídico que el otorgamiento del beneficio de exención de la pena”. En ese sentido, aclaró que </w:t>
      </w:r>
      <w:r>
        <w:t>tampoco</w:t>
      </w:r>
      <w:r w:rsidRPr="00834F27">
        <w:t xml:space="preserve"> “le </w:t>
      </w:r>
      <w:proofErr w:type="spellStart"/>
      <w:proofErr w:type="gramStart"/>
      <w:r w:rsidRPr="00834F27">
        <w:t>gener</w:t>
      </w:r>
      <w:proofErr w:type="spellEnd"/>
      <w:r w:rsidRPr="00834F27">
        <w:t>[</w:t>
      </w:r>
      <w:proofErr w:type="gramEnd"/>
      <w:r w:rsidRPr="00834F27">
        <w:t>aron al señor Galindo] restricciones ni limitaciones a ningún derecho ni se le impuso algún tipo de obligaciones o cargas”. También destacó que “[el] señor Galindo Cárdenas no fue incluido en ningún registro de personas que cometieron delitos</w:t>
      </w:r>
      <w:r>
        <w:t>”</w:t>
      </w:r>
      <w:r w:rsidRPr="00834F27">
        <w:t xml:space="preserve"> y las resoluciones antedichas </w:t>
      </w:r>
      <w:r>
        <w:t>no</w:t>
      </w:r>
      <w:r w:rsidRPr="00834F27">
        <w:t xml:space="preserve"> </w:t>
      </w:r>
      <w:r>
        <w:t>“</w:t>
      </w:r>
      <w:r w:rsidRPr="00834F27">
        <w:t xml:space="preserve">le generaron un antecedente judicial o penal, por lo cual no </w:t>
      </w:r>
      <w:proofErr w:type="spellStart"/>
      <w:proofErr w:type="gramStart"/>
      <w:r w:rsidRPr="00834F27">
        <w:t>deriv</w:t>
      </w:r>
      <w:proofErr w:type="spellEnd"/>
      <w:r w:rsidRPr="00834F27">
        <w:t>[</w:t>
      </w:r>
      <w:proofErr w:type="gramEnd"/>
      <w:r w:rsidRPr="00834F27">
        <w:t>aron] en ninguna consecuencia legal como el agravamiento de penas o modificación del régimen sancionatorio frente a la eventual comisión de un delito [con] posterior[</w:t>
      </w:r>
      <w:proofErr w:type="spellStart"/>
      <w:r w:rsidRPr="00834F27">
        <w:t>idad</w:t>
      </w:r>
      <w:proofErr w:type="spellEnd"/>
      <w:r w:rsidRPr="00834F27">
        <w:t xml:space="preserve">] al 9 de noviembre de 1994”. Resaltó que la resolución de 9 de noviembre dispuso el “archivamiento definitivo del […] caso”. </w:t>
      </w:r>
    </w:p>
    <w:p w:rsidR="009D03FD" w:rsidRDefault="009D03FD" w:rsidP="00E852BD">
      <w:pPr>
        <w:pStyle w:val="Estilo1"/>
        <w:numPr>
          <w:ilvl w:val="0"/>
          <w:numId w:val="0"/>
        </w:numPr>
        <w:spacing w:after="0"/>
      </w:pPr>
    </w:p>
    <w:p w:rsidR="009D03FD" w:rsidRDefault="009D03FD" w:rsidP="00347658">
      <w:pPr>
        <w:pStyle w:val="Estilo1"/>
        <w:tabs>
          <w:tab w:val="clear" w:pos="18282"/>
        </w:tabs>
        <w:spacing w:after="0"/>
      </w:pPr>
      <w:r>
        <w:t>Por su parte</w:t>
      </w:r>
      <w:r w:rsidR="00AA2A4B">
        <w:t>,</w:t>
      </w:r>
      <w:r w:rsidRPr="00834F27">
        <w:t xml:space="preserve"> el representante y la Comisión sostuvieron que las Resoluciones Fiscales indicadas consideraron que el señor Galindo cometió actos delictivos. Además, la Comisión dijo que el Estado no acreditó que el señor Galindo no tuviera antecedentes penales, y </w:t>
      </w:r>
      <w:r w:rsidR="00DF7CEB">
        <w:t xml:space="preserve">por su parte </w:t>
      </w:r>
      <w:r w:rsidRPr="00834F27">
        <w:t>el representante afirmó que sí los tenía, y que por ello el señor Galindo “no puede postular a ningún cargo profesional público y político, por ser pasible o sujeto a tacha o impugnación”. Además, el representante destacó que tales Resoluciones tuvieron efectos perjudiciales para el señor Galindo, en tanto menoscabaron su “[b]</w:t>
      </w:r>
      <w:proofErr w:type="spellStart"/>
      <w:r w:rsidRPr="00834F27">
        <w:t>uen</w:t>
      </w:r>
      <w:proofErr w:type="spellEnd"/>
      <w:r w:rsidRPr="00834F27">
        <w:t xml:space="preserve"> [n]</w:t>
      </w:r>
      <w:proofErr w:type="spellStart"/>
      <w:r w:rsidRPr="00834F27">
        <w:t>ombre</w:t>
      </w:r>
      <w:proofErr w:type="spellEnd"/>
      <w:r w:rsidRPr="00834F27">
        <w:t>, [d]</w:t>
      </w:r>
      <w:proofErr w:type="spellStart"/>
      <w:r w:rsidRPr="00834F27">
        <w:t>ignidad</w:t>
      </w:r>
      <w:proofErr w:type="spellEnd"/>
      <w:r w:rsidRPr="00834F27">
        <w:t xml:space="preserve"> y [h]</w:t>
      </w:r>
      <w:proofErr w:type="spellStart"/>
      <w:r w:rsidRPr="00834F27">
        <w:t>onra</w:t>
      </w:r>
      <w:proofErr w:type="spellEnd"/>
      <w:r w:rsidRPr="00834F27">
        <w:t>”, así como “efectos devastadores […] en el ámbito profesional, per</w:t>
      </w:r>
      <w:r>
        <w:t>s</w:t>
      </w:r>
      <w:r w:rsidRPr="00834F27">
        <w:t>onal familiar y social</w:t>
      </w:r>
      <w:r w:rsidRPr="009D2DA1">
        <w:t>”.</w:t>
      </w:r>
    </w:p>
    <w:p w:rsidR="009D03FD" w:rsidRDefault="009D03FD" w:rsidP="00E852BD">
      <w:pPr>
        <w:pStyle w:val="ListParagraph"/>
        <w:ind w:left="0"/>
        <w:rPr>
          <w:b/>
        </w:rPr>
      </w:pPr>
    </w:p>
    <w:p w:rsidR="009D03FD" w:rsidRDefault="009D03FD" w:rsidP="00347658">
      <w:pPr>
        <w:pStyle w:val="Estilo1"/>
        <w:tabs>
          <w:tab w:val="clear" w:pos="18282"/>
        </w:tabs>
        <w:spacing w:after="0"/>
      </w:pPr>
      <w:r w:rsidRPr="00CE3AA8">
        <w:t>En respuesta</w:t>
      </w:r>
      <w:r w:rsidRPr="00141A27">
        <w:t xml:space="preserve"> a una solicitud de la Corte, el Estado informó que el señor Galindo no registraba antecedentes penales ni policiales, y presentó copia de constancias que así lo acreditan</w:t>
      </w:r>
      <w:r w:rsidR="00AA2A4B">
        <w:t xml:space="preserve"> </w:t>
      </w:r>
      <w:r w:rsidR="00AA2A4B" w:rsidRPr="00141A27">
        <w:t>(</w:t>
      </w:r>
      <w:r w:rsidR="00AA2A4B" w:rsidRPr="00CE3AA8">
        <w:rPr>
          <w:i/>
        </w:rPr>
        <w:t>supra</w:t>
      </w:r>
      <w:r w:rsidR="00AA2A4B" w:rsidRPr="00141A27">
        <w:t xml:space="preserve"> párr. </w:t>
      </w:r>
      <w:r w:rsidR="00AA2A4B">
        <w:t>72)</w:t>
      </w:r>
      <w:r w:rsidRPr="00141A27">
        <w:t xml:space="preserve">. De conformidad con argumentos de la Comisión y el representante sobre dicha información y </w:t>
      </w:r>
      <w:r w:rsidRPr="00E11C2E">
        <w:t>documentos</w:t>
      </w:r>
      <w:r w:rsidR="003B0237" w:rsidRPr="008D2D9F">
        <w:t>, los mismos son consecuentes con que el procedimiento al que estuvo sometido el señor Galindo no generase antecedentes judiciales,</w:t>
      </w:r>
      <w:r w:rsidRPr="00141A27">
        <w:t xml:space="preserve"> más ello no obsta a que el Estado tenga registros de ese procedimiento. Además, aducen que, en todo caso, la información presentada por el Estado no revierte el hecho de que las Resoluciones de 4 y 9 de noviembre de 1994 habrían afectado los derechos del señor Galindo, perjudicando su buen nombre y honor, y sus posibilidades de desarrollo profesional. La </w:t>
      </w:r>
      <w:r w:rsidRPr="004454B8">
        <w:t>Corte</w:t>
      </w:r>
      <w:r w:rsidR="00E11C2E" w:rsidRPr="004454B8">
        <w:t xml:space="preserve"> </w:t>
      </w:r>
      <w:r w:rsidR="003B0237" w:rsidRPr="004454B8">
        <w:t>nota que dichos alegatos no se relacionan con el artículo 9 de la Convención y, en todo caso,</w:t>
      </w:r>
      <w:r w:rsidR="00E40E13" w:rsidRPr="004454B8">
        <w:t xml:space="preserve"> </w:t>
      </w:r>
      <w:r w:rsidR="00E665C7" w:rsidRPr="004454B8">
        <w:t>dichas</w:t>
      </w:r>
      <w:r w:rsidR="004F3835" w:rsidRPr="004454B8">
        <w:t xml:space="preserve"> afectaciones podrían ser daños producidos como consecuencia de las violaciones declaradas</w:t>
      </w:r>
      <w:r w:rsidR="00F302BC" w:rsidRPr="004454B8">
        <w:t>.</w:t>
      </w:r>
    </w:p>
    <w:p w:rsidR="009D03FD" w:rsidRPr="00141A27" w:rsidRDefault="009D03FD" w:rsidP="00E852BD">
      <w:pPr>
        <w:pStyle w:val="Estilo1"/>
        <w:numPr>
          <w:ilvl w:val="0"/>
          <w:numId w:val="0"/>
        </w:numPr>
        <w:spacing w:after="0"/>
      </w:pPr>
    </w:p>
    <w:p w:rsidR="009D03FD" w:rsidRDefault="009D03FD" w:rsidP="00347658">
      <w:pPr>
        <w:pStyle w:val="Estilo1"/>
        <w:tabs>
          <w:tab w:val="clear" w:pos="18282"/>
        </w:tabs>
        <w:spacing w:after="0"/>
      </w:pPr>
      <w:r w:rsidRPr="00BB3EA7">
        <w:t xml:space="preserve">Por lo dicho, la Corte determina que el Estado no violó el artículo 9 de la Convención Americana, en perjuicio del señor </w:t>
      </w:r>
      <w:r w:rsidR="00227E9F">
        <w:t xml:space="preserve">Luis Antonio </w:t>
      </w:r>
      <w:r w:rsidRPr="00BB3EA7">
        <w:t>Galindo Cárdenas.</w:t>
      </w:r>
    </w:p>
    <w:p w:rsidR="007A5F65" w:rsidRDefault="007A5F65" w:rsidP="00541312">
      <w:pPr>
        <w:outlineLvl w:val="0"/>
        <w:rPr>
          <w:b/>
          <w:szCs w:val="20"/>
        </w:rPr>
      </w:pPr>
    </w:p>
    <w:p w:rsidR="002B2FEB" w:rsidRDefault="002B2FEB" w:rsidP="00541312">
      <w:pPr>
        <w:outlineLvl w:val="0"/>
        <w:rPr>
          <w:b/>
          <w:szCs w:val="20"/>
        </w:rPr>
      </w:pPr>
    </w:p>
    <w:p w:rsidR="002B2FEB" w:rsidRPr="00541312" w:rsidRDefault="002B2FEB" w:rsidP="00541312">
      <w:pPr>
        <w:outlineLvl w:val="0"/>
        <w:rPr>
          <w:b/>
          <w:szCs w:val="20"/>
        </w:rPr>
      </w:pPr>
    </w:p>
    <w:p w:rsidR="004C57E7" w:rsidRPr="00F438BA" w:rsidRDefault="008E71F7" w:rsidP="004C57E7">
      <w:pPr>
        <w:pStyle w:val="ListParagraph"/>
        <w:jc w:val="center"/>
        <w:outlineLvl w:val="0"/>
        <w:rPr>
          <w:b/>
          <w:sz w:val="20"/>
          <w:szCs w:val="20"/>
        </w:rPr>
      </w:pPr>
      <w:bookmarkStart w:id="391" w:name="_Toc438129738"/>
      <w:bookmarkStart w:id="392" w:name="_Ref374964336"/>
      <w:bookmarkEnd w:id="354"/>
      <w:bookmarkEnd w:id="355"/>
      <w:bookmarkEnd w:id="356"/>
      <w:bookmarkEnd w:id="357"/>
      <w:bookmarkEnd w:id="358"/>
      <w:bookmarkEnd w:id="359"/>
      <w:r>
        <w:rPr>
          <w:b/>
          <w:sz w:val="20"/>
          <w:szCs w:val="20"/>
        </w:rPr>
        <w:t>I</w:t>
      </w:r>
      <w:r w:rsidR="004C57E7" w:rsidRPr="00F438BA">
        <w:rPr>
          <w:b/>
          <w:sz w:val="20"/>
          <w:szCs w:val="20"/>
        </w:rPr>
        <w:t>X</w:t>
      </w:r>
      <w:bookmarkEnd w:id="391"/>
    </w:p>
    <w:p w:rsidR="004C57E7" w:rsidRPr="00F438BA" w:rsidRDefault="004C57E7" w:rsidP="004C57E7">
      <w:pPr>
        <w:pStyle w:val="ListParagraph"/>
        <w:jc w:val="center"/>
        <w:outlineLvl w:val="0"/>
        <w:rPr>
          <w:b/>
          <w:sz w:val="20"/>
          <w:szCs w:val="20"/>
        </w:rPr>
      </w:pPr>
      <w:bookmarkStart w:id="393" w:name="_Toc415507421"/>
      <w:bookmarkStart w:id="394" w:name="_Toc418530507"/>
      <w:bookmarkStart w:id="395" w:name="_Toc420941766"/>
      <w:bookmarkStart w:id="396" w:name="_Toc424313507"/>
      <w:bookmarkStart w:id="397" w:name="_Toc430869817"/>
      <w:bookmarkStart w:id="398" w:name="_Toc438129739"/>
      <w:r w:rsidRPr="00F438BA">
        <w:rPr>
          <w:b/>
          <w:sz w:val="20"/>
          <w:szCs w:val="20"/>
        </w:rPr>
        <w:t>REPARACIONES</w:t>
      </w:r>
      <w:bookmarkEnd w:id="393"/>
      <w:bookmarkEnd w:id="394"/>
      <w:bookmarkEnd w:id="395"/>
      <w:bookmarkEnd w:id="396"/>
      <w:bookmarkEnd w:id="397"/>
      <w:bookmarkEnd w:id="398"/>
    </w:p>
    <w:p w:rsidR="004C57E7" w:rsidRPr="00663356" w:rsidRDefault="004C57E7" w:rsidP="004C57E7">
      <w:pPr>
        <w:jc w:val="center"/>
        <w:rPr>
          <w:b/>
          <w:szCs w:val="20"/>
        </w:rPr>
      </w:pPr>
      <w:bookmarkStart w:id="399" w:name="_Toc402799511"/>
      <w:bookmarkStart w:id="400" w:name="_Toc402461115"/>
      <w:bookmarkStart w:id="401" w:name="_Toc402459731"/>
      <w:r w:rsidRPr="00663356">
        <w:rPr>
          <w:b/>
          <w:szCs w:val="20"/>
        </w:rPr>
        <w:t xml:space="preserve"> (Aplicación del artículo 63.1 de la Convención Americana)</w:t>
      </w:r>
      <w:bookmarkEnd w:id="399"/>
      <w:bookmarkEnd w:id="400"/>
      <w:bookmarkEnd w:id="401"/>
    </w:p>
    <w:p w:rsidR="004C57E7" w:rsidRDefault="004C57E7" w:rsidP="004C57E7"/>
    <w:p w:rsidR="004C57E7" w:rsidRDefault="004C57E7" w:rsidP="00347658">
      <w:pPr>
        <w:pStyle w:val="Estilo1"/>
        <w:tabs>
          <w:tab w:val="clear" w:pos="18282"/>
        </w:tabs>
        <w:spacing w:after="0"/>
        <w:contextualSpacing/>
      </w:pPr>
      <w:r w:rsidRPr="00A070A2">
        <w:t xml:space="preserve">El artículo 63.1 de la Convención dispone que </w:t>
      </w:r>
    </w:p>
    <w:p w:rsidR="004C57E7" w:rsidRDefault="004C57E7" w:rsidP="00E852BD">
      <w:pPr>
        <w:pStyle w:val="Estilo1"/>
        <w:numPr>
          <w:ilvl w:val="0"/>
          <w:numId w:val="0"/>
        </w:numPr>
        <w:spacing w:after="0"/>
      </w:pPr>
    </w:p>
    <w:p w:rsidR="004C57E7" w:rsidRDefault="004C57E7" w:rsidP="004C57E7">
      <w:pPr>
        <w:pStyle w:val="Estilo1"/>
        <w:numPr>
          <w:ilvl w:val="0"/>
          <w:numId w:val="0"/>
        </w:numPr>
        <w:spacing w:after="0"/>
        <w:ind w:left="567" w:right="855"/>
        <w:rPr>
          <w:sz w:val="16"/>
          <w:szCs w:val="16"/>
        </w:rPr>
      </w:pPr>
      <w:r w:rsidRPr="00444DB8">
        <w:rPr>
          <w:sz w:val="16"/>
          <w:szCs w:val="16"/>
        </w:rPr>
        <w:t>[</w:t>
      </w:r>
      <w:proofErr w:type="gramStart"/>
      <w:r w:rsidRPr="00444DB8">
        <w:rPr>
          <w:sz w:val="16"/>
          <w:szCs w:val="16"/>
        </w:rPr>
        <w:t>c]</w:t>
      </w:r>
      <w:proofErr w:type="spellStart"/>
      <w:proofErr w:type="gramEnd"/>
      <w:r w:rsidRPr="00444DB8">
        <w:rPr>
          <w:sz w:val="16"/>
          <w:szCs w:val="16"/>
        </w:rPr>
        <w:t>uando</w:t>
      </w:r>
      <w:proofErr w:type="spellEnd"/>
      <w:r w:rsidRPr="00444DB8">
        <w:rPr>
          <w:sz w:val="16"/>
          <w:szCs w:val="16"/>
        </w:rPr>
        <w:t xml:space="preserve">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p w:rsidR="004C57E7" w:rsidRPr="00444DB8" w:rsidRDefault="004C57E7" w:rsidP="004C57E7">
      <w:pPr>
        <w:pStyle w:val="Estilo1"/>
        <w:numPr>
          <w:ilvl w:val="0"/>
          <w:numId w:val="0"/>
        </w:numPr>
        <w:spacing w:after="0"/>
        <w:ind w:left="567" w:right="855"/>
        <w:rPr>
          <w:sz w:val="16"/>
          <w:szCs w:val="16"/>
        </w:rPr>
      </w:pPr>
    </w:p>
    <w:p w:rsidR="004C57E7" w:rsidRDefault="004C57E7" w:rsidP="00347658">
      <w:pPr>
        <w:pStyle w:val="Estilo1"/>
        <w:tabs>
          <w:tab w:val="clear" w:pos="18282"/>
        </w:tabs>
        <w:spacing w:after="0"/>
        <w:contextualSpacing/>
      </w:pPr>
      <w:r w:rsidRPr="00A070A2">
        <w:t>A ese respecto, la Corte ha indicado que toda violación de una obligación internacional que haya producido daño comporta el deber de repararlo adecuadamente y que la disposición recoge una norma consuetudinaria que constituye uno de los principios fundamentales del Derecho Internacional contemporáneo sobre responsabilidad de un Estado</w:t>
      </w:r>
      <w:r w:rsidRPr="00663356">
        <w:rPr>
          <w:vertAlign w:val="superscript"/>
        </w:rPr>
        <w:footnoteReference w:id="235"/>
      </w:r>
      <w:r w:rsidRPr="00A070A2">
        <w:t>.</w:t>
      </w:r>
    </w:p>
    <w:p w:rsidR="004C57E7" w:rsidRDefault="004C57E7" w:rsidP="00E852BD">
      <w:pPr>
        <w:pStyle w:val="Estilo1"/>
        <w:numPr>
          <w:ilvl w:val="0"/>
          <w:numId w:val="0"/>
        </w:numPr>
        <w:spacing w:after="0"/>
        <w:contextualSpacing/>
      </w:pPr>
    </w:p>
    <w:p w:rsidR="004C57E7" w:rsidRDefault="004C57E7" w:rsidP="00347658">
      <w:pPr>
        <w:pStyle w:val="Estilo1"/>
        <w:tabs>
          <w:tab w:val="clear" w:pos="18282"/>
        </w:tabs>
        <w:spacing w:after="0"/>
        <w:contextualSpacing/>
      </w:pPr>
      <w:r w:rsidRPr="00A070A2">
        <w:t xml:space="preserve">La Corte ha </w:t>
      </w:r>
      <w:r w:rsidRPr="00A070A2">
        <w:rPr>
          <w:rFonts w:eastAsia="MS Mincho"/>
        </w:rPr>
        <w:t>establecido</w:t>
      </w:r>
      <w:r w:rsidRPr="00A070A2">
        <w:t xml:space="preserve"> que las reparaciones deben tener un nexo causal con los hechos del caso, las violaciones declaradas, los daños acreditados, así como las medidas solicitadas para reparar los daños respectivos</w:t>
      </w:r>
      <w:r w:rsidRPr="00663356">
        <w:rPr>
          <w:vertAlign w:val="superscript"/>
        </w:rPr>
        <w:footnoteReference w:id="236"/>
      </w:r>
      <w:r w:rsidRPr="00A070A2">
        <w:t>.</w:t>
      </w:r>
    </w:p>
    <w:p w:rsidR="004C57E7" w:rsidRDefault="004C57E7" w:rsidP="00E852BD">
      <w:pPr>
        <w:pStyle w:val="Estilo1"/>
        <w:numPr>
          <w:ilvl w:val="0"/>
          <w:numId w:val="0"/>
        </w:numPr>
        <w:spacing w:after="0"/>
        <w:contextualSpacing/>
      </w:pPr>
    </w:p>
    <w:p w:rsidR="004C57E7" w:rsidRPr="00174490" w:rsidRDefault="004C57E7" w:rsidP="00347658">
      <w:pPr>
        <w:pStyle w:val="Estilo1"/>
        <w:tabs>
          <w:tab w:val="clear" w:pos="18282"/>
        </w:tabs>
        <w:spacing w:after="0"/>
        <w:contextualSpacing/>
      </w:pPr>
      <w:r w:rsidRPr="00A070A2">
        <w:t xml:space="preserve">En consideración de las violaciones a la Convención declaradas, la Corte </w:t>
      </w:r>
      <w:r w:rsidRPr="00A070A2">
        <w:rPr>
          <w:rFonts w:eastAsia="MS Mincho"/>
        </w:rPr>
        <w:t>procede</w:t>
      </w:r>
      <w:r w:rsidRPr="00A070A2">
        <w:t xml:space="preserve"> a analizar las pretensiones presentadas por la Comisión y el representante, a la luz de los criterios fijados en su jurisprudencia en relación con la naturaleza y alcance de la obligación de reparar, con el objeto de disponer las medidas dirigidas a reparar los daños ocasionados a las víctimas</w:t>
      </w:r>
      <w:r w:rsidRPr="00663356">
        <w:rPr>
          <w:vertAlign w:val="superscript"/>
        </w:rPr>
        <w:footnoteReference w:id="237"/>
      </w:r>
      <w:r w:rsidRPr="00A070A2">
        <w:t>.</w:t>
      </w:r>
    </w:p>
    <w:p w:rsidR="004C57E7" w:rsidRPr="00663356" w:rsidRDefault="004C57E7" w:rsidP="004C57E7">
      <w:pPr>
        <w:widowControl w:val="0"/>
        <w:tabs>
          <w:tab w:val="left" w:pos="720"/>
        </w:tabs>
        <w:adjustRightInd w:val="0"/>
        <w:textAlignment w:val="baseline"/>
        <w:rPr>
          <w:szCs w:val="20"/>
        </w:rPr>
      </w:pPr>
    </w:p>
    <w:p w:rsidR="004C57E7" w:rsidRPr="0070747C" w:rsidRDefault="004C57E7" w:rsidP="005D3491">
      <w:pPr>
        <w:pStyle w:val="Heading2"/>
        <w:numPr>
          <w:ilvl w:val="0"/>
          <w:numId w:val="13"/>
        </w:numPr>
        <w:ind w:left="567" w:firstLine="0"/>
        <w:jc w:val="left"/>
        <w:rPr>
          <w:rFonts w:eastAsia="Calibri"/>
          <w:bCs w:val="0"/>
          <w:color w:val="auto"/>
          <w:spacing w:val="0"/>
          <w:w w:val="100"/>
          <w:szCs w:val="22"/>
        </w:rPr>
      </w:pPr>
      <w:bookmarkStart w:id="402" w:name="_Toc406580701"/>
      <w:bookmarkStart w:id="403" w:name="_Toc392536828"/>
      <w:bookmarkStart w:id="404" w:name="_Toc375560976"/>
      <w:bookmarkStart w:id="405" w:name="_Toc418530508"/>
      <w:bookmarkStart w:id="406" w:name="_Toc420941767"/>
      <w:bookmarkStart w:id="407" w:name="_Toc424313508"/>
      <w:bookmarkStart w:id="408" w:name="_Toc430869818"/>
      <w:bookmarkStart w:id="409" w:name="_Toc438129740"/>
      <w:r w:rsidRPr="0070747C">
        <w:rPr>
          <w:rFonts w:eastAsia="Calibri"/>
          <w:bCs w:val="0"/>
          <w:color w:val="auto"/>
          <w:spacing w:val="0"/>
          <w:w w:val="100"/>
          <w:szCs w:val="22"/>
        </w:rPr>
        <w:t>Parte Lesionada</w:t>
      </w:r>
      <w:bookmarkEnd w:id="402"/>
      <w:bookmarkEnd w:id="403"/>
      <w:bookmarkEnd w:id="404"/>
      <w:bookmarkEnd w:id="405"/>
      <w:bookmarkEnd w:id="406"/>
      <w:bookmarkEnd w:id="407"/>
      <w:bookmarkEnd w:id="408"/>
      <w:bookmarkEnd w:id="409"/>
    </w:p>
    <w:p w:rsidR="004C57E7" w:rsidRDefault="004C57E7" w:rsidP="004C57E7">
      <w:pPr>
        <w:pStyle w:val="ListParagraph"/>
      </w:pPr>
    </w:p>
    <w:p w:rsidR="004C57E7" w:rsidRPr="0073774F" w:rsidRDefault="004C57E7" w:rsidP="00347658">
      <w:pPr>
        <w:pStyle w:val="Estilo1"/>
        <w:tabs>
          <w:tab w:val="clear" w:pos="18282"/>
        </w:tabs>
        <w:spacing w:after="0"/>
        <w:contextualSpacing/>
        <w:rPr>
          <w:b/>
          <w:sz w:val="24"/>
        </w:rPr>
      </w:pPr>
      <w:r w:rsidRPr="00A070A2">
        <w:rPr>
          <w:rFonts w:eastAsia="Times New Roman"/>
        </w:rPr>
        <w:t>El Tribunal considera parte lesionada, en los términos del artículo 63.1 de la Convención, a quien ha sido declarado víctima de la violación de algún derecho reconocido en la misma. Por lo tanto, la Corte considera como “parte lesionada” al seño</w:t>
      </w:r>
      <w:r>
        <w:rPr>
          <w:rFonts w:eastAsia="Times New Roman"/>
        </w:rPr>
        <w:t xml:space="preserve">r Luis Antonio Galindo Cárdenas, </w:t>
      </w:r>
      <w:r w:rsidRPr="006564E1">
        <w:rPr>
          <w:szCs w:val="16"/>
        </w:rPr>
        <w:t xml:space="preserve">su esposa </w:t>
      </w:r>
      <w:r w:rsidRPr="006564E1">
        <w:rPr>
          <w:szCs w:val="16"/>
          <w:lang w:val="es-CO"/>
        </w:rPr>
        <w:t xml:space="preserve">Irma Díaz de Galindo </w:t>
      </w:r>
      <w:r w:rsidRPr="006564E1">
        <w:rPr>
          <w:szCs w:val="16"/>
        </w:rPr>
        <w:t xml:space="preserve">y su hijo </w:t>
      </w:r>
      <w:r w:rsidR="006564E1" w:rsidRPr="006564E1">
        <w:rPr>
          <w:szCs w:val="16"/>
          <w:lang w:val="es-CO"/>
        </w:rPr>
        <w:t xml:space="preserve">Luis </w:t>
      </w:r>
      <w:proofErr w:type="spellStart"/>
      <w:r w:rsidR="006564E1" w:rsidRPr="006564E1">
        <w:rPr>
          <w:szCs w:val="16"/>
          <w:lang w:val="es-CO"/>
        </w:rPr>
        <w:t>Idel</w:t>
      </w:r>
      <w:r w:rsidRPr="006564E1">
        <w:rPr>
          <w:szCs w:val="16"/>
          <w:lang w:val="es-CO"/>
        </w:rPr>
        <w:t>so</w:t>
      </w:r>
      <w:proofErr w:type="spellEnd"/>
      <w:r w:rsidRPr="006564E1">
        <w:rPr>
          <w:szCs w:val="16"/>
          <w:lang w:val="es-CO"/>
        </w:rPr>
        <w:t xml:space="preserve"> Galindo Díaz.</w:t>
      </w:r>
      <w:r w:rsidRPr="0073774F">
        <w:rPr>
          <w:rFonts w:eastAsia="Times New Roman"/>
          <w:b/>
          <w:sz w:val="24"/>
        </w:rPr>
        <w:t xml:space="preserve"> </w:t>
      </w:r>
    </w:p>
    <w:p w:rsidR="004C57E7" w:rsidRDefault="004C57E7" w:rsidP="004C57E7"/>
    <w:p w:rsidR="004C57E7" w:rsidRPr="0070747C" w:rsidRDefault="004C57E7" w:rsidP="005D3491">
      <w:pPr>
        <w:pStyle w:val="Heading2"/>
        <w:numPr>
          <w:ilvl w:val="0"/>
          <w:numId w:val="15"/>
        </w:numPr>
        <w:ind w:left="567" w:firstLine="0"/>
        <w:jc w:val="left"/>
        <w:rPr>
          <w:rFonts w:eastAsia="Calibri"/>
          <w:bCs w:val="0"/>
          <w:color w:val="auto"/>
          <w:spacing w:val="0"/>
          <w:w w:val="100"/>
          <w:szCs w:val="22"/>
        </w:rPr>
      </w:pPr>
      <w:bookmarkStart w:id="410" w:name="_Toc406580702"/>
      <w:bookmarkStart w:id="411" w:name="_Toc418530509"/>
      <w:bookmarkStart w:id="412" w:name="_Toc420941768"/>
      <w:bookmarkStart w:id="413" w:name="_Toc424313509"/>
      <w:bookmarkStart w:id="414" w:name="_Toc430869819"/>
      <w:bookmarkStart w:id="415" w:name="_Toc438129741"/>
      <w:r w:rsidRPr="0070747C">
        <w:rPr>
          <w:rFonts w:eastAsia="Calibri"/>
          <w:bCs w:val="0"/>
          <w:color w:val="auto"/>
          <w:spacing w:val="0"/>
          <w:w w:val="100"/>
          <w:szCs w:val="22"/>
        </w:rPr>
        <w:t>Obligación de investigar los hechos que generaron las violaciones e identificar, juzgar y, en su caso, sancionar a los responsables</w:t>
      </w:r>
      <w:bookmarkEnd w:id="410"/>
      <w:bookmarkEnd w:id="411"/>
      <w:bookmarkEnd w:id="412"/>
      <w:bookmarkEnd w:id="413"/>
      <w:bookmarkEnd w:id="414"/>
      <w:bookmarkEnd w:id="415"/>
    </w:p>
    <w:p w:rsidR="004C57E7" w:rsidRPr="00A070A2" w:rsidRDefault="004C57E7" w:rsidP="004C57E7">
      <w:pPr>
        <w:pStyle w:val="Estilo1"/>
        <w:numPr>
          <w:ilvl w:val="0"/>
          <w:numId w:val="0"/>
        </w:numPr>
        <w:spacing w:after="0"/>
        <w:contextualSpacing/>
      </w:pPr>
    </w:p>
    <w:p w:rsidR="004C57E7" w:rsidRDefault="004C57E7" w:rsidP="00347658">
      <w:pPr>
        <w:pStyle w:val="Estilo1"/>
        <w:tabs>
          <w:tab w:val="clear" w:pos="18282"/>
        </w:tabs>
        <w:spacing w:after="0"/>
        <w:contextualSpacing/>
      </w:pPr>
      <w:r w:rsidRPr="00A070A2">
        <w:t xml:space="preserve">La </w:t>
      </w:r>
      <w:r w:rsidRPr="00A070A2">
        <w:rPr>
          <w:b/>
          <w:i/>
        </w:rPr>
        <w:t>Comisión</w:t>
      </w:r>
      <w:r w:rsidRPr="00A070A2">
        <w:rPr>
          <w:b/>
        </w:rPr>
        <w:t xml:space="preserve"> </w:t>
      </w:r>
      <w:r w:rsidRPr="00A070A2">
        <w:t>solicitó a la Corte que ordene al Estado “[i]</w:t>
      </w:r>
      <w:proofErr w:type="spellStart"/>
      <w:r w:rsidRPr="00A070A2">
        <w:rPr>
          <w:rFonts w:eastAsiaTheme="minorHAnsi" w:cs="Arial"/>
        </w:rPr>
        <w:t>nvestigar</w:t>
      </w:r>
      <w:proofErr w:type="spellEnd"/>
      <w:r w:rsidRPr="00A070A2">
        <w:rPr>
          <w:rFonts w:eastAsiaTheme="minorHAnsi" w:cs="Arial"/>
        </w:rPr>
        <w:t xml:space="preserve"> de manera imparcial, efectiva y dentro de un plazo razonable con el objeto de esclarecer en forma completa los hechos violatorios de la Convención Americana, identificar a los autores intelectuales y materiales e imponer las sanciones que correspondan</w:t>
      </w:r>
      <w:r w:rsidRPr="00A070A2">
        <w:t xml:space="preserve">”, así como </w:t>
      </w:r>
      <w:r w:rsidRPr="00A070A2">
        <w:rPr>
          <w:rFonts w:eastAsiaTheme="minorHAnsi" w:cs="Arial"/>
        </w:rPr>
        <w:t>“[d]</w:t>
      </w:r>
      <w:proofErr w:type="spellStart"/>
      <w:r w:rsidRPr="00A070A2">
        <w:rPr>
          <w:rFonts w:eastAsiaTheme="minorHAnsi" w:cs="Arial"/>
        </w:rPr>
        <w:t>isponer</w:t>
      </w:r>
      <w:proofErr w:type="spellEnd"/>
      <w:r w:rsidRPr="00A070A2">
        <w:rPr>
          <w:rFonts w:eastAsiaTheme="minorHAnsi" w:cs="Arial"/>
        </w:rPr>
        <w:t xml:space="preserve"> las medidas administrativas, disciplinarias o penales correspondientes frente a las acciones u omisiones de los funcionarios estatales que contribuyeron a la denegación de justicia e impunidad en la que se encuentran los hechos del caso</w:t>
      </w:r>
      <w:r w:rsidRPr="00A070A2">
        <w:t xml:space="preserve">”. </w:t>
      </w:r>
    </w:p>
    <w:p w:rsidR="004C57E7" w:rsidRDefault="004C57E7" w:rsidP="00E852BD">
      <w:pPr>
        <w:pStyle w:val="Estilo1"/>
        <w:numPr>
          <w:ilvl w:val="0"/>
          <w:numId w:val="0"/>
        </w:numPr>
        <w:spacing w:after="0"/>
        <w:contextualSpacing/>
      </w:pPr>
    </w:p>
    <w:p w:rsidR="004C57E7" w:rsidRDefault="004C57E7" w:rsidP="00347658">
      <w:pPr>
        <w:pStyle w:val="Estilo1"/>
        <w:tabs>
          <w:tab w:val="clear" w:pos="18282"/>
        </w:tabs>
        <w:spacing w:after="0"/>
        <w:contextualSpacing/>
      </w:pPr>
      <w:r w:rsidRPr="00A070A2">
        <w:lastRenderedPageBreak/>
        <w:t xml:space="preserve">El </w:t>
      </w:r>
      <w:r w:rsidRPr="00A070A2">
        <w:rPr>
          <w:b/>
          <w:i/>
        </w:rPr>
        <w:t>representante</w:t>
      </w:r>
      <w:r w:rsidRPr="00A070A2">
        <w:t xml:space="preserve"> solicitó a la Corte “[o]</w:t>
      </w:r>
      <w:proofErr w:type="spellStart"/>
      <w:r>
        <w:rPr>
          <w:rFonts w:eastAsiaTheme="minorHAnsi" w:cs="Arial"/>
        </w:rPr>
        <w:t>rdenar</w:t>
      </w:r>
      <w:proofErr w:type="spellEnd"/>
      <w:r w:rsidR="00FA6B66">
        <w:rPr>
          <w:rFonts w:eastAsiaTheme="minorHAnsi" w:cs="Arial"/>
        </w:rPr>
        <w:t>,</w:t>
      </w:r>
      <w:r>
        <w:rPr>
          <w:rFonts w:eastAsiaTheme="minorHAnsi" w:cs="Arial"/>
        </w:rPr>
        <w:t xml:space="preserve"> </w:t>
      </w:r>
      <w:r w:rsidR="00FA6B66">
        <w:rPr>
          <w:rFonts w:eastAsiaTheme="minorHAnsi" w:cs="Arial"/>
        </w:rPr>
        <w:t>[</w:t>
      </w:r>
      <w:r>
        <w:rPr>
          <w:rFonts w:eastAsiaTheme="minorHAnsi" w:cs="Arial"/>
        </w:rPr>
        <w:t>que</w:t>
      </w:r>
      <w:r w:rsidR="00FA6B66">
        <w:rPr>
          <w:rFonts w:eastAsiaTheme="minorHAnsi" w:cs="Arial"/>
        </w:rPr>
        <w:t>]</w:t>
      </w:r>
      <w:r>
        <w:rPr>
          <w:rFonts w:eastAsiaTheme="minorHAnsi" w:cs="Arial"/>
        </w:rPr>
        <w:t xml:space="preserve"> </w:t>
      </w:r>
      <w:r w:rsidRPr="00A070A2">
        <w:rPr>
          <w:rFonts w:eastAsiaTheme="minorHAnsi" w:cs="Arial"/>
        </w:rPr>
        <w:t>se investigue de manera imparcial y efectiva, para identificar a los autores intelectuales y materiales de los actos viola</w:t>
      </w:r>
      <w:r>
        <w:rPr>
          <w:rFonts w:eastAsiaTheme="minorHAnsi" w:cs="Arial"/>
        </w:rPr>
        <w:t>torios sufridos por [su]</w:t>
      </w:r>
      <w:r w:rsidRPr="00A070A2">
        <w:rPr>
          <w:rFonts w:eastAsiaTheme="minorHAnsi" w:cs="Arial"/>
        </w:rPr>
        <w:t xml:space="preserve"> patrocinado, y en su oportunidad se les imponga la sanción que corresponda</w:t>
      </w:r>
      <w:r>
        <w:t>”. Asimismo solicitó</w:t>
      </w:r>
      <w:r w:rsidRPr="00A070A2">
        <w:t xml:space="preserve"> que se ordene al Perú “[d]</w:t>
      </w:r>
      <w:proofErr w:type="spellStart"/>
      <w:r w:rsidRPr="00A070A2">
        <w:t>isponer</w:t>
      </w:r>
      <w:proofErr w:type="spellEnd"/>
      <w:r w:rsidRPr="00A070A2">
        <w:t xml:space="preserve"> las medidas penales, civiles y administrativas que correspondan contra los funcionarios del Estado que resultan </w:t>
      </w:r>
      <w:r>
        <w:t>responsables, por los actos de [o</w:t>
      </w:r>
      <w:r w:rsidRPr="00A070A2">
        <w:t>]</w:t>
      </w:r>
      <w:proofErr w:type="spellStart"/>
      <w:r>
        <w:t>misi</w:t>
      </w:r>
      <w:proofErr w:type="spellEnd"/>
      <w:r>
        <w:t>[</w:t>
      </w:r>
      <w:proofErr w:type="spellStart"/>
      <w:r>
        <w:t>ó</w:t>
      </w:r>
      <w:proofErr w:type="spellEnd"/>
      <w:r>
        <w:t>]n y [e</w:t>
      </w:r>
      <w:r w:rsidRPr="00A070A2">
        <w:t>]</w:t>
      </w:r>
      <w:proofErr w:type="spellStart"/>
      <w:r w:rsidRPr="00A070A2">
        <w:t>ncubrimiento</w:t>
      </w:r>
      <w:proofErr w:type="spellEnd"/>
      <w:r w:rsidRPr="00A070A2">
        <w:t xml:space="preserve"> en los que incurrieron, permitiendo denegación de justicia e impunidad”. </w:t>
      </w:r>
    </w:p>
    <w:p w:rsidR="004C57E7" w:rsidRDefault="004C57E7" w:rsidP="00E852BD">
      <w:pPr>
        <w:pStyle w:val="ListParagraph"/>
        <w:ind w:left="0"/>
      </w:pPr>
    </w:p>
    <w:p w:rsidR="004C57E7" w:rsidRPr="00174490" w:rsidRDefault="004C57E7" w:rsidP="00347658">
      <w:pPr>
        <w:pStyle w:val="Estilo1"/>
        <w:tabs>
          <w:tab w:val="clear" w:pos="18282"/>
        </w:tabs>
        <w:spacing w:after="0"/>
        <w:contextualSpacing/>
      </w:pPr>
      <w:r w:rsidRPr="00A070A2">
        <w:t xml:space="preserve">El </w:t>
      </w:r>
      <w:r w:rsidRPr="00A070A2">
        <w:rPr>
          <w:b/>
          <w:i/>
        </w:rPr>
        <w:t>Estado</w:t>
      </w:r>
      <w:r w:rsidRPr="00A070A2">
        <w:t xml:space="preserve"> señaló que “no es responsable de los hechos denunciados por el señor Galindo Cárdenas, sin embargo, en virtud del compromiso del Estado respecto a los deberes de respeto y garantía de los derechos humanos contemplados en la Convención Americana, luego del Informe de Fondo, </w:t>
      </w:r>
      <w:r w:rsidR="00FA6B66">
        <w:t>[</w:t>
      </w:r>
      <w:r>
        <w:t>el Estado</w:t>
      </w:r>
      <w:r w:rsidR="00FA6B66">
        <w:t>]</w:t>
      </w:r>
      <w:r>
        <w:t xml:space="preserve"> </w:t>
      </w:r>
      <w:r w:rsidRPr="00A070A2">
        <w:t xml:space="preserve">transmitió el mismo al Ministerio Público para su conocimiento, y en virtud de sus atribuciones, inició una investigación preliminar, la misma que continúa actualmente en curso ante la Fiscalía Especializada en Delitos de Terrorismo y Lesa Humanidad del Distrito Judicial de Huánuco”. Perú señaló que en este sentido se viene cumpliendo con la recomendación que dio la Comisión y que es intención del Estado “continuar con la debida celeridad la investigación penal que se viene realizando en sede nacional así como su intención de tramitar con rapidez y eficacia procesal las eventuales actuaciones procedimentales que puedan presentarse”. En cuanto a la disposición de las medidas administrativas hizo referencia a que “[con] base [en] las denuncias realizadas por el señor Galindo, mediante Resolución Nro. 462 de 8 de mayo de 1998, la Fiscalía Suprema de Control Interno dispuso archivar definitivamente la denuncia formulada contra </w:t>
      </w:r>
      <w:r w:rsidR="00034B3A">
        <w:t>[…] [</w:t>
      </w:r>
      <w:r w:rsidRPr="00A070A2">
        <w:t>el</w:t>
      </w:r>
      <w:r w:rsidR="00034B3A">
        <w:t>]</w:t>
      </w:r>
      <w:r w:rsidRPr="00A070A2">
        <w:t xml:space="preserve"> ex Fiscal Provincial de la Primera Fiscalía Provincial Mixta de Huánuco y </w:t>
      </w:r>
      <w:r w:rsidR="00034B3A">
        <w:t>[…] [</w:t>
      </w:r>
      <w:r w:rsidRPr="00A070A2">
        <w:t>el</w:t>
      </w:r>
      <w:r w:rsidR="00034B3A">
        <w:t>]</w:t>
      </w:r>
      <w:r w:rsidRPr="00A070A2">
        <w:t xml:space="preserve"> ex Fiscal Superior Decano de Huánuco, por los delitos de Abuso de Autoridad, contra la Función Jurisdiccional y Prevaricato” y es por esto que no “consideró necesario investigar una presunta responsabilidad en el ámbito administrativo. Posteriormente, [tomó] conocimiento que los Fiscales [referidos] fallecieron, por lo cual respecto de ambos, la presente recomendación se torna en inejecutable”</w:t>
      </w:r>
      <w:r w:rsidRPr="00A070A2">
        <w:rPr>
          <w:rFonts w:eastAsiaTheme="minorHAnsi"/>
          <w:sz w:val="21"/>
          <w:szCs w:val="21"/>
        </w:rPr>
        <w:t>.</w:t>
      </w:r>
      <w:bookmarkStart w:id="416" w:name="_Toc375560978"/>
    </w:p>
    <w:p w:rsidR="004C57E7" w:rsidRPr="00A070A2" w:rsidRDefault="004C57E7" w:rsidP="00E852BD">
      <w:pPr>
        <w:pStyle w:val="Estilo1"/>
        <w:numPr>
          <w:ilvl w:val="0"/>
          <w:numId w:val="0"/>
        </w:numPr>
        <w:spacing w:after="0"/>
        <w:contextualSpacing/>
      </w:pPr>
    </w:p>
    <w:p w:rsidR="00420D8F" w:rsidRDefault="004C57E7" w:rsidP="00347658">
      <w:pPr>
        <w:pStyle w:val="Estilo1"/>
        <w:tabs>
          <w:tab w:val="clear" w:pos="18282"/>
        </w:tabs>
        <w:spacing w:after="0"/>
        <w:contextualSpacing/>
        <w:rPr>
          <w:rFonts w:eastAsiaTheme="minorHAnsi"/>
        </w:rPr>
      </w:pPr>
      <w:r w:rsidRPr="00A070A2">
        <w:t xml:space="preserve">La </w:t>
      </w:r>
      <w:r w:rsidRPr="003364AB">
        <w:rPr>
          <w:b/>
          <w:i/>
        </w:rPr>
        <w:t>Corte</w:t>
      </w:r>
      <w:r w:rsidRPr="00A070A2">
        <w:t xml:space="preserve"> declaró en la presente Sentencia, que</w:t>
      </w:r>
      <w:r w:rsidRPr="003364AB">
        <w:rPr>
          <w:rFonts w:eastAsiaTheme="minorHAnsi" w:cs="Verdana"/>
          <w:color w:val="000000"/>
        </w:rPr>
        <w:t xml:space="preserve"> el Estado violó</w:t>
      </w:r>
      <w:r w:rsidR="00952EEA">
        <w:rPr>
          <w:rFonts w:eastAsiaTheme="minorHAnsi" w:cs="Verdana"/>
          <w:color w:val="000000"/>
        </w:rPr>
        <w:t xml:space="preserve"> </w:t>
      </w:r>
      <w:r w:rsidRPr="003364AB">
        <w:rPr>
          <w:rFonts w:eastAsiaTheme="minorHAnsi" w:cs="Verdana"/>
          <w:color w:val="000000"/>
        </w:rPr>
        <w:t>los artículos 8.1 y 25.1 de la Convención Americana, en relación con el artículo 1.1 de la misma, por la omisión del Estado de iniciar en forma inmediata una investigación respecto a indicaciones de hechos de “tortura psicológica” efectuadas por el señor Galindo en diversas presentaciones que dirigió a autoridades estatales en el ámbito interno (</w:t>
      </w:r>
      <w:r w:rsidRPr="003364AB">
        <w:rPr>
          <w:rFonts w:eastAsiaTheme="minorHAnsi" w:cs="Verdana"/>
          <w:i/>
          <w:color w:val="000000"/>
        </w:rPr>
        <w:t>supra</w:t>
      </w:r>
      <w:r w:rsidRPr="003364AB">
        <w:rPr>
          <w:rFonts w:eastAsiaTheme="minorHAnsi" w:cs="Verdana"/>
          <w:color w:val="000000"/>
        </w:rPr>
        <w:t xml:space="preserve"> párr.</w:t>
      </w:r>
      <w:r w:rsidR="00284ADB" w:rsidRPr="003364AB">
        <w:rPr>
          <w:rFonts w:eastAsiaTheme="minorHAnsi" w:cs="Verdana"/>
          <w:color w:val="000000"/>
        </w:rPr>
        <w:t xml:space="preserve"> 26</w:t>
      </w:r>
      <w:r w:rsidR="007D3AF6">
        <w:rPr>
          <w:rFonts w:eastAsiaTheme="minorHAnsi" w:cs="Verdana"/>
          <w:color w:val="000000"/>
        </w:rPr>
        <w:t>6</w:t>
      </w:r>
      <w:r w:rsidRPr="003364AB">
        <w:rPr>
          <w:rFonts w:eastAsiaTheme="minorHAnsi" w:cs="Verdana"/>
          <w:color w:val="000000"/>
        </w:rPr>
        <w:t xml:space="preserve">). </w:t>
      </w:r>
      <w:r w:rsidRPr="003364AB">
        <w:rPr>
          <w:rFonts w:eastAsiaTheme="minorHAnsi" w:cstheme="minorBidi"/>
        </w:rPr>
        <w:t>Ya se ha referido, en esta Sentencia, e</w:t>
      </w:r>
      <w:r w:rsidRPr="003364AB">
        <w:rPr>
          <w:rFonts w:eastAsiaTheme="minorHAnsi" w:cs="Verdana"/>
          <w:color w:val="000000"/>
        </w:rPr>
        <w:t>l deber del Estado de investigar violaciones de derechos humanos como torturas</w:t>
      </w:r>
      <w:r w:rsidR="005616E8" w:rsidRPr="003364AB">
        <w:rPr>
          <w:rFonts w:eastAsiaTheme="minorHAnsi" w:cs="Verdana"/>
          <w:color w:val="000000"/>
        </w:rPr>
        <w:t xml:space="preserve"> (</w:t>
      </w:r>
      <w:r w:rsidR="005616E8" w:rsidRPr="003364AB">
        <w:rPr>
          <w:rFonts w:eastAsiaTheme="minorHAnsi" w:cs="Verdana"/>
          <w:i/>
          <w:color w:val="000000"/>
        </w:rPr>
        <w:t xml:space="preserve">supra </w:t>
      </w:r>
      <w:r w:rsidR="005616E8" w:rsidRPr="003364AB">
        <w:rPr>
          <w:rFonts w:eastAsiaTheme="minorHAnsi" w:cs="Verdana"/>
          <w:color w:val="000000"/>
        </w:rPr>
        <w:t>párr. 2</w:t>
      </w:r>
      <w:r w:rsidR="00856B8E" w:rsidRPr="003364AB">
        <w:rPr>
          <w:rFonts w:eastAsiaTheme="minorHAnsi" w:cs="Verdana"/>
          <w:color w:val="000000"/>
        </w:rPr>
        <w:t>5</w:t>
      </w:r>
      <w:r w:rsidR="007D3AF6">
        <w:rPr>
          <w:rFonts w:eastAsiaTheme="minorHAnsi" w:cs="Verdana"/>
          <w:color w:val="000000"/>
        </w:rPr>
        <w:t>9</w:t>
      </w:r>
      <w:r w:rsidR="005616E8" w:rsidRPr="003364AB">
        <w:rPr>
          <w:rFonts w:eastAsiaTheme="minorHAnsi" w:cs="Verdana"/>
          <w:color w:val="000000"/>
        </w:rPr>
        <w:t>)</w:t>
      </w:r>
      <w:r w:rsidRPr="003364AB">
        <w:rPr>
          <w:rFonts w:eastAsiaTheme="minorHAnsi" w:cstheme="minorBidi"/>
        </w:rPr>
        <w:t>. Asimismo, en línea con lo sentado en la jurisprudencia de este Tribunal, el deber de procurar evitar la impunidad de</w:t>
      </w:r>
      <w:r w:rsidRPr="0080153F">
        <w:t xml:space="preserve"> violaciones a derechos humanos adquiere importancia particular ante la gravedad de los delitos cometidos y la naturaleza de los derechos lesionados</w:t>
      </w:r>
      <w:r w:rsidRPr="0080153F">
        <w:rPr>
          <w:rStyle w:val="FootnoteReference"/>
        </w:rPr>
        <w:footnoteReference w:id="238"/>
      </w:r>
      <w:r w:rsidRPr="0080153F">
        <w:t xml:space="preserve">. </w:t>
      </w:r>
      <w:r w:rsidR="00856B8E" w:rsidRPr="003364AB">
        <w:rPr>
          <w:rFonts w:eastAsiaTheme="minorHAnsi" w:cstheme="minorBidi"/>
        </w:rPr>
        <w:t xml:space="preserve">En este sentido, </w:t>
      </w:r>
      <w:r w:rsidRPr="003364AB">
        <w:rPr>
          <w:rFonts w:eastAsiaTheme="minorHAnsi" w:cstheme="minorBidi"/>
        </w:rPr>
        <w:t>la tortura denunciada por el señor Galindo es susceptible, en caso de acreditarse, de considerarse una grave violación de derechos humanos</w:t>
      </w:r>
      <w:r w:rsidRPr="00420D8F">
        <w:rPr>
          <w:rFonts w:eastAsiaTheme="minorHAnsi" w:cstheme="minorBidi"/>
        </w:rPr>
        <w:t>. En relación con ello, cabe recordar que la Corte ha</w:t>
      </w:r>
      <w:r w:rsidR="009F43A1" w:rsidRPr="00420D8F">
        <w:rPr>
          <w:rFonts w:eastAsiaTheme="minorHAnsi" w:cstheme="minorBidi"/>
        </w:rPr>
        <w:t xml:space="preserve"> reconocido que </w:t>
      </w:r>
      <w:r w:rsidRPr="00420D8F">
        <w:rPr>
          <w:rFonts w:eastAsiaTheme="minorHAnsi"/>
          <w:color w:val="000000"/>
        </w:rPr>
        <w:t>los actos de tortura fueron una práctica generalizada en el contexto del conflicto en el Perú</w:t>
      </w:r>
      <w:r w:rsidR="009F43A1" w:rsidRPr="00420D8F">
        <w:rPr>
          <w:rFonts w:eastAsiaTheme="minorHAnsi"/>
        </w:rPr>
        <w:t xml:space="preserve"> (</w:t>
      </w:r>
      <w:r w:rsidR="009F43A1" w:rsidRPr="00420D8F">
        <w:rPr>
          <w:rFonts w:eastAsiaTheme="minorHAnsi"/>
          <w:i/>
        </w:rPr>
        <w:t>supra</w:t>
      </w:r>
      <w:r w:rsidR="009F43A1" w:rsidRPr="00420D8F">
        <w:rPr>
          <w:rFonts w:eastAsiaTheme="minorHAnsi"/>
        </w:rPr>
        <w:t xml:space="preserve"> párr. 9</w:t>
      </w:r>
      <w:r w:rsidR="007D3AF6">
        <w:rPr>
          <w:rFonts w:eastAsiaTheme="minorHAnsi"/>
        </w:rPr>
        <w:t>9</w:t>
      </w:r>
      <w:r w:rsidR="009F43A1" w:rsidRPr="00420D8F">
        <w:rPr>
          <w:rFonts w:eastAsiaTheme="minorHAnsi"/>
        </w:rPr>
        <w:t>)</w:t>
      </w:r>
      <w:r w:rsidR="00E665C7" w:rsidRPr="00420D8F">
        <w:rPr>
          <w:rFonts w:eastAsiaTheme="minorHAnsi"/>
        </w:rPr>
        <w:t>.</w:t>
      </w:r>
      <w:r w:rsidR="00420D8F">
        <w:rPr>
          <w:rFonts w:eastAsiaTheme="minorHAnsi"/>
        </w:rPr>
        <w:t xml:space="preserve"> L</w:t>
      </w:r>
      <w:r w:rsidRPr="003364AB">
        <w:rPr>
          <w:rFonts w:eastAsiaTheme="minorHAnsi"/>
        </w:rPr>
        <w:t>a realización de una investigación completa y efectiva de los hechos contribu</w:t>
      </w:r>
      <w:r w:rsidR="003364AB" w:rsidRPr="003364AB">
        <w:rPr>
          <w:rFonts w:eastAsiaTheme="minorHAnsi"/>
        </w:rPr>
        <w:t>irá</w:t>
      </w:r>
      <w:r w:rsidRPr="003364AB">
        <w:rPr>
          <w:rFonts w:eastAsiaTheme="minorHAnsi"/>
        </w:rPr>
        <w:t xml:space="preserve"> a paliar los sufrimientos padecidos por las víctimas</w:t>
      </w:r>
      <w:r w:rsidRPr="00663356">
        <w:rPr>
          <w:rStyle w:val="FootnoteReference"/>
          <w:rFonts w:eastAsiaTheme="minorHAnsi"/>
        </w:rPr>
        <w:footnoteReference w:id="239"/>
      </w:r>
      <w:r w:rsidRPr="003364AB">
        <w:rPr>
          <w:rFonts w:eastAsiaTheme="minorHAnsi"/>
        </w:rPr>
        <w:t>.</w:t>
      </w:r>
      <w:r w:rsidR="00E11C2E" w:rsidRPr="003364AB">
        <w:rPr>
          <w:rFonts w:eastAsiaTheme="minorHAnsi"/>
        </w:rPr>
        <w:t xml:space="preserve"> </w:t>
      </w:r>
    </w:p>
    <w:p w:rsidR="00420D8F" w:rsidRDefault="00420D8F" w:rsidP="00420D8F">
      <w:pPr>
        <w:pStyle w:val="Estilo1"/>
        <w:numPr>
          <w:ilvl w:val="0"/>
          <w:numId w:val="0"/>
        </w:numPr>
        <w:spacing w:after="0"/>
        <w:contextualSpacing/>
        <w:rPr>
          <w:rFonts w:eastAsiaTheme="minorHAnsi"/>
        </w:rPr>
      </w:pPr>
    </w:p>
    <w:p w:rsidR="007A5B5A" w:rsidRPr="00DF3EE2" w:rsidRDefault="004C57E7" w:rsidP="00347658">
      <w:pPr>
        <w:pStyle w:val="Estilo1"/>
        <w:tabs>
          <w:tab w:val="clear" w:pos="18282"/>
        </w:tabs>
        <w:spacing w:after="0"/>
        <w:contextualSpacing/>
        <w:rPr>
          <w:rFonts w:eastAsiaTheme="minorHAnsi"/>
        </w:rPr>
      </w:pPr>
      <w:r w:rsidRPr="00420D8F">
        <w:rPr>
          <w:rFonts w:eastAsiaTheme="minorHAnsi"/>
        </w:rPr>
        <w:lastRenderedPageBreak/>
        <w:t>Como consecuencia de lo anterior, este Tribunal considera, como lo ha hecho en otros casos</w:t>
      </w:r>
      <w:r w:rsidRPr="00663356">
        <w:rPr>
          <w:rStyle w:val="FootnoteReference"/>
          <w:rFonts w:eastAsiaTheme="minorHAnsi"/>
        </w:rPr>
        <w:footnoteReference w:id="240"/>
      </w:r>
      <w:r w:rsidRPr="00420D8F">
        <w:rPr>
          <w:rFonts w:eastAsiaTheme="minorHAnsi"/>
        </w:rPr>
        <w:t>, que el Estado debe continuar</w:t>
      </w:r>
      <w:r w:rsidR="004E39D6">
        <w:rPr>
          <w:rFonts w:eastAsiaTheme="minorHAnsi"/>
        </w:rPr>
        <w:t xml:space="preserve"> y concluir</w:t>
      </w:r>
      <w:r w:rsidRPr="00420D8F">
        <w:rPr>
          <w:rFonts w:eastAsiaTheme="minorHAnsi"/>
        </w:rPr>
        <w:t xml:space="preserve">, en un plazo </w:t>
      </w:r>
      <w:r w:rsidRPr="00420D8F">
        <w:rPr>
          <w:rFonts w:eastAsiaTheme="minorHAnsi" w:cstheme="minorBidi"/>
        </w:rPr>
        <w:t>razonable la investigación de los hechos</w:t>
      </w:r>
      <w:r w:rsidR="00DF7CEB">
        <w:rPr>
          <w:rFonts w:eastAsiaTheme="minorHAnsi" w:cstheme="minorBidi"/>
        </w:rPr>
        <w:t xml:space="preserve"> que se encuentra en curso</w:t>
      </w:r>
      <w:r w:rsidR="003C7C91">
        <w:rPr>
          <w:rFonts w:eastAsiaTheme="minorHAnsi" w:cstheme="minorBidi"/>
        </w:rPr>
        <w:t>, la cual fue</w:t>
      </w:r>
      <w:r w:rsidR="00DF7CEB">
        <w:rPr>
          <w:rFonts w:eastAsiaTheme="minorHAnsi" w:cstheme="minorBidi"/>
        </w:rPr>
        <w:t xml:space="preserve"> </w:t>
      </w:r>
      <w:r w:rsidR="003C7C91">
        <w:rPr>
          <w:rFonts w:eastAsiaTheme="minorHAnsi" w:cstheme="minorBidi"/>
        </w:rPr>
        <w:t xml:space="preserve">iniciada </w:t>
      </w:r>
      <w:r w:rsidR="003C7C91" w:rsidRPr="00DF3EE2">
        <w:rPr>
          <w:rFonts w:eastAsiaTheme="minorHAnsi" w:cstheme="minorBidi"/>
        </w:rPr>
        <w:t xml:space="preserve">por la Fiscalía Especializada en Delitos de Terrorismo y Lesa Humanidad </w:t>
      </w:r>
      <w:r w:rsidRPr="00DF3EE2">
        <w:rPr>
          <w:rFonts w:eastAsiaTheme="minorHAnsi" w:cstheme="minorBidi"/>
        </w:rPr>
        <w:t>a fin de determinar</w:t>
      </w:r>
      <w:r w:rsidR="00D27D86" w:rsidRPr="00DF3EE2">
        <w:rPr>
          <w:rFonts w:eastAsiaTheme="minorHAnsi" w:cstheme="minorBidi"/>
        </w:rPr>
        <w:t>los</w:t>
      </w:r>
      <w:r w:rsidRPr="00DF3EE2">
        <w:rPr>
          <w:rFonts w:eastAsiaTheme="minorHAnsi" w:cstheme="minorBidi"/>
        </w:rPr>
        <w:t xml:space="preserve"> y, de ser procedente, identificar, juzgar y, en su caso sancionar a los responsables. </w:t>
      </w:r>
    </w:p>
    <w:p w:rsidR="007A5B5A" w:rsidRPr="00E90A73" w:rsidRDefault="007A5B5A" w:rsidP="00E852BD">
      <w:pPr>
        <w:rPr>
          <w:b/>
          <w:i/>
          <w:szCs w:val="20"/>
        </w:rPr>
      </w:pPr>
    </w:p>
    <w:p w:rsidR="007A5B5A" w:rsidRPr="006B0666" w:rsidRDefault="007A5B5A" w:rsidP="005D3491">
      <w:pPr>
        <w:pStyle w:val="ListParagraph"/>
        <w:numPr>
          <w:ilvl w:val="0"/>
          <w:numId w:val="15"/>
        </w:numPr>
        <w:ind w:left="567" w:firstLine="0"/>
        <w:outlineLvl w:val="1"/>
        <w:rPr>
          <w:b/>
          <w:i/>
          <w:sz w:val="20"/>
          <w:szCs w:val="20"/>
        </w:rPr>
      </w:pPr>
      <w:bookmarkStart w:id="417" w:name="_Toc424313510"/>
      <w:bookmarkStart w:id="418" w:name="_Toc438129742"/>
      <w:bookmarkStart w:id="419" w:name="_Toc430869820"/>
      <w:r w:rsidRPr="006B0666">
        <w:rPr>
          <w:b/>
          <w:i/>
          <w:sz w:val="20"/>
          <w:szCs w:val="20"/>
        </w:rPr>
        <w:t>Satisfacción</w:t>
      </w:r>
      <w:bookmarkEnd w:id="417"/>
      <w:bookmarkEnd w:id="418"/>
      <w:r>
        <w:rPr>
          <w:b/>
          <w:i/>
          <w:sz w:val="20"/>
          <w:szCs w:val="20"/>
        </w:rPr>
        <w:t xml:space="preserve"> </w:t>
      </w:r>
      <w:bookmarkEnd w:id="419"/>
    </w:p>
    <w:p w:rsidR="007A5B5A" w:rsidRDefault="007A5B5A" w:rsidP="007A5B5A">
      <w:pPr>
        <w:pStyle w:val="Estilo1"/>
        <w:numPr>
          <w:ilvl w:val="0"/>
          <w:numId w:val="0"/>
        </w:numPr>
        <w:spacing w:after="0"/>
        <w:contextualSpacing/>
        <w:outlineLvl w:val="1"/>
        <w:rPr>
          <w:b/>
          <w:i/>
        </w:rPr>
      </w:pPr>
    </w:p>
    <w:p w:rsidR="007A5B5A" w:rsidRDefault="00F7722D" w:rsidP="008E71F7">
      <w:pPr>
        <w:pStyle w:val="Estilo1"/>
        <w:numPr>
          <w:ilvl w:val="0"/>
          <w:numId w:val="0"/>
        </w:numPr>
        <w:spacing w:after="0"/>
        <w:ind w:left="851"/>
        <w:contextualSpacing/>
        <w:outlineLvl w:val="2"/>
        <w:rPr>
          <w:b/>
          <w:i/>
        </w:rPr>
      </w:pPr>
      <w:bookmarkStart w:id="420" w:name="_Toc438129743"/>
      <w:r w:rsidRPr="008E71F7">
        <w:rPr>
          <w:i/>
        </w:rPr>
        <w:t xml:space="preserve">C.1. </w:t>
      </w:r>
      <w:r w:rsidR="007A5B5A" w:rsidRPr="008E71F7">
        <w:rPr>
          <w:i/>
        </w:rPr>
        <w:t>Solicitud de anulación de “Actas de Arrepentimiento</w:t>
      </w:r>
      <w:r w:rsidR="007A5B5A">
        <w:rPr>
          <w:b/>
          <w:i/>
        </w:rPr>
        <w:t>”</w:t>
      </w:r>
      <w:bookmarkEnd w:id="420"/>
    </w:p>
    <w:p w:rsidR="007A5B5A" w:rsidRDefault="007A5B5A" w:rsidP="007A5B5A">
      <w:pPr>
        <w:pStyle w:val="ListParagraph"/>
      </w:pPr>
    </w:p>
    <w:p w:rsidR="00F7722D" w:rsidRPr="00F7722D" w:rsidRDefault="007A5B5A" w:rsidP="00347658">
      <w:pPr>
        <w:pStyle w:val="Estilo1"/>
        <w:tabs>
          <w:tab w:val="clear" w:pos="18282"/>
        </w:tabs>
        <w:spacing w:after="0"/>
        <w:contextualSpacing/>
      </w:pPr>
      <w:r w:rsidRPr="00B960F2">
        <w:t xml:space="preserve">La </w:t>
      </w:r>
      <w:r w:rsidRPr="007A5B5A">
        <w:rPr>
          <w:b/>
          <w:i/>
        </w:rPr>
        <w:t>Comisión</w:t>
      </w:r>
      <w:r w:rsidRPr="007A5B5A">
        <w:rPr>
          <w:i/>
        </w:rPr>
        <w:t xml:space="preserve"> </w:t>
      </w:r>
      <w:r w:rsidRPr="00B960F2">
        <w:t xml:space="preserve">y el </w:t>
      </w:r>
      <w:r w:rsidRPr="007A5B5A">
        <w:rPr>
          <w:b/>
          <w:i/>
        </w:rPr>
        <w:t>representante</w:t>
      </w:r>
      <w:r w:rsidRPr="00B960F2">
        <w:t>, sobre la base de que se trató de actos efectuados en un procedimiento violatorio de derechos del señor Galindo, solicitaron que se ordene al Estado anular el “Acta de Arrepentimiento” y sus efectos legales, y el representante también</w:t>
      </w:r>
      <w:r w:rsidRPr="007A5B5A">
        <w:rPr>
          <w:i/>
        </w:rPr>
        <w:t xml:space="preserve"> </w:t>
      </w:r>
      <w:r w:rsidRPr="00B960F2">
        <w:t>las Resoluciones Fiscales que la sustentaron</w:t>
      </w:r>
      <w:r w:rsidR="00D40774" w:rsidRPr="00F810F3">
        <w:t xml:space="preserve">. </w:t>
      </w:r>
      <w:r w:rsidRPr="00B960F2">
        <w:t xml:space="preserve">El </w:t>
      </w:r>
      <w:r w:rsidRPr="007A5B5A">
        <w:rPr>
          <w:b/>
          <w:i/>
        </w:rPr>
        <w:t>Estado</w:t>
      </w:r>
      <w:r w:rsidRPr="007A5B5A">
        <w:rPr>
          <w:b/>
        </w:rPr>
        <w:t xml:space="preserve"> </w:t>
      </w:r>
      <w:r w:rsidRPr="00B960F2">
        <w:t xml:space="preserve">afirmó que dichos actos mantienen su validez. </w:t>
      </w:r>
    </w:p>
    <w:p w:rsidR="00F7722D" w:rsidRDefault="00F7722D" w:rsidP="00E852BD">
      <w:pPr>
        <w:pStyle w:val="Estilo1"/>
        <w:numPr>
          <w:ilvl w:val="0"/>
          <w:numId w:val="0"/>
        </w:numPr>
        <w:spacing w:after="0"/>
        <w:contextualSpacing/>
      </w:pPr>
    </w:p>
    <w:p w:rsidR="00792ED5" w:rsidRPr="006564E1" w:rsidRDefault="000964B6" w:rsidP="00347658">
      <w:pPr>
        <w:pStyle w:val="Estilo1"/>
        <w:tabs>
          <w:tab w:val="clear" w:pos="18282"/>
        </w:tabs>
        <w:spacing w:after="0"/>
        <w:contextualSpacing/>
      </w:pPr>
      <w:r w:rsidRPr="00F7722D">
        <w:rPr>
          <w:lang w:val="es-CR"/>
        </w:rPr>
        <w:t xml:space="preserve">En relación a la medida solicitada por la Comisión y las partes de que se ordene la anulación </w:t>
      </w:r>
      <w:r w:rsidRPr="0046046C">
        <w:rPr>
          <w:lang w:val="es-CR"/>
        </w:rPr>
        <w:t>del acta de arrepe</w:t>
      </w:r>
      <w:r w:rsidR="00792ED5" w:rsidRPr="0046046C">
        <w:rPr>
          <w:lang w:val="es-CR"/>
        </w:rPr>
        <w:t xml:space="preserve">ntimiento y sus efectos legales, la </w:t>
      </w:r>
      <w:r w:rsidR="00792ED5" w:rsidRPr="0046046C">
        <w:rPr>
          <w:b/>
          <w:i/>
          <w:lang w:val="es-CR"/>
        </w:rPr>
        <w:t>Corte</w:t>
      </w:r>
      <w:r w:rsidR="00792ED5" w:rsidRPr="0046046C">
        <w:rPr>
          <w:lang w:val="es-CR"/>
        </w:rPr>
        <w:t xml:space="preserve"> nota </w:t>
      </w:r>
      <w:r w:rsidR="00D40774" w:rsidRPr="00F810F3">
        <w:rPr>
          <w:lang w:val="es-CR"/>
        </w:rPr>
        <w:t>que, de conformidad a lo determinado, las actas de 15 de octubre de 1994 se vieron relacionadas con un proceso que implicó la afectación indebida de la libertad personal y garantías judiciales, así como de la integridad personal de señor Galindo. Él, además, adujo actos de “tortura psicológica” que no fueron debidamente investigados. Las actas, por ende, guardan conexión con un procedimiento y circunstancias violatorios de derechos fundamentales.</w:t>
      </w:r>
      <w:r w:rsidR="00457C17" w:rsidRPr="006564E1">
        <w:rPr>
          <w:lang w:val="es-CR"/>
        </w:rPr>
        <w:t xml:space="preserve"> </w:t>
      </w:r>
      <w:r w:rsidRPr="006564E1">
        <w:rPr>
          <w:lang w:val="es-CR"/>
        </w:rPr>
        <w:t xml:space="preserve"> </w:t>
      </w:r>
    </w:p>
    <w:p w:rsidR="00792ED5" w:rsidRDefault="00792ED5" w:rsidP="00E852BD">
      <w:pPr>
        <w:pStyle w:val="ListParagraph"/>
        <w:ind w:left="0"/>
        <w:rPr>
          <w:lang w:val="es-CR"/>
        </w:rPr>
      </w:pPr>
    </w:p>
    <w:p w:rsidR="00F7722D" w:rsidRDefault="00D40774" w:rsidP="00347658">
      <w:pPr>
        <w:pStyle w:val="Estilo1"/>
        <w:tabs>
          <w:tab w:val="clear" w:pos="18282"/>
        </w:tabs>
        <w:spacing w:after="0"/>
        <w:contextualSpacing/>
      </w:pPr>
      <w:r w:rsidRPr="00F810F3">
        <w:rPr>
          <w:lang w:val="es-CR"/>
        </w:rPr>
        <w:t>De modo adicional a lo dicho, la Corte considera conveniente</w:t>
      </w:r>
      <w:r w:rsidR="000964B6" w:rsidRPr="0019746F">
        <w:rPr>
          <w:lang w:val="es-CR"/>
        </w:rPr>
        <w:t xml:space="preserve"> </w:t>
      </w:r>
      <w:r w:rsidRPr="00F810F3">
        <w:rPr>
          <w:lang w:val="es-CR"/>
        </w:rPr>
        <w:t>señalar</w:t>
      </w:r>
      <w:r w:rsidR="00792ED5">
        <w:rPr>
          <w:lang w:val="es-CR"/>
        </w:rPr>
        <w:t xml:space="preserve"> </w:t>
      </w:r>
      <w:r w:rsidR="000964B6" w:rsidRPr="00F7722D">
        <w:rPr>
          <w:lang w:val="es-CR"/>
        </w:rPr>
        <w:t xml:space="preserve">que es un principio básico de los Estados de Derecho la exigencia de que los Estados adecúen su conducta a las normas imperativas de derecho público vigentes (internacionales, constitucionales o infra-constitucionales). </w:t>
      </w:r>
    </w:p>
    <w:p w:rsidR="00F7722D" w:rsidRDefault="00F7722D" w:rsidP="00E852BD">
      <w:pPr>
        <w:pStyle w:val="ListParagraph"/>
        <w:ind w:left="0"/>
        <w:rPr>
          <w:lang w:val="es-CR"/>
        </w:rPr>
      </w:pPr>
    </w:p>
    <w:p w:rsidR="00792ED5" w:rsidRDefault="000964B6" w:rsidP="00347658">
      <w:pPr>
        <w:pStyle w:val="Estilo1"/>
        <w:tabs>
          <w:tab w:val="clear" w:pos="18282"/>
        </w:tabs>
        <w:spacing w:after="0"/>
        <w:contextualSpacing/>
      </w:pPr>
      <w:r w:rsidRPr="00F7722D">
        <w:rPr>
          <w:lang w:val="es-CR"/>
        </w:rPr>
        <w:t>El señalamiento anterior es pertinente, pues la Corte advierte que la conducta atribuida al señor Galindo, según surge de las actas de 15 de octubre de 1994, configuraba la defensa legal y asesoría jurídica de personas, y ello resultaba un acto que no podía ser tenido por ilícito de acuerdo a la Convención. Ello, por cuanto los Estados deben abstenerse de realizar conductas contrarias a derechos y obligaciones normados en la Convención Americana, y el ejercicio de la abogacía se relaciona con la posibilidad de garantizar procesos justos, de acuerdo al artículo 8 del tratado. En efecto,</w:t>
      </w:r>
      <w:r w:rsidRPr="00E371D8">
        <w:t xml:space="preserve"> dentro de las garantías previstas por esa norma se encuentra el derecho de defensa, el cual se puede ejercer a través de la defensa técnica de un abogado. En ese marco el ejercicio de la profesión de la abogacía es una actividad lícita que se caracteriza por su independencia y desarrollo lib</w:t>
      </w:r>
      <w:r w:rsidR="00792ED5">
        <w:t>re.</w:t>
      </w:r>
    </w:p>
    <w:p w:rsidR="00792ED5" w:rsidRDefault="00792ED5" w:rsidP="00E852BD">
      <w:pPr>
        <w:pStyle w:val="ListParagraph"/>
        <w:ind w:left="0"/>
      </w:pPr>
    </w:p>
    <w:p w:rsidR="00792ED5" w:rsidRDefault="000964B6" w:rsidP="00347658">
      <w:pPr>
        <w:pStyle w:val="Estilo1"/>
        <w:tabs>
          <w:tab w:val="clear" w:pos="18282"/>
        </w:tabs>
        <w:spacing w:after="0"/>
        <w:contextualSpacing/>
      </w:pPr>
      <w:r w:rsidRPr="00E371D8">
        <w:t xml:space="preserve">Por tanto, el abogado de un proceso cuyo supuesto sea la consideración de que el ejercicio legítimo de dicha defensa configura un acto ilícito, cercena la posibilidad de que el Estado garantice juicios justos, en la medida que impide asesorar o representar a una persona que lo requiera. Al respecto, este Tribunal estima que la figura del abogado y el desarrollo libre e independiente de su profesión debe considerarse como un elemento fundamental del proceso, pues su existencia coadyuva a garantizar el Estado de Derecho en una sociedad democrática. Por otra parte, este Tribunal señala que dentro de los Principios Básicos sobre la Función de los Abogados </w:t>
      </w:r>
      <w:r w:rsidR="00450657" w:rsidRPr="00E371D8">
        <w:t>instaurad</w:t>
      </w:r>
      <w:r w:rsidR="00450657">
        <w:t>o</w:t>
      </w:r>
      <w:r w:rsidR="00450657" w:rsidRPr="00E371D8">
        <w:t xml:space="preserve"> </w:t>
      </w:r>
      <w:r w:rsidRPr="00E371D8">
        <w:t xml:space="preserve">por la Organización de Naciones Unidas se establecen una serie de garantías para el ejercicio de la profesión de la abogacía, dentro </w:t>
      </w:r>
      <w:r w:rsidRPr="00E371D8">
        <w:lastRenderedPageBreak/>
        <w:t xml:space="preserve">de las cuales se estipula que “los gobiernos garantizarán que los abogados […] puedan desempeñar todas sus funciones profesionales sin intimidaciones, obstáculos, acosos o interferencias indebidas”, así como que “no sufran ni estén expuestos a persecuciones o sanciones […] a raíz de cualquier medida que hayan adoptado de conformidad con las </w:t>
      </w:r>
      <w:r w:rsidR="00317E8E">
        <w:t>[…]</w:t>
      </w:r>
      <w:r w:rsidR="0019746F">
        <w:t xml:space="preserve"> </w:t>
      </w:r>
      <w:r w:rsidRPr="00E371D8">
        <w:t>reglas y normas éticas que se reconocen a su profesión</w:t>
      </w:r>
      <w:r w:rsidR="0019746F">
        <w:t>”</w:t>
      </w:r>
      <w:r w:rsidR="00FB641E">
        <w:rPr>
          <w:rStyle w:val="FootnoteReference"/>
        </w:rPr>
        <w:footnoteReference w:id="241"/>
      </w:r>
      <w:r w:rsidRPr="00E371D8">
        <w:t>.</w:t>
      </w:r>
    </w:p>
    <w:p w:rsidR="00792ED5" w:rsidRDefault="00792ED5" w:rsidP="00E852BD">
      <w:pPr>
        <w:pStyle w:val="Estilo1"/>
        <w:numPr>
          <w:ilvl w:val="0"/>
          <w:numId w:val="0"/>
        </w:numPr>
        <w:spacing w:after="0"/>
        <w:contextualSpacing/>
      </w:pPr>
    </w:p>
    <w:p w:rsidR="00792ED5" w:rsidRDefault="000964B6" w:rsidP="00347658">
      <w:pPr>
        <w:pStyle w:val="Estilo1"/>
        <w:tabs>
          <w:tab w:val="clear" w:pos="18282"/>
        </w:tabs>
        <w:spacing w:after="0"/>
        <w:contextualSpacing/>
      </w:pPr>
      <w:r w:rsidRPr="00E371D8">
        <w:t>E</w:t>
      </w:r>
      <w:r>
        <w:t>n igual sentido, e</w:t>
      </w:r>
      <w:r w:rsidRPr="00E371D8">
        <w:t>l Relator Especial sobre la independencia de los magistrados y abogados del Consejo de Derechos Humanos ha señalado que “</w:t>
      </w:r>
      <w:r w:rsidR="00650210">
        <w:t xml:space="preserve">[…] </w:t>
      </w:r>
      <w:r w:rsidRPr="00E371D8">
        <w:t xml:space="preserve">los abogados juegan un rol esencial en el derecho a la justicia, en el acceso a la justicia y, especialmente, en el derecho a la defensa [y que,] </w:t>
      </w:r>
      <w:r w:rsidR="000E38FE">
        <w:t>[</w:t>
      </w:r>
      <w:r w:rsidRPr="00E371D8">
        <w:t>p</w:t>
      </w:r>
      <w:r w:rsidR="000E38FE">
        <w:t>]</w:t>
      </w:r>
      <w:r w:rsidRPr="00E371D8">
        <w:t>ara cumplir con su función necesitan un marco jurídico e institucional que posibilite el libre ejercicio de su labor profesional”</w:t>
      </w:r>
      <w:r w:rsidR="00BB4744" w:rsidRPr="003364AB">
        <w:rPr>
          <w:rStyle w:val="FootnoteReference"/>
        </w:rPr>
        <w:footnoteReference w:id="242"/>
      </w:r>
      <w:r w:rsidRPr="00E371D8">
        <w:t xml:space="preserve">. A su vez, en la audiencia pública el perito </w:t>
      </w:r>
      <w:proofErr w:type="spellStart"/>
      <w:r w:rsidRPr="00E371D8">
        <w:t>Scheinin</w:t>
      </w:r>
      <w:proofErr w:type="spellEnd"/>
      <w:r w:rsidRPr="00E371D8">
        <w:t xml:space="preserve"> manifestó que “los abogados y los jueces son acreedores de ciertas garantías sin las cuales no pueden ejercer sus profesiones, un individuo acusado de un delito tiene el derecho a una defensa legal y a la confidencialidad de las comunicaciones con su abogado o abogada, lo cual es esencial para la realización de un juicio justo, el perseguir penalmente a un abogado simplemente por el hecho de ofrecer una defensa técnica a un individuo acusado de terrorismo es incompatible co</w:t>
      </w:r>
      <w:r w:rsidR="00792ED5">
        <w:t xml:space="preserve">n la idea de un juicio justo”. </w:t>
      </w:r>
    </w:p>
    <w:p w:rsidR="00792ED5" w:rsidRDefault="00792ED5" w:rsidP="00E852BD">
      <w:pPr>
        <w:pStyle w:val="ListParagraph"/>
        <w:ind w:left="0"/>
        <w:rPr>
          <w:b/>
          <w:lang w:val="es-CR"/>
        </w:rPr>
      </w:pPr>
    </w:p>
    <w:p w:rsidR="00457C17" w:rsidRPr="0019746F" w:rsidRDefault="00D40774" w:rsidP="00347658">
      <w:pPr>
        <w:pStyle w:val="Estilo1"/>
        <w:tabs>
          <w:tab w:val="clear" w:pos="18282"/>
        </w:tabs>
        <w:spacing w:after="0"/>
        <w:contextualSpacing/>
      </w:pPr>
      <w:r w:rsidRPr="00F810F3">
        <w:rPr>
          <w:lang w:val="es-CR"/>
        </w:rPr>
        <w:t>En razón de lo expuesto, la Corte considera que</w:t>
      </w:r>
      <w:r w:rsidR="003C7C91">
        <w:rPr>
          <w:lang w:val="es-CR"/>
        </w:rPr>
        <w:t xml:space="preserve"> en el presente caso</w:t>
      </w:r>
      <w:r w:rsidRPr="00F810F3">
        <w:rPr>
          <w:lang w:val="es-CR"/>
        </w:rPr>
        <w:t xml:space="preserve"> las actas de arrepentimiento no pueden encontrar sustento alguno, ya que por medio de ellas el Estado activó mecanismos institucionales vinculados al ejercicio de su poder punitivo, a fin de investigar conductas que evidentemente</w:t>
      </w:r>
      <w:r w:rsidR="003C7C91">
        <w:rPr>
          <w:lang w:val="es-CR"/>
        </w:rPr>
        <w:t xml:space="preserve"> </w:t>
      </w:r>
      <w:r w:rsidRPr="00F810F3">
        <w:rPr>
          <w:lang w:val="es-CR"/>
        </w:rPr>
        <w:t xml:space="preserve">no </w:t>
      </w:r>
      <w:r w:rsidR="006A05EF" w:rsidRPr="00DF3EE2">
        <w:rPr>
          <w:lang w:val="es-CR"/>
        </w:rPr>
        <w:t xml:space="preserve">podían </w:t>
      </w:r>
      <w:r w:rsidRPr="00DF3EE2">
        <w:rPr>
          <w:lang w:val="es-CR"/>
        </w:rPr>
        <w:t>resulta</w:t>
      </w:r>
      <w:r w:rsidR="006A05EF" w:rsidRPr="00DF3EE2">
        <w:rPr>
          <w:lang w:val="es-CR"/>
        </w:rPr>
        <w:t>r</w:t>
      </w:r>
      <w:r w:rsidRPr="00DF3EE2">
        <w:rPr>
          <w:lang w:val="es-CR"/>
        </w:rPr>
        <w:t xml:space="preserve"> antijurídicas</w:t>
      </w:r>
      <w:r w:rsidR="00F7555D" w:rsidRPr="00DF3EE2">
        <w:rPr>
          <w:lang w:val="es-CR"/>
        </w:rPr>
        <w:t xml:space="preserve"> a la luz la normativa vigente al momento de los hechos</w:t>
      </w:r>
      <w:r w:rsidR="00DF3EE2">
        <w:rPr>
          <w:lang w:val="es-CR"/>
        </w:rPr>
        <w:t>.</w:t>
      </w:r>
      <w:r w:rsidRPr="00F810F3">
        <w:rPr>
          <w:lang w:val="es-CR"/>
        </w:rPr>
        <w:t xml:space="preserve"> </w:t>
      </w:r>
    </w:p>
    <w:p w:rsidR="00457C17" w:rsidRDefault="00457C17" w:rsidP="00E852BD">
      <w:pPr>
        <w:pStyle w:val="ListParagraph"/>
        <w:ind w:left="0"/>
        <w:rPr>
          <w:b/>
          <w:lang w:val="es-CR"/>
        </w:rPr>
      </w:pPr>
    </w:p>
    <w:p w:rsidR="000964B6" w:rsidRPr="006564E1" w:rsidRDefault="00D40774" w:rsidP="00347658">
      <w:pPr>
        <w:pStyle w:val="Estilo1"/>
        <w:tabs>
          <w:tab w:val="clear" w:pos="18282"/>
        </w:tabs>
        <w:spacing w:after="0"/>
        <w:contextualSpacing/>
      </w:pPr>
      <w:r w:rsidRPr="00F810F3">
        <w:rPr>
          <w:lang w:val="es-CR"/>
        </w:rPr>
        <w:t xml:space="preserve">Por los motivos expuestos, en el ámbito de sus atribuciones para fijar medidas </w:t>
      </w:r>
      <w:proofErr w:type="spellStart"/>
      <w:r w:rsidRPr="00F810F3">
        <w:rPr>
          <w:lang w:val="es-CR"/>
        </w:rPr>
        <w:t>reparatorias</w:t>
      </w:r>
      <w:proofErr w:type="spellEnd"/>
      <w:r w:rsidRPr="00F810F3">
        <w:rPr>
          <w:lang w:val="es-CR"/>
        </w:rPr>
        <w:t xml:space="preserve">, </w:t>
      </w:r>
      <w:r w:rsidR="000964B6" w:rsidRPr="0019746F">
        <w:rPr>
          <w:lang w:val="es-CR"/>
        </w:rPr>
        <w:t>la</w:t>
      </w:r>
      <w:r w:rsidR="000964B6" w:rsidRPr="00F9031D">
        <w:rPr>
          <w:lang w:val="es-CR"/>
        </w:rPr>
        <w:t xml:space="preserve"> Corte declara</w:t>
      </w:r>
      <w:r w:rsidR="00457C17" w:rsidRPr="00F9031D">
        <w:rPr>
          <w:lang w:val="es-CR"/>
        </w:rPr>
        <w:t>,</w:t>
      </w:r>
      <w:r w:rsidR="00F52095">
        <w:rPr>
          <w:lang w:val="es-CR"/>
        </w:rPr>
        <w:t xml:space="preserve"> como medida</w:t>
      </w:r>
      <w:r w:rsidRPr="00F810F3">
        <w:rPr>
          <w:lang w:val="es-CR"/>
        </w:rPr>
        <w:t xml:space="preserve"> de satisfacción, </w:t>
      </w:r>
      <w:r w:rsidR="000964B6" w:rsidRPr="0019746F">
        <w:rPr>
          <w:lang w:val="es-CR"/>
        </w:rPr>
        <w:t>que</w:t>
      </w:r>
      <w:r w:rsidR="000964B6" w:rsidRPr="006564E1">
        <w:rPr>
          <w:lang w:val="es-CR"/>
        </w:rPr>
        <w:t xml:space="preserve"> dichas actas carecen de efectos jurídicos.</w:t>
      </w:r>
      <w:r w:rsidR="00F52095" w:rsidRPr="00F52095">
        <w:rPr>
          <w:spacing w:val="-2"/>
          <w:lang w:val="es-PR"/>
        </w:rPr>
        <w:t xml:space="preserve"> </w:t>
      </w:r>
      <w:r w:rsidR="00F52095">
        <w:rPr>
          <w:spacing w:val="-2"/>
          <w:lang w:val="es-PR"/>
        </w:rPr>
        <w:t xml:space="preserve">En consecuencia, el Estado deberá </w:t>
      </w:r>
      <w:r w:rsidR="00F52095" w:rsidRPr="00275F22">
        <w:rPr>
          <w:spacing w:val="-2"/>
          <w:lang w:val="es-PR"/>
        </w:rPr>
        <w:t>adoptar</w:t>
      </w:r>
      <w:r w:rsidR="00B97658">
        <w:rPr>
          <w:spacing w:val="-2"/>
          <w:lang w:val="es-PR"/>
        </w:rPr>
        <w:t>, en un plazo de seis meses a partir de la notificación de la presente Sentencia,</w:t>
      </w:r>
      <w:r w:rsidR="00F52095" w:rsidRPr="00275F22">
        <w:rPr>
          <w:spacing w:val="-2"/>
          <w:lang w:val="es-PR"/>
        </w:rPr>
        <w:t xml:space="preserve"> todas las medidas necesarias para asegurar que las actas de arrepentimiento del 15 de octubre de 1994 sean privadas de todos los efectos jurídicos</w:t>
      </w:r>
      <w:r w:rsidR="00F52095">
        <w:rPr>
          <w:spacing w:val="-2"/>
          <w:lang w:val="es-PR"/>
        </w:rPr>
        <w:t>.</w:t>
      </w:r>
    </w:p>
    <w:p w:rsidR="007A5B5A" w:rsidRDefault="007A5B5A" w:rsidP="004C57E7">
      <w:pPr>
        <w:pStyle w:val="Estilo1"/>
        <w:numPr>
          <w:ilvl w:val="0"/>
          <w:numId w:val="0"/>
        </w:numPr>
        <w:spacing w:after="0"/>
        <w:contextualSpacing/>
        <w:outlineLvl w:val="1"/>
        <w:rPr>
          <w:b/>
          <w:i/>
          <w:lang w:val="es-CR"/>
        </w:rPr>
      </w:pPr>
    </w:p>
    <w:p w:rsidR="000964B6" w:rsidRPr="008E71F7" w:rsidRDefault="00457C17" w:rsidP="008E71F7">
      <w:pPr>
        <w:pStyle w:val="Estilo1"/>
        <w:numPr>
          <w:ilvl w:val="0"/>
          <w:numId w:val="0"/>
        </w:numPr>
        <w:spacing w:after="0"/>
        <w:ind w:left="851"/>
        <w:contextualSpacing/>
        <w:outlineLvl w:val="2"/>
        <w:rPr>
          <w:i/>
          <w:lang w:val="es-CR"/>
        </w:rPr>
      </w:pPr>
      <w:bookmarkStart w:id="421" w:name="_Toc438129744"/>
      <w:r w:rsidRPr="008E71F7">
        <w:rPr>
          <w:i/>
          <w:lang w:val="es-CR"/>
        </w:rPr>
        <w:t xml:space="preserve">C.2. </w:t>
      </w:r>
      <w:r w:rsidR="000964B6" w:rsidRPr="008E71F7">
        <w:rPr>
          <w:i/>
          <w:lang w:val="es-CR"/>
        </w:rPr>
        <w:t>Publicación de la Sentencia</w:t>
      </w:r>
      <w:bookmarkEnd w:id="421"/>
    </w:p>
    <w:p w:rsidR="000964B6" w:rsidRPr="000964B6" w:rsidRDefault="000964B6" w:rsidP="004C57E7">
      <w:pPr>
        <w:pStyle w:val="Estilo1"/>
        <w:numPr>
          <w:ilvl w:val="0"/>
          <w:numId w:val="0"/>
        </w:numPr>
        <w:spacing w:after="0"/>
        <w:contextualSpacing/>
        <w:outlineLvl w:val="1"/>
        <w:rPr>
          <w:b/>
          <w:i/>
          <w:lang w:val="es-CR"/>
        </w:rPr>
      </w:pPr>
    </w:p>
    <w:p w:rsidR="00457C17" w:rsidRPr="00457C17" w:rsidRDefault="004C57E7" w:rsidP="00347658">
      <w:pPr>
        <w:pStyle w:val="Estilo1"/>
        <w:tabs>
          <w:tab w:val="clear" w:pos="18282"/>
        </w:tabs>
        <w:spacing w:after="0"/>
        <w:contextualSpacing/>
      </w:pPr>
      <w:r w:rsidRPr="00ED3F38">
        <w:t xml:space="preserve">La </w:t>
      </w:r>
      <w:r w:rsidRPr="00B960F2">
        <w:rPr>
          <w:b/>
          <w:i/>
        </w:rPr>
        <w:t>Corte</w:t>
      </w:r>
      <w:r w:rsidRPr="00ED3F38">
        <w:t xml:space="preserve"> considera pertinente ordenar, </w:t>
      </w:r>
      <w:r w:rsidR="00F53A12">
        <w:t xml:space="preserve">en el mismo sentido </w:t>
      </w:r>
      <w:r w:rsidRPr="00ED3F38">
        <w:t>como</w:t>
      </w:r>
      <w:r>
        <w:t xml:space="preserve"> lo ha hecho en otros casos</w:t>
      </w:r>
      <w:r>
        <w:rPr>
          <w:rStyle w:val="FootnoteReference"/>
        </w:rPr>
        <w:footnoteReference w:id="243"/>
      </w:r>
      <w:r w:rsidRPr="00ED3F38">
        <w:t xml:space="preserve">, que </w:t>
      </w:r>
      <w:r w:rsidRPr="00ED3F38">
        <w:rPr>
          <w:spacing w:val="-2"/>
        </w:rPr>
        <w:t xml:space="preserve">el Estado publique, en un plazo de seis meses, contado a partir de la notificación de la presente Sentencia: a) el resumen oficial de la presente Sentencia elaborado por la Corte, por una sola vez en el diario oficial; </w:t>
      </w:r>
      <w:r w:rsidRPr="00444DB8">
        <w:rPr>
          <w:spacing w:val="-2"/>
        </w:rPr>
        <w:t xml:space="preserve">b) </w:t>
      </w:r>
      <w:r w:rsidRPr="00EF4E46">
        <w:rPr>
          <w:spacing w:val="-2"/>
        </w:rPr>
        <w:t>el resumen oficial de la presente Sentencia elaborado por la Corte, por una sola vez, en un diario de amplia circulación nacional,</w:t>
      </w:r>
      <w:r w:rsidRPr="00ED3F38">
        <w:rPr>
          <w:spacing w:val="-2"/>
        </w:rPr>
        <w:t xml:space="preserve"> y c) la presente Sentencia en su integridad, disponible por </w:t>
      </w:r>
      <w:r>
        <w:rPr>
          <w:spacing w:val="-2"/>
        </w:rPr>
        <w:t xml:space="preserve">al menos </w:t>
      </w:r>
      <w:r w:rsidRPr="00ED3F38">
        <w:rPr>
          <w:spacing w:val="-2"/>
        </w:rPr>
        <w:t xml:space="preserve">un período de un año, en un sitio </w:t>
      </w:r>
      <w:r w:rsidRPr="00ED3F38">
        <w:rPr>
          <w:i/>
          <w:spacing w:val="-2"/>
        </w:rPr>
        <w:t>web</w:t>
      </w:r>
      <w:r w:rsidRPr="00ED3F38">
        <w:rPr>
          <w:spacing w:val="-2"/>
        </w:rPr>
        <w:t xml:space="preserve"> oficial del Poder Judicial</w:t>
      </w:r>
      <w:r w:rsidRPr="00444DB8">
        <w:rPr>
          <w:spacing w:val="-2"/>
        </w:rPr>
        <w:t xml:space="preserve">, </w:t>
      </w:r>
      <w:r w:rsidRPr="007A5B5A">
        <w:rPr>
          <w:spacing w:val="-2"/>
        </w:rPr>
        <w:t xml:space="preserve">así como en sitios </w:t>
      </w:r>
      <w:r w:rsidRPr="007A5B5A">
        <w:rPr>
          <w:i/>
          <w:spacing w:val="-2"/>
        </w:rPr>
        <w:t>web</w:t>
      </w:r>
      <w:r w:rsidRPr="007A5B5A">
        <w:rPr>
          <w:spacing w:val="-2"/>
        </w:rPr>
        <w:t xml:space="preserve"> oficiales del Ministerio Público y de las Fuerzas Armadas.</w:t>
      </w:r>
    </w:p>
    <w:p w:rsidR="00457C17" w:rsidRPr="00457C17" w:rsidRDefault="00457C17" w:rsidP="00457C17">
      <w:pPr>
        <w:pStyle w:val="Estilo1"/>
        <w:numPr>
          <w:ilvl w:val="0"/>
          <w:numId w:val="0"/>
        </w:numPr>
        <w:spacing w:after="0"/>
        <w:rPr>
          <w:i/>
          <w:strike/>
          <w:lang w:val="es-CR"/>
        </w:rPr>
      </w:pPr>
    </w:p>
    <w:p w:rsidR="00457C17" w:rsidRPr="00457C17" w:rsidRDefault="00457C17" w:rsidP="005D3491">
      <w:pPr>
        <w:pStyle w:val="Estilo1"/>
        <w:numPr>
          <w:ilvl w:val="0"/>
          <w:numId w:val="15"/>
        </w:numPr>
        <w:tabs>
          <w:tab w:val="clear" w:pos="1134"/>
        </w:tabs>
        <w:spacing w:after="0"/>
        <w:ind w:left="567" w:firstLine="0"/>
        <w:outlineLvl w:val="1"/>
        <w:rPr>
          <w:b/>
          <w:i/>
        </w:rPr>
      </w:pPr>
      <w:r w:rsidRPr="00457C17">
        <w:rPr>
          <w:b/>
          <w:i/>
        </w:rPr>
        <w:t xml:space="preserve"> </w:t>
      </w:r>
      <w:bookmarkStart w:id="422" w:name="_Toc438129745"/>
      <w:r w:rsidRPr="00457C17">
        <w:rPr>
          <w:b/>
          <w:i/>
        </w:rPr>
        <w:t>Rehabilitación</w:t>
      </w:r>
      <w:bookmarkEnd w:id="422"/>
    </w:p>
    <w:p w:rsidR="00457C17" w:rsidRDefault="00457C17" w:rsidP="00457C17">
      <w:pPr>
        <w:pStyle w:val="Estilo1"/>
        <w:numPr>
          <w:ilvl w:val="0"/>
          <w:numId w:val="0"/>
        </w:numPr>
        <w:spacing w:after="0"/>
        <w:contextualSpacing/>
      </w:pPr>
    </w:p>
    <w:p w:rsidR="00AA0C92" w:rsidRDefault="0097645D" w:rsidP="00347658">
      <w:pPr>
        <w:pStyle w:val="Estilo1"/>
        <w:tabs>
          <w:tab w:val="clear" w:pos="18282"/>
        </w:tabs>
        <w:spacing w:after="0"/>
        <w:contextualSpacing/>
      </w:pPr>
      <w:r w:rsidRPr="00A070A2">
        <w:t>La</w:t>
      </w:r>
      <w:r w:rsidRPr="00457C17">
        <w:rPr>
          <w:b/>
          <w:i/>
        </w:rPr>
        <w:t xml:space="preserve"> Comisión</w:t>
      </w:r>
      <w:r w:rsidRPr="00A070A2">
        <w:t xml:space="preserve"> solicitó a la Corte que “[s]i la víctima así lo </w:t>
      </w:r>
      <w:proofErr w:type="gramStart"/>
      <w:r w:rsidRPr="00A070A2">
        <w:t>desea[</w:t>
      </w:r>
      <w:proofErr w:type="spellStart"/>
      <w:proofErr w:type="gramEnd"/>
      <w:r w:rsidRPr="00A070A2">
        <w:t>ba</w:t>
      </w:r>
      <w:proofErr w:type="spellEnd"/>
      <w:r w:rsidRPr="00A070A2">
        <w:t xml:space="preserve">], </w:t>
      </w:r>
      <w:proofErr w:type="spellStart"/>
      <w:r w:rsidRPr="00A070A2">
        <w:t>disp</w:t>
      </w:r>
      <w:proofErr w:type="spellEnd"/>
      <w:r w:rsidRPr="00A070A2">
        <w:t>[</w:t>
      </w:r>
      <w:proofErr w:type="spellStart"/>
      <w:r w:rsidRPr="00A070A2">
        <w:t>usiera</w:t>
      </w:r>
      <w:proofErr w:type="spellEnd"/>
      <w:r w:rsidRPr="00A070A2">
        <w:t xml:space="preserve">] las medidas de rehabilitación pertinentes a [la] situación de  salud mental [del señor Galindo] y </w:t>
      </w:r>
      <w:r w:rsidRPr="00A070A2">
        <w:lastRenderedPageBreak/>
        <w:t xml:space="preserve">la de sus familiares”. </w:t>
      </w:r>
      <w:r w:rsidR="00457C17">
        <w:t>E</w:t>
      </w:r>
      <w:r w:rsidRPr="00A070A2">
        <w:t>l</w:t>
      </w:r>
      <w:r w:rsidRPr="00457C17">
        <w:rPr>
          <w:b/>
          <w:i/>
        </w:rPr>
        <w:t xml:space="preserve"> representante</w:t>
      </w:r>
      <w:r w:rsidRPr="00A070A2">
        <w:t xml:space="preserve"> no solicitó a la Corte que ordene al Estado ningún tipo un tratamiento médico o psicológico, u otro tipo de re</w:t>
      </w:r>
      <w:r w:rsidR="00420D8F">
        <w:t xml:space="preserve">habilitación, a favor del señor </w:t>
      </w:r>
      <w:r w:rsidRPr="00A070A2">
        <w:t>Galindo</w:t>
      </w:r>
      <w:r>
        <w:t xml:space="preserve"> y e</w:t>
      </w:r>
      <w:r w:rsidRPr="00A070A2">
        <w:t>l</w:t>
      </w:r>
      <w:r w:rsidRPr="00457C17">
        <w:rPr>
          <w:b/>
          <w:i/>
        </w:rPr>
        <w:t xml:space="preserve"> Estado</w:t>
      </w:r>
      <w:r w:rsidRPr="00A070A2">
        <w:t xml:space="preserve"> señaló que </w:t>
      </w:r>
      <w:r>
        <w:t>cuenta</w:t>
      </w:r>
      <w:r w:rsidRPr="00A070A2">
        <w:t xml:space="preserve"> con el “Sistema Integral de Salud (SIS)</w:t>
      </w:r>
      <w:r w:rsidR="00420D8F">
        <w:t xml:space="preserve"> </w:t>
      </w:r>
      <w:r w:rsidRPr="00A070A2">
        <w:t>que tiene la finalidad de proteger la salud de los peruanos que no cuentan con un seguro de salud, contando dicho sistema con atención tanto médica como psicológica</w:t>
      </w:r>
      <w:r w:rsidR="00E51B36">
        <w:t>”</w:t>
      </w:r>
      <w:r w:rsidR="00E54917">
        <w:t>.</w:t>
      </w:r>
    </w:p>
    <w:p w:rsidR="00AA0C92" w:rsidRDefault="00AA0C92" w:rsidP="00737B59">
      <w:pPr>
        <w:pStyle w:val="Estilo1"/>
        <w:numPr>
          <w:ilvl w:val="0"/>
          <w:numId w:val="0"/>
        </w:numPr>
        <w:spacing w:after="0"/>
        <w:contextualSpacing/>
      </w:pPr>
    </w:p>
    <w:p w:rsidR="00F814B4" w:rsidRPr="00F810F3" w:rsidRDefault="00F814B4" w:rsidP="00347658">
      <w:pPr>
        <w:pStyle w:val="Estilo1"/>
        <w:tabs>
          <w:tab w:val="clear" w:pos="18282"/>
        </w:tabs>
        <w:spacing w:after="0"/>
        <w:contextualSpacing/>
      </w:pPr>
      <w:r w:rsidRPr="001A1CF3">
        <w:rPr>
          <w:rFonts w:eastAsia="Verdana" w:cs="Verdana"/>
          <w:spacing w:val="-1"/>
        </w:rPr>
        <w:t>H</w:t>
      </w:r>
      <w:r w:rsidRPr="001A1CF3">
        <w:rPr>
          <w:rFonts w:eastAsia="Verdana" w:cs="Verdana"/>
        </w:rPr>
        <w:t>a</w:t>
      </w:r>
      <w:r w:rsidRPr="001A1CF3">
        <w:rPr>
          <w:rFonts w:eastAsia="Verdana" w:cs="Verdana"/>
          <w:spacing w:val="1"/>
        </w:rPr>
        <w:t>b</w:t>
      </w:r>
      <w:r w:rsidRPr="001A1CF3">
        <w:rPr>
          <w:rFonts w:eastAsia="Verdana" w:cs="Verdana"/>
          <w:spacing w:val="3"/>
        </w:rPr>
        <w:t>i</w:t>
      </w:r>
      <w:r w:rsidRPr="001A1CF3">
        <w:rPr>
          <w:rFonts w:eastAsia="Verdana" w:cs="Verdana"/>
          <w:spacing w:val="-1"/>
        </w:rPr>
        <w:t>e</w:t>
      </w:r>
      <w:r w:rsidRPr="001A1CF3">
        <w:rPr>
          <w:rFonts w:eastAsia="Verdana" w:cs="Verdana"/>
          <w:spacing w:val="1"/>
        </w:rPr>
        <w:t>nd</w:t>
      </w:r>
      <w:r w:rsidRPr="001A1CF3">
        <w:rPr>
          <w:rFonts w:eastAsia="Verdana" w:cs="Verdana"/>
        </w:rPr>
        <w:t>o</w:t>
      </w:r>
      <w:r w:rsidRPr="001A1CF3">
        <w:rPr>
          <w:rFonts w:eastAsia="Verdana" w:cs="Verdana"/>
          <w:spacing w:val="42"/>
        </w:rPr>
        <w:t xml:space="preserve"> </w:t>
      </w:r>
      <w:r w:rsidRPr="001A1CF3">
        <w:rPr>
          <w:rFonts w:eastAsia="Verdana" w:cs="Verdana"/>
        </w:rPr>
        <w:t>c</w:t>
      </w:r>
      <w:r w:rsidRPr="001A1CF3">
        <w:rPr>
          <w:rFonts w:eastAsia="Verdana" w:cs="Verdana"/>
          <w:spacing w:val="-2"/>
        </w:rPr>
        <w:t>o</w:t>
      </w:r>
      <w:r w:rsidRPr="001A1CF3">
        <w:rPr>
          <w:rFonts w:eastAsia="Verdana" w:cs="Verdana"/>
          <w:spacing w:val="1"/>
        </w:rPr>
        <w:t>n</w:t>
      </w:r>
      <w:r w:rsidRPr="001A1CF3">
        <w:rPr>
          <w:rFonts w:eastAsia="Verdana" w:cs="Verdana"/>
        </w:rPr>
        <w:t>sta</w:t>
      </w:r>
      <w:r w:rsidRPr="001A1CF3">
        <w:rPr>
          <w:rFonts w:eastAsia="Verdana" w:cs="Verdana"/>
          <w:spacing w:val="1"/>
        </w:rPr>
        <w:t>t</w:t>
      </w:r>
      <w:r w:rsidRPr="001A1CF3">
        <w:rPr>
          <w:rFonts w:eastAsia="Verdana" w:cs="Verdana"/>
        </w:rPr>
        <w:t>a</w:t>
      </w:r>
      <w:r w:rsidRPr="001A1CF3">
        <w:rPr>
          <w:rFonts w:eastAsia="Verdana" w:cs="Verdana"/>
          <w:spacing w:val="3"/>
        </w:rPr>
        <w:t>d</w:t>
      </w:r>
      <w:r w:rsidRPr="001A1CF3">
        <w:rPr>
          <w:rFonts w:eastAsia="Verdana" w:cs="Verdana"/>
        </w:rPr>
        <w:t>o</w:t>
      </w:r>
      <w:r w:rsidRPr="001A1CF3">
        <w:rPr>
          <w:rFonts w:eastAsia="Verdana" w:cs="Verdana"/>
          <w:spacing w:val="39"/>
        </w:rPr>
        <w:t xml:space="preserve"> </w:t>
      </w:r>
      <w:r w:rsidRPr="001A1CF3">
        <w:rPr>
          <w:rFonts w:eastAsia="Verdana" w:cs="Verdana"/>
        </w:rPr>
        <w:t>la</w:t>
      </w:r>
      <w:r w:rsidRPr="001A1CF3">
        <w:rPr>
          <w:rFonts w:eastAsia="Verdana" w:cs="Verdana"/>
          <w:spacing w:val="51"/>
        </w:rPr>
        <w:t xml:space="preserve"> </w:t>
      </w:r>
      <w:r w:rsidRPr="001A1CF3">
        <w:rPr>
          <w:rFonts w:eastAsia="Verdana" w:cs="Verdana"/>
        </w:rPr>
        <w:t>af</w:t>
      </w:r>
      <w:r w:rsidRPr="001A1CF3">
        <w:rPr>
          <w:rFonts w:eastAsia="Verdana" w:cs="Verdana"/>
          <w:spacing w:val="-1"/>
        </w:rPr>
        <w:t>e</w:t>
      </w:r>
      <w:r w:rsidRPr="001A1CF3">
        <w:rPr>
          <w:rFonts w:eastAsia="Verdana" w:cs="Verdana"/>
        </w:rPr>
        <w:t>ct</w:t>
      </w:r>
      <w:r w:rsidRPr="001A1CF3">
        <w:rPr>
          <w:rFonts w:eastAsia="Verdana" w:cs="Verdana"/>
          <w:spacing w:val="3"/>
        </w:rPr>
        <w:t>a</w:t>
      </w:r>
      <w:r w:rsidRPr="001A1CF3">
        <w:rPr>
          <w:rFonts w:eastAsia="Verdana" w:cs="Verdana"/>
        </w:rPr>
        <w:t>c</w:t>
      </w:r>
      <w:r w:rsidRPr="001A1CF3">
        <w:rPr>
          <w:rFonts w:eastAsia="Verdana" w:cs="Verdana"/>
          <w:spacing w:val="2"/>
        </w:rPr>
        <w:t>i</w:t>
      </w:r>
      <w:r w:rsidRPr="001A1CF3">
        <w:rPr>
          <w:rFonts w:eastAsia="Verdana" w:cs="Verdana"/>
          <w:spacing w:val="-1"/>
        </w:rPr>
        <w:t>ó</w:t>
      </w:r>
      <w:r w:rsidRPr="001A1CF3">
        <w:rPr>
          <w:rFonts w:eastAsia="Verdana" w:cs="Verdana"/>
        </w:rPr>
        <w:t>n</w:t>
      </w:r>
      <w:r w:rsidRPr="001A1CF3">
        <w:rPr>
          <w:rFonts w:eastAsia="Verdana" w:cs="Verdana"/>
          <w:spacing w:val="42"/>
        </w:rPr>
        <w:t xml:space="preserve"> </w:t>
      </w:r>
      <w:r w:rsidRPr="001A1CF3">
        <w:rPr>
          <w:rFonts w:eastAsia="Verdana" w:cs="Verdana"/>
        </w:rPr>
        <w:t>a</w:t>
      </w:r>
      <w:r w:rsidRPr="001A1CF3">
        <w:rPr>
          <w:rFonts w:eastAsia="Verdana" w:cs="Verdana"/>
          <w:spacing w:val="48"/>
        </w:rPr>
        <w:t xml:space="preserve"> </w:t>
      </w:r>
      <w:r w:rsidRPr="001A1CF3">
        <w:rPr>
          <w:rFonts w:eastAsia="Verdana" w:cs="Verdana"/>
          <w:spacing w:val="3"/>
        </w:rPr>
        <w:t>l</w:t>
      </w:r>
      <w:r w:rsidRPr="001A1CF3">
        <w:rPr>
          <w:rFonts w:eastAsia="Verdana" w:cs="Verdana"/>
        </w:rPr>
        <w:t>a</w:t>
      </w:r>
      <w:r w:rsidRPr="001A1CF3">
        <w:rPr>
          <w:rFonts w:eastAsia="Verdana" w:cs="Verdana"/>
          <w:spacing w:val="48"/>
        </w:rPr>
        <w:t xml:space="preserve"> </w:t>
      </w:r>
      <w:r w:rsidRPr="001A1CF3">
        <w:rPr>
          <w:rFonts w:eastAsia="Verdana" w:cs="Verdana"/>
          <w:spacing w:val="3"/>
        </w:rPr>
        <w:t>i</w:t>
      </w:r>
      <w:r w:rsidRPr="001A1CF3">
        <w:rPr>
          <w:rFonts w:eastAsia="Verdana" w:cs="Verdana"/>
          <w:spacing w:val="1"/>
        </w:rPr>
        <w:t>nt</w:t>
      </w:r>
      <w:r w:rsidRPr="001A1CF3">
        <w:rPr>
          <w:rFonts w:eastAsia="Verdana" w:cs="Verdana"/>
          <w:spacing w:val="-1"/>
        </w:rPr>
        <w:t>e</w:t>
      </w:r>
      <w:r w:rsidRPr="001A1CF3">
        <w:rPr>
          <w:rFonts w:eastAsia="Verdana" w:cs="Verdana"/>
          <w:spacing w:val="-2"/>
        </w:rPr>
        <w:t>g</w:t>
      </w:r>
      <w:r w:rsidRPr="001A1CF3">
        <w:rPr>
          <w:rFonts w:eastAsia="Verdana" w:cs="Verdana"/>
          <w:spacing w:val="-1"/>
        </w:rPr>
        <w:t>r</w:t>
      </w:r>
      <w:r w:rsidRPr="001A1CF3">
        <w:rPr>
          <w:rFonts w:eastAsia="Verdana" w:cs="Verdana"/>
          <w:spacing w:val="3"/>
        </w:rPr>
        <w:t>i</w:t>
      </w:r>
      <w:r w:rsidRPr="001A1CF3">
        <w:rPr>
          <w:rFonts w:eastAsia="Verdana" w:cs="Verdana"/>
          <w:spacing w:val="1"/>
        </w:rPr>
        <w:t>d</w:t>
      </w:r>
      <w:r w:rsidRPr="001A1CF3">
        <w:rPr>
          <w:rFonts w:eastAsia="Verdana" w:cs="Verdana"/>
        </w:rPr>
        <w:t>ad</w:t>
      </w:r>
      <w:r w:rsidRPr="001A1CF3">
        <w:rPr>
          <w:rFonts w:eastAsia="Verdana" w:cs="Verdana"/>
          <w:spacing w:val="42"/>
        </w:rPr>
        <w:t xml:space="preserve"> </w:t>
      </w:r>
      <w:r w:rsidRPr="001A1CF3">
        <w:rPr>
          <w:rFonts w:eastAsia="Verdana" w:cs="Verdana"/>
          <w:spacing w:val="1"/>
        </w:rPr>
        <w:t>p</w:t>
      </w:r>
      <w:r w:rsidRPr="001A1CF3">
        <w:rPr>
          <w:rFonts w:eastAsia="Verdana" w:cs="Verdana"/>
          <w:spacing w:val="-1"/>
        </w:rPr>
        <w:t>er</w:t>
      </w:r>
      <w:r w:rsidRPr="001A1CF3">
        <w:rPr>
          <w:rFonts w:eastAsia="Verdana" w:cs="Verdana"/>
        </w:rPr>
        <w:t>s</w:t>
      </w:r>
      <w:r w:rsidRPr="001A1CF3">
        <w:rPr>
          <w:rFonts w:eastAsia="Verdana" w:cs="Verdana"/>
          <w:spacing w:val="-2"/>
        </w:rPr>
        <w:t>o</w:t>
      </w:r>
      <w:r w:rsidRPr="001A1CF3">
        <w:rPr>
          <w:rFonts w:eastAsia="Verdana" w:cs="Verdana"/>
          <w:spacing w:val="1"/>
        </w:rPr>
        <w:t>n</w:t>
      </w:r>
      <w:r w:rsidRPr="001A1CF3">
        <w:rPr>
          <w:rFonts w:eastAsia="Verdana" w:cs="Verdana"/>
        </w:rPr>
        <w:t>al</w:t>
      </w:r>
      <w:r w:rsidRPr="001A1CF3">
        <w:rPr>
          <w:rFonts w:eastAsia="Verdana" w:cs="Verdana"/>
          <w:spacing w:val="46"/>
        </w:rPr>
        <w:t xml:space="preserve"> </w:t>
      </w:r>
      <w:r w:rsidRPr="001A1CF3">
        <w:rPr>
          <w:rFonts w:eastAsia="Verdana" w:cs="Verdana"/>
        </w:rPr>
        <w:t>suf</w:t>
      </w:r>
      <w:r w:rsidRPr="001A1CF3">
        <w:rPr>
          <w:rFonts w:eastAsia="Verdana" w:cs="Verdana"/>
          <w:spacing w:val="-1"/>
        </w:rPr>
        <w:t>r</w:t>
      </w:r>
      <w:r w:rsidRPr="001A1CF3">
        <w:rPr>
          <w:rFonts w:eastAsia="Verdana" w:cs="Verdana"/>
          <w:spacing w:val="3"/>
        </w:rPr>
        <w:t>i</w:t>
      </w:r>
      <w:r w:rsidRPr="001A1CF3">
        <w:rPr>
          <w:rFonts w:eastAsia="Verdana" w:cs="Verdana"/>
          <w:spacing w:val="1"/>
        </w:rPr>
        <w:t>d</w:t>
      </w:r>
      <w:r w:rsidRPr="001A1CF3">
        <w:rPr>
          <w:rFonts w:eastAsia="Verdana" w:cs="Verdana"/>
        </w:rPr>
        <w:t>a</w:t>
      </w:r>
      <w:r w:rsidRPr="001A1CF3">
        <w:rPr>
          <w:rFonts w:eastAsia="Verdana" w:cs="Verdana"/>
          <w:spacing w:val="43"/>
        </w:rPr>
        <w:t xml:space="preserve"> </w:t>
      </w:r>
      <w:r w:rsidRPr="001A1CF3">
        <w:rPr>
          <w:rFonts w:eastAsia="Verdana" w:cs="Verdana"/>
          <w:spacing w:val="1"/>
        </w:rPr>
        <w:t>p</w:t>
      </w:r>
      <w:r w:rsidRPr="001A1CF3">
        <w:rPr>
          <w:rFonts w:eastAsia="Verdana" w:cs="Verdana"/>
          <w:spacing w:val="-1"/>
        </w:rPr>
        <w:t>o</w:t>
      </w:r>
      <w:r w:rsidRPr="001A1CF3">
        <w:rPr>
          <w:rFonts w:eastAsia="Verdana" w:cs="Verdana"/>
        </w:rPr>
        <w:t>r</w:t>
      </w:r>
      <w:r w:rsidR="001A1CF3">
        <w:rPr>
          <w:rFonts w:eastAsia="Verdana" w:cs="Verdana"/>
        </w:rPr>
        <w:t xml:space="preserve"> Luis Antonio Galindo</w:t>
      </w:r>
      <w:r w:rsidR="00B631F2">
        <w:rPr>
          <w:rFonts w:eastAsia="Verdana" w:cs="Verdana"/>
        </w:rPr>
        <w:t>,</w:t>
      </w:r>
      <w:r w:rsidR="001A1CF3">
        <w:rPr>
          <w:rFonts w:eastAsia="Verdana" w:cs="Verdana"/>
        </w:rPr>
        <w:t xml:space="preserve"> Cárdenas </w:t>
      </w:r>
      <w:r w:rsidR="00B631F2" w:rsidRPr="006564E1">
        <w:rPr>
          <w:szCs w:val="16"/>
          <w:lang w:val="es-CO"/>
        </w:rPr>
        <w:t xml:space="preserve">Irma Díaz de Galindo </w:t>
      </w:r>
      <w:r w:rsidR="00B631F2">
        <w:rPr>
          <w:szCs w:val="16"/>
        </w:rPr>
        <w:t xml:space="preserve">y </w:t>
      </w:r>
      <w:r w:rsidR="00B631F2" w:rsidRPr="006564E1">
        <w:rPr>
          <w:szCs w:val="16"/>
          <w:lang w:val="es-CO"/>
        </w:rPr>
        <w:t xml:space="preserve">Luis </w:t>
      </w:r>
      <w:proofErr w:type="spellStart"/>
      <w:r w:rsidR="00B631F2" w:rsidRPr="006564E1">
        <w:rPr>
          <w:szCs w:val="16"/>
          <w:lang w:val="es-CO"/>
        </w:rPr>
        <w:t>Idelso</w:t>
      </w:r>
      <w:proofErr w:type="spellEnd"/>
      <w:r w:rsidR="00B631F2" w:rsidRPr="006564E1">
        <w:rPr>
          <w:szCs w:val="16"/>
          <w:lang w:val="es-CO"/>
        </w:rPr>
        <w:t xml:space="preserve"> Galindo Díaz</w:t>
      </w:r>
      <w:r w:rsidR="00B631F2" w:rsidRPr="001A1CF3">
        <w:rPr>
          <w:rFonts w:eastAsia="Verdana" w:cs="Verdana"/>
          <w:spacing w:val="1"/>
        </w:rPr>
        <w:t xml:space="preserve"> </w:t>
      </w:r>
      <w:r w:rsidRPr="001A1CF3">
        <w:rPr>
          <w:rFonts w:eastAsia="Verdana" w:cs="Verdana"/>
          <w:spacing w:val="1"/>
        </w:rPr>
        <w:t>(</w:t>
      </w:r>
      <w:r w:rsidRPr="001A1CF3">
        <w:rPr>
          <w:rFonts w:eastAsia="Verdana" w:cs="Verdana"/>
          <w:i/>
        </w:rPr>
        <w:t>su</w:t>
      </w:r>
      <w:r w:rsidRPr="001A1CF3">
        <w:rPr>
          <w:rFonts w:eastAsia="Verdana" w:cs="Verdana"/>
          <w:i/>
          <w:spacing w:val="1"/>
        </w:rPr>
        <w:t>p</w:t>
      </w:r>
      <w:r w:rsidRPr="001A1CF3">
        <w:rPr>
          <w:rFonts w:eastAsia="Verdana" w:cs="Verdana"/>
          <w:i/>
          <w:spacing w:val="-1"/>
        </w:rPr>
        <w:t>r</w:t>
      </w:r>
      <w:r w:rsidRPr="001A1CF3">
        <w:rPr>
          <w:rFonts w:eastAsia="Verdana" w:cs="Verdana"/>
          <w:i/>
        </w:rPr>
        <w:t>a</w:t>
      </w:r>
      <w:r w:rsidRPr="001A1CF3">
        <w:rPr>
          <w:rFonts w:eastAsia="Verdana" w:cs="Verdana"/>
          <w:i/>
          <w:spacing w:val="-5"/>
        </w:rPr>
        <w:t xml:space="preserve"> </w:t>
      </w:r>
      <w:proofErr w:type="spellStart"/>
      <w:r w:rsidRPr="001A1CF3">
        <w:rPr>
          <w:rFonts w:eastAsia="Verdana" w:cs="Verdana"/>
          <w:spacing w:val="1"/>
        </w:rPr>
        <w:t>p</w:t>
      </w:r>
      <w:r w:rsidRPr="001A1CF3">
        <w:rPr>
          <w:rFonts w:eastAsia="Verdana" w:cs="Verdana"/>
        </w:rPr>
        <w:t>á</w:t>
      </w:r>
      <w:r w:rsidRPr="001A1CF3">
        <w:rPr>
          <w:rFonts w:eastAsia="Verdana" w:cs="Verdana"/>
          <w:spacing w:val="2"/>
        </w:rPr>
        <w:t>r</w:t>
      </w:r>
      <w:r w:rsidRPr="001A1CF3">
        <w:rPr>
          <w:rFonts w:eastAsia="Verdana" w:cs="Verdana"/>
          <w:spacing w:val="-1"/>
        </w:rPr>
        <w:t>r</w:t>
      </w:r>
      <w:r w:rsidRPr="001A1CF3">
        <w:rPr>
          <w:rFonts w:eastAsia="Verdana" w:cs="Verdana"/>
        </w:rPr>
        <w:t>s</w:t>
      </w:r>
      <w:proofErr w:type="spellEnd"/>
      <w:r w:rsidRPr="001A1CF3">
        <w:rPr>
          <w:rFonts w:eastAsia="Verdana" w:cs="Verdana"/>
        </w:rPr>
        <w:t>.</w:t>
      </w:r>
      <w:r w:rsidR="00A76DB5">
        <w:rPr>
          <w:rFonts w:eastAsia="Verdana" w:cs="Verdana"/>
        </w:rPr>
        <w:t xml:space="preserve"> 24</w:t>
      </w:r>
      <w:r w:rsidR="007D3AF6">
        <w:rPr>
          <w:rFonts w:eastAsia="Verdana" w:cs="Verdana"/>
        </w:rPr>
        <w:t>6</w:t>
      </w:r>
      <w:r w:rsidR="00A76DB5">
        <w:rPr>
          <w:rFonts w:eastAsia="Verdana" w:cs="Verdana"/>
        </w:rPr>
        <w:t>,</w:t>
      </w:r>
      <w:r w:rsidRPr="001A1CF3">
        <w:rPr>
          <w:rFonts w:eastAsia="Verdana" w:cs="Verdana"/>
          <w:spacing w:val="-3"/>
        </w:rPr>
        <w:t xml:space="preserve"> </w:t>
      </w:r>
      <w:r w:rsidR="00C74AD4">
        <w:rPr>
          <w:rFonts w:eastAsia="Verdana" w:cs="Verdana"/>
          <w:spacing w:val="-3"/>
        </w:rPr>
        <w:t>24</w:t>
      </w:r>
      <w:r w:rsidR="007D3AF6">
        <w:rPr>
          <w:rFonts w:eastAsia="Verdana" w:cs="Verdana"/>
          <w:spacing w:val="-3"/>
        </w:rPr>
        <w:t>8</w:t>
      </w:r>
      <w:r w:rsidR="00C74AD4">
        <w:rPr>
          <w:rFonts w:eastAsia="Verdana" w:cs="Verdana"/>
          <w:spacing w:val="-3"/>
        </w:rPr>
        <w:t xml:space="preserve"> </w:t>
      </w:r>
      <w:r w:rsidRPr="001A1CF3">
        <w:rPr>
          <w:rFonts w:eastAsia="Verdana" w:cs="Verdana"/>
        </w:rPr>
        <w:t>y</w:t>
      </w:r>
      <w:r w:rsidR="00E54917">
        <w:rPr>
          <w:rFonts w:eastAsia="Verdana" w:cs="Verdana"/>
        </w:rPr>
        <w:t xml:space="preserve"> </w:t>
      </w:r>
      <w:r w:rsidR="001F60E3">
        <w:rPr>
          <w:rFonts w:eastAsia="Verdana" w:cs="Verdana"/>
        </w:rPr>
        <w:t>2</w:t>
      </w:r>
      <w:r w:rsidR="007D3AF6">
        <w:rPr>
          <w:rFonts w:eastAsia="Verdana" w:cs="Verdana"/>
        </w:rPr>
        <w:t>51</w:t>
      </w:r>
      <w:r w:rsidRPr="001A1CF3">
        <w:rPr>
          <w:rFonts w:eastAsia="Verdana" w:cs="Verdana"/>
          <w:spacing w:val="1"/>
        </w:rPr>
        <w:t>)</w:t>
      </w:r>
      <w:r w:rsidRPr="001A1CF3">
        <w:rPr>
          <w:rFonts w:eastAsia="Verdana" w:cs="Verdana"/>
        </w:rPr>
        <w:t>,</w:t>
      </w:r>
      <w:r w:rsidRPr="001A1CF3">
        <w:rPr>
          <w:rFonts w:eastAsia="Verdana" w:cs="Verdana"/>
          <w:spacing w:val="-2"/>
        </w:rPr>
        <w:t xml:space="preserve"> </w:t>
      </w:r>
      <w:r w:rsidRPr="001A1CF3">
        <w:rPr>
          <w:rFonts w:eastAsia="Verdana" w:cs="Verdana"/>
          <w:spacing w:val="4"/>
        </w:rPr>
        <w:t>l</w:t>
      </w:r>
      <w:r w:rsidRPr="001A1CF3">
        <w:rPr>
          <w:rFonts w:eastAsia="Verdana" w:cs="Verdana"/>
        </w:rPr>
        <w:t xml:space="preserve">a </w:t>
      </w:r>
      <w:r w:rsidRPr="00420D8F">
        <w:rPr>
          <w:rFonts w:eastAsia="Verdana" w:cs="Verdana"/>
          <w:b/>
          <w:i/>
        </w:rPr>
        <w:t>C</w:t>
      </w:r>
      <w:r w:rsidRPr="00420D8F">
        <w:rPr>
          <w:rFonts w:eastAsia="Verdana" w:cs="Verdana"/>
          <w:b/>
          <w:i/>
          <w:spacing w:val="1"/>
        </w:rPr>
        <w:t>o</w:t>
      </w:r>
      <w:r w:rsidRPr="00420D8F">
        <w:rPr>
          <w:rFonts w:eastAsia="Verdana" w:cs="Verdana"/>
          <w:b/>
          <w:i/>
          <w:spacing w:val="-1"/>
        </w:rPr>
        <w:t>r</w:t>
      </w:r>
      <w:r w:rsidRPr="00420D8F">
        <w:rPr>
          <w:rFonts w:eastAsia="Verdana" w:cs="Verdana"/>
          <w:b/>
          <w:i/>
          <w:spacing w:val="1"/>
        </w:rPr>
        <w:t>t</w:t>
      </w:r>
      <w:r w:rsidRPr="00420D8F">
        <w:rPr>
          <w:rFonts w:eastAsia="Verdana" w:cs="Verdana"/>
          <w:b/>
          <w:i/>
        </w:rPr>
        <w:t>e</w:t>
      </w:r>
      <w:r w:rsidRPr="001A1CF3">
        <w:rPr>
          <w:rFonts w:eastAsia="Verdana" w:cs="Verdana"/>
          <w:spacing w:val="-2"/>
        </w:rPr>
        <w:t xml:space="preserve"> </w:t>
      </w:r>
      <w:r w:rsidRPr="001A1CF3">
        <w:rPr>
          <w:rFonts w:eastAsia="Verdana" w:cs="Verdana"/>
          <w:spacing w:val="1"/>
        </w:rPr>
        <w:t>e</w:t>
      </w:r>
      <w:r w:rsidRPr="001A1CF3">
        <w:rPr>
          <w:rFonts w:eastAsia="Verdana" w:cs="Verdana"/>
        </w:rPr>
        <w:t>st</w:t>
      </w:r>
      <w:r w:rsidRPr="001A1CF3">
        <w:rPr>
          <w:rFonts w:eastAsia="Verdana" w:cs="Verdana"/>
          <w:spacing w:val="3"/>
        </w:rPr>
        <w:t>i</w:t>
      </w:r>
      <w:r w:rsidRPr="001A1CF3">
        <w:rPr>
          <w:rFonts w:eastAsia="Verdana" w:cs="Verdana"/>
        </w:rPr>
        <w:t>m</w:t>
      </w:r>
      <w:r w:rsidRPr="001A1CF3">
        <w:rPr>
          <w:rFonts w:eastAsia="Verdana" w:cs="Verdana"/>
          <w:spacing w:val="-1"/>
        </w:rPr>
        <w:t>a</w:t>
      </w:r>
      <w:r w:rsidRPr="001A1CF3">
        <w:rPr>
          <w:rFonts w:eastAsia="Verdana" w:cs="Verdana"/>
        </w:rPr>
        <w:t>,</w:t>
      </w:r>
      <w:r w:rsidRPr="001A1CF3">
        <w:rPr>
          <w:rFonts w:eastAsia="Verdana" w:cs="Verdana"/>
          <w:spacing w:val="-6"/>
        </w:rPr>
        <w:t xml:space="preserve"> </w:t>
      </w:r>
      <w:r w:rsidRPr="001A1CF3">
        <w:rPr>
          <w:rFonts w:eastAsia="Verdana" w:cs="Verdana"/>
          <w:spacing w:val="2"/>
        </w:rPr>
        <w:t>c</w:t>
      </w:r>
      <w:r w:rsidRPr="001A1CF3">
        <w:rPr>
          <w:rFonts w:eastAsia="Verdana" w:cs="Verdana"/>
          <w:spacing w:val="-1"/>
        </w:rPr>
        <w:t>o</w:t>
      </w:r>
      <w:r w:rsidRPr="001A1CF3">
        <w:rPr>
          <w:rFonts w:eastAsia="Verdana" w:cs="Verdana"/>
        </w:rPr>
        <w:t>mo</w:t>
      </w:r>
      <w:r w:rsidRPr="001A1CF3">
        <w:rPr>
          <w:rFonts w:eastAsia="Verdana" w:cs="Verdana"/>
          <w:spacing w:val="-2"/>
        </w:rPr>
        <w:t xml:space="preserve"> </w:t>
      </w:r>
      <w:r w:rsidRPr="001A1CF3">
        <w:rPr>
          <w:rFonts w:eastAsia="Verdana" w:cs="Verdana"/>
          <w:spacing w:val="3"/>
        </w:rPr>
        <w:t>l</w:t>
      </w:r>
      <w:r w:rsidRPr="001A1CF3">
        <w:rPr>
          <w:rFonts w:eastAsia="Verdana" w:cs="Verdana"/>
        </w:rPr>
        <w:t>o</w:t>
      </w:r>
      <w:r w:rsidRPr="001A1CF3">
        <w:rPr>
          <w:rFonts w:eastAsia="Verdana" w:cs="Verdana"/>
          <w:spacing w:val="-2"/>
        </w:rPr>
        <w:t xml:space="preserve"> </w:t>
      </w:r>
      <w:r w:rsidRPr="001A1CF3">
        <w:rPr>
          <w:rFonts w:eastAsia="Verdana" w:cs="Verdana"/>
          <w:spacing w:val="1"/>
        </w:rPr>
        <w:t>h</w:t>
      </w:r>
      <w:r w:rsidRPr="001A1CF3">
        <w:rPr>
          <w:rFonts w:eastAsia="Verdana" w:cs="Verdana"/>
        </w:rPr>
        <w:t xml:space="preserve">a </w:t>
      </w:r>
      <w:r w:rsidRPr="001A1CF3">
        <w:rPr>
          <w:rFonts w:eastAsia="Verdana" w:cs="Verdana"/>
          <w:spacing w:val="1"/>
        </w:rPr>
        <w:t>he</w:t>
      </w:r>
      <w:r w:rsidRPr="001A1CF3">
        <w:rPr>
          <w:rFonts w:eastAsia="Verdana" w:cs="Verdana"/>
        </w:rPr>
        <w:t>cho</w:t>
      </w:r>
      <w:r w:rsidRPr="001A1CF3">
        <w:rPr>
          <w:rFonts w:eastAsia="Verdana" w:cs="Verdana"/>
          <w:spacing w:val="-3"/>
        </w:rPr>
        <w:t xml:space="preserve"> </w:t>
      </w:r>
      <w:r w:rsidRPr="001A1CF3">
        <w:rPr>
          <w:rFonts w:eastAsia="Verdana" w:cs="Verdana"/>
          <w:spacing w:val="-1"/>
        </w:rPr>
        <w:t>e</w:t>
      </w:r>
      <w:r w:rsidRPr="001A1CF3">
        <w:rPr>
          <w:rFonts w:eastAsia="Verdana" w:cs="Verdana"/>
        </w:rPr>
        <w:t>n</w:t>
      </w:r>
      <w:r w:rsidRPr="001A1CF3">
        <w:rPr>
          <w:rFonts w:eastAsia="Verdana" w:cs="Verdana"/>
          <w:spacing w:val="3"/>
        </w:rPr>
        <w:t xml:space="preserve"> </w:t>
      </w:r>
      <w:r w:rsidRPr="001A1CF3">
        <w:rPr>
          <w:rFonts w:eastAsia="Verdana" w:cs="Verdana"/>
          <w:spacing w:val="1"/>
        </w:rPr>
        <w:t>ot</w:t>
      </w:r>
      <w:r w:rsidRPr="001A1CF3">
        <w:rPr>
          <w:rFonts w:eastAsia="Verdana" w:cs="Verdana"/>
          <w:spacing w:val="-1"/>
        </w:rPr>
        <w:t>ro</w:t>
      </w:r>
      <w:r w:rsidRPr="001A1CF3">
        <w:rPr>
          <w:rFonts w:eastAsia="Verdana" w:cs="Verdana"/>
        </w:rPr>
        <w:t>s</w:t>
      </w:r>
      <w:r w:rsidRPr="001A1CF3">
        <w:rPr>
          <w:rFonts w:eastAsia="Verdana" w:cs="Verdana"/>
          <w:spacing w:val="-2"/>
        </w:rPr>
        <w:t xml:space="preserve"> </w:t>
      </w:r>
      <w:r w:rsidRPr="001A1CF3">
        <w:rPr>
          <w:rFonts w:eastAsia="Verdana" w:cs="Verdana"/>
        </w:rPr>
        <w:t>c</w:t>
      </w:r>
      <w:r w:rsidRPr="001A1CF3">
        <w:rPr>
          <w:rFonts w:eastAsia="Verdana" w:cs="Verdana"/>
          <w:spacing w:val="2"/>
        </w:rPr>
        <w:t>a</w:t>
      </w:r>
      <w:r w:rsidRPr="001A1CF3">
        <w:rPr>
          <w:rFonts w:eastAsia="Verdana" w:cs="Verdana"/>
        </w:rPr>
        <w:t>s</w:t>
      </w:r>
      <w:r w:rsidRPr="001A1CF3">
        <w:rPr>
          <w:rFonts w:eastAsia="Verdana" w:cs="Verdana"/>
          <w:spacing w:val="1"/>
        </w:rPr>
        <w:t>o</w:t>
      </w:r>
      <w:r w:rsidRPr="001A1CF3">
        <w:rPr>
          <w:rFonts w:eastAsia="Verdana" w:cs="Verdana"/>
          <w:spacing w:val="8"/>
        </w:rPr>
        <w:t>s</w:t>
      </w:r>
      <w:r w:rsidRPr="001A1CF3">
        <w:rPr>
          <w:rStyle w:val="FootnoteReference"/>
          <w:rFonts w:eastAsia="Verdana" w:cs="Verdana"/>
          <w:spacing w:val="8"/>
        </w:rPr>
        <w:footnoteReference w:id="244"/>
      </w:r>
      <w:r w:rsidRPr="001A1CF3">
        <w:rPr>
          <w:rFonts w:eastAsia="Verdana" w:cs="Verdana"/>
        </w:rPr>
        <w:t>,</w:t>
      </w:r>
      <w:r w:rsidRPr="001A1CF3">
        <w:rPr>
          <w:rFonts w:eastAsia="Verdana" w:cs="Verdana"/>
          <w:spacing w:val="-8"/>
        </w:rPr>
        <w:t xml:space="preserve"> </w:t>
      </w:r>
      <w:r w:rsidRPr="001A1CF3">
        <w:rPr>
          <w:rFonts w:eastAsia="Verdana" w:cs="Verdana"/>
          <w:spacing w:val="1"/>
        </w:rPr>
        <w:t>qu</w:t>
      </w:r>
      <w:r w:rsidRPr="001A1CF3">
        <w:rPr>
          <w:rFonts w:eastAsia="Verdana" w:cs="Verdana"/>
        </w:rPr>
        <w:t>e</w:t>
      </w:r>
      <w:r w:rsidRPr="001A1CF3">
        <w:rPr>
          <w:rFonts w:eastAsia="Verdana" w:cs="Verdana"/>
          <w:spacing w:val="-1"/>
        </w:rPr>
        <w:t xml:space="preserve"> e</w:t>
      </w:r>
      <w:r w:rsidRPr="001A1CF3">
        <w:rPr>
          <w:rFonts w:eastAsia="Verdana" w:cs="Verdana"/>
        </w:rPr>
        <w:t>s</w:t>
      </w:r>
      <w:r w:rsidRPr="001A1CF3">
        <w:rPr>
          <w:rFonts w:eastAsia="Verdana" w:cs="Verdana"/>
          <w:spacing w:val="1"/>
        </w:rPr>
        <w:t xml:space="preserve"> pr</w:t>
      </w:r>
      <w:r w:rsidRPr="001A1CF3">
        <w:rPr>
          <w:rFonts w:eastAsia="Verdana" w:cs="Verdana"/>
          <w:spacing w:val="-1"/>
        </w:rPr>
        <w:t>e</w:t>
      </w:r>
      <w:r w:rsidRPr="001A1CF3">
        <w:rPr>
          <w:rFonts w:eastAsia="Verdana" w:cs="Verdana"/>
        </w:rPr>
        <w:t>c</w:t>
      </w:r>
      <w:r w:rsidRPr="001A1CF3">
        <w:rPr>
          <w:rFonts w:eastAsia="Verdana" w:cs="Verdana"/>
          <w:spacing w:val="4"/>
        </w:rPr>
        <w:t>i</w:t>
      </w:r>
      <w:r w:rsidRPr="001A1CF3">
        <w:rPr>
          <w:rFonts w:eastAsia="Verdana" w:cs="Verdana"/>
          <w:spacing w:val="2"/>
        </w:rPr>
        <w:t>s</w:t>
      </w:r>
      <w:r w:rsidRPr="001A1CF3">
        <w:rPr>
          <w:rFonts w:eastAsia="Verdana" w:cs="Verdana"/>
        </w:rPr>
        <w:t xml:space="preserve">o </w:t>
      </w:r>
      <w:r w:rsidRPr="001A1CF3">
        <w:rPr>
          <w:rFonts w:eastAsia="Verdana" w:cs="Verdana"/>
          <w:spacing w:val="1"/>
        </w:rPr>
        <w:t>d</w:t>
      </w:r>
      <w:r w:rsidRPr="001A1CF3">
        <w:rPr>
          <w:rFonts w:eastAsia="Verdana" w:cs="Verdana"/>
          <w:spacing w:val="3"/>
        </w:rPr>
        <w:t>i</w:t>
      </w:r>
      <w:r w:rsidRPr="001A1CF3">
        <w:rPr>
          <w:rFonts w:eastAsia="Verdana" w:cs="Verdana"/>
        </w:rPr>
        <w:t>sp</w:t>
      </w:r>
      <w:r w:rsidRPr="001A1CF3">
        <w:rPr>
          <w:rFonts w:eastAsia="Verdana" w:cs="Verdana"/>
          <w:spacing w:val="-1"/>
        </w:rPr>
        <w:t>o</w:t>
      </w:r>
      <w:r w:rsidRPr="001A1CF3">
        <w:rPr>
          <w:rFonts w:eastAsia="Verdana" w:cs="Verdana"/>
          <w:spacing w:val="1"/>
        </w:rPr>
        <w:t>n</w:t>
      </w:r>
      <w:r w:rsidRPr="001A1CF3">
        <w:rPr>
          <w:rFonts w:eastAsia="Verdana" w:cs="Verdana"/>
          <w:spacing w:val="-1"/>
        </w:rPr>
        <w:t>e</w:t>
      </w:r>
      <w:r w:rsidRPr="001A1CF3">
        <w:rPr>
          <w:rFonts w:eastAsia="Verdana" w:cs="Verdana"/>
        </w:rPr>
        <w:t>r</w:t>
      </w:r>
      <w:r w:rsidRPr="001A1CF3">
        <w:rPr>
          <w:rFonts w:eastAsia="Verdana" w:cs="Verdana"/>
          <w:spacing w:val="1"/>
        </w:rPr>
        <w:t xml:space="preserve"> un</w:t>
      </w:r>
      <w:r w:rsidRPr="001A1CF3">
        <w:rPr>
          <w:rFonts w:eastAsia="Verdana" w:cs="Verdana"/>
        </w:rPr>
        <w:t>a</w:t>
      </w:r>
      <w:r w:rsidRPr="001A1CF3">
        <w:rPr>
          <w:rFonts w:eastAsia="Verdana" w:cs="Verdana"/>
          <w:spacing w:val="7"/>
        </w:rPr>
        <w:t xml:space="preserve"> </w:t>
      </w:r>
      <w:r w:rsidRPr="001A1CF3">
        <w:rPr>
          <w:rFonts w:eastAsia="Verdana" w:cs="Verdana"/>
        </w:rPr>
        <w:t>med</w:t>
      </w:r>
      <w:r w:rsidRPr="001A1CF3">
        <w:rPr>
          <w:rFonts w:eastAsia="Verdana" w:cs="Verdana"/>
          <w:spacing w:val="3"/>
        </w:rPr>
        <w:t>i</w:t>
      </w:r>
      <w:r w:rsidRPr="001A1CF3">
        <w:rPr>
          <w:rFonts w:eastAsia="Verdana" w:cs="Verdana"/>
          <w:spacing w:val="1"/>
        </w:rPr>
        <w:t>d</w:t>
      </w:r>
      <w:r w:rsidRPr="001A1CF3">
        <w:rPr>
          <w:rFonts w:eastAsia="Verdana" w:cs="Verdana"/>
        </w:rPr>
        <w:t xml:space="preserve">a </w:t>
      </w:r>
      <w:r w:rsidRPr="001A1CF3">
        <w:rPr>
          <w:rFonts w:eastAsia="Verdana" w:cs="Verdana"/>
          <w:spacing w:val="1"/>
        </w:rPr>
        <w:t>d</w:t>
      </w:r>
      <w:r w:rsidRPr="001A1CF3">
        <w:rPr>
          <w:rFonts w:eastAsia="Verdana" w:cs="Verdana"/>
        </w:rPr>
        <w:t>e</w:t>
      </w:r>
      <w:r w:rsidRPr="001A1CF3">
        <w:rPr>
          <w:rFonts w:eastAsia="Verdana" w:cs="Verdana"/>
          <w:spacing w:val="6"/>
        </w:rPr>
        <w:t xml:space="preserve"> </w:t>
      </w:r>
      <w:r w:rsidRPr="001A1CF3">
        <w:rPr>
          <w:rFonts w:eastAsia="Verdana" w:cs="Verdana"/>
          <w:spacing w:val="-1"/>
        </w:rPr>
        <w:t>re</w:t>
      </w:r>
      <w:r w:rsidRPr="001A1CF3">
        <w:rPr>
          <w:rFonts w:eastAsia="Verdana" w:cs="Verdana"/>
          <w:spacing w:val="1"/>
        </w:rPr>
        <w:t>p</w:t>
      </w:r>
      <w:r w:rsidRPr="001A1CF3">
        <w:rPr>
          <w:rFonts w:eastAsia="Verdana" w:cs="Verdana"/>
          <w:spacing w:val="2"/>
        </w:rPr>
        <w:t>a</w:t>
      </w:r>
      <w:r w:rsidRPr="001A1CF3">
        <w:rPr>
          <w:rFonts w:eastAsia="Verdana" w:cs="Verdana"/>
          <w:spacing w:val="-1"/>
        </w:rPr>
        <w:t>r</w:t>
      </w:r>
      <w:r w:rsidRPr="001A1CF3">
        <w:rPr>
          <w:rFonts w:eastAsia="Verdana" w:cs="Verdana"/>
        </w:rPr>
        <w:t>ac</w:t>
      </w:r>
      <w:r w:rsidRPr="001A1CF3">
        <w:rPr>
          <w:rFonts w:eastAsia="Verdana" w:cs="Verdana"/>
          <w:spacing w:val="3"/>
        </w:rPr>
        <w:t>i</w:t>
      </w:r>
      <w:r w:rsidRPr="001A1CF3">
        <w:rPr>
          <w:rFonts w:eastAsia="Verdana" w:cs="Verdana"/>
          <w:spacing w:val="-1"/>
        </w:rPr>
        <w:t>ó</w:t>
      </w:r>
      <w:r w:rsidRPr="001A1CF3">
        <w:rPr>
          <w:rFonts w:eastAsia="Verdana" w:cs="Verdana"/>
        </w:rPr>
        <w:t>n</w:t>
      </w:r>
      <w:r w:rsidRPr="001A1CF3">
        <w:rPr>
          <w:rFonts w:eastAsia="Verdana" w:cs="Verdana"/>
          <w:spacing w:val="5"/>
        </w:rPr>
        <w:t xml:space="preserve"> </w:t>
      </w:r>
      <w:r w:rsidRPr="001A1CF3">
        <w:rPr>
          <w:rFonts w:eastAsia="Verdana" w:cs="Verdana"/>
          <w:spacing w:val="-1"/>
        </w:rPr>
        <w:t>e</w:t>
      </w:r>
      <w:r w:rsidRPr="001A1CF3">
        <w:rPr>
          <w:rFonts w:eastAsia="Verdana" w:cs="Verdana"/>
        </w:rPr>
        <w:t>n</w:t>
      </w:r>
      <w:r w:rsidRPr="001A1CF3">
        <w:rPr>
          <w:rFonts w:eastAsia="Verdana" w:cs="Verdana"/>
          <w:spacing w:val="9"/>
        </w:rPr>
        <w:t xml:space="preserve"> </w:t>
      </w:r>
      <w:r w:rsidRPr="001A1CF3">
        <w:rPr>
          <w:rFonts w:eastAsia="Verdana" w:cs="Verdana"/>
        </w:rPr>
        <w:t>su</w:t>
      </w:r>
      <w:r w:rsidRPr="001A1CF3">
        <w:rPr>
          <w:rFonts w:eastAsia="Verdana" w:cs="Verdana"/>
          <w:spacing w:val="10"/>
        </w:rPr>
        <w:t xml:space="preserve"> </w:t>
      </w:r>
      <w:r w:rsidRPr="001A1CF3">
        <w:rPr>
          <w:rFonts w:eastAsia="Verdana" w:cs="Verdana"/>
        </w:rPr>
        <w:t>fav</w:t>
      </w:r>
      <w:r w:rsidRPr="001A1CF3">
        <w:rPr>
          <w:rFonts w:eastAsia="Verdana" w:cs="Verdana"/>
          <w:spacing w:val="1"/>
        </w:rPr>
        <w:t>o</w:t>
      </w:r>
      <w:r w:rsidRPr="001A1CF3">
        <w:rPr>
          <w:rFonts w:eastAsia="Verdana" w:cs="Verdana"/>
        </w:rPr>
        <w:t>r</w:t>
      </w:r>
      <w:r w:rsidRPr="001A1CF3">
        <w:rPr>
          <w:rFonts w:eastAsia="Verdana" w:cs="Verdana"/>
          <w:spacing w:val="5"/>
        </w:rPr>
        <w:t xml:space="preserve"> </w:t>
      </w:r>
      <w:r w:rsidRPr="001A1CF3">
        <w:rPr>
          <w:rFonts w:eastAsia="Verdana" w:cs="Verdana"/>
          <w:spacing w:val="1"/>
        </w:rPr>
        <w:t>qu</w:t>
      </w:r>
      <w:r w:rsidRPr="001A1CF3">
        <w:rPr>
          <w:rFonts w:eastAsia="Verdana" w:cs="Verdana"/>
        </w:rPr>
        <w:t>e</w:t>
      </w:r>
      <w:r w:rsidRPr="001A1CF3">
        <w:rPr>
          <w:rFonts w:eastAsia="Verdana" w:cs="Verdana"/>
          <w:spacing w:val="5"/>
        </w:rPr>
        <w:t xml:space="preserve"> </w:t>
      </w:r>
      <w:r w:rsidRPr="001A1CF3">
        <w:rPr>
          <w:rFonts w:eastAsia="Verdana" w:cs="Verdana"/>
          <w:spacing w:val="1"/>
        </w:rPr>
        <w:t>b</w:t>
      </w:r>
      <w:r w:rsidRPr="001A1CF3">
        <w:rPr>
          <w:rFonts w:eastAsia="Verdana" w:cs="Verdana"/>
          <w:spacing w:val="-1"/>
        </w:rPr>
        <w:t>r</w:t>
      </w:r>
      <w:r w:rsidRPr="001A1CF3">
        <w:rPr>
          <w:rFonts w:eastAsia="Verdana" w:cs="Verdana"/>
          <w:spacing w:val="3"/>
        </w:rPr>
        <w:t>i</w:t>
      </w:r>
      <w:r w:rsidRPr="001A1CF3">
        <w:rPr>
          <w:rFonts w:eastAsia="Verdana" w:cs="Verdana"/>
          <w:spacing w:val="1"/>
        </w:rPr>
        <w:t>nd</w:t>
      </w:r>
      <w:r w:rsidRPr="001A1CF3">
        <w:rPr>
          <w:rFonts w:eastAsia="Verdana" w:cs="Verdana"/>
        </w:rPr>
        <w:t>e</w:t>
      </w:r>
      <w:r w:rsidRPr="001A1CF3">
        <w:rPr>
          <w:rFonts w:eastAsia="Verdana" w:cs="Verdana"/>
          <w:spacing w:val="2"/>
        </w:rPr>
        <w:t xml:space="preserve"> </w:t>
      </w:r>
      <w:r w:rsidRPr="001A1CF3">
        <w:rPr>
          <w:rFonts w:eastAsia="Verdana" w:cs="Verdana"/>
          <w:spacing w:val="1"/>
        </w:rPr>
        <w:t>u</w:t>
      </w:r>
      <w:r w:rsidRPr="001A1CF3">
        <w:rPr>
          <w:rFonts w:eastAsia="Verdana" w:cs="Verdana"/>
          <w:spacing w:val="-1"/>
        </w:rPr>
        <w:t>n</w:t>
      </w:r>
      <w:r w:rsidRPr="001A1CF3">
        <w:rPr>
          <w:rFonts w:eastAsia="Verdana" w:cs="Verdana"/>
        </w:rPr>
        <w:t>a</w:t>
      </w:r>
      <w:r w:rsidRPr="001A1CF3">
        <w:rPr>
          <w:rFonts w:eastAsia="Verdana" w:cs="Verdana"/>
          <w:spacing w:val="7"/>
        </w:rPr>
        <w:t xml:space="preserve"> </w:t>
      </w:r>
      <w:r w:rsidRPr="001A1CF3">
        <w:rPr>
          <w:rFonts w:eastAsia="Verdana" w:cs="Verdana"/>
        </w:rPr>
        <w:t>a</w:t>
      </w:r>
      <w:r w:rsidRPr="001A1CF3">
        <w:rPr>
          <w:rFonts w:eastAsia="Verdana" w:cs="Verdana"/>
          <w:spacing w:val="1"/>
        </w:rPr>
        <w:t>t</w:t>
      </w:r>
      <w:r w:rsidRPr="001A1CF3">
        <w:rPr>
          <w:rFonts w:eastAsia="Verdana" w:cs="Verdana"/>
          <w:spacing w:val="-1"/>
        </w:rPr>
        <w:t>e</w:t>
      </w:r>
      <w:r w:rsidRPr="001A1CF3">
        <w:rPr>
          <w:rFonts w:eastAsia="Verdana" w:cs="Verdana"/>
          <w:spacing w:val="1"/>
        </w:rPr>
        <w:t>n</w:t>
      </w:r>
      <w:r w:rsidRPr="001A1CF3">
        <w:rPr>
          <w:rFonts w:eastAsia="Verdana" w:cs="Verdana"/>
        </w:rPr>
        <w:t>c</w:t>
      </w:r>
      <w:r w:rsidRPr="001A1CF3">
        <w:rPr>
          <w:rFonts w:eastAsia="Verdana" w:cs="Verdana"/>
          <w:spacing w:val="2"/>
        </w:rPr>
        <w:t>i</w:t>
      </w:r>
      <w:r w:rsidRPr="001A1CF3">
        <w:rPr>
          <w:rFonts w:eastAsia="Verdana" w:cs="Verdana"/>
          <w:spacing w:val="-1"/>
        </w:rPr>
        <w:t>ó</w:t>
      </w:r>
      <w:r w:rsidRPr="001A1CF3">
        <w:rPr>
          <w:rFonts w:eastAsia="Verdana" w:cs="Verdana"/>
        </w:rPr>
        <w:t>n</w:t>
      </w:r>
      <w:r w:rsidRPr="001A1CF3">
        <w:rPr>
          <w:rFonts w:eastAsia="Verdana" w:cs="Verdana"/>
          <w:spacing w:val="3"/>
        </w:rPr>
        <w:t xml:space="preserve"> </w:t>
      </w:r>
      <w:r w:rsidRPr="001A1CF3">
        <w:rPr>
          <w:rFonts w:eastAsia="Verdana" w:cs="Verdana"/>
        </w:rPr>
        <w:t>a</w:t>
      </w:r>
      <w:r w:rsidRPr="001A1CF3">
        <w:rPr>
          <w:rFonts w:eastAsia="Verdana" w:cs="Verdana"/>
          <w:spacing w:val="1"/>
        </w:rPr>
        <w:t>d</w:t>
      </w:r>
      <w:r w:rsidRPr="001A1CF3">
        <w:rPr>
          <w:rFonts w:eastAsia="Verdana" w:cs="Verdana"/>
          <w:spacing w:val="-1"/>
        </w:rPr>
        <w:t>e</w:t>
      </w:r>
      <w:r w:rsidRPr="001A1CF3">
        <w:rPr>
          <w:rFonts w:eastAsia="Verdana" w:cs="Verdana"/>
        </w:rPr>
        <w:t>cu</w:t>
      </w:r>
      <w:r w:rsidRPr="001A1CF3">
        <w:rPr>
          <w:rFonts w:eastAsia="Verdana" w:cs="Verdana"/>
          <w:spacing w:val="1"/>
        </w:rPr>
        <w:t>ad</w:t>
      </w:r>
      <w:r w:rsidRPr="001A1CF3">
        <w:rPr>
          <w:rFonts w:eastAsia="Verdana" w:cs="Verdana"/>
        </w:rPr>
        <w:t>a</w:t>
      </w:r>
      <w:r w:rsidRPr="001A1CF3">
        <w:rPr>
          <w:rFonts w:eastAsia="Verdana" w:cs="Verdana"/>
          <w:spacing w:val="1"/>
        </w:rPr>
        <w:t xml:space="preserve"> </w:t>
      </w:r>
      <w:r w:rsidRPr="001A1CF3">
        <w:rPr>
          <w:rFonts w:eastAsia="Verdana" w:cs="Verdana"/>
        </w:rPr>
        <w:t>a</w:t>
      </w:r>
      <w:r w:rsidRPr="001A1CF3">
        <w:rPr>
          <w:rFonts w:eastAsia="Verdana" w:cs="Verdana"/>
          <w:spacing w:val="9"/>
        </w:rPr>
        <w:t xml:space="preserve"> </w:t>
      </w:r>
      <w:r w:rsidRPr="001A1CF3">
        <w:rPr>
          <w:rFonts w:eastAsia="Verdana" w:cs="Verdana"/>
          <w:spacing w:val="3"/>
        </w:rPr>
        <w:t>l</w:t>
      </w:r>
      <w:r w:rsidRPr="001A1CF3">
        <w:rPr>
          <w:rFonts w:eastAsia="Verdana" w:cs="Verdana"/>
          <w:spacing w:val="-1"/>
        </w:rPr>
        <w:t>o</w:t>
      </w:r>
      <w:r w:rsidRPr="001A1CF3">
        <w:rPr>
          <w:rFonts w:eastAsia="Verdana" w:cs="Verdana"/>
        </w:rPr>
        <w:t xml:space="preserve">s </w:t>
      </w:r>
      <w:r w:rsidRPr="001A1CF3">
        <w:rPr>
          <w:rFonts w:eastAsia="Verdana" w:cs="Verdana"/>
          <w:spacing w:val="1"/>
        </w:rPr>
        <w:t>p</w:t>
      </w:r>
      <w:r w:rsidRPr="001A1CF3">
        <w:rPr>
          <w:rFonts w:eastAsia="Verdana" w:cs="Verdana"/>
        </w:rPr>
        <w:t>a</w:t>
      </w:r>
      <w:r w:rsidRPr="001A1CF3">
        <w:rPr>
          <w:rFonts w:eastAsia="Verdana" w:cs="Verdana"/>
          <w:spacing w:val="1"/>
        </w:rPr>
        <w:t>d</w:t>
      </w:r>
      <w:r w:rsidRPr="001A1CF3">
        <w:rPr>
          <w:rFonts w:eastAsia="Verdana" w:cs="Verdana"/>
          <w:spacing w:val="-1"/>
        </w:rPr>
        <w:t>e</w:t>
      </w:r>
      <w:r w:rsidRPr="001A1CF3">
        <w:rPr>
          <w:rFonts w:eastAsia="Verdana" w:cs="Verdana"/>
        </w:rPr>
        <w:t>c</w:t>
      </w:r>
      <w:r w:rsidRPr="001A1CF3">
        <w:rPr>
          <w:rFonts w:eastAsia="Verdana" w:cs="Verdana"/>
          <w:spacing w:val="2"/>
        </w:rPr>
        <w:t>i</w:t>
      </w:r>
      <w:r w:rsidRPr="001A1CF3">
        <w:rPr>
          <w:rFonts w:eastAsia="Verdana" w:cs="Verdana"/>
        </w:rPr>
        <w:t>m</w:t>
      </w:r>
      <w:r w:rsidRPr="001A1CF3">
        <w:rPr>
          <w:rFonts w:eastAsia="Verdana" w:cs="Verdana"/>
          <w:spacing w:val="3"/>
        </w:rPr>
        <w:t>i</w:t>
      </w:r>
      <w:r w:rsidRPr="001A1CF3">
        <w:rPr>
          <w:rFonts w:eastAsia="Verdana" w:cs="Verdana"/>
          <w:spacing w:val="-1"/>
        </w:rPr>
        <w:t>e</w:t>
      </w:r>
      <w:r w:rsidRPr="001A1CF3">
        <w:rPr>
          <w:rFonts w:eastAsia="Verdana" w:cs="Verdana"/>
          <w:spacing w:val="1"/>
        </w:rPr>
        <w:t>nt</w:t>
      </w:r>
      <w:r w:rsidRPr="001A1CF3">
        <w:rPr>
          <w:rFonts w:eastAsia="Verdana" w:cs="Verdana"/>
          <w:spacing w:val="-1"/>
        </w:rPr>
        <w:t>o</w:t>
      </w:r>
      <w:r w:rsidRPr="001A1CF3">
        <w:rPr>
          <w:rFonts w:eastAsia="Verdana" w:cs="Verdana"/>
        </w:rPr>
        <w:t>s que pudieron</w:t>
      </w:r>
      <w:r w:rsidRPr="001A1CF3">
        <w:rPr>
          <w:rFonts w:eastAsia="Verdana" w:cs="Verdana"/>
          <w:spacing w:val="3"/>
        </w:rPr>
        <w:t xml:space="preserve"> d</w:t>
      </w:r>
      <w:r w:rsidRPr="001A1CF3">
        <w:rPr>
          <w:rFonts w:eastAsia="Verdana" w:cs="Verdana"/>
          <w:spacing w:val="-1"/>
        </w:rPr>
        <w:t>er</w:t>
      </w:r>
      <w:r w:rsidRPr="001A1CF3">
        <w:rPr>
          <w:rFonts w:eastAsia="Verdana" w:cs="Verdana"/>
          <w:spacing w:val="3"/>
        </w:rPr>
        <w:t>i</w:t>
      </w:r>
      <w:r w:rsidRPr="001A1CF3">
        <w:rPr>
          <w:rFonts w:eastAsia="Verdana" w:cs="Verdana"/>
        </w:rPr>
        <w:t>varse</w:t>
      </w:r>
      <w:r w:rsidRPr="001A1CF3">
        <w:rPr>
          <w:rFonts w:eastAsia="Verdana" w:cs="Verdana"/>
          <w:spacing w:val="5"/>
        </w:rPr>
        <w:t xml:space="preserve"> </w:t>
      </w:r>
      <w:r w:rsidRPr="001A1CF3">
        <w:rPr>
          <w:rFonts w:eastAsia="Verdana" w:cs="Verdana"/>
          <w:spacing w:val="1"/>
        </w:rPr>
        <w:t>d</w:t>
      </w:r>
      <w:r w:rsidRPr="001A1CF3">
        <w:rPr>
          <w:rFonts w:eastAsia="Verdana" w:cs="Verdana"/>
        </w:rPr>
        <w:t>e</w:t>
      </w:r>
      <w:r w:rsidRPr="001A1CF3">
        <w:rPr>
          <w:rFonts w:eastAsia="Verdana" w:cs="Verdana"/>
          <w:spacing w:val="11"/>
        </w:rPr>
        <w:t xml:space="preserve"> </w:t>
      </w:r>
      <w:r w:rsidRPr="001A1CF3">
        <w:rPr>
          <w:rFonts w:eastAsia="Verdana" w:cs="Verdana"/>
          <w:spacing w:val="3"/>
        </w:rPr>
        <w:t>l</w:t>
      </w:r>
      <w:r w:rsidRPr="001A1CF3">
        <w:rPr>
          <w:rFonts w:eastAsia="Verdana" w:cs="Verdana"/>
        </w:rPr>
        <w:t>as</w:t>
      </w:r>
      <w:r w:rsidRPr="001A1CF3">
        <w:rPr>
          <w:rFonts w:eastAsia="Verdana" w:cs="Verdana"/>
          <w:spacing w:val="12"/>
        </w:rPr>
        <w:t xml:space="preserve"> </w:t>
      </w:r>
      <w:r w:rsidRPr="001A1CF3">
        <w:rPr>
          <w:rFonts w:eastAsia="Verdana" w:cs="Verdana"/>
        </w:rPr>
        <w:t>vi</w:t>
      </w:r>
      <w:r w:rsidRPr="001A1CF3">
        <w:rPr>
          <w:rFonts w:eastAsia="Verdana" w:cs="Verdana"/>
          <w:spacing w:val="-1"/>
        </w:rPr>
        <w:t>o</w:t>
      </w:r>
      <w:r w:rsidRPr="001A1CF3">
        <w:rPr>
          <w:rFonts w:eastAsia="Verdana" w:cs="Verdana"/>
          <w:spacing w:val="3"/>
        </w:rPr>
        <w:t>l</w:t>
      </w:r>
      <w:r w:rsidRPr="001A1CF3">
        <w:rPr>
          <w:rFonts w:eastAsia="Verdana" w:cs="Verdana"/>
        </w:rPr>
        <w:t>ac</w:t>
      </w:r>
      <w:r w:rsidRPr="001A1CF3">
        <w:rPr>
          <w:rFonts w:eastAsia="Verdana" w:cs="Verdana"/>
          <w:spacing w:val="3"/>
        </w:rPr>
        <w:t>i</w:t>
      </w:r>
      <w:r w:rsidRPr="001A1CF3">
        <w:rPr>
          <w:rFonts w:eastAsia="Verdana" w:cs="Verdana"/>
          <w:spacing w:val="-1"/>
        </w:rPr>
        <w:t>o</w:t>
      </w:r>
      <w:r w:rsidRPr="001A1CF3">
        <w:rPr>
          <w:rFonts w:eastAsia="Verdana" w:cs="Verdana"/>
          <w:spacing w:val="1"/>
        </w:rPr>
        <w:t>n</w:t>
      </w:r>
      <w:r w:rsidRPr="001A1CF3">
        <w:rPr>
          <w:rFonts w:eastAsia="Verdana" w:cs="Verdana"/>
          <w:spacing w:val="-1"/>
        </w:rPr>
        <w:t>e</w:t>
      </w:r>
      <w:r w:rsidRPr="001A1CF3">
        <w:rPr>
          <w:rFonts w:eastAsia="Verdana" w:cs="Verdana"/>
        </w:rPr>
        <w:t>s</w:t>
      </w:r>
      <w:r w:rsidRPr="001A1CF3">
        <w:rPr>
          <w:rFonts w:eastAsia="Verdana" w:cs="Verdana"/>
          <w:spacing w:val="3"/>
        </w:rPr>
        <w:t xml:space="preserve"> </w:t>
      </w:r>
      <w:r w:rsidRPr="001A1CF3">
        <w:rPr>
          <w:rFonts w:eastAsia="Verdana" w:cs="Verdana"/>
          <w:spacing w:val="-1"/>
        </w:rPr>
        <w:t>e</w:t>
      </w:r>
      <w:r w:rsidRPr="001A1CF3">
        <w:rPr>
          <w:rFonts w:eastAsia="Verdana" w:cs="Verdana"/>
        </w:rPr>
        <w:t>sta</w:t>
      </w:r>
      <w:r w:rsidRPr="001A1CF3">
        <w:rPr>
          <w:rFonts w:eastAsia="Verdana" w:cs="Verdana"/>
          <w:spacing w:val="1"/>
        </w:rPr>
        <w:t>b</w:t>
      </w:r>
      <w:r w:rsidRPr="001A1CF3">
        <w:rPr>
          <w:rFonts w:eastAsia="Verdana" w:cs="Verdana"/>
          <w:spacing w:val="3"/>
        </w:rPr>
        <w:t>l</w:t>
      </w:r>
      <w:r w:rsidRPr="001A1CF3">
        <w:rPr>
          <w:rFonts w:eastAsia="Verdana" w:cs="Verdana"/>
          <w:spacing w:val="-1"/>
        </w:rPr>
        <w:t>e</w:t>
      </w:r>
      <w:r w:rsidRPr="001A1CF3">
        <w:rPr>
          <w:rFonts w:eastAsia="Verdana" w:cs="Verdana"/>
          <w:spacing w:val="7"/>
        </w:rPr>
        <w:t>c</w:t>
      </w:r>
      <w:r w:rsidRPr="001A1CF3">
        <w:rPr>
          <w:rFonts w:eastAsia="Verdana" w:cs="Verdana"/>
          <w:spacing w:val="3"/>
        </w:rPr>
        <w:t>i</w:t>
      </w:r>
      <w:r w:rsidRPr="001A1CF3">
        <w:rPr>
          <w:rFonts w:eastAsia="Verdana" w:cs="Verdana"/>
          <w:spacing w:val="1"/>
        </w:rPr>
        <w:t>d</w:t>
      </w:r>
      <w:r w:rsidRPr="001A1CF3">
        <w:rPr>
          <w:rFonts w:eastAsia="Verdana" w:cs="Verdana"/>
        </w:rPr>
        <w:t>as</w:t>
      </w:r>
      <w:r w:rsidRPr="001A1CF3">
        <w:rPr>
          <w:rFonts w:eastAsia="Verdana" w:cs="Verdana"/>
          <w:spacing w:val="2"/>
        </w:rPr>
        <w:t xml:space="preserve"> </w:t>
      </w:r>
      <w:r w:rsidRPr="001A1CF3">
        <w:rPr>
          <w:rFonts w:eastAsia="Verdana" w:cs="Verdana"/>
          <w:spacing w:val="-1"/>
        </w:rPr>
        <w:t>e</w:t>
      </w:r>
      <w:r w:rsidRPr="001A1CF3">
        <w:rPr>
          <w:rFonts w:eastAsia="Verdana" w:cs="Verdana"/>
        </w:rPr>
        <w:t>n</w:t>
      </w:r>
      <w:r w:rsidRPr="001A1CF3">
        <w:rPr>
          <w:rFonts w:eastAsia="Verdana" w:cs="Verdana"/>
          <w:spacing w:val="13"/>
        </w:rPr>
        <w:t xml:space="preserve"> </w:t>
      </w:r>
      <w:r w:rsidRPr="001A1CF3">
        <w:rPr>
          <w:rFonts w:eastAsia="Verdana" w:cs="Verdana"/>
          <w:spacing w:val="3"/>
        </w:rPr>
        <w:t>l</w:t>
      </w:r>
      <w:r w:rsidRPr="001A1CF3">
        <w:rPr>
          <w:rFonts w:eastAsia="Verdana" w:cs="Verdana"/>
        </w:rPr>
        <w:t>a</w:t>
      </w:r>
      <w:r w:rsidRPr="001A1CF3">
        <w:rPr>
          <w:rFonts w:eastAsia="Verdana" w:cs="Verdana"/>
          <w:spacing w:val="14"/>
        </w:rPr>
        <w:t xml:space="preserve"> </w:t>
      </w:r>
      <w:r w:rsidRPr="001A1CF3">
        <w:rPr>
          <w:rFonts w:eastAsia="Verdana" w:cs="Verdana"/>
          <w:spacing w:val="1"/>
        </w:rPr>
        <w:t>p</w:t>
      </w:r>
      <w:r w:rsidRPr="001A1CF3">
        <w:rPr>
          <w:rFonts w:eastAsia="Verdana" w:cs="Verdana"/>
          <w:spacing w:val="-1"/>
        </w:rPr>
        <w:t>re</w:t>
      </w:r>
      <w:r w:rsidRPr="001A1CF3">
        <w:rPr>
          <w:rFonts w:eastAsia="Verdana" w:cs="Verdana"/>
        </w:rPr>
        <w:t>s</w:t>
      </w:r>
      <w:r w:rsidRPr="001A1CF3">
        <w:rPr>
          <w:rFonts w:eastAsia="Verdana" w:cs="Verdana"/>
          <w:spacing w:val="-2"/>
        </w:rPr>
        <w:t>e</w:t>
      </w:r>
      <w:r w:rsidRPr="001A1CF3">
        <w:rPr>
          <w:rFonts w:eastAsia="Verdana" w:cs="Verdana"/>
          <w:spacing w:val="1"/>
        </w:rPr>
        <w:t>nt</w:t>
      </w:r>
      <w:r w:rsidRPr="001A1CF3">
        <w:rPr>
          <w:rFonts w:eastAsia="Verdana" w:cs="Verdana"/>
        </w:rPr>
        <w:t>e</w:t>
      </w:r>
      <w:r w:rsidRPr="001A1CF3">
        <w:rPr>
          <w:rFonts w:eastAsia="Verdana" w:cs="Verdana"/>
          <w:spacing w:val="8"/>
        </w:rPr>
        <w:t xml:space="preserve"> </w:t>
      </w:r>
      <w:r w:rsidRPr="001A1CF3">
        <w:rPr>
          <w:rFonts w:eastAsia="Verdana" w:cs="Verdana"/>
          <w:spacing w:val="2"/>
        </w:rPr>
        <w:t>s</w:t>
      </w:r>
      <w:r w:rsidRPr="001A1CF3">
        <w:rPr>
          <w:rFonts w:eastAsia="Verdana" w:cs="Verdana"/>
          <w:spacing w:val="-1"/>
        </w:rPr>
        <w:t>e</w:t>
      </w:r>
      <w:r w:rsidRPr="001A1CF3">
        <w:rPr>
          <w:rFonts w:eastAsia="Verdana" w:cs="Verdana"/>
          <w:spacing w:val="1"/>
        </w:rPr>
        <w:t>n</w:t>
      </w:r>
      <w:r w:rsidRPr="001A1CF3">
        <w:rPr>
          <w:rFonts w:eastAsia="Verdana" w:cs="Verdana"/>
          <w:spacing w:val="3"/>
        </w:rPr>
        <w:t>t</w:t>
      </w:r>
      <w:r w:rsidRPr="001A1CF3">
        <w:rPr>
          <w:rFonts w:eastAsia="Verdana" w:cs="Verdana"/>
          <w:spacing w:val="-1"/>
        </w:rPr>
        <w:t>e</w:t>
      </w:r>
      <w:r w:rsidRPr="001A1CF3">
        <w:rPr>
          <w:rFonts w:eastAsia="Verdana" w:cs="Verdana"/>
          <w:spacing w:val="1"/>
        </w:rPr>
        <w:t>n</w:t>
      </w:r>
      <w:r w:rsidRPr="001A1CF3">
        <w:rPr>
          <w:rFonts w:eastAsia="Verdana" w:cs="Verdana"/>
        </w:rPr>
        <w:t>c</w:t>
      </w:r>
      <w:r w:rsidRPr="001A1CF3">
        <w:rPr>
          <w:rFonts w:eastAsia="Verdana" w:cs="Verdana"/>
          <w:spacing w:val="2"/>
        </w:rPr>
        <w:t>i</w:t>
      </w:r>
      <w:r w:rsidRPr="001A1CF3">
        <w:rPr>
          <w:rFonts w:eastAsia="Verdana" w:cs="Verdana"/>
        </w:rPr>
        <w:t>a.</w:t>
      </w:r>
      <w:r w:rsidRPr="001A1CF3">
        <w:rPr>
          <w:rFonts w:eastAsia="Verdana" w:cs="Verdana"/>
          <w:spacing w:val="4"/>
        </w:rPr>
        <w:t xml:space="preserve"> </w:t>
      </w:r>
      <w:r w:rsidR="00D40774" w:rsidRPr="00F810F3">
        <w:rPr>
          <w:rFonts w:eastAsia="Verdana" w:cs="Verdana"/>
        </w:rPr>
        <w:t>E</w:t>
      </w:r>
      <w:r w:rsidR="00D40774" w:rsidRPr="00F810F3">
        <w:rPr>
          <w:rFonts w:eastAsia="Verdana" w:cs="Verdana"/>
          <w:spacing w:val="-1"/>
        </w:rPr>
        <w:t xml:space="preserve">ste </w:t>
      </w:r>
      <w:r w:rsidR="00D40774" w:rsidRPr="00F810F3">
        <w:rPr>
          <w:rFonts w:eastAsia="Verdana" w:cs="Verdana"/>
        </w:rPr>
        <w:t>T</w:t>
      </w:r>
      <w:r w:rsidR="00D40774" w:rsidRPr="00F810F3">
        <w:rPr>
          <w:rFonts w:eastAsia="Verdana" w:cs="Verdana"/>
          <w:spacing w:val="-1"/>
        </w:rPr>
        <w:t>r</w:t>
      </w:r>
      <w:r w:rsidR="00D40774" w:rsidRPr="00F810F3">
        <w:rPr>
          <w:rFonts w:eastAsia="Verdana" w:cs="Verdana"/>
          <w:spacing w:val="3"/>
        </w:rPr>
        <w:t>i</w:t>
      </w:r>
      <w:r w:rsidR="00D40774" w:rsidRPr="00F810F3">
        <w:rPr>
          <w:rFonts w:eastAsia="Verdana" w:cs="Verdana"/>
          <w:spacing w:val="1"/>
        </w:rPr>
        <w:t>bun</w:t>
      </w:r>
      <w:r w:rsidR="00D40774" w:rsidRPr="00F810F3">
        <w:rPr>
          <w:rFonts w:eastAsia="Verdana" w:cs="Verdana"/>
          <w:spacing w:val="-2"/>
        </w:rPr>
        <w:t>a</w:t>
      </w:r>
      <w:r w:rsidR="00D40774" w:rsidRPr="00F810F3">
        <w:rPr>
          <w:rFonts w:eastAsia="Verdana" w:cs="Verdana"/>
        </w:rPr>
        <w:t>l</w:t>
      </w:r>
      <w:r w:rsidR="00D40774" w:rsidRPr="00F810F3">
        <w:rPr>
          <w:rFonts w:eastAsia="Verdana" w:cs="Verdana"/>
          <w:spacing w:val="-4"/>
        </w:rPr>
        <w:t xml:space="preserve"> </w:t>
      </w:r>
      <w:r w:rsidR="00D40774" w:rsidRPr="00F810F3">
        <w:rPr>
          <w:rFonts w:eastAsia="Verdana" w:cs="Verdana"/>
          <w:spacing w:val="-2"/>
        </w:rPr>
        <w:t>d</w:t>
      </w:r>
      <w:r w:rsidR="00D40774" w:rsidRPr="00F810F3">
        <w:rPr>
          <w:rFonts w:eastAsia="Verdana" w:cs="Verdana"/>
          <w:spacing w:val="3"/>
        </w:rPr>
        <w:t>i</w:t>
      </w:r>
      <w:r w:rsidR="00D40774" w:rsidRPr="00F810F3">
        <w:rPr>
          <w:rFonts w:eastAsia="Verdana" w:cs="Verdana"/>
        </w:rPr>
        <w:t>sp</w:t>
      </w:r>
      <w:r w:rsidR="00D40774" w:rsidRPr="00F810F3">
        <w:rPr>
          <w:rFonts w:eastAsia="Verdana" w:cs="Verdana"/>
          <w:spacing w:val="-1"/>
        </w:rPr>
        <w:t>o</w:t>
      </w:r>
      <w:r w:rsidR="00D40774" w:rsidRPr="00F810F3">
        <w:rPr>
          <w:rFonts w:eastAsia="Verdana" w:cs="Verdana"/>
          <w:spacing w:val="1"/>
        </w:rPr>
        <w:t>n</w:t>
      </w:r>
      <w:r w:rsidR="00D40774" w:rsidRPr="00F810F3">
        <w:rPr>
          <w:rFonts w:eastAsia="Verdana" w:cs="Verdana"/>
        </w:rPr>
        <w:t>e</w:t>
      </w:r>
      <w:r w:rsidR="00D40774" w:rsidRPr="00F810F3">
        <w:rPr>
          <w:rFonts w:eastAsia="Verdana" w:cs="Verdana"/>
          <w:spacing w:val="-5"/>
        </w:rPr>
        <w:t xml:space="preserve"> </w:t>
      </w:r>
      <w:r w:rsidR="00D40774" w:rsidRPr="00F810F3">
        <w:rPr>
          <w:rFonts w:eastAsia="Verdana" w:cs="Verdana"/>
          <w:spacing w:val="3"/>
        </w:rPr>
        <w:t>l</w:t>
      </w:r>
      <w:r w:rsidR="00D40774" w:rsidRPr="00F810F3">
        <w:rPr>
          <w:rFonts w:eastAsia="Verdana" w:cs="Verdana"/>
        </w:rPr>
        <w:t>a</w:t>
      </w:r>
      <w:r w:rsidR="00D40774" w:rsidRPr="00F810F3">
        <w:rPr>
          <w:rFonts w:eastAsia="Verdana" w:cs="Verdana"/>
          <w:spacing w:val="2"/>
        </w:rPr>
        <w:t xml:space="preserve"> </w:t>
      </w:r>
      <w:r w:rsidR="00D40774" w:rsidRPr="00F810F3">
        <w:rPr>
          <w:rFonts w:eastAsia="Verdana" w:cs="Verdana"/>
          <w:spacing w:val="-1"/>
        </w:rPr>
        <w:t>o</w:t>
      </w:r>
      <w:r w:rsidR="00D40774" w:rsidRPr="00F810F3">
        <w:rPr>
          <w:rFonts w:eastAsia="Verdana" w:cs="Verdana"/>
          <w:spacing w:val="-2"/>
        </w:rPr>
        <w:t>b</w:t>
      </w:r>
      <w:r w:rsidR="00D40774" w:rsidRPr="00F810F3">
        <w:rPr>
          <w:rFonts w:eastAsia="Verdana" w:cs="Verdana"/>
        </w:rPr>
        <w:t>l</w:t>
      </w:r>
      <w:r w:rsidR="00D40774" w:rsidRPr="00F810F3">
        <w:rPr>
          <w:rFonts w:eastAsia="Verdana" w:cs="Verdana"/>
          <w:spacing w:val="3"/>
        </w:rPr>
        <w:t>i</w:t>
      </w:r>
      <w:r w:rsidR="00D40774" w:rsidRPr="00F810F3">
        <w:rPr>
          <w:rFonts w:eastAsia="Verdana" w:cs="Verdana"/>
          <w:spacing w:val="1"/>
        </w:rPr>
        <w:t>g</w:t>
      </w:r>
      <w:r w:rsidR="00D40774" w:rsidRPr="00F810F3">
        <w:rPr>
          <w:rFonts w:eastAsia="Verdana" w:cs="Verdana"/>
        </w:rPr>
        <w:t>a</w:t>
      </w:r>
      <w:r w:rsidR="00D40774" w:rsidRPr="00F810F3">
        <w:rPr>
          <w:rFonts w:eastAsia="Verdana" w:cs="Verdana"/>
          <w:spacing w:val="-3"/>
        </w:rPr>
        <w:t>c</w:t>
      </w:r>
      <w:r w:rsidR="00D40774" w:rsidRPr="00F810F3">
        <w:rPr>
          <w:rFonts w:eastAsia="Verdana" w:cs="Verdana"/>
          <w:spacing w:val="3"/>
        </w:rPr>
        <w:t>i</w:t>
      </w:r>
      <w:r w:rsidR="00D40774" w:rsidRPr="00F810F3">
        <w:rPr>
          <w:rFonts w:eastAsia="Verdana" w:cs="Verdana"/>
          <w:spacing w:val="-1"/>
        </w:rPr>
        <w:t>ó</w:t>
      </w:r>
      <w:r w:rsidR="00D40774" w:rsidRPr="00F810F3">
        <w:rPr>
          <w:rFonts w:eastAsia="Verdana" w:cs="Verdana"/>
        </w:rPr>
        <w:t>n</w:t>
      </w:r>
      <w:r w:rsidR="00D40774" w:rsidRPr="00F810F3">
        <w:rPr>
          <w:rFonts w:eastAsia="Verdana" w:cs="Verdana"/>
          <w:spacing w:val="-5"/>
        </w:rPr>
        <w:t xml:space="preserve"> </w:t>
      </w:r>
      <w:r w:rsidR="00D40774" w:rsidRPr="00F810F3">
        <w:rPr>
          <w:rFonts w:eastAsia="Verdana" w:cs="Verdana"/>
        </w:rPr>
        <w:t>a</w:t>
      </w:r>
      <w:r w:rsidR="00D40774" w:rsidRPr="00F810F3">
        <w:rPr>
          <w:rFonts w:eastAsia="Verdana" w:cs="Verdana"/>
          <w:spacing w:val="1"/>
        </w:rPr>
        <w:t xml:space="preserve"> </w:t>
      </w:r>
      <w:r w:rsidR="00D40774" w:rsidRPr="00F810F3">
        <w:rPr>
          <w:rFonts w:eastAsia="Verdana" w:cs="Verdana"/>
        </w:rPr>
        <w:t>ca</w:t>
      </w:r>
      <w:r w:rsidR="00D40774" w:rsidRPr="00F810F3">
        <w:rPr>
          <w:rFonts w:eastAsia="Verdana" w:cs="Verdana"/>
          <w:spacing w:val="-1"/>
        </w:rPr>
        <w:t>r</w:t>
      </w:r>
      <w:r w:rsidR="00D40774" w:rsidRPr="00F810F3">
        <w:rPr>
          <w:rFonts w:eastAsia="Verdana" w:cs="Verdana"/>
          <w:spacing w:val="1"/>
        </w:rPr>
        <w:t>g</w:t>
      </w:r>
      <w:r w:rsidR="00D40774" w:rsidRPr="00F810F3">
        <w:rPr>
          <w:rFonts w:eastAsia="Verdana" w:cs="Verdana"/>
        </w:rPr>
        <w:t>o</w:t>
      </w:r>
      <w:r w:rsidR="00D40774" w:rsidRPr="00F810F3">
        <w:rPr>
          <w:rFonts w:eastAsia="Verdana" w:cs="Verdana"/>
          <w:spacing w:val="-3"/>
        </w:rPr>
        <w:t xml:space="preserve"> </w:t>
      </w:r>
      <w:r w:rsidR="00D40774" w:rsidRPr="00F810F3">
        <w:rPr>
          <w:rFonts w:eastAsia="Verdana" w:cs="Verdana"/>
          <w:spacing w:val="1"/>
        </w:rPr>
        <w:t>d</w:t>
      </w:r>
      <w:r w:rsidR="00D40774" w:rsidRPr="00F810F3">
        <w:rPr>
          <w:rFonts w:eastAsia="Verdana" w:cs="Verdana"/>
          <w:spacing w:val="-1"/>
        </w:rPr>
        <w:t>e</w:t>
      </w:r>
      <w:r w:rsidR="00D40774" w:rsidRPr="00F810F3">
        <w:rPr>
          <w:rFonts w:eastAsia="Verdana" w:cs="Verdana"/>
        </w:rPr>
        <w:t>l</w:t>
      </w:r>
      <w:r w:rsidR="00D40774" w:rsidRPr="00F810F3">
        <w:rPr>
          <w:rFonts w:eastAsia="Verdana" w:cs="Verdana"/>
          <w:spacing w:val="3"/>
        </w:rPr>
        <w:t xml:space="preserve"> </w:t>
      </w:r>
      <w:r w:rsidR="00D40774" w:rsidRPr="00F810F3">
        <w:rPr>
          <w:rFonts w:eastAsia="Verdana" w:cs="Verdana"/>
          <w:spacing w:val="-1"/>
        </w:rPr>
        <w:t>E</w:t>
      </w:r>
      <w:r w:rsidR="00D40774" w:rsidRPr="00F810F3">
        <w:rPr>
          <w:rFonts w:eastAsia="Verdana" w:cs="Verdana"/>
        </w:rPr>
        <w:t>sta</w:t>
      </w:r>
      <w:r w:rsidR="00D40774" w:rsidRPr="00F810F3">
        <w:rPr>
          <w:rFonts w:eastAsia="Verdana" w:cs="Verdana"/>
          <w:spacing w:val="1"/>
        </w:rPr>
        <w:t>d</w:t>
      </w:r>
      <w:r w:rsidR="00D40774" w:rsidRPr="00F810F3">
        <w:rPr>
          <w:rFonts w:eastAsia="Verdana" w:cs="Verdana"/>
        </w:rPr>
        <w:t>o</w:t>
      </w:r>
      <w:r w:rsidR="00D40774" w:rsidRPr="00F810F3">
        <w:rPr>
          <w:rFonts w:eastAsia="Verdana" w:cs="Verdana"/>
          <w:spacing w:val="-4"/>
        </w:rPr>
        <w:t xml:space="preserve"> </w:t>
      </w:r>
      <w:r w:rsidR="00D40774" w:rsidRPr="00F810F3">
        <w:rPr>
          <w:rFonts w:eastAsia="Verdana" w:cs="Verdana"/>
          <w:spacing w:val="1"/>
        </w:rPr>
        <w:t>d</w:t>
      </w:r>
      <w:r w:rsidR="00D40774" w:rsidRPr="00F810F3">
        <w:rPr>
          <w:rFonts w:eastAsia="Verdana" w:cs="Verdana"/>
        </w:rPr>
        <w:t>e</w:t>
      </w:r>
      <w:r w:rsidR="00D40774" w:rsidRPr="00F810F3">
        <w:rPr>
          <w:rFonts w:eastAsia="Verdana" w:cs="Verdana"/>
          <w:spacing w:val="1"/>
        </w:rPr>
        <w:t xml:space="preserve"> b</w:t>
      </w:r>
      <w:r w:rsidR="00D40774" w:rsidRPr="00F810F3">
        <w:rPr>
          <w:rFonts w:eastAsia="Verdana" w:cs="Verdana"/>
          <w:spacing w:val="-1"/>
        </w:rPr>
        <w:t>r</w:t>
      </w:r>
      <w:r w:rsidR="00D40774" w:rsidRPr="00F810F3">
        <w:rPr>
          <w:rFonts w:eastAsia="Verdana" w:cs="Verdana"/>
          <w:spacing w:val="3"/>
        </w:rPr>
        <w:t>i</w:t>
      </w:r>
      <w:r w:rsidR="00D40774" w:rsidRPr="00F810F3">
        <w:rPr>
          <w:rFonts w:eastAsia="Verdana" w:cs="Verdana"/>
          <w:spacing w:val="1"/>
        </w:rPr>
        <w:t>nd</w:t>
      </w:r>
      <w:r w:rsidR="00D40774" w:rsidRPr="00F810F3">
        <w:rPr>
          <w:rFonts w:eastAsia="Verdana" w:cs="Verdana"/>
        </w:rPr>
        <w:t>ar</w:t>
      </w:r>
      <w:r w:rsidR="00D40774" w:rsidRPr="00F810F3">
        <w:rPr>
          <w:rFonts w:eastAsia="Verdana" w:cs="Verdana"/>
          <w:spacing w:val="-4"/>
        </w:rPr>
        <w:t xml:space="preserve"> </w:t>
      </w:r>
      <w:r w:rsidR="00D40774" w:rsidRPr="00F810F3">
        <w:rPr>
          <w:rFonts w:eastAsia="Verdana" w:cs="Verdana"/>
          <w:spacing w:val="1"/>
        </w:rPr>
        <w:t>g</w:t>
      </w:r>
      <w:r w:rsidR="00D40774" w:rsidRPr="00F810F3">
        <w:rPr>
          <w:rFonts w:eastAsia="Verdana" w:cs="Verdana"/>
          <w:spacing w:val="-1"/>
        </w:rPr>
        <w:t>r</w:t>
      </w:r>
      <w:r w:rsidR="00D40774" w:rsidRPr="00F810F3">
        <w:rPr>
          <w:rFonts w:eastAsia="Verdana" w:cs="Verdana"/>
        </w:rPr>
        <w:t>a</w:t>
      </w:r>
      <w:r w:rsidR="00D40774" w:rsidRPr="00F810F3">
        <w:rPr>
          <w:rFonts w:eastAsia="Verdana" w:cs="Verdana"/>
          <w:spacing w:val="1"/>
        </w:rPr>
        <w:t>tu</w:t>
      </w:r>
      <w:r w:rsidR="00D40774" w:rsidRPr="00F810F3">
        <w:rPr>
          <w:rFonts w:eastAsia="Verdana" w:cs="Verdana"/>
          <w:spacing w:val="3"/>
        </w:rPr>
        <w:t>i</w:t>
      </w:r>
      <w:r w:rsidR="00D40774" w:rsidRPr="00F810F3">
        <w:rPr>
          <w:rFonts w:eastAsia="Verdana" w:cs="Verdana"/>
          <w:spacing w:val="1"/>
        </w:rPr>
        <w:t>t</w:t>
      </w:r>
      <w:r w:rsidR="00D40774" w:rsidRPr="00F810F3">
        <w:rPr>
          <w:rFonts w:eastAsia="Verdana" w:cs="Verdana"/>
        </w:rPr>
        <w:t>a</w:t>
      </w:r>
      <w:r w:rsidR="00D40774" w:rsidRPr="00F810F3">
        <w:rPr>
          <w:rFonts w:eastAsia="Verdana" w:cs="Verdana"/>
          <w:spacing w:val="1"/>
        </w:rPr>
        <w:t>m</w:t>
      </w:r>
      <w:r w:rsidR="00D40774" w:rsidRPr="00F810F3">
        <w:rPr>
          <w:rFonts w:eastAsia="Verdana" w:cs="Verdana"/>
          <w:spacing w:val="-1"/>
        </w:rPr>
        <w:t>e</w:t>
      </w:r>
      <w:r w:rsidR="00D40774" w:rsidRPr="00F810F3">
        <w:rPr>
          <w:rFonts w:eastAsia="Verdana" w:cs="Verdana"/>
          <w:spacing w:val="1"/>
        </w:rPr>
        <w:t>nt</w:t>
      </w:r>
      <w:r w:rsidR="00D40774" w:rsidRPr="00F810F3">
        <w:rPr>
          <w:rFonts w:eastAsia="Verdana" w:cs="Verdana"/>
          <w:spacing w:val="-1"/>
        </w:rPr>
        <w:t>e,</w:t>
      </w:r>
      <w:r w:rsidR="00D40774" w:rsidRPr="00F810F3">
        <w:rPr>
          <w:rFonts w:eastAsia="Verdana" w:cs="Verdana"/>
          <w:spacing w:val="1"/>
        </w:rPr>
        <w:t xml:space="preserve"> </w:t>
      </w:r>
      <w:r w:rsidR="00D40774" w:rsidRPr="00F810F3">
        <w:rPr>
          <w:rFonts w:eastAsia="Verdana" w:cs="Verdana"/>
        </w:rPr>
        <w:t>a</w:t>
      </w:r>
      <w:r w:rsidR="00D40774" w:rsidRPr="00F810F3">
        <w:rPr>
          <w:rFonts w:eastAsia="Verdana" w:cs="Verdana"/>
          <w:spacing w:val="3"/>
        </w:rPr>
        <w:t xml:space="preserve"> </w:t>
      </w:r>
      <w:r w:rsidR="00D40774" w:rsidRPr="00F810F3">
        <w:rPr>
          <w:rFonts w:eastAsia="Verdana" w:cs="Verdana"/>
          <w:spacing w:val="-2"/>
        </w:rPr>
        <w:t>t</w:t>
      </w:r>
      <w:r w:rsidR="00D40774" w:rsidRPr="00F810F3">
        <w:rPr>
          <w:rFonts w:eastAsia="Verdana" w:cs="Verdana"/>
          <w:spacing w:val="-1"/>
        </w:rPr>
        <w:t>r</w:t>
      </w:r>
      <w:r w:rsidR="00D40774" w:rsidRPr="00F810F3">
        <w:rPr>
          <w:rFonts w:eastAsia="Verdana" w:cs="Verdana"/>
        </w:rPr>
        <w:t>a</w:t>
      </w:r>
      <w:r w:rsidR="00D40774" w:rsidRPr="00F810F3">
        <w:rPr>
          <w:rFonts w:eastAsia="Verdana" w:cs="Verdana"/>
          <w:spacing w:val="2"/>
        </w:rPr>
        <w:t>v</w:t>
      </w:r>
      <w:r w:rsidR="00D40774" w:rsidRPr="00F810F3">
        <w:rPr>
          <w:rFonts w:eastAsia="Verdana" w:cs="Verdana"/>
          <w:spacing w:val="-1"/>
        </w:rPr>
        <w:t>é</w:t>
      </w:r>
      <w:r w:rsidR="00D40774" w:rsidRPr="00F810F3">
        <w:rPr>
          <w:rFonts w:eastAsia="Verdana" w:cs="Verdana"/>
        </w:rPr>
        <w:t xml:space="preserve">s </w:t>
      </w:r>
      <w:r w:rsidR="00D40774" w:rsidRPr="00F810F3">
        <w:rPr>
          <w:rFonts w:eastAsia="Verdana" w:cs="Verdana"/>
          <w:spacing w:val="1"/>
        </w:rPr>
        <w:t>d</w:t>
      </w:r>
      <w:r w:rsidR="00D40774" w:rsidRPr="00F810F3">
        <w:rPr>
          <w:rFonts w:eastAsia="Verdana" w:cs="Verdana"/>
        </w:rPr>
        <w:t>e</w:t>
      </w:r>
      <w:r w:rsidR="00D40774" w:rsidRPr="00F810F3">
        <w:rPr>
          <w:rFonts w:eastAsia="Verdana" w:cs="Verdana"/>
          <w:spacing w:val="13"/>
        </w:rPr>
        <w:t xml:space="preserve"> </w:t>
      </w:r>
      <w:r w:rsidR="00D40774" w:rsidRPr="00F810F3">
        <w:rPr>
          <w:rFonts w:eastAsia="Verdana" w:cs="Verdana"/>
        </w:rPr>
        <w:t>s</w:t>
      </w:r>
      <w:r w:rsidR="00D40774" w:rsidRPr="00F810F3">
        <w:rPr>
          <w:rFonts w:eastAsia="Verdana" w:cs="Verdana"/>
          <w:spacing w:val="1"/>
        </w:rPr>
        <w:t>u</w:t>
      </w:r>
      <w:r w:rsidR="00D40774" w:rsidRPr="00F810F3">
        <w:rPr>
          <w:rFonts w:eastAsia="Verdana" w:cs="Verdana"/>
        </w:rPr>
        <w:t>s</w:t>
      </w:r>
      <w:r w:rsidR="00D40774" w:rsidRPr="00F810F3">
        <w:rPr>
          <w:rFonts w:eastAsia="Verdana" w:cs="Verdana"/>
          <w:spacing w:val="12"/>
        </w:rPr>
        <w:t xml:space="preserve"> </w:t>
      </w:r>
      <w:r w:rsidR="00D40774" w:rsidRPr="00F810F3">
        <w:rPr>
          <w:rFonts w:eastAsia="Verdana" w:cs="Verdana"/>
          <w:spacing w:val="3"/>
        </w:rPr>
        <w:t>i</w:t>
      </w:r>
      <w:r w:rsidR="00D40774" w:rsidRPr="00F810F3">
        <w:rPr>
          <w:rFonts w:eastAsia="Verdana" w:cs="Verdana"/>
          <w:spacing w:val="1"/>
        </w:rPr>
        <w:t>n</w:t>
      </w:r>
      <w:r w:rsidR="00D40774" w:rsidRPr="00F810F3">
        <w:rPr>
          <w:rFonts w:eastAsia="Verdana" w:cs="Verdana"/>
        </w:rPr>
        <w:t>st</w:t>
      </w:r>
      <w:r w:rsidR="00D40774" w:rsidRPr="00F810F3">
        <w:rPr>
          <w:rFonts w:eastAsia="Verdana" w:cs="Verdana"/>
          <w:spacing w:val="1"/>
        </w:rPr>
        <w:t>itu</w:t>
      </w:r>
      <w:r w:rsidR="00D40774" w:rsidRPr="00F810F3">
        <w:rPr>
          <w:rFonts w:eastAsia="Verdana" w:cs="Verdana"/>
          <w:spacing w:val="-3"/>
        </w:rPr>
        <w:t>c</w:t>
      </w:r>
      <w:r w:rsidR="00D40774" w:rsidRPr="00F810F3">
        <w:rPr>
          <w:rFonts w:eastAsia="Verdana" w:cs="Verdana"/>
          <w:spacing w:val="3"/>
        </w:rPr>
        <w:t>i</w:t>
      </w:r>
      <w:r w:rsidR="00D40774" w:rsidRPr="00F810F3">
        <w:rPr>
          <w:rFonts w:eastAsia="Verdana" w:cs="Verdana"/>
          <w:spacing w:val="-1"/>
        </w:rPr>
        <w:t>o</w:t>
      </w:r>
      <w:r w:rsidR="00D40774" w:rsidRPr="00F810F3">
        <w:rPr>
          <w:rFonts w:eastAsia="Verdana" w:cs="Verdana"/>
          <w:spacing w:val="1"/>
        </w:rPr>
        <w:t>n</w:t>
      </w:r>
      <w:r w:rsidR="00D40774" w:rsidRPr="00F810F3">
        <w:rPr>
          <w:rFonts w:eastAsia="Verdana" w:cs="Verdana"/>
          <w:spacing w:val="-1"/>
        </w:rPr>
        <w:t>e</w:t>
      </w:r>
      <w:r w:rsidR="00D40774" w:rsidRPr="00F810F3">
        <w:rPr>
          <w:rFonts w:eastAsia="Verdana" w:cs="Verdana"/>
        </w:rPr>
        <w:t>s</w:t>
      </w:r>
      <w:r w:rsidR="00D40774" w:rsidRPr="00F810F3">
        <w:rPr>
          <w:rFonts w:eastAsia="Verdana" w:cs="Verdana"/>
          <w:spacing w:val="2"/>
        </w:rPr>
        <w:t xml:space="preserve"> </w:t>
      </w:r>
      <w:r w:rsidR="00D40774" w:rsidRPr="00F810F3">
        <w:rPr>
          <w:rFonts w:eastAsia="Verdana" w:cs="Verdana"/>
          <w:spacing w:val="3"/>
        </w:rPr>
        <w:t>d</w:t>
      </w:r>
      <w:r w:rsidR="00D40774" w:rsidRPr="00F810F3">
        <w:rPr>
          <w:rFonts w:eastAsia="Verdana" w:cs="Verdana"/>
        </w:rPr>
        <w:t>e</w:t>
      </w:r>
      <w:r w:rsidR="00D40774" w:rsidRPr="00F810F3">
        <w:rPr>
          <w:rFonts w:eastAsia="Verdana" w:cs="Verdana"/>
          <w:spacing w:val="13"/>
        </w:rPr>
        <w:t xml:space="preserve"> </w:t>
      </w:r>
      <w:r w:rsidR="00D40774" w:rsidRPr="00F810F3">
        <w:rPr>
          <w:rFonts w:eastAsia="Verdana" w:cs="Verdana"/>
        </w:rPr>
        <w:t>sa</w:t>
      </w:r>
      <w:r w:rsidR="00D40774" w:rsidRPr="00F810F3">
        <w:rPr>
          <w:rFonts w:eastAsia="Verdana" w:cs="Verdana"/>
          <w:spacing w:val="3"/>
        </w:rPr>
        <w:t>l</w:t>
      </w:r>
      <w:r w:rsidR="00D40774" w:rsidRPr="00F810F3">
        <w:rPr>
          <w:rFonts w:eastAsia="Verdana" w:cs="Verdana"/>
          <w:spacing w:val="1"/>
        </w:rPr>
        <w:t>u</w:t>
      </w:r>
      <w:r w:rsidR="00D40774" w:rsidRPr="00F810F3">
        <w:rPr>
          <w:rFonts w:eastAsia="Verdana" w:cs="Verdana"/>
        </w:rPr>
        <w:t>d</w:t>
      </w:r>
      <w:r w:rsidR="00D40774" w:rsidRPr="00F810F3">
        <w:rPr>
          <w:rStyle w:val="FootnoteReference"/>
          <w:rFonts w:eastAsia="Verdana" w:cs="Verdana"/>
        </w:rPr>
        <w:footnoteReference w:id="245"/>
      </w:r>
      <w:r w:rsidR="00D40774" w:rsidRPr="00F810F3">
        <w:rPr>
          <w:rFonts w:eastAsia="Verdana" w:cs="Verdana"/>
        </w:rPr>
        <w:t xml:space="preserve">, </w:t>
      </w:r>
      <w:r w:rsidR="00D40774" w:rsidRPr="00F810F3">
        <w:rPr>
          <w:rFonts w:eastAsia="Verdana" w:cs="Verdana"/>
          <w:spacing w:val="1"/>
        </w:rPr>
        <w:t>t</w:t>
      </w:r>
      <w:r w:rsidR="00D40774" w:rsidRPr="00F810F3">
        <w:rPr>
          <w:rFonts w:eastAsia="Verdana" w:cs="Verdana"/>
          <w:spacing w:val="-1"/>
        </w:rPr>
        <w:t>r</w:t>
      </w:r>
      <w:r w:rsidR="00D40774" w:rsidRPr="00F810F3">
        <w:rPr>
          <w:rFonts w:eastAsia="Verdana" w:cs="Verdana"/>
        </w:rPr>
        <w:t>a</w:t>
      </w:r>
      <w:r w:rsidR="00D40774" w:rsidRPr="00F810F3">
        <w:rPr>
          <w:rFonts w:eastAsia="Verdana" w:cs="Verdana"/>
          <w:spacing w:val="1"/>
        </w:rPr>
        <w:t>t</w:t>
      </w:r>
      <w:r w:rsidR="00D40774" w:rsidRPr="00F810F3">
        <w:rPr>
          <w:rFonts w:eastAsia="Verdana" w:cs="Verdana"/>
        </w:rPr>
        <w:t>a</w:t>
      </w:r>
      <w:r w:rsidR="00D40774" w:rsidRPr="00F810F3">
        <w:rPr>
          <w:rFonts w:eastAsia="Verdana" w:cs="Verdana"/>
          <w:spacing w:val="1"/>
        </w:rPr>
        <w:t>m</w:t>
      </w:r>
      <w:r w:rsidR="00D40774" w:rsidRPr="00F810F3">
        <w:rPr>
          <w:rFonts w:eastAsia="Verdana" w:cs="Verdana"/>
          <w:spacing w:val="3"/>
        </w:rPr>
        <w:t>i</w:t>
      </w:r>
      <w:r w:rsidR="00D40774" w:rsidRPr="00F810F3">
        <w:rPr>
          <w:rFonts w:eastAsia="Verdana" w:cs="Verdana"/>
          <w:spacing w:val="-1"/>
        </w:rPr>
        <w:t>e</w:t>
      </w:r>
      <w:r w:rsidR="00D40774" w:rsidRPr="00F810F3">
        <w:rPr>
          <w:rFonts w:eastAsia="Verdana" w:cs="Verdana"/>
          <w:spacing w:val="1"/>
        </w:rPr>
        <w:t>nt</w:t>
      </w:r>
      <w:r w:rsidR="00D40774" w:rsidRPr="00F810F3">
        <w:rPr>
          <w:rFonts w:eastAsia="Verdana" w:cs="Verdana"/>
        </w:rPr>
        <w:t>o</w:t>
      </w:r>
      <w:r w:rsidR="00D40774" w:rsidRPr="00F810F3">
        <w:rPr>
          <w:rFonts w:eastAsia="Verdana" w:cs="Verdana"/>
          <w:spacing w:val="4"/>
        </w:rPr>
        <w:t xml:space="preserve"> </w:t>
      </w:r>
      <w:r w:rsidR="00D40774" w:rsidRPr="00DF3EE2">
        <w:rPr>
          <w:rFonts w:eastAsia="Verdana" w:cs="Verdana"/>
          <w:spacing w:val="3"/>
        </w:rPr>
        <w:t>p</w:t>
      </w:r>
      <w:r w:rsidR="00D40774" w:rsidRPr="00DF3EE2">
        <w:rPr>
          <w:rFonts w:eastAsia="Verdana" w:cs="Verdana"/>
        </w:rPr>
        <w:t>s</w:t>
      </w:r>
      <w:r w:rsidR="00D40774" w:rsidRPr="00DF3EE2">
        <w:rPr>
          <w:rFonts w:eastAsia="Verdana" w:cs="Verdana"/>
          <w:spacing w:val="2"/>
        </w:rPr>
        <w:t>icológico</w:t>
      </w:r>
      <w:r w:rsidR="00D40774" w:rsidRPr="00DF3EE2">
        <w:rPr>
          <w:rFonts w:eastAsia="Verdana" w:cs="Verdana"/>
          <w:spacing w:val="1"/>
        </w:rPr>
        <w:t xml:space="preserve"> </w:t>
      </w:r>
      <w:r w:rsidR="00D40774" w:rsidRPr="00DF3EE2">
        <w:rPr>
          <w:rFonts w:eastAsia="Verdana" w:cs="Verdana"/>
        </w:rPr>
        <w:t>y/o</w:t>
      </w:r>
      <w:r w:rsidR="00D40774" w:rsidRPr="00DF3EE2">
        <w:rPr>
          <w:rFonts w:eastAsia="Verdana" w:cs="Verdana"/>
          <w:spacing w:val="1"/>
        </w:rPr>
        <w:t xml:space="preserve"> p</w:t>
      </w:r>
      <w:r w:rsidR="00D40774" w:rsidRPr="00DF3EE2">
        <w:rPr>
          <w:rFonts w:eastAsia="Verdana" w:cs="Verdana"/>
        </w:rPr>
        <w:t>s</w:t>
      </w:r>
      <w:r w:rsidR="00D40774" w:rsidRPr="00DF3EE2">
        <w:rPr>
          <w:rFonts w:eastAsia="Verdana" w:cs="Verdana"/>
          <w:spacing w:val="2"/>
        </w:rPr>
        <w:t>iquiátrico,</w:t>
      </w:r>
      <w:r w:rsidR="00D40774" w:rsidRPr="00F810F3">
        <w:rPr>
          <w:rFonts w:eastAsia="Verdana" w:cs="Verdana"/>
          <w:spacing w:val="2"/>
        </w:rPr>
        <w:t xml:space="preserve"> por el tiempo que sea necesario,</w:t>
      </w:r>
      <w:r w:rsidR="00D40774" w:rsidRPr="00F810F3">
        <w:rPr>
          <w:rFonts w:eastAsia="Verdana" w:cs="Verdana"/>
          <w:spacing w:val="3"/>
        </w:rPr>
        <w:t xml:space="preserve"> así como el suministro gratuito de medicamentos, </w:t>
      </w:r>
      <w:r w:rsidR="00D40774" w:rsidRPr="00F810F3">
        <w:rPr>
          <w:rFonts w:eastAsia="Verdana" w:cs="Verdana"/>
        </w:rPr>
        <w:t>si</w:t>
      </w:r>
      <w:r w:rsidR="00D40774" w:rsidRPr="00F810F3">
        <w:rPr>
          <w:rFonts w:eastAsia="Verdana" w:cs="Verdana"/>
          <w:spacing w:val="17"/>
        </w:rPr>
        <w:t xml:space="preserve"> </w:t>
      </w:r>
      <w:r w:rsidR="00D40774" w:rsidRPr="00F810F3">
        <w:rPr>
          <w:rFonts w:eastAsia="Verdana" w:cs="Verdana"/>
        </w:rPr>
        <w:t>así</w:t>
      </w:r>
      <w:r w:rsidR="00D40774" w:rsidRPr="00F810F3">
        <w:rPr>
          <w:rFonts w:eastAsia="Verdana" w:cs="Verdana"/>
          <w:spacing w:val="14"/>
        </w:rPr>
        <w:t xml:space="preserve"> </w:t>
      </w:r>
      <w:r w:rsidR="00D40774" w:rsidRPr="00F810F3">
        <w:rPr>
          <w:rFonts w:eastAsia="Verdana" w:cs="Verdana"/>
          <w:spacing w:val="3"/>
        </w:rPr>
        <w:t>le</w:t>
      </w:r>
      <w:r w:rsidR="00D40774" w:rsidRPr="00F810F3">
        <w:rPr>
          <w:rFonts w:eastAsia="Verdana" w:cs="Verdana"/>
          <w:spacing w:val="14"/>
        </w:rPr>
        <w:t xml:space="preserve"> es </w:t>
      </w:r>
      <w:r w:rsidR="00D40774" w:rsidRPr="00F810F3">
        <w:rPr>
          <w:rFonts w:eastAsia="Verdana" w:cs="Verdana"/>
        </w:rPr>
        <w:t>s</w:t>
      </w:r>
      <w:r w:rsidR="00D40774" w:rsidRPr="00F810F3">
        <w:rPr>
          <w:rFonts w:eastAsia="Verdana" w:cs="Verdana"/>
          <w:spacing w:val="-2"/>
        </w:rPr>
        <w:t>o</w:t>
      </w:r>
      <w:r w:rsidR="00D40774" w:rsidRPr="00F810F3">
        <w:rPr>
          <w:rFonts w:eastAsia="Verdana" w:cs="Verdana"/>
          <w:spacing w:val="3"/>
        </w:rPr>
        <w:t>li</w:t>
      </w:r>
      <w:r w:rsidR="00D40774" w:rsidRPr="00F810F3">
        <w:rPr>
          <w:rFonts w:eastAsia="Verdana" w:cs="Verdana"/>
          <w:spacing w:val="-3"/>
        </w:rPr>
        <w:t>c</w:t>
      </w:r>
      <w:r w:rsidR="00D40774" w:rsidRPr="00F810F3">
        <w:rPr>
          <w:rFonts w:eastAsia="Verdana" w:cs="Verdana"/>
          <w:spacing w:val="3"/>
        </w:rPr>
        <w:t>i</w:t>
      </w:r>
      <w:r w:rsidR="00D40774" w:rsidRPr="00F810F3">
        <w:rPr>
          <w:rFonts w:eastAsia="Verdana" w:cs="Verdana"/>
          <w:spacing w:val="1"/>
        </w:rPr>
        <w:t>t</w:t>
      </w:r>
      <w:r w:rsidR="00D40774" w:rsidRPr="00F810F3">
        <w:rPr>
          <w:rFonts w:eastAsia="Verdana" w:cs="Verdana"/>
        </w:rPr>
        <w:t>ado,</w:t>
      </w:r>
      <w:r w:rsidR="00D40774" w:rsidRPr="00F810F3">
        <w:rPr>
          <w:rFonts w:eastAsia="Verdana" w:cs="Verdana"/>
          <w:spacing w:val="24"/>
        </w:rPr>
        <w:t xml:space="preserve"> </w:t>
      </w:r>
      <w:r w:rsidR="00D40774" w:rsidRPr="00F810F3">
        <w:rPr>
          <w:rFonts w:eastAsia="Verdana" w:cs="Verdana"/>
          <w:spacing w:val="1"/>
        </w:rPr>
        <w:t>p</w:t>
      </w:r>
      <w:r w:rsidR="00D40774" w:rsidRPr="00F810F3">
        <w:rPr>
          <w:rFonts w:eastAsia="Verdana" w:cs="Verdana"/>
          <w:spacing w:val="-1"/>
        </w:rPr>
        <w:t>re</w:t>
      </w:r>
      <w:r w:rsidR="00D40774" w:rsidRPr="00F810F3">
        <w:rPr>
          <w:rFonts w:eastAsia="Verdana" w:cs="Verdana"/>
        </w:rPr>
        <w:t>v</w:t>
      </w:r>
      <w:r w:rsidR="00D40774" w:rsidRPr="00F810F3">
        <w:rPr>
          <w:rFonts w:eastAsia="Verdana" w:cs="Verdana"/>
          <w:spacing w:val="3"/>
        </w:rPr>
        <w:t>i</w:t>
      </w:r>
      <w:r w:rsidR="00D40774" w:rsidRPr="00F810F3">
        <w:rPr>
          <w:rFonts w:eastAsia="Verdana" w:cs="Verdana"/>
        </w:rPr>
        <w:t>o</w:t>
      </w:r>
      <w:r w:rsidR="00D40774" w:rsidRPr="00F810F3">
        <w:rPr>
          <w:rFonts w:eastAsia="Verdana" w:cs="Verdana"/>
          <w:spacing w:val="11"/>
        </w:rPr>
        <w:t xml:space="preserve"> </w:t>
      </w:r>
      <w:r w:rsidR="00D40774" w:rsidRPr="00F810F3">
        <w:rPr>
          <w:rFonts w:eastAsia="Verdana" w:cs="Verdana"/>
        </w:rPr>
        <w:t>c</w:t>
      </w:r>
      <w:r w:rsidR="00D40774" w:rsidRPr="00F810F3">
        <w:rPr>
          <w:rFonts w:eastAsia="Verdana" w:cs="Verdana"/>
          <w:spacing w:val="-2"/>
        </w:rPr>
        <w:t>o</w:t>
      </w:r>
      <w:r w:rsidR="00D40774" w:rsidRPr="00F810F3">
        <w:rPr>
          <w:rFonts w:eastAsia="Verdana" w:cs="Verdana"/>
          <w:spacing w:val="1"/>
        </w:rPr>
        <w:t>n</w:t>
      </w:r>
      <w:r w:rsidR="00D40774" w:rsidRPr="00F810F3">
        <w:rPr>
          <w:rFonts w:eastAsia="Verdana" w:cs="Verdana"/>
          <w:spacing w:val="2"/>
        </w:rPr>
        <w:t>s</w:t>
      </w:r>
      <w:r w:rsidR="00D40774" w:rsidRPr="00F810F3">
        <w:rPr>
          <w:rFonts w:eastAsia="Verdana" w:cs="Verdana"/>
          <w:spacing w:val="-1"/>
        </w:rPr>
        <w:t>e</w:t>
      </w:r>
      <w:r w:rsidR="00D40774" w:rsidRPr="00F810F3">
        <w:rPr>
          <w:rFonts w:eastAsia="Verdana" w:cs="Verdana"/>
          <w:spacing w:val="1"/>
        </w:rPr>
        <w:t>nt</w:t>
      </w:r>
      <w:r w:rsidR="00D40774" w:rsidRPr="00F810F3">
        <w:rPr>
          <w:rFonts w:eastAsia="Verdana" w:cs="Verdana"/>
          <w:spacing w:val="3"/>
        </w:rPr>
        <w:t>i</w:t>
      </w:r>
      <w:r w:rsidR="00D40774" w:rsidRPr="00F810F3">
        <w:rPr>
          <w:rFonts w:eastAsia="Verdana" w:cs="Verdana"/>
          <w:spacing w:val="-2"/>
        </w:rPr>
        <w:t>m</w:t>
      </w:r>
      <w:r w:rsidR="00D40774" w:rsidRPr="00F810F3">
        <w:rPr>
          <w:rFonts w:eastAsia="Verdana" w:cs="Verdana"/>
          <w:spacing w:val="3"/>
        </w:rPr>
        <w:t>i</w:t>
      </w:r>
      <w:r w:rsidR="00D40774" w:rsidRPr="00F810F3">
        <w:rPr>
          <w:rFonts w:eastAsia="Verdana" w:cs="Verdana"/>
          <w:spacing w:val="-1"/>
        </w:rPr>
        <w:t>e</w:t>
      </w:r>
      <w:r w:rsidR="00D40774" w:rsidRPr="00F810F3">
        <w:rPr>
          <w:rFonts w:eastAsia="Verdana" w:cs="Verdana"/>
          <w:spacing w:val="1"/>
        </w:rPr>
        <w:t>nt</w:t>
      </w:r>
      <w:r w:rsidR="00D40774" w:rsidRPr="00F810F3">
        <w:rPr>
          <w:rFonts w:eastAsia="Verdana" w:cs="Verdana"/>
        </w:rPr>
        <w:t xml:space="preserve">o </w:t>
      </w:r>
      <w:r w:rsidR="00D40774" w:rsidRPr="00F810F3">
        <w:rPr>
          <w:rFonts w:eastAsia="Verdana" w:cs="Verdana"/>
          <w:spacing w:val="3"/>
        </w:rPr>
        <w:t>i</w:t>
      </w:r>
      <w:r w:rsidR="00D40774" w:rsidRPr="00F810F3">
        <w:rPr>
          <w:rFonts w:eastAsia="Verdana" w:cs="Verdana"/>
          <w:spacing w:val="1"/>
        </w:rPr>
        <w:t>n</w:t>
      </w:r>
      <w:r w:rsidR="00D40774" w:rsidRPr="00F810F3">
        <w:rPr>
          <w:rFonts w:eastAsia="Verdana" w:cs="Verdana"/>
        </w:rPr>
        <w:t>f</w:t>
      </w:r>
      <w:r w:rsidR="00D40774" w:rsidRPr="00F810F3">
        <w:rPr>
          <w:rFonts w:eastAsia="Verdana" w:cs="Verdana"/>
          <w:spacing w:val="-1"/>
        </w:rPr>
        <w:t>o</w:t>
      </w:r>
      <w:r w:rsidR="00D40774" w:rsidRPr="00F810F3">
        <w:rPr>
          <w:rFonts w:eastAsia="Verdana" w:cs="Verdana"/>
          <w:spacing w:val="1"/>
        </w:rPr>
        <w:t>r</w:t>
      </w:r>
      <w:r w:rsidR="00D40774" w:rsidRPr="00F810F3">
        <w:rPr>
          <w:rFonts w:eastAsia="Verdana" w:cs="Verdana"/>
        </w:rPr>
        <w:t>m</w:t>
      </w:r>
      <w:r w:rsidR="00D40774" w:rsidRPr="00F810F3">
        <w:rPr>
          <w:rFonts w:eastAsia="Verdana" w:cs="Verdana"/>
          <w:spacing w:val="1"/>
        </w:rPr>
        <w:t>ad</w:t>
      </w:r>
      <w:r w:rsidR="00D40774" w:rsidRPr="00F810F3">
        <w:rPr>
          <w:rFonts w:eastAsia="Verdana" w:cs="Verdana"/>
          <w:spacing w:val="-1"/>
        </w:rPr>
        <w:t>o</w:t>
      </w:r>
      <w:r w:rsidR="00D40774" w:rsidRPr="00F810F3">
        <w:rPr>
          <w:rFonts w:eastAsia="Verdana" w:cs="Verdana"/>
        </w:rPr>
        <w:t>.</w:t>
      </w:r>
      <w:r w:rsidR="00D40774" w:rsidRPr="00F810F3">
        <w:rPr>
          <w:rFonts w:eastAsia="Verdana" w:cs="Verdana"/>
          <w:spacing w:val="34"/>
        </w:rPr>
        <w:t xml:space="preserve"> </w:t>
      </w:r>
      <w:r w:rsidR="00D40774" w:rsidRPr="00F810F3">
        <w:rPr>
          <w:rFonts w:eastAsia="Verdana" w:cs="Verdana"/>
          <w:spacing w:val="2"/>
        </w:rPr>
        <w:t xml:space="preserve">Las víctimas </w:t>
      </w:r>
      <w:r w:rsidR="00D40774" w:rsidRPr="00F810F3">
        <w:rPr>
          <w:rFonts w:eastAsia="Verdana" w:cs="Verdana"/>
        </w:rPr>
        <w:t>o</w:t>
      </w:r>
      <w:r w:rsidR="00D40774" w:rsidRPr="00F810F3">
        <w:rPr>
          <w:rFonts w:eastAsia="Verdana" w:cs="Verdana"/>
          <w:spacing w:val="8"/>
        </w:rPr>
        <w:t xml:space="preserve"> </w:t>
      </w:r>
      <w:r w:rsidR="00DF3EE2">
        <w:rPr>
          <w:rFonts w:eastAsia="Verdana" w:cs="Verdana"/>
        </w:rPr>
        <w:t xml:space="preserve">su </w:t>
      </w:r>
      <w:r w:rsidR="00D40774" w:rsidRPr="00F810F3">
        <w:rPr>
          <w:rFonts w:eastAsia="Verdana" w:cs="Verdana"/>
          <w:spacing w:val="-1"/>
        </w:rPr>
        <w:t>re</w:t>
      </w:r>
      <w:r w:rsidR="00D40774" w:rsidRPr="00F810F3">
        <w:rPr>
          <w:rFonts w:eastAsia="Verdana" w:cs="Verdana"/>
          <w:spacing w:val="3"/>
        </w:rPr>
        <w:t>p</w:t>
      </w:r>
      <w:r w:rsidR="00D40774" w:rsidRPr="00F810F3">
        <w:rPr>
          <w:rFonts w:eastAsia="Verdana" w:cs="Verdana"/>
          <w:spacing w:val="-1"/>
        </w:rPr>
        <w:t>r</w:t>
      </w:r>
      <w:r w:rsidR="00D40774" w:rsidRPr="00F810F3">
        <w:rPr>
          <w:rFonts w:eastAsia="Verdana" w:cs="Verdana"/>
          <w:spacing w:val="1"/>
        </w:rPr>
        <w:t>e</w:t>
      </w:r>
      <w:r w:rsidR="00D40774" w:rsidRPr="00F810F3">
        <w:rPr>
          <w:rFonts w:eastAsia="Verdana" w:cs="Verdana"/>
        </w:rPr>
        <w:t>s</w:t>
      </w:r>
      <w:r w:rsidR="00D40774" w:rsidRPr="00F810F3">
        <w:rPr>
          <w:rFonts w:eastAsia="Verdana" w:cs="Verdana"/>
          <w:spacing w:val="-2"/>
        </w:rPr>
        <w:t>e</w:t>
      </w:r>
      <w:r w:rsidR="00D40774" w:rsidRPr="00F810F3">
        <w:rPr>
          <w:rFonts w:eastAsia="Verdana" w:cs="Verdana"/>
          <w:spacing w:val="1"/>
        </w:rPr>
        <w:t>nt</w:t>
      </w:r>
      <w:r w:rsidR="00D40774" w:rsidRPr="00F810F3">
        <w:rPr>
          <w:rFonts w:eastAsia="Verdana" w:cs="Verdana"/>
        </w:rPr>
        <w:t>a</w:t>
      </w:r>
      <w:r w:rsidR="00D40774" w:rsidRPr="00F810F3">
        <w:rPr>
          <w:rFonts w:eastAsia="Verdana" w:cs="Verdana"/>
          <w:spacing w:val="1"/>
        </w:rPr>
        <w:t>nte</w:t>
      </w:r>
      <w:r w:rsidR="00D40774" w:rsidRPr="00F810F3">
        <w:rPr>
          <w:rFonts w:eastAsia="Verdana" w:cs="Verdana"/>
          <w:spacing w:val="-7"/>
        </w:rPr>
        <w:t xml:space="preserve"> </w:t>
      </w:r>
      <w:r w:rsidR="00D40774" w:rsidRPr="00F810F3">
        <w:rPr>
          <w:rFonts w:eastAsia="Verdana" w:cs="Verdana"/>
          <w:spacing w:val="3"/>
        </w:rPr>
        <w:t>l</w:t>
      </w:r>
      <w:r w:rsidR="00D40774" w:rsidRPr="00F810F3">
        <w:rPr>
          <w:rFonts w:eastAsia="Verdana" w:cs="Verdana"/>
          <w:spacing w:val="-1"/>
        </w:rPr>
        <w:t>e</w:t>
      </w:r>
      <w:r w:rsidR="00D40774" w:rsidRPr="00F810F3">
        <w:rPr>
          <w:rFonts w:eastAsia="Verdana" w:cs="Verdana"/>
          <w:spacing w:val="1"/>
        </w:rPr>
        <w:t>g</w:t>
      </w:r>
      <w:r w:rsidR="00D40774" w:rsidRPr="00F810F3">
        <w:rPr>
          <w:rFonts w:eastAsia="Verdana" w:cs="Verdana"/>
        </w:rPr>
        <w:t>a</w:t>
      </w:r>
      <w:r w:rsidR="00D40774" w:rsidRPr="00F810F3">
        <w:rPr>
          <w:rFonts w:eastAsia="Verdana" w:cs="Verdana"/>
          <w:spacing w:val="3"/>
        </w:rPr>
        <w:t>l</w:t>
      </w:r>
      <w:r w:rsidR="00D40774" w:rsidRPr="00F810F3">
        <w:rPr>
          <w:rFonts w:eastAsia="Verdana" w:cs="Verdana"/>
          <w:spacing w:val="-1"/>
        </w:rPr>
        <w:t>e</w:t>
      </w:r>
      <w:r w:rsidR="00D40774" w:rsidRPr="00F810F3">
        <w:rPr>
          <w:rFonts w:eastAsia="Verdana" w:cs="Verdana"/>
        </w:rPr>
        <w:t>s,</w:t>
      </w:r>
      <w:r w:rsidR="00D40774" w:rsidRPr="00F810F3">
        <w:rPr>
          <w:rFonts w:eastAsia="Verdana" w:cs="Verdana"/>
          <w:spacing w:val="-1"/>
        </w:rPr>
        <w:t xml:space="preserve"> </w:t>
      </w:r>
      <w:r w:rsidR="00D40774" w:rsidRPr="00F810F3">
        <w:rPr>
          <w:rFonts w:eastAsia="Verdana" w:cs="Verdana"/>
          <w:spacing w:val="1"/>
        </w:rPr>
        <w:t>d</w:t>
      </w:r>
      <w:r w:rsidR="00D40774" w:rsidRPr="00F810F3">
        <w:rPr>
          <w:rFonts w:eastAsia="Verdana" w:cs="Verdana"/>
          <w:spacing w:val="3"/>
        </w:rPr>
        <w:t>i</w:t>
      </w:r>
      <w:r w:rsidR="00D40774" w:rsidRPr="00F810F3">
        <w:rPr>
          <w:rFonts w:eastAsia="Verdana" w:cs="Verdana"/>
        </w:rPr>
        <w:t>sp</w:t>
      </w:r>
      <w:r w:rsidR="00D40774" w:rsidRPr="00F810F3">
        <w:rPr>
          <w:rFonts w:eastAsia="Verdana" w:cs="Verdana"/>
          <w:spacing w:val="-1"/>
        </w:rPr>
        <w:t>o</w:t>
      </w:r>
      <w:r w:rsidR="00D40774" w:rsidRPr="00F810F3">
        <w:rPr>
          <w:rFonts w:eastAsia="Verdana" w:cs="Verdana"/>
          <w:spacing w:val="1"/>
        </w:rPr>
        <w:t>n</w:t>
      </w:r>
      <w:r w:rsidR="00D40774" w:rsidRPr="00F810F3">
        <w:rPr>
          <w:rFonts w:eastAsia="Verdana" w:cs="Verdana"/>
          <w:spacing w:val="2"/>
        </w:rPr>
        <w:t>e</w:t>
      </w:r>
      <w:r w:rsidR="00D40774" w:rsidRPr="00F810F3">
        <w:rPr>
          <w:rFonts w:eastAsia="Verdana" w:cs="Verdana"/>
        </w:rPr>
        <w:t>n</w:t>
      </w:r>
      <w:r w:rsidR="00D40774" w:rsidRPr="00F810F3">
        <w:rPr>
          <w:rFonts w:eastAsia="Verdana" w:cs="Verdana"/>
          <w:spacing w:val="1"/>
        </w:rPr>
        <w:t xml:space="preserve"> d</w:t>
      </w:r>
      <w:r w:rsidR="00D40774" w:rsidRPr="00F810F3">
        <w:rPr>
          <w:rFonts w:eastAsia="Verdana" w:cs="Verdana"/>
        </w:rPr>
        <w:t>e</w:t>
      </w:r>
      <w:r w:rsidR="00D40774" w:rsidRPr="00F810F3">
        <w:rPr>
          <w:rFonts w:eastAsia="Verdana" w:cs="Verdana"/>
          <w:spacing w:val="6"/>
        </w:rPr>
        <w:t xml:space="preserve"> </w:t>
      </w:r>
      <w:r w:rsidR="00D40774" w:rsidRPr="00F810F3">
        <w:rPr>
          <w:rFonts w:eastAsia="Verdana" w:cs="Verdana"/>
          <w:spacing w:val="1"/>
        </w:rPr>
        <w:t>u</w:t>
      </w:r>
      <w:r w:rsidR="00D40774" w:rsidRPr="00F810F3">
        <w:rPr>
          <w:rFonts w:eastAsia="Verdana" w:cs="Verdana"/>
        </w:rPr>
        <w:t>n</w:t>
      </w:r>
      <w:r w:rsidR="00D40774" w:rsidRPr="00F810F3">
        <w:rPr>
          <w:rFonts w:eastAsia="Verdana" w:cs="Verdana"/>
          <w:spacing w:val="7"/>
        </w:rPr>
        <w:t xml:space="preserve"> </w:t>
      </w:r>
      <w:r w:rsidR="00D40774" w:rsidRPr="00F810F3">
        <w:rPr>
          <w:rFonts w:eastAsia="Verdana" w:cs="Verdana"/>
          <w:spacing w:val="-2"/>
        </w:rPr>
        <w:t>p</w:t>
      </w:r>
      <w:r w:rsidR="00D40774" w:rsidRPr="00F810F3">
        <w:rPr>
          <w:rFonts w:eastAsia="Verdana" w:cs="Verdana"/>
          <w:spacing w:val="3"/>
        </w:rPr>
        <w:t>l</w:t>
      </w:r>
      <w:r w:rsidR="00D40774" w:rsidRPr="00F810F3">
        <w:rPr>
          <w:rFonts w:eastAsia="Verdana" w:cs="Verdana"/>
        </w:rPr>
        <w:t>a</w:t>
      </w:r>
      <w:r w:rsidR="00D40774" w:rsidRPr="00F810F3">
        <w:rPr>
          <w:rFonts w:eastAsia="Verdana" w:cs="Verdana"/>
          <w:spacing w:val="1"/>
        </w:rPr>
        <w:t>z</w:t>
      </w:r>
      <w:r w:rsidR="00D40774" w:rsidRPr="00F810F3">
        <w:rPr>
          <w:rFonts w:eastAsia="Verdana" w:cs="Verdana"/>
        </w:rPr>
        <w:t>o</w:t>
      </w:r>
      <w:r w:rsidR="00D40774" w:rsidRPr="00F810F3">
        <w:rPr>
          <w:rFonts w:eastAsia="Verdana" w:cs="Verdana"/>
          <w:spacing w:val="3"/>
        </w:rPr>
        <w:t xml:space="preserve"> </w:t>
      </w:r>
      <w:r w:rsidR="00D40774" w:rsidRPr="00F810F3">
        <w:rPr>
          <w:rFonts w:eastAsia="Verdana" w:cs="Verdana"/>
          <w:spacing w:val="-2"/>
        </w:rPr>
        <w:t>d</w:t>
      </w:r>
      <w:r w:rsidR="00D40774" w:rsidRPr="00F810F3">
        <w:rPr>
          <w:rFonts w:eastAsia="Verdana" w:cs="Verdana"/>
        </w:rPr>
        <w:t>e</w:t>
      </w:r>
      <w:r w:rsidR="00D40774" w:rsidRPr="00F810F3">
        <w:rPr>
          <w:rFonts w:eastAsia="Verdana" w:cs="Verdana"/>
          <w:spacing w:val="6"/>
        </w:rPr>
        <w:t xml:space="preserve"> </w:t>
      </w:r>
      <w:r w:rsidR="00D40774" w:rsidRPr="00F810F3">
        <w:rPr>
          <w:rFonts w:eastAsia="Verdana" w:cs="Verdana"/>
        </w:rPr>
        <w:t>s</w:t>
      </w:r>
      <w:r w:rsidR="00D40774" w:rsidRPr="00F810F3">
        <w:rPr>
          <w:rFonts w:eastAsia="Verdana" w:cs="Verdana"/>
          <w:spacing w:val="-2"/>
        </w:rPr>
        <w:t>e</w:t>
      </w:r>
      <w:r w:rsidR="00D40774" w:rsidRPr="00F810F3">
        <w:rPr>
          <w:rFonts w:eastAsia="Verdana" w:cs="Verdana"/>
          <w:spacing w:val="3"/>
        </w:rPr>
        <w:t>i</w:t>
      </w:r>
      <w:r w:rsidR="00D40774" w:rsidRPr="00F810F3">
        <w:rPr>
          <w:rFonts w:eastAsia="Verdana" w:cs="Verdana"/>
        </w:rPr>
        <w:t>s</w:t>
      </w:r>
      <w:r w:rsidR="00D40774" w:rsidRPr="00F810F3">
        <w:rPr>
          <w:rFonts w:eastAsia="Verdana" w:cs="Verdana"/>
          <w:spacing w:val="4"/>
        </w:rPr>
        <w:t xml:space="preserve"> </w:t>
      </w:r>
      <w:r w:rsidR="00D40774" w:rsidRPr="00F810F3">
        <w:rPr>
          <w:rFonts w:eastAsia="Verdana" w:cs="Verdana"/>
        </w:rPr>
        <w:t>me</w:t>
      </w:r>
      <w:r w:rsidR="00D40774" w:rsidRPr="00F810F3">
        <w:rPr>
          <w:rFonts w:eastAsia="Verdana" w:cs="Verdana"/>
          <w:spacing w:val="1"/>
        </w:rPr>
        <w:t>se</w:t>
      </w:r>
      <w:r w:rsidR="00D40774" w:rsidRPr="00F810F3">
        <w:rPr>
          <w:rFonts w:eastAsia="Verdana" w:cs="Verdana"/>
        </w:rPr>
        <w:t>s,</w:t>
      </w:r>
      <w:r w:rsidR="00D40774" w:rsidRPr="00F810F3">
        <w:rPr>
          <w:rFonts w:eastAsia="Verdana" w:cs="Verdana"/>
          <w:spacing w:val="1"/>
        </w:rPr>
        <w:t xml:space="preserve"> </w:t>
      </w:r>
      <w:r w:rsidR="00D40774" w:rsidRPr="00F810F3">
        <w:rPr>
          <w:rFonts w:eastAsia="Verdana" w:cs="Verdana"/>
          <w:spacing w:val="2"/>
        </w:rPr>
        <w:t>c</w:t>
      </w:r>
      <w:r w:rsidR="00D40774" w:rsidRPr="00F810F3">
        <w:rPr>
          <w:rFonts w:eastAsia="Verdana" w:cs="Verdana"/>
          <w:spacing w:val="-1"/>
        </w:rPr>
        <w:t>o</w:t>
      </w:r>
      <w:r w:rsidR="00D40774" w:rsidRPr="00F810F3">
        <w:rPr>
          <w:rFonts w:eastAsia="Verdana" w:cs="Verdana"/>
          <w:spacing w:val="1"/>
        </w:rPr>
        <w:t>nt</w:t>
      </w:r>
      <w:r w:rsidR="00D40774" w:rsidRPr="00F810F3">
        <w:rPr>
          <w:rFonts w:eastAsia="Verdana" w:cs="Verdana"/>
        </w:rPr>
        <w:t>a</w:t>
      </w:r>
      <w:r w:rsidR="00D40774" w:rsidRPr="00F810F3">
        <w:rPr>
          <w:rFonts w:eastAsia="Verdana" w:cs="Verdana"/>
          <w:spacing w:val="1"/>
        </w:rPr>
        <w:t>d</w:t>
      </w:r>
      <w:r w:rsidR="00D40774" w:rsidRPr="00F810F3">
        <w:rPr>
          <w:rFonts w:eastAsia="Verdana" w:cs="Verdana"/>
        </w:rPr>
        <w:t>o a</w:t>
      </w:r>
      <w:r w:rsidR="00D40774" w:rsidRPr="00F810F3">
        <w:rPr>
          <w:rFonts w:eastAsia="Verdana" w:cs="Verdana"/>
          <w:spacing w:val="8"/>
        </w:rPr>
        <w:t xml:space="preserve"> </w:t>
      </w:r>
      <w:r w:rsidR="00D40774" w:rsidRPr="00F810F3">
        <w:rPr>
          <w:rFonts w:eastAsia="Verdana" w:cs="Verdana"/>
          <w:spacing w:val="1"/>
        </w:rPr>
        <w:t>p</w:t>
      </w:r>
      <w:r w:rsidR="00D40774" w:rsidRPr="00F810F3">
        <w:rPr>
          <w:rFonts w:eastAsia="Verdana" w:cs="Verdana"/>
        </w:rPr>
        <w:t>a</w:t>
      </w:r>
      <w:r w:rsidR="00D40774" w:rsidRPr="00F810F3">
        <w:rPr>
          <w:rFonts w:eastAsia="Verdana" w:cs="Verdana"/>
          <w:spacing w:val="-1"/>
        </w:rPr>
        <w:t>r</w:t>
      </w:r>
      <w:r w:rsidR="00D40774" w:rsidRPr="00F810F3">
        <w:rPr>
          <w:rFonts w:eastAsia="Verdana" w:cs="Verdana"/>
          <w:spacing w:val="1"/>
        </w:rPr>
        <w:t>t</w:t>
      </w:r>
      <w:r w:rsidR="00D40774" w:rsidRPr="00F810F3">
        <w:rPr>
          <w:rFonts w:eastAsia="Verdana" w:cs="Verdana"/>
          <w:spacing w:val="3"/>
        </w:rPr>
        <w:t>i</w:t>
      </w:r>
      <w:r w:rsidR="00D40774" w:rsidRPr="00F810F3">
        <w:rPr>
          <w:rFonts w:eastAsia="Verdana" w:cs="Verdana"/>
        </w:rPr>
        <w:t>r</w:t>
      </w:r>
      <w:r w:rsidR="00D40774" w:rsidRPr="00F810F3">
        <w:rPr>
          <w:rFonts w:eastAsia="Verdana" w:cs="Verdana"/>
          <w:spacing w:val="2"/>
        </w:rPr>
        <w:t xml:space="preserve"> </w:t>
      </w:r>
      <w:r w:rsidR="00D40774" w:rsidRPr="00F810F3">
        <w:rPr>
          <w:rFonts w:eastAsia="Verdana" w:cs="Verdana"/>
          <w:spacing w:val="1"/>
        </w:rPr>
        <w:t>d</w:t>
      </w:r>
      <w:r w:rsidR="00D40774" w:rsidRPr="00F810F3">
        <w:rPr>
          <w:rFonts w:eastAsia="Verdana" w:cs="Verdana"/>
        </w:rPr>
        <w:t>e</w:t>
      </w:r>
      <w:r w:rsidR="00D40774" w:rsidRPr="00F810F3">
        <w:rPr>
          <w:rFonts w:eastAsia="Verdana" w:cs="Verdana"/>
          <w:spacing w:val="3"/>
        </w:rPr>
        <w:t xml:space="preserve"> l</w:t>
      </w:r>
      <w:r w:rsidR="00D40774" w:rsidRPr="00F810F3">
        <w:rPr>
          <w:rFonts w:eastAsia="Verdana" w:cs="Verdana"/>
        </w:rPr>
        <w:t>a</w:t>
      </w:r>
      <w:r w:rsidR="00D40774" w:rsidRPr="00F810F3">
        <w:rPr>
          <w:rFonts w:eastAsia="Verdana" w:cs="Verdana"/>
          <w:spacing w:val="7"/>
        </w:rPr>
        <w:t xml:space="preserve"> </w:t>
      </w:r>
      <w:r w:rsidR="00D40774" w:rsidRPr="00F810F3">
        <w:rPr>
          <w:rFonts w:eastAsia="Verdana" w:cs="Verdana"/>
          <w:spacing w:val="1"/>
        </w:rPr>
        <w:t>n</w:t>
      </w:r>
      <w:r w:rsidR="00D40774" w:rsidRPr="00F810F3">
        <w:rPr>
          <w:rFonts w:eastAsia="Verdana" w:cs="Verdana"/>
          <w:spacing w:val="-1"/>
        </w:rPr>
        <w:t>o</w:t>
      </w:r>
      <w:r w:rsidR="00D40774" w:rsidRPr="00F810F3">
        <w:rPr>
          <w:rFonts w:eastAsia="Verdana" w:cs="Verdana"/>
          <w:spacing w:val="-2"/>
        </w:rPr>
        <w:t>t</w:t>
      </w:r>
      <w:r w:rsidR="00D40774" w:rsidRPr="00F810F3">
        <w:rPr>
          <w:rFonts w:eastAsia="Verdana" w:cs="Verdana"/>
          <w:spacing w:val="3"/>
        </w:rPr>
        <w:t>i</w:t>
      </w:r>
      <w:r w:rsidR="00D40774" w:rsidRPr="00F810F3">
        <w:rPr>
          <w:rFonts w:eastAsia="Verdana" w:cs="Verdana"/>
          <w:spacing w:val="-3"/>
        </w:rPr>
        <w:t>f</w:t>
      </w:r>
      <w:r w:rsidR="00D40774" w:rsidRPr="00F810F3">
        <w:rPr>
          <w:rFonts w:eastAsia="Verdana" w:cs="Verdana"/>
          <w:spacing w:val="3"/>
        </w:rPr>
        <w:t>i</w:t>
      </w:r>
      <w:r w:rsidR="00D40774" w:rsidRPr="00F810F3">
        <w:rPr>
          <w:rFonts w:eastAsia="Verdana" w:cs="Verdana"/>
        </w:rPr>
        <w:t>ca</w:t>
      </w:r>
      <w:r w:rsidR="00D40774" w:rsidRPr="00F810F3">
        <w:rPr>
          <w:rFonts w:eastAsia="Verdana" w:cs="Verdana"/>
          <w:spacing w:val="-1"/>
        </w:rPr>
        <w:t>c</w:t>
      </w:r>
      <w:r w:rsidR="00D40774" w:rsidRPr="00F810F3">
        <w:rPr>
          <w:rFonts w:eastAsia="Verdana" w:cs="Verdana"/>
          <w:spacing w:val="3"/>
        </w:rPr>
        <w:t>i</w:t>
      </w:r>
      <w:r w:rsidR="00D40774" w:rsidRPr="00F810F3">
        <w:rPr>
          <w:rFonts w:eastAsia="Verdana" w:cs="Verdana"/>
          <w:spacing w:val="-1"/>
        </w:rPr>
        <w:t>ó</w:t>
      </w:r>
      <w:r w:rsidR="00D40774" w:rsidRPr="00F810F3">
        <w:rPr>
          <w:rFonts w:eastAsia="Verdana" w:cs="Verdana"/>
        </w:rPr>
        <w:t>n</w:t>
      </w:r>
      <w:r w:rsidR="00D40774" w:rsidRPr="00F810F3">
        <w:rPr>
          <w:rFonts w:eastAsia="Verdana" w:cs="Verdana"/>
          <w:spacing w:val="-3"/>
        </w:rPr>
        <w:t xml:space="preserve"> </w:t>
      </w:r>
      <w:r w:rsidR="00D40774" w:rsidRPr="00F810F3">
        <w:rPr>
          <w:rFonts w:eastAsia="Verdana" w:cs="Verdana"/>
          <w:spacing w:val="1"/>
        </w:rPr>
        <w:t>d</w:t>
      </w:r>
      <w:r w:rsidR="00D40774" w:rsidRPr="00F810F3">
        <w:rPr>
          <w:rFonts w:eastAsia="Verdana" w:cs="Verdana"/>
        </w:rPr>
        <w:t>e</w:t>
      </w:r>
      <w:r w:rsidR="00D40774" w:rsidRPr="00F810F3">
        <w:rPr>
          <w:rFonts w:eastAsia="Verdana" w:cs="Verdana"/>
          <w:spacing w:val="6"/>
        </w:rPr>
        <w:t xml:space="preserve"> </w:t>
      </w:r>
      <w:r w:rsidR="00D40774" w:rsidRPr="00F810F3">
        <w:rPr>
          <w:rFonts w:eastAsia="Verdana" w:cs="Verdana"/>
          <w:spacing w:val="3"/>
        </w:rPr>
        <w:t>l</w:t>
      </w:r>
      <w:r w:rsidR="00D40774" w:rsidRPr="00F810F3">
        <w:rPr>
          <w:rFonts w:eastAsia="Verdana" w:cs="Verdana"/>
        </w:rPr>
        <w:t xml:space="preserve">a </w:t>
      </w:r>
      <w:r w:rsidR="00D40774" w:rsidRPr="00F810F3">
        <w:rPr>
          <w:rFonts w:eastAsia="Verdana" w:cs="Verdana"/>
          <w:spacing w:val="1"/>
        </w:rPr>
        <w:t>p</w:t>
      </w:r>
      <w:r w:rsidR="00D40774" w:rsidRPr="00F810F3">
        <w:rPr>
          <w:rFonts w:eastAsia="Verdana" w:cs="Verdana"/>
          <w:spacing w:val="-1"/>
        </w:rPr>
        <w:t>r</w:t>
      </w:r>
      <w:r w:rsidR="00D40774" w:rsidRPr="00F810F3">
        <w:rPr>
          <w:rFonts w:eastAsia="Verdana" w:cs="Verdana"/>
          <w:spacing w:val="1"/>
        </w:rPr>
        <w:t>e</w:t>
      </w:r>
      <w:r w:rsidR="00D40774" w:rsidRPr="00F810F3">
        <w:rPr>
          <w:rFonts w:eastAsia="Verdana" w:cs="Verdana"/>
        </w:rPr>
        <w:t>s</w:t>
      </w:r>
      <w:r w:rsidR="00D40774" w:rsidRPr="00F810F3">
        <w:rPr>
          <w:rFonts w:eastAsia="Verdana" w:cs="Verdana"/>
          <w:spacing w:val="-2"/>
        </w:rPr>
        <w:t>e</w:t>
      </w:r>
      <w:r w:rsidR="00D40774" w:rsidRPr="00F810F3">
        <w:rPr>
          <w:rFonts w:eastAsia="Verdana" w:cs="Verdana"/>
          <w:spacing w:val="1"/>
        </w:rPr>
        <w:t>nt</w:t>
      </w:r>
      <w:r w:rsidR="00D40774" w:rsidRPr="00F810F3">
        <w:rPr>
          <w:rFonts w:eastAsia="Verdana" w:cs="Verdana"/>
        </w:rPr>
        <w:t>e</w:t>
      </w:r>
      <w:r w:rsidR="00D40774" w:rsidRPr="00F810F3">
        <w:rPr>
          <w:rFonts w:eastAsia="Verdana" w:cs="Verdana"/>
          <w:spacing w:val="4"/>
        </w:rPr>
        <w:t xml:space="preserve"> </w:t>
      </w:r>
      <w:r w:rsidR="00D40774" w:rsidRPr="00F810F3">
        <w:rPr>
          <w:rFonts w:eastAsia="Verdana" w:cs="Verdana"/>
          <w:spacing w:val="2"/>
        </w:rPr>
        <w:t>s</w:t>
      </w:r>
      <w:r w:rsidR="00D40774" w:rsidRPr="00F810F3">
        <w:rPr>
          <w:rFonts w:eastAsia="Verdana" w:cs="Verdana"/>
          <w:spacing w:val="-1"/>
        </w:rPr>
        <w:t>e</w:t>
      </w:r>
      <w:r w:rsidR="00D40774" w:rsidRPr="00F810F3">
        <w:rPr>
          <w:rFonts w:eastAsia="Verdana" w:cs="Verdana"/>
          <w:spacing w:val="1"/>
        </w:rPr>
        <w:t>nt</w:t>
      </w:r>
      <w:r w:rsidR="00D40774" w:rsidRPr="00F810F3">
        <w:rPr>
          <w:rFonts w:eastAsia="Verdana" w:cs="Verdana"/>
          <w:spacing w:val="-1"/>
        </w:rPr>
        <w:t>e</w:t>
      </w:r>
      <w:r w:rsidR="00D40774" w:rsidRPr="00F810F3">
        <w:rPr>
          <w:rFonts w:eastAsia="Verdana" w:cs="Verdana"/>
          <w:spacing w:val="1"/>
        </w:rPr>
        <w:t>n</w:t>
      </w:r>
      <w:r w:rsidR="00D40774" w:rsidRPr="00F810F3">
        <w:rPr>
          <w:rFonts w:eastAsia="Verdana" w:cs="Verdana"/>
        </w:rPr>
        <w:t>c</w:t>
      </w:r>
      <w:r w:rsidR="00D40774" w:rsidRPr="00F810F3">
        <w:rPr>
          <w:rFonts w:eastAsia="Verdana" w:cs="Verdana"/>
          <w:spacing w:val="2"/>
        </w:rPr>
        <w:t>i</w:t>
      </w:r>
      <w:r w:rsidR="00D40774" w:rsidRPr="00F810F3">
        <w:rPr>
          <w:rFonts w:eastAsia="Verdana" w:cs="Verdana"/>
        </w:rPr>
        <w:t>a,</w:t>
      </w:r>
      <w:r w:rsidR="00D40774" w:rsidRPr="00F810F3">
        <w:rPr>
          <w:rFonts w:eastAsia="Verdana" w:cs="Verdana"/>
          <w:spacing w:val="1"/>
        </w:rPr>
        <w:t xml:space="preserve"> p</w:t>
      </w:r>
      <w:r w:rsidR="00D40774" w:rsidRPr="00F810F3">
        <w:rPr>
          <w:rFonts w:eastAsia="Verdana" w:cs="Verdana"/>
        </w:rPr>
        <w:t>a</w:t>
      </w:r>
      <w:r w:rsidR="00D40774" w:rsidRPr="00F810F3">
        <w:rPr>
          <w:rFonts w:eastAsia="Verdana" w:cs="Verdana"/>
          <w:spacing w:val="2"/>
        </w:rPr>
        <w:t>r</w:t>
      </w:r>
      <w:r w:rsidR="00D40774" w:rsidRPr="00F810F3">
        <w:rPr>
          <w:rFonts w:eastAsia="Verdana" w:cs="Verdana"/>
        </w:rPr>
        <w:t>a</w:t>
      </w:r>
      <w:r w:rsidR="00D40774" w:rsidRPr="00F810F3">
        <w:rPr>
          <w:rFonts w:eastAsia="Verdana" w:cs="Verdana"/>
          <w:spacing w:val="6"/>
        </w:rPr>
        <w:t xml:space="preserve"> </w:t>
      </w:r>
      <w:r w:rsidR="00D40774" w:rsidRPr="00F810F3">
        <w:rPr>
          <w:rFonts w:eastAsia="Verdana" w:cs="Verdana"/>
          <w:spacing w:val="1"/>
        </w:rPr>
        <w:t>d</w:t>
      </w:r>
      <w:r w:rsidR="00D40774" w:rsidRPr="00F810F3">
        <w:rPr>
          <w:rFonts w:eastAsia="Verdana" w:cs="Verdana"/>
        </w:rPr>
        <w:t>ar</w:t>
      </w:r>
      <w:r w:rsidR="00D40774" w:rsidRPr="00F810F3">
        <w:rPr>
          <w:rFonts w:eastAsia="Verdana" w:cs="Verdana"/>
          <w:spacing w:val="7"/>
        </w:rPr>
        <w:t xml:space="preserve"> </w:t>
      </w:r>
      <w:r w:rsidR="00D40774" w:rsidRPr="00F810F3">
        <w:rPr>
          <w:rFonts w:eastAsia="Verdana" w:cs="Verdana"/>
        </w:rPr>
        <w:t>a</w:t>
      </w:r>
      <w:r w:rsidR="00D40774" w:rsidRPr="00F810F3">
        <w:rPr>
          <w:rFonts w:eastAsia="Verdana" w:cs="Verdana"/>
          <w:spacing w:val="10"/>
        </w:rPr>
        <w:t xml:space="preserve"> </w:t>
      </w:r>
      <w:r w:rsidR="00D40774" w:rsidRPr="00F810F3">
        <w:rPr>
          <w:rFonts w:eastAsia="Verdana" w:cs="Verdana"/>
          <w:spacing w:val="2"/>
        </w:rPr>
        <w:t>c</w:t>
      </w:r>
      <w:r w:rsidR="00D40774" w:rsidRPr="00F810F3">
        <w:rPr>
          <w:rFonts w:eastAsia="Verdana" w:cs="Verdana"/>
          <w:spacing w:val="-1"/>
        </w:rPr>
        <w:t>o</w:t>
      </w:r>
      <w:r w:rsidR="00D40774" w:rsidRPr="00F810F3">
        <w:rPr>
          <w:rFonts w:eastAsia="Verdana" w:cs="Verdana"/>
          <w:spacing w:val="1"/>
        </w:rPr>
        <w:t>no</w:t>
      </w:r>
      <w:r w:rsidR="00D40774" w:rsidRPr="00F810F3">
        <w:rPr>
          <w:rFonts w:eastAsia="Verdana" w:cs="Verdana"/>
        </w:rPr>
        <w:t>cer</w:t>
      </w:r>
      <w:r w:rsidR="00D40774" w:rsidRPr="00F810F3">
        <w:rPr>
          <w:rFonts w:eastAsia="Verdana" w:cs="Verdana"/>
          <w:spacing w:val="2"/>
        </w:rPr>
        <w:t xml:space="preserve"> </w:t>
      </w:r>
      <w:r w:rsidR="00D40774" w:rsidRPr="00F810F3">
        <w:rPr>
          <w:rFonts w:eastAsia="Verdana" w:cs="Verdana"/>
        </w:rPr>
        <w:t>al</w:t>
      </w:r>
      <w:r w:rsidR="00D40774" w:rsidRPr="00F810F3">
        <w:rPr>
          <w:rFonts w:eastAsia="Verdana" w:cs="Verdana"/>
          <w:spacing w:val="12"/>
        </w:rPr>
        <w:t xml:space="preserve"> </w:t>
      </w:r>
      <w:r w:rsidR="00D40774" w:rsidRPr="00F810F3">
        <w:rPr>
          <w:rFonts w:eastAsia="Verdana" w:cs="Verdana"/>
          <w:spacing w:val="-1"/>
        </w:rPr>
        <w:t>E</w:t>
      </w:r>
      <w:r w:rsidR="00D40774" w:rsidRPr="00F810F3">
        <w:rPr>
          <w:rFonts w:eastAsia="Verdana" w:cs="Verdana"/>
        </w:rPr>
        <w:t>s</w:t>
      </w:r>
      <w:r w:rsidR="00D40774" w:rsidRPr="00F810F3">
        <w:rPr>
          <w:rFonts w:eastAsia="Verdana" w:cs="Verdana"/>
          <w:spacing w:val="2"/>
        </w:rPr>
        <w:t>t</w:t>
      </w:r>
      <w:r w:rsidR="00D40774" w:rsidRPr="00F810F3">
        <w:rPr>
          <w:rFonts w:eastAsia="Verdana" w:cs="Verdana"/>
        </w:rPr>
        <w:t>a</w:t>
      </w:r>
      <w:r w:rsidR="00D40774" w:rsidRPr="00F810F3">
        <w:rPr>
          <w:rFonts w:eastAsia="Verdana" w:cs="Verdana"/>
          <w:spacing w:val="1"/>
        </w:rPr>
        <w:t>d</w:t>
      </w:r>
      <w:r w:rsidR="00D40774" w:rsidRPr="00F810F3">
        <w:rPr>
          <w:rFonts w:eastAsia="Verdana" w:cs="Verdana"/>
        </w:rPr>
        <w:t>o</w:t>
      </w:r>
      <w:r w:rsidR="00D40774" w:rsidRPr="00F810F3">
        <w:rPr>
          <w:rFonts w:eastAsia="Verdana" w:cs="Verdana"/>
          <w:spacing w:val="3"/>
        </w:rPr>
        <w:t xml:space="preserve"> </w:t>
      </w:r>
      <w:r w:rsidR="00D40774" w:rsidRPr="00F810F3">
        <w:rPr>
          <w:rFonts w:eastAsia="Verdana" w:cs="Verdana"/>
        </w:rPr>
        <w:t>su</w:t>
      </w:r>
      <w:r w:rsidR="00D40774" w:rsidRPr="00F810F3">
        <w:rPr>
          <w:rFonts w:eastAsia="Verdana" w:cs="Verdana"/>
          <w:spacing w:val="9"/>
        </w:rPr>
        <w:t xml:space="preserve"> </w:t>
      </w:r>
      <w:r w:rsidR="00D40774" w:rsidRPr="00F810F3">
        <w:rPr>
          <w:rFonts w:eastAsia="Verdana" w:cs="Verdana"/>
          <w:spacing w:val="3"/>
        </w:rPr>
        <w:t>i</w:t>
      </w:r>
      <w:r w:rsidR="00D40774" w:rsidRPr="00F810F3">
        <w:rPr>
          <w:rFonts w:eastAsia="Verdana" w:cs="Verdana"/>
          <w:spacing w:val="1"/>
        </w:rPr>
        <w:t>nt</w:t>
      </w:r>
      <w:r w:rsidR="00D40774" w:rsidRPr="00F810F3">
        <w:rPr>
          <w:rFonts w:eastAsia="Verdana" w:cs="Verdana"/>
          <w:spacing w:val="-1"/>
        </w:rPr>
        <w:t>e</w:t>
      </w:r>
      <w:r w:rsidR="00D40774" w:rsidRPr="00F810F3">
        <w:rPr>
          <w:rFonts w:eastAsia="Verdana" w:cs="Verdana"/>
          <w:spacing w:val="1"/>
        </w:rPr>
        <w:t>n</w:t>
      </w:r>
      <w:r w:rsidR="00D40774" w:rsidRPr="00F810F3">
        <w:rPr>
          <w:rFonts w:eastAsia="Verdana" w:cs="Verdana"/>
        </w:rPr>
        <w:t>c</w:t>
      </w:r>
      <w:r w:rsidR="00D40774" w:rsidRPr="00F810F3">
        <w:rPr>
          <w:rFonts w:eastAsia="Verdana" w:cs="Verdana"/>
          <w:spacing w:val="2"/>
        </w:rPr>
        <w:t>i</w:t>
      </w:r>
      <w:r w:rsidR="00D40774" w:rsidRPr="00F810F3">
        <w:rPr>
          <w:rFonts w:eastAsia="Verdana" w:cs="Verdana"/>
          <w:spacing w:val="-1"/>
        </w:rPr>
        <w:t>ó</w:t>
      </w:r>
      <w:r w:rsidR="00D40774" w:rsidRPr="00F810F3">
        <w:rPr>
          <w:rFonts w:eastAsia="Verdana" w:cs="Verdana"/>
        </w:rPr>
        <w:t>n</w:t>
      </w:r>
      <w:r w:rsidR="00D40774" w:rsidRPr="00F810F3">
        <w:rPr>
          <w:rFonts w:eastAsia="Verdana" w:cs="Verdana"/>
          <w:spacing w:val="3"/>
        </w:rPr>
        <w:t xml:space="preserve"> </w:t>
      </w:r>
      <w:r w:rsidR="00D40774" w:rsidRPr="00F810F3">
        <w:rPr>
          <w:rFonts w:eastAsia="Verdana" w:cs="Verdana"/>
          <w:spacing w:val="1"/>
        </w:rPr>
        <w:t>d</w:t>
      </w:r>
      <w:r w:rsidR="00D40774" w:rsidRPr="00F810F3">
        <w:rPr>
          <w:rFonts w:eastAsia="Verdana" w:cs="Verdana"/>
        </w:rPr>
        <w:t>e</w:t>
      </w:r>
      <w:r w:rsidR="00D40774" w:rsidRPr="00F810F3">
        <w:rPr>
          <w:rFonts w:eastAsia="Verdana" w:cs="Verdana"/>
          <w:spacing w:val="6"/>
        </w:rPr>
        <w:t xml:space="preserve"> </w:t>
      </w:r>
      <w:r w:rsidR="00D40774" w:rsidRPr="00F810F3">
        <w:rPr>
          <w:rFonts w:eastAsia="Verdana" w:cs="Verdana"/>
          <w:spacing w:val="-1"/>
        </w:rPr>
        <w:t>r</w:t>
      </w:r>
      <w:r w:rsidR="00D40774" w:rsidRPr="00F810F3">
        <w:rPr>
          <w:rFonts w:eastAsia="Verdana" w:cs="Verdana"/>
          <w:spacing w:val="1"/>
        </w:rPr>
        <w:t>e</w:t>
      </w:r>
      <w:r w:rsidR="00D40774" w:rsidRPr="00F810F3">
        <w:rPr>
          <w:rFonts w:eastAsia="Verdana" w:cs="Verdana"/>
        </w:rPr>
        <w:t>c</w:t>
      </w:r>
      <w:r w:rsidR="00D40774" w:rsidRPr="00F810F3">
        <w:rPr>
          <w:rFonts w:eastAsia="Verdana" w:cs="Verdana"/>
          <w:spacing w:val="2"/>
        </w:rPr>
        <w:t>i</w:t>
      </w:r>
      <w:r w:rsidR="00D40774" w:rsidRPr="00F810F3">
        <w:rPr>
          <w:rFonts w:eastAsia="Verdana" w:cs="Verdana"/>
          <w:spacing w:val="-2"/>
        </w:rPr>
        <w:t>b</w:t>
      </w:r>
      <w:r w:rsidR="00D40774" w:rsidRPr="00F810F3">
        <w:rPr>
          <w:rFonts w:eastAsia="Verdana" w:cs="Verdana"/>
          <w:spacing w:val="3"/>
        </w:rPr>
        <w:t>i</w:t>
      </w:r>
      <w:r w:rsidR="00D40774" w:rsidRPr="00F810F3">
        <w:rPr>
          <w:rFonts w:eastAsia="Verdana" w:cs="Verdana"/>
        </w:rPr>
        <w:t>r</w:t>
      </w:r>
      <w:r w:rsidR="00D40774" w:rsidRPr="00F810F3">
        <w:rPr>
          <w:rFonts w:eastAsia="Verdana" w:cs="Verdana"/>
          <w:spacing w:val="4"/>
        </w:rPr>
        <w:t xml:space="preserve"> </w:t>
      </w:r>
      <w:r w:rsidR="00D40774" w:rsidRPr="00F810F3">
        <w:rPr>
          <w:rFonts w:eastAsia="Verdana" w:cs="Verdana"/>
        </w:rPr>
        <w:t>dicha atención.</w:t>
      </w:r>
    </w:p>
    <w:p w:rsidR="00F814B4" w:rsidRPr="00F9031D" w:rsidRDefault="00F814B4" w:rsidP="004C57E7">
      <w:pPr>
        <w:pStyle w:val="Estilo1"/>
        <w:numPr>
          <w:ilvl w:val="0"/>
          <w:numId w:val="0"/>
        </w:numPr>
        <w:spacing w:after="0"/>
        <w:contextualSpacing/>
      </w:pPr>
    </w:p>
    <w:p w:rsidR="004C57E7" w:rsidRPr="00303BB2" w:rsidRDefault="004C57E7" w:rsidP="005D3491">
      <w:pPr>
        <w:pStyle w:val="Heading2"/>
        <w:numPr>
          <w:ilvl w:val="0"/>
          <w:numId w:val="17"/>
        </w:numPr>
        <w:ind w:left="567" w:firstLine="0"/>
        <w:rPr>
          <w:rFonts w:eastAsia="Calibri"/>
          <w:bCs w:val="0"/>
          <w:color w:val="auto"/>
          <w:spacing w:val="0"/>
          <w:w w:val="100"/>
          <w:lang w:val="es-ES"/>
        </w:rPr>
      </w:pPr>
      <w:bookmarkStart w:id="423" w:name="_Toc420941769"/>
      <w:bookmarkStart w:id="424" w:name="_Toc424313512"/>
      <w:bookmarkStart w:id="425" w:name="_Toc430869821"/>
      <w:bookmarkStart w:id="426" w:name="_Toc438129746"/>
      <w:r w:rsidRPr="00303BB2">
        <w:rPr>
          <w:rFonts w:eastAsia="Calibri"/>
          <w:bCs w:val="0"/>
          <w:color w:val="auto"/>
          <w:spacing w:val="0"/>
          <w:w w:val="100"/>
          <w:lang w:val="es-ES"/>
        </w:rPr>
        <w:t>Otras medidas</w:t>
      </w:r>
      <w:r>
        <w:rPr>
          <w:rFonts w:eastAsia="Calibri"/>
          <w:bCs w:val="0"/>
          <w:color w:val="auto"/>
          <w:spacing w:val="0"/>
          <w:w w:val="100"/>
          <w:lang w:val="es-ES"/>
        </w:rPr>
        <w:t xml:space="preserve"> </w:t>
      </w:r>
      <w:r w:rsidRPr="009D2DA1">
        <w:rPr>
          <w:rFonts w:eastAsia="Calibri"/>
          <w:bCs w:val="0"/>
          <w:color w:val="auto"/>
          <w:spacing w:val="0"/>
          <w:w w:val="100"/>
          <w:lang w:val="es-ES"/>
        </w:rPr>
        <w:t>no pecuniarias solicitadas</w:t>
      </w:r>
      <w:bookmarkEnd w:id="423"/>
      <w:bookmarkEnd w:id="424"/>
      <w:bookmarkEnd w:id="425"/>
      <w:bookmarkEnd w:id="426"/>
    </w:p>
    <w:p w:rsidR="004C57E7" w:rsidRPr="00ED3F38" w:rsidRDefault="004C57E7" w:rsidP="004C57E7">
      <w:pPr>
        <w:pStyle w:val="Estilo1"/>
        <w:numPr>
          <w:ilvl w:val="0"/>
          <w:numId w:val="0"/>
        </w:numPr>
        <w:spacing w:after="0"/>
        <w:contextualSpacing/>
      </w:pPr>
    </w:p>
    <w:p w:rsidR="004C57E7" w:rsidRPr="00ED3F38" w:rsidRDefault="004C57E7" w:rsidP="00347658">
      <w:pPr>
        <w:pStyle w:val="Estilo1"/>
        <w:tabs>
          <w:tab w:val="clear" w:pos="18282"/>
        </w:tabs>
        <w:spacing w:after="0"/>
        <w:contextualSpacing/>
      </w:pPr>
      <w:r>
        <w:t>E</w:t>
      </w:r>
      <w:r w:rsidRPr="00ED3F38">
        <w:t xml:space="preserve">l </w:t>
      </w:r>
      <w:r w:rsidRPr="00ED3F38">
        <w:rPr>
          <w:b/>
          <w:i/>
        </w:rPr>
        <w:t>representante</w:t>
      </w:r>
      <w:r w:rsidRPr="00ED3F38">
        <w:t xml:space="preserve"> solicitó que se ordenara al Estado un acto de disculpa pública y desagravio y reconocimiento de responsabilidad internacional en razón de los hechos del presente caso. Además pidió que el Estado realice el desagravio por medios de comunicación nacional y que se publique su reconocimiento de responsabilidad. Al respecto, el</w:t>
      </w:r>
      <w:r w:rsidRPr="00ED3F38">
        <w:rPr>
          <w:b/>
          <w:i/>
        </w:rPr>
        <w:t xml:space="preserve"> Estado</w:t>
      </w:r>
      <w:r w:rsidRPr="00ED3F38">
        <w:t xml:space="preserve"> señaló que al no considerarse responsable de ninguno de los cargos sobre los que versa el presente caso, no le corresponde brindar un acto de desagravio. Además manifestó que </w:t>
      </w:r>
      <w:r w:rsidRPr="00ED3F38">
        <w:rPr>
          <w:rFonts w:eastAsiaTheme="minorHAnsi" w:cs="Times"/>
        </w:rPr>
        <w:t xml:space="preserve">“el acto de desagravio solicitado no resulta concordante con la situación específica del señor Galindo Cárdenas dado que fue él quien voluntariamente el 15 de octubre de 1994 se acogió a los beneficios de la </w:t>
      </w:r>
      <w:r w:rsidRPr="00ED3F38">
        <w:rPr>
          <w:rFonts w:eastAsiaTheme="minorHAnsi" w:cs="Helvetica"/>
        </w:rPr>
        <w:t xml:space="preserve">Ley </w:t>
      </w:r>
      <w:r w:rsidRPr="00ED3F38">
        <w:rPr>
          <w:rFonts w:eastAsiaTheme="minorHAnsi" w:cs="Times"/>
        </w:rPr>
        <w:t xml:space="preserve">de Arrepentimiento </w:t>
      </w:r>
      <w:r w:rsidRPr="00ED3F38">
        <w:rPr>
          <w:rFonts w:eastAsiaTheme="minorHAnsi" w:cs="Helvetica"/>
        </w:rPr>
        <w:t xml:space="preserve">y </w:t>
      </w:r>
      <w:r w:rsidRPr="00ED3F38">
        <w:rPr>
          <w:rFonts w:eastAsiaTheme="minorHAnsi" w:cs="Times"/>
        </w:rPr>
        <w:t xml:space="preserve">después negó tales hechos”. </w:t>
      </w:r>
    </w:p>
    <w:p w:rsidR="004C57E7" w:rsidRDefault="004C57E7" w:rsidP="00737B59">
      <w:pPr>
        <w:pStyle w:val="Estilo1"/>
        <w:numPr>
          <w:ilvl w:val="0"/>
          <w:numId w:val="0"/>
        </w:numPr>
        <w:spacing w:after="0"/>
      </w:pPr>
    </w:p>
    <w:p w:rsidR="004C57E7" w:rsidRPr="000964B6" w:rsidRDefault="004C57E7" w:rsidP="00347658">
      <w:pPr>
        <w:pStyle w:val="Estilo1"/>
        <w:tabs>
          <w:tab w:val="clear" w:pos="18282"/>
        </w:tabs>
        <w:spacing w:after="0"/>
      </w:pPr>
      <w:bookmarkStart w:id="427" w:name="_Toc406580709"/>
      <w:bookmarkEnd w:id="416"/>
      <w:r w:rsidRPr="000964B6">
        <w:t xml:space="preserve">La </w:t>
      </w:r>
      <w:r w:rsidRPr="000964B6">
        <w:rPr>
          <w:b/>
          <w:i/>
        </w:rPr>
        <w:t>Corte</w:t>
      </w:r>
      <w:r w:rsidRPr="000964B6">
        <w:t>, teniendo en cuenta las violaciones a derechos declaradas en la presente Sentencia, considera que la emisión de la misma</w:t>
      </w:r>
      <w:r w:rsidRPr="000964B6">
        <w:rPr>
          <w:b/>
        </w:rPr>
        <w:t xml:space="preserve"> </w:t>
      </w:r>
      <w:r w:rsidRPr="000964B6">
        <w:t>y las reparaciones ordenadas en este capítulo resultan suficientes y adecuadas para remediar las violaciones sufridas por la víctima y no estima necesario ordenar las medidas adicionales solicitadas por el representante y la Comisión.</w:t>
      </w:r>
    </w:p>
    <w:p w:rsidR="004C57E7" w:rsidRPr="009306E1" w:rsidRDefault="004C57E7" w:rsidP="004C57E7">
      <w:pPr>
        <w:pStyle w:val="Heading2"/>
        <w:rPr>
          <w:lang w:val="es-ES"/>
        </w:rPr>
      </w:pPr>
    </w:p>
    <w:p w:rsidR="004C57E7" w:rsidRPr="006C0CFB" w:rsidRDefault="004C57E7" w:rsidP="005D3491">
      <w:pPr>
        <w:pStyle w:val="Heading2"/>
        <w:numPr>
          <w:ilvl w:val="0"/>
          <w:numId w:val="18"/>
        </w:numPr>
        <w:ind w:left="567" w:firstLine="0"/>
        <w:rPr>
          <w:rFonts w:eastAsia="Calibri"/>
          <w:bCs w:val="0"/>
          <w:color w:val="auto"/>
          <w:spacing w:val="0"/>
          <w:w w:val="100"/>
          <w:lang w:val="es-ES"/>
        </w:rPr>
      </w:pPr>
      <w:bookmarkStart w:id="428" w:name="_Toc418530513"/>
      <w:bookmarkStart w:id="429" w:name="_Toc420941770"/>
      <w:bookmarkStart w:id="430" w:name="_Toc424313513"/>
      <w:bookmarkStart w:id="431" w:name="_Toc430869822"/>
      <w:bookmarkStart w:id="432" w:name="_Toc438129747"/>
      <w:r w:rsidRPr="006C0CFB">
        <w:rPr>
          <w:rFonts w:eastAsia="Calibri"/>
          <w:bCs w:val="0"/>
          <w:color w:val="auto"/>
          <w:spacing w:val="0"/>
          <w:w w:val="100"/>
          <w:lang w:val="es-ES"/>
        </w:rPr>
        <w:t>Indemnizaciones compensatorias del daño material e inmaterial</w:t>
      </w:r>
      <w:bookmarkEnd w:id="428"/>
      <w:bookmarkEnd w:id="429"/>
      <w:bookmarkEnd w:id="430"/>
      <w:bookmarkEnd w:id="431"/>
      <w:bookmarkEnd w:id="432"/>
    </w:p>
    <w:p w:rsidR="004C57E7" w:rsidRDefault="004C57E7" w:rsidP="004C57E7">
      <w:pPr>
        <w:pStyle w:val="ListParagraph"/>
      </w:pPr>
    </w:p>
    <w:p w:rsidR="004C57E7" w:rsidRDefault="004C57E7" w:rsidP="00347658">
      <w:pPr>
        <w:pStyle w:val="Estilo1"/>
        <w:tabs>
          <w:tab w:val="clear" w:pos="18282"/>
        </w:tabs>
        <w:spacing w:after="0"/>
        <w:contextualSpacing/>
      </w:pPr>
      <w:r w:rsidRPr="00A070A2">
        <w:t xml:space="preserve">La </w:t>
      </w:r>
      <w:r w:rsidRPr="00A070A2">
        <w:rPr>
          <w:b/>
          <w:i/>
        </w:rPr>
        <w:t xml:space="preserve">Comisión </w:t>
      </w:r>
      <w:r w:rsidRPr="00A070A2">
        <w:t xml:space="preserve">solicitó a la Corte que disponga una reparación, que incluya tanto el aspecto inmaterial como el material, </w:t>
      </w:r>
      <w:r>
        <w:t>derivada de las violaciones de derechos h</w:t>
      </w:r>
      <w:r w:rsidRPr="00A070A2">
        <w:t>umanos establecidos por el Informe de Fondo</w:t>
      </w:r>
      <w:r w:rsidRPr="00A070A2">
        <w:rPr>
          <w:rFonts w:eastAsia="MS Mincho"/>
          <w:b/>
        </w:rPr>
        <w:t xml:space="preserve"> </w:t>
      </w:r>
      <w:r w:rsidRPr="00A070A2">
        <w:rPr>
          <w:rFonts w:eastAsia="MS Mincho"/>
        </w:rPr>
        <w:t>a favor del señor Galindo y su familia</w:t>
      </w:r>
      <w:r w:rsidRPr="00A070A2">
        <w:t xml:space="preserve">. </w:t>
      </w:r>
    </w:p>
    <w:p w:rsidR="004C57E7" w:rsidRDefault="004C57E7" w:rsidP="00737B59">
      <w:pPr>
        <w:pStyle w:val="Estilo1"/>
        <w:numPr>
          <w:ilvl w:val="0"/>
          <w:numId w:val="0"/>
        </w:numPr>
        <w:spacing w:after="0"/>
        <w:contextualSpacing/>
      </w:pPr>
    </w:p>
    <w:p w:rsidR="004C57E7" w:rsidRDefault="004C57E7" w:rsidP="00347658">
      <w:pPr>
        <w:pStyle w:val="Estilo1"/>
        <w:tabs>
          <w:tab w:val="clear" w:pos="18282"/>
        </w:tabs>
        <w:spacing w:after="0"/>
        <w:contextualSpacing/>
      </w:pPr>
      <w:r w:rsidRPr="00A070A2">
        <w:t>El</w:t>
      </w:r>
      <w:r w:rsidRPr="00A070A2">
        <w:rPr>
          <w:b/>
          <w:i/>
        </w:rPr>
        <w:t xml:space="preserve"> representante</w:t>
      </w:r>
      <w:r w:rsidRPr="00A070A2">
        <w:t xml:space="preserve"> solicitó a la Corte que disponga una reparación integral </w:t>
      </w:r>
      <w:r w:rsidR="00F40320">
        <w:t>[</w:t>
      </w:r>
      <w:r w:rsidRPr="00A070A2">
        <w:t>a favor</w:t>
      </w:r>
      <w:r w:rsidR="00F40320">
        <w:t>]</w:t>
      </w:r>
      <w:r w:rsidRPr="00A070A2">
        <w:t xml:space="preserve"> de las víctimas […] sustentado en </w:t>
      </w:r>
      <w:r w:rsidR="00F40320">
        <w:t>[</w:t>
      </w:r>
      <w:r w:rsidRPr="00A070A2">
        <w:t>un</w:t>
      </w:r>
      <w:r w:rsidR="00F40320">
        <w:t>]</w:t>
      </w:r>
      <w:r w:rsidRPr="00A070A2">
        <w:t xml:space="preserve"> Informe Pericial de daños y perjuicios</w:t>
      </w:r>
      <w:r w:rsidR="006A4B2B">
        <w:t>”</w:t>
      </w:r>
      <w:r w:rsidRPr="00663356">
        <w:rPr>
          <w:rStyle w:val="FootnoteReference"/>
        </w:rPr>
        <w:footnoteReference w:id="246"/>
      </w:r>
      <w:r w:rsidRPr="00A070A2">
        <w:t xml:space="preserve"> que aport</w:t>
      </w:r>
      <w:r w:rsidR="006A4B2B">
        <w:t>ó</w:t>
      </w:r>
      <w:r w:rsidRPr="00A070A2">
        <w:t xml:space="preserve"> </w:t>
      </w:r>
      <w:r w:rsidRPr="00A070A2">
        <w:lastRenderedPageBreak/>
        <w:t xml:space="preserve">como prueba documental, y </w:t>
      </w:r>
      <w:r w:rsidR="006A4B2B">
        <w:t>“</w:t>
      </w:r>
      <w:r w:rsidRPr="00A070A2">
        <w:t>cuyo monto total</w:t>
      </w:r>
      <w:r w:rsidR="006A4B2B">
        <w:t>”</w:t>
      </w:r>
      <w:r w:rsidRPr="00A070A2">
        <w:t xml:space="preserve">, por “lucro cesante”, “daño emergente” y “daño moral” asciende a la suma de </w:t>
      </w:r>
      <w:r w:rsidR="006A4B2B">
        <w:t>“</w:t>
      </w:r>
      <w:r w:rsidRPr="00A070A2">
        <w:t>S/.17 734,649.89 nuevos soles”</w:t>
      </w:r>
      <w:r w:rsidRPr="00663356">
        <w:rPr>
          <w:rStyle w:val="FootnoteReference"/>
        </w:rPr>
        <w:footnoteReference w:id="247"/>
      </w:r>
      <w:r w:rsidRPr="00A070A2">
        <w:t xml:space="preserve">. </w:t>
      </w:r>
    </w:p>
    <w:p w:rsidR="004C57E7" w:rsidRDefault="004C57E7" w:rsidP="00737B59">
      <w:pPr>
        <w:pStyle w:val="ListParagraph"/>
        <w:ind w:left="0"/>
      </w:pPr>
    </w:p>
    <w:p w:rsidR="004C57E7" w:rsidRDefault="004C57E7" w:rsidP="00347658">
      <w:pPr>
        <w:pStyle w:val="Estilo1"/>
        <w:tabs>
          <w:tab w:val="clear" w:pos="18282"/>
        </w:tabs>
        <w:spacing w:after="0"/>
        <w:contextualSpacing/>
      </w:pPr>
      <w:r w:rsidRPr="00A070A2">
        <w:t xml:space="preserve">En cuanto al “daño emergente”, el representante solicitó la </w:t>
      </w:r>
      <w:r w:rsidR="003B0237" w:rsidRPr="008D2D9F">
        <w:t xml:space="preserve">suma </w:t>
      </w:r>
      <w:r w:rsidR="00F961F1">
        <w:t>de</w:t>
      </w:r>
      <w:r w:rsidRPr="00A070A2">
        <w:t xml:space="preserve"> </w:t>
      </w:r>
      <w:r w:rsidRPr="00440461">
        <w:t>S/.</w:t>
      </w:r>
      <w:r w:rsidR="008532C6" w:rsidRPr="00440461">
        <w:t xml:space="preserve"> </w:t>
      </w:r>
      <w:r w:rsidRPr="00440461">
        <w:t>3</w:t>
      </w:r>
      <w:r w:rsidR="00EA2AE3" w:rsidRPr="00440461">
        <w:t>.</w:t>
      </w:r>
      <w:r w:rsidRPr="00440461">
        <w:t>653,244.00 nuevos soles</w:t>
      </w:r>
      <w:r w:rsidR="00F961F1" w:rsidRPr="00440461">
        <w:t xml:space="preserve"> por</w:t>
      </w:r>
      <w:r w:rsidRPr="00440461">
        <w:t xml:space="preserve"> “la pérdida casi total del patrimonio </w:t>
      </w:r>
      <w:proofErr w:type="gramStart"/>
      <w:r w:rsidRPr="00440461">
        <w:t>de[</w:t>
      </w:r>
      <w:proofErr w:type="gramEnd"/>
      <w:r w:rsidRPr="00440461">
        <w:t>l señor Galindo]”, a “ingresos pecuniarios dejados de percibir”, y a “deudas adquiridas para afrontar y atender las secuela</w:t>
      </w:r>
      <w:r w:rsidR="00EA2AE3" w:rsidRPr="00440461">
        <w:t>"</w:t>
      </w:r>
      <w:r w:rsidRPr="00440461">
        <w:t xml:space="preserve"> de lo sucedido. Señaló que a eso debía “sumársele el monto de S/. 43,567.69 nuevos soles que corresponde</w:t>
      </w:r>
      <w:r w:rsidR="00B966CF" w:rsidRPr="00440461">
        <w:t>n</w:t>
      </w:r>
      <w:r w:rsidRPr="00440461">
        <w:t xml:space="preserve"> a los gastos de salud”. Mencionó que “asimismo, se deja constancia</w:t>
      </w:r>
      <w:r w:rsidRPr="00A070A2">
        <w:t xml:space="preserve"> de otros servicios y gastos en el rubro de salud, todos como consecuencia del grave daño emocional irrogado </w:t>
      </w:r>
      <w:proofErr w:type="gramStart"/>
      <w:r w:rsidRPr="00A070A2">
        <w:t>a[</w:t>
      </w:r>
      <w:proofErr w:type="gramEnd"/>
      <w:r w:rsidRPr="00A070A2">
        <w:t xml:space="preserve">l señor Galindo], y que fueron el preludio del grave accidente que sufrió en el año 2011”. Por último, el representante adujo que es “un hecho evidente [el] daño material ocasionado a […] la esposa [del señor Galindo], quien </w:t>
      </w:r>
      <w:proofErr w:type="spellStart"/>
      <w:r w:rsidRPr="00A070A2">
        <w:t>constituy</w:t>
      </w:r>
      <w:proofErr w:type="spellEnd"/>
      <w:r w:rsidRPr="00A070A2">
        <w:t>[</w:t>
      </w:r>
      <w:proofErr w:type="spellStart"/>
      <w:r w:rsidRPr="00A070A2">
        <w:t>ó</w:t>
      </w:r>
      <w:proofErr w:type="spellEnd"/>
      <w:r w:rsidRPr="00A070A2">
        <w:t>] una empresa de confección y [c]</w:t>
      </w:r>
      <w:proofErr w:type="spellStart"/>
      <w:r w:rsidRPr="00A070A2">
        <w:t>omercio</w:t>
      </w:r>
      <w:proofErr w:type="spellEnd"/>
      <w:r w:rsidR="00B966CF">
        <w:t>,</w:t>
      </w:r>
      <w:r w:rsidRPr="00A070A2">
        <w:t xml:space="preserve"> […] que empezó a operar formalmente […]</w:t>
      </w:r>
      <w:r w:rsidR="00B966CF">
        <w:t>;</w:t>
      </w:r>
      <w:r w:rsidRPr="00A070A2">
        <w:t xml:space="preserve"> y ante la denuncia pública, estigma de terrorista que le imputaban a su esposo […], por la vergüenza y el </w:t>
      </w:r>
      <w:proofErr w:type="spellStart"/>
      <w:r w:rsidRPr="00A070A2">
        <w:t>descr</w:t>
      </w:r>
      <w:proofErr w:type="spellEnd"/>
      <w:r w:rsidRPr="00A070A2">
        <w:t>[é]</w:t>
      </w:r>
      <w:proofErr w:type="spellStart"/>
      <w:r w:rsidRPr="00A070A2">
        <w:t>dito</w:t>
      </w:r>
      <w:proofErr w:type="spellEnd"/>
      <w:r w:rsidRPr="00A070A2">
        <w:t xml:space="preserve"> social, se vio obligada a cerrar</w:t>
      </w:r>
      <w:r w:rsidR="006A4B2B">
        <w:t>”</w:t>
      </w:r>
      <w:r w:rsidR="00B966CF">
        <w:t xml:space="preserve"> su negocio</w:t>
      </w:r>
      <w:r>
        <w:t>.</w:t>
      </w:r>
    </w:p>
    <w:p w:rsidR="004C57E7" w:rsidRDefault="004C57E7" w:rsidP="00737B59">
      <w:pPr>
        <w:pStyle w:val="Estilo1"/>
        <w:numPr>
          <w:ilvl w:val="0"/>
          <w:numId w:val="0"/>
        </w:numPr>
        <w:spacing w:after="0"/>
        <w:contextualSpacing/>
      </w:pPr>
    </w:p>
    <w:p w:rsidR="004C57E7" w:rsidRDefault="004C57E7" w:rsidP="00347658">
      <w:pPr>
        <w:pStyle w:val="Estilo1"/>
        <w:tabs>
          <w:tab w:val="clear" w:pos="18282"/>
        </w:tabs>
        <w:spacing w:after="0"/>
        <w:contextualSpacing/>
      </w:pPr>
      <w:r w:rsidRPr="00A070A2">
        <w:t>En el análisis correspondiente al “lucro cesante”, el represen</w:t>
      </w:r>
      <w:r>
        <w:t xml:space="preserve">tante reclamó la cantidad de </w:t>
      </w:r>
      <w:r w:rsidRPr="00440461">
        <w:t>S/2</w:t>
      </w:r>
      <w:proofErr w:type="gramStart"/>
      <w:r w:rsidRPr="00440461">
        <w:t>,046,838.20</w:t>
      </w:r>
      <w:proofErr w:type="gramEnd"/>
      <w:r w:rsidRPr="00440461">
        <w:t xml:space="preserve"> nuevos</w:t>
      </w:r>
      <w:r w:rsidRPr="00A070A2">
        <w:t xml:space="preserve"> soles</w:t>
      </w:r>
      <w:r w:rsidRPr="00663356">
        <w:rPr>
          <w:rStyle w:val="FootnoteReference"/>
        </w:rPr>
        <w:footnoteReference w:id="248"/>
      </w:r>
      <w:r w:rsidR="00B70124">
        <w:t xml:space="preserve">. </w:t>
      </w:r>
      <w:r w:rsidRPr="00A070A2">
        <w:t>Explicó que ello “equivale [a lo que] hubiera correspondido [al señor Galindo] como [m]</w:t>
      </w:r>
      <w:proofErr w:type="spellStart"/>
      <w:r w:rsidRPr="00A070A2">
        <w:t>agistrado</w:t>
      </w:r>
      <w:proofErr w:type="spellEnd"/>
      <w:r w:rsidRPr="00A070A2">
        <w:t xml:space="preserve"> desde el inicio de las violaciones a sus derechos hasta la fecha” de presentación del escrito de solicitudes y argumentos</w:t>
      </w:r>
      <w:r w:rsidRPr="00663356">
        <w:rPr>
          <w:rStyle w:val="FootnoteReference"/>
        </w:rPr>
        <w:footnoteReference w:id="249"/>
      </w:r>
      <w:r w:rsidRPr="00A070A2">
        <w:t xml:space="preserve">.  No obstante, también señaló como “un hecho referencial y valido a tener en cuenta, </w:t>
      </w:r>
      <w:r w:rsidR="00DE261E">
        <w:t>[</w:t>
      </w:r>
      <w:r w:rsidRPr="00A070A2">
        <w:t>el</w:t>
      </w:r>
      <w:r w:rsidR="00DE261E">
        <w:t>]</w:t>
      </w:r>
      <w:r w:rsidRPr="00A070A2">
        <w:t xml:space="preserve"> “relacionado al ejercicio profesional de abogado que </w:t>
      </w:r>
      <w:proofErr w:type="spellStart"/>
      <w:r w:rsidRPr="00A070A2">
        <w:t>desarroll</w:t>
      </w:r>
      <w:proofErr w:type="spellEnd"/>
      <w:r w:rsidR="008C6C52">
        <w:t>[</w:t>
      </w:r>
      <w:proofErr w:type="spellStart"/>
      <w:r w:rsidRPr="00A070A2">
        <w:t>ó</w:t>
      </w:r>
      <w:proofErr w:type="spellEnd"/>
      <w:r w:rsidR="008C6C52">
        <w:t>]</w:t>
      </w:r>
      <w:r w:rsidRPr="00A070A2">
        <w:t xml:space="preserve"> [el señor Galindo] en el área de adopciones internacionales, y cuya actividad ya no la pudo restablecer como consecuencia de los actos violatorios a sus derechos”. </w:t>
      </w:r>
    </w:p>
    <w:p w:rsidR="00347658" w:rsidRDefault="00347658" w:rsidP="00347658">
      <w:pPr>
        <w:pStyle w:val="ListParagraph"/>
      </w:pPr>
    </w:p>
    <w:p w:rsidR="00101025" w:rsidRDefault="00347658" w:rsidP="00347658">
      <w:pPr>
        <w:pStyle w:val="Estilo1"/>
      </w:pPr>
      <w:r>
        <w:rPr>
          <w:lang w:val="es-ES_tradnl"/>
        </w:rPr>
        <w:t xml:space="preserve"> F</w:t>
      </w:r>
      <w:r w:rsidR="00737B59">
        <w:rPr>
          <w:lang w:val="es-ES_tradnl"/>
        </w:rPr>
        <w:t>inalmente</w:t>
      </w:r>
      <w:r w:rsidR="004C57E7" w:rsidRPr="00737B59">
        <w:t>,</w:t>
      </w:r>
      <w:r w:rsidR="004C57E7" w:rsidRPr="00A070A2">
        <w:t xml:space="preserve"> en referencia al “daño moral”, el representante solicitó que se fije en S/ </w:t>
      </w:r>
      <w:r w:rsidR="004C57E7" w:rsidRPr="00440461">
        <w:t>12[,</w:t>
      </w:r>
      <w:proofErr w:type="gramStart"/>
      <w:r w:rsidR="004C57E7" w:rsidRPr="00440461">
        <w:t>]000,000.00</w:t>
      </w:r>
      <w:proofErr w:type="gramEnd"/>
      <w:r w:rsidR="004C57E7" w:rsidRPr="00440461">
        <w:t xml:space="preserve"> nuevos</w:t>
      </w:r>
      <w:r w:rsidR="004C57E7" w:rsidRPr="00A070A2">
        <w:t xml:space="preserve"> soles. Adujo que los hechos acaecidos le han ocasionado un “deterioro y sufrimiento de ansiedad, angustia, frustración, baja autoestima, etc</w:t>
      </w:r>
      <w:r w:rsidR="003F7AA8">
        <w:t>.</w:t>
      </w:r>
      <w:r w:rsidR="004C57E7" w:rsidRPr="00A070A2">
        <w:t xml:space="preserve">” al señor Galindo por su perjuicio profesional, familiar y social. Alegó que a la señora Irma Díaz de Galindo se le ha ocasionado problemas emocionales y al hijo de ella y el señor Galindo, Luis </w:t>
      </w:r>
      <w:proofErr w:type="spellStart"/>
      <w:r w:rsidR="004C57E7" w:rsidRPr="00A070A2">
        <w:t>Idelso</w:t>
      </w:r>
      <w:proofErr w:type="spellEnd"/>
      <w:r w:rsidR="004C57E7" w:rsidRPr="00A070A2">
        <w:t>, “problemas de comportamiento y frustración” por no haber podido concluir sus estudios superiores y haber tenido que asumir inesperadamente obligaciones familiares</w:t>
      </w:r>
      <w:r w:rsidR="004C57E7">
        <w:t xml:space="preserve">. </w:t>
      </w:r>
      <w:r w:rsidR="004C57E7" w:rsidRPr="00A070A2">
        <w:t>Destacaron “dos extremos” del “daño moral ocasionado” a la víctima:</w:t>
      </w:r>
    </w:p>
    <w:p w:rsidR="004969AE" w:rsidRDefault="004969AE" w:rsidP="004969AE">
      <w:pPr>
        <w:pStyle w:val="Estilo1"/>
        <w:numPr>
          <w:ilvl w:val="0"/>
          <w:numId w:val="0"/>
        </w:numPr>
        <w:tabs>
          <w:tab w:val="clear" w:pos="567"/>
          <w:tab w:val="clear" w:pos="1134"/>
        </w:tabs>
        <w:spacing w:after="0"/>
        <w:ind w:right="850"/>
        <w:contextualSpacing/>
      </w:pPr>
    </w:p>
    <w:p w:rsidR="00101025" w:rsidRDefault="004C57E7" w:rsidP="004969AE">
      <w:pPr>
        <w:pStyle w:val="Estilo1"/>
        <w:numPr>
          <w:ilvl w:val="0"/>
          <w:numId w:val="0"/>
        </w:numPr>
        <w:spacing w:after="0"/>
        <w:ind w:left="562" w:right="720"/>
        <w:contextualSpacing/>
      </w:pPr>
      <w:r w:rsidRPr="00925316">
        <w:rPr>
          <w:sz w:val="16"/>
          <w:szCs w:val="16"/>
        </w:rPr>
        <w:t xml:space="preserve">1. El [d]año [p]profesional […] como consecuencia de la grave imputación y acusación de ser un </w:t>
      </w:r>
      <w:proofErr w:type="gramStart"/>
      <w:r w:rsidRPr="00925316">
        <w:rPr>
          <w:sz w:val="16"/>
          <w:szCs w:val="16"/>
        </w:rPr>
        <w:t>‘terrorista’[.</w:t>
      </w:r>
      <w:proofErr w:type="gramEnd"/>
      <w:r w:rsidRPr="00925316">
        <w:rPr>
          <w:sz w:val="16"/>
          <w:szCs w:val="16"/>
        </w:rPr>
        <w:t xml:space="preserve"> </w:t>
      </w:r>
      <w:proofErr w:type="gramStart"/>
      <w:r w:rsidRPr="00925316">
        <w:rPr>
          <w:sz w:val="16"/>
          <w:szCs w:val="16"/>
        </w:rPr>
        <w:t>E]s</w:t>
      </w:r>
      <w:proofErr w:type="gramEnd"/>
      <w:r w:rsidR="00446C6D">
        <w:rPr>
          <w:sz w:val="16"/>
          <w:szCs w:val="16"/>
        </w:rPr>
        <w:t>[</w:t>
      </w:r>
      <w:r w:rsidRPr="00925316">
        <w:rPr>
          <w:sz w:val="16"/>
          <w:szCs w:val="16"/>
        </w:rPr>
        <w:t>t</w:t>
      </w:r>
      <w:r w:rsidR="00446C6D">
        <w:rPr>
          <w:sz w:val="16"/>
          <w:szCs w:val="16"/>
        </w:rPr>
        <w:t>]</w:t>
      </w:r>
      <w:r w:rsidRPr="00925316">
        <w:rPr>
          <w:sz w:val="16"/>
          <w:szCs w:val="16"/>
        </w:rPr>
        <w:t>e estigma le impidió retomar su actividad profesional de abogado en temas de adopción internacional con [i]</w:t>
      </w:r>
      <w:r w:rsidR="00D80987" w:rsidRPr="00925316">
        <w:rPr>
          <w:sz w:val="16"/>
          <w:szCs w:val="16"/>
        </w:rPr>
        <w:t>instituciones</w:t>
      </w:r>
      <w:r w:rsidRPr="00925316">
        <w:rPr>
          <w:sz w:val="16"/>
          <w:szCs w:val="16"/>
        </w:rPr>
        <w:t xml:space="preserve"> extranjeras</w:t>
      </w:r>
      <w:r w:rsidRPr="006A4B2B">
        <w:rPr>
          <w:sz w:val="16"/>
          <w:szCs w:val="16"/>
        </w:rPr>
        <w:t>”</w:t>
      </w:r>
      <w:r w:rsidR="00D40774" w:rsidRPr="00F810F3">
        <w:rPr>
          <w:sz w:val="16"/>
          <w:szCs w:val="16"/>
        </w:rPr>
        <w:t>, y</w:t>
      </w:r>
      <w:r w:rsidRPr="00A070A2">
        <w:t xml:space="preserve"> </w:t>
      </w:r>
    </w:p>
    <w:p w:rsidR="004C57E7" w:rsidRPr="00663356" w:rsidRDefault="004C57E7" w:rsidP="004969AE">
      <w:pPr>
        <w:pStyle w:val="Estilo1"/>
        <w:numPr>
          <w:ilvl w:val="0"/>
          <w:numId w:val="0"/>
        </w:numPr>
        <w:spacing w:after="0"/>
        <w:ind w:right="720"/>
      </w:pPr>
    </w:p>
    <w:p w:rsidR="00101025" w:rsidRDefault="004C57E7" w:rsidP="004969AE">
      <w:pPr>
        <w:pStyle w:val="Estilo1"/>
        <w:numPr>
          <w:ilvl w:val="0"/>
          <w:numId w:val="0"/>
        </w:numPr>
        <w:spacing w:after="0"/>
        <w:ind w:left="562" w:right="720"/>
        <w:rPr>
          <w:sz w:val="16"/>
          <w:szCs w:val="16"/>
        </w:rPr>
      </w:pPr>
      <w:r w:rsidRPr="00A070A2">
        <w:rPr>
          <w:sz w:val="16"/>
          <w:szCs w:val="16"/>
        </w:rPr>
        <w:t>2. El proyecto de vida[,…] ya que el impacto y consecuencia de su arbitraria detención y violación a</w:t>
      </w:r>
      <w:r>
        <w:rPr>
          <w:sz w:val="16"/>
          <w:szCs w:val="16"/>
        </w:rPr>
        <w:t xml:space="preserve"> sus derechos fundamentales, </w:t>
      </w:r>
      <w:proofErr w:type="spellStart"/>
      <w:r>
        <w:rPr>
          <w:sz w:val="16"/>
          <w:szCs w:val="16"/>
        </w:rPr>
        <w:t>tru</w:t>
      </w:r>
      <w:r w:rsidRPr="00A070A2">
        <w:rPr>
          <w:sz w:val="16"/>
          <w:szCs w:val="16"/>
        </w:rPr>
        <w:t>nc</w:t>
      </w:r>
      <w:proofErr w:type="spellEnd"/>
      <w:r w:rsidRPr="00A070A2">
        <w:rPr>
          <w:sz w:val="16"/>
          <w:szCs w:val="16"/>
        </w:rPr>
        <w:t>[</w:t>
      </w:r>
      <w:proofErr w:type="spellStart"/>
      <w:r w:rsidRPr="00A070A2">
        <w:rPr>
          <w:sz w:val="16"/>
          <w:szCs w:val="16"/>
        </w:rPr>
        <w:t>ó</w:t>
      </w:r>
      <w:proofErr w:type="spellEnd"/>
      <w:r w:rsidRPr="00A070A2">
        <w:rPr>
          <w:sz w:val="16"/>
          <w:szCs w:val="16"/>
        </w:rPr>
        <w:t xml:space="preserve">] de manera definitiva sus aspiraciones profesionales[,…] así como </w:t>
      </w:r>
      <w:proofErr w:type="spellStart"/>
      <w:r w:rsidRPr="00A070A2">
        <w:rPr>
          <w:sz w:val="16"/>
          <w:szCs w:val="16"/>
        </w:rPr>
        <w:t>otr</w:t>
      </w:r>
      <w:proofErr w:type="spellEnd"/>
      <w:r w:rsidRPr="00A070A2">
        <w:rPr>
          <w:sz w:val="16"/>
          <w:szCs w:val="16"/>
        </w:rPr>
        <w:t xml:space="preserve">[a]s de carácter social [o] </w:t>
      </w:r>
      <w:proofErr w:type="spellStart"/>
      <w:r w:rsidRPr="00A070A2">
        <w:rPr>
          <w:sz w:val="16"/>
          <w:szCs w:val="16"/>
        </w:rPr>
        <w:t>polític</w:t>
      </w:r>
      <w:proofErr w:type="spellEnd"/>
      <w:r w:rsidRPr="00A070A2">
        <w:rPr>
          <w:sz w:val="16"/>
          <w:szCs w:val="16"/>
        </w:rPr>
        <w:t>[a]s, dado que por el antecedente crimina</w:t>
      </w:r>
      <w:r w:rsidR="00DE261E">
        <w:rPr>
          <w:sz w:val="16"/>
          <w:szCs w:val="16"/>
        </w:rPr>
        <w:t>l</w:t>
      </w:r>
      <w:r w:rsidRPr="00A070A2">
        <w:rPr>
          <w:sz w:val="16"/>
          <w:szCs w:val="16"/>
        </w:rPr>
        <w:t xml:space="preserve"> de ser un ‘terrorista’ […] ante cualquier postulación a cargo alguno, iba a ser pasible de tacha o impedi</w:t>
      </w:r>
      <w:r>
        <w:rPr>
          <w:sz w:val="16"/>
          <w:szCs w:val="16"/>
        </w:rPr>
        <w:t>ment</w:t>
      </w:r>
      <w:r w:rsidRPr="00A070A2">
        <w:rPr>
          <w:sz w:val="16"/>
          <w:szCs w:val="16"/>
        </w:rPr>
        <w:t>o [l]</w:t>
      </w:r>
      <w:proofErr w:type="spellStart"/>
      <w:r w:rsidRPr="00A070A2">
        <w:rPr>
          <w:sz w:val="16"/>
          <w:szCs w:val="16"/>
        </w:rPr>
        <w:t>egal</w:t>
      </w:r>
      <w:proofErr w:type="spellEnd"/>
      <w:r w:rsidRPr="00A070A2">
        <w:rPr>
          <w:sz w:val="16"/>
          <w:szCs w:val="16"/>
        </w:rPr>
        <w:t xml:space="preserve"> y ético, lo que imposibilitaba su acceso, por esa estigmatización. </w:t>
      </w:r>
    </w:p>
    <w:p w:rsidR="004C57E7" w:rsidRDefault="004C57E7" w:rsidP="004C57E7">
      <w:pPr>
        <w:pStyle w:val="Estilo1"/>
        <w:numPr>
          <w:ilvl w:val="0"/>
          <w:numId w:val="0"/>
        </w:numPr>
        <w:spacing w:after="0"/>
      </w:pPr>
    </w:p>
    <w:p w:rsidR="004C57E7" w:rsidRPr="00663356" w:rsidRDefault="004969AE" w:rsidP="00347658">
      <w:pPr>
        <w:pStyle w:val="Estilo1"/>
        <w:tabs>
          <w:tab w:val="clear" w:pos="18282"/>
        </w:tabs>
        <w:spacing w:after="0"/>
      </w:pPr>
      <w:r>
        <w:t xml:space="preserve"> </w:t>
      </w:r>
      <w:r w:rsidR="003F7AA8">
        <w:t>Además, c</w:t>
      </w:r>
      <w:r w:rsidR="004C57E7">
        <w:t>onsideró</w:t>
      </w:r>
      <w:r w:rsidR="004C57E7" w:rsidRPr="00663356">
        <w:t xml:space="preserve"> que el daño al “proyecto de vida” se “hizo extensivo a su entorno familiar”.</w:t>
      </w:r>
      <w:r w:rsidR="004C57E7">
        <w:t xml:space="preserve"> </w:t>
      </w:r>
    </w:p>
    <w:p w:rsidR="004C57E7" w:rsidRDefault="004C57E7" w:rsidP="00A47CAB">
      <w:pPr>
        <w:pStyle w:val="ListParagraph"/>
        <w:ind w:left="0"/>
      </w:pPr>
    </w:p>
    <w:p w:rsidR="004C57E7" w:rsidRDefault="004C57E7" w:rsidP="00347658">
      <w:pPr>
        <w:pStyle w:val="Estilo1"/>
        <w:tabs>
          <w:tab w:val="clear" w:pos="18282"/>
        </w:tabs>
        <w:spacing w:after="0"/>
        <w:contextualSpacing/>
      </w:pPr>
      <w:r w:rsidRPr="00A070A2">
        <w:t xml:space="preserve">El </w:t>
      </w:r>
      <w:r w:rsidRPr="00A070A2">
        <w:rPr>
          <w:b/>
          <w:i/>
        </w:rPr>
        <w:t>Estado</w:t>
      </w:r>
      <w:r w:rsidRPr="00A070A2">
        <w:t xml:space="preserve"> se opuso </w:t>
      </w:r>
      <w:r>
        <w:t xml:space="preserve">al </w:t>
      </w:r>
      <w:r w:rsidRPr="00A070A2">
        <w:t xml:space="preserve">monto solicitado por el representante, </w:t>
      </w:r>
      <w:r>
        <w:t xml:space="preserve">el cual </w:t>
      </w:r>
      <w:r w:rsidRPr="00A070A2">
        <w:t>consideró elevado, aludiendo a que con esa clase de pretensiones se está intentando establecer a la Corte como una “instancia económica”</w:t>
      </w:r>
      <w:r w:rsidRPr="00663356">
        <w:rPr>
          <w:rStyle w:val="FootnoteReference"/>
        </w:rPr>
        <w:footnoteReference w:id="250"/>
      </w:r>
      <w:r w:rsidRPr="00A070A2">
        <w:t xml:space="preserve">. </w:t>
      </w:r>
    </w:p>
    <w:p w:rsidR="004C57E7" w:rsidRDefault="004C57E7" w:rsidP="00A47CAB">
      <w:pPr>
        <w:pStyle w:val="Estilo1"/>
        <w:numPr>
          <w:ilvl w:val="0"/>
          <w:numId w:val="0"/>
        </w:numPr>
        <w:spacing w:after="0"/>
        <w:contextualSpacing/>
      </w:pPr>
    </w:p>
    <w:p w:rsidR="00275F22" w:rsidRPr="00275F22" w:rsidRDefault="004C57E7" w:rsidP="00347658">
      <w:pPr>
        <w:pStyle w:val="Estilo1"/>
        <w:tabs>
          <w:tab w:val="clear" w:pos="18282"/>
        </w:tabs>
        <w:spacing w:after="0"/>
        <w:contextualSpacing/>
      </w:pPr>
      <w:r w:rsidRPr="00A070A2">
        <w:t>En cuanto al “daño emergente”, el Estado negó que esté demostrado un verdadero nexo causal entre lo que se incluye como daño material y los hechos del presente caso, ya que se toman en cuenta el valor de bienes inmuebles, alquileres dejados de percibir, automóviles y joyas, sin que se haya aportado algún comprobante que la pérdida de los mismos tengan relación con lo que se discute en el caso de marras.</w:t>
      </w:r>
      <w:r w:rsidRPr="00A070A2">
        <w:rPr>
          <w:b/>
        </w:rPr>
        <w:t xml:space="preserve"> </w:t>
      </w:r>
      <w:r w:rsidRPr="00A070A2">
        <w:t>Por otro lado, dijo que</w:t>
      </w:r>
      <w:r>
        <w:t xml:space="preserve"> </w:t>
      </w:r>
      <w:r w:rsidRPr="00A070A2">
        <w:rPr>
          <w:rFonts w:eastAsiaTheme="minorHAnsi" w:cs="Times"/>
        </w:rPr>
        <w:t xml:space="preserve">“el informe pericial incluye gastos médicos y por una operación quirúrgica […] sin que exista una relación entre tales gastos y los hechos del presente caso. Pretender […] que los problemas emocionales </w:t>
      </w:r>
      <w:r w:rsidRPr="00A070A2">
        <w:rPr>
          <w:rFonts w:eastAsiaTheme="minorHAnsi" w:cs="Helvetica"/>
        </w:rPr>
        <w:t xml:space="preserve">y </w:t>
      </w:r>
      <w:r w:rsidRPr="00A070A2">
        <w:rPr>
          <w:rFonts w:eastAsiaTheme="minorHAnsi" w:cs="Times"/>
        </w:rPr>
        <w:t>de estrés que llevaron a dicha intervención quirúrgica fueron los hechos de octubre de 1994 es, además de un imposible fáctico,</w:t>
      </w:r>
      <w:r w:rsidR="009F43A1">
        <w:rPr>
          <w:rFonts w:eastAsiaTheme="minorHAnsi" w:cs="Times"/>
        </w:rPr>
        <w:t xml:space="preserve"> una conclusión muy a la ligera</w:t>
      </w:r>
      <w:r w:rsidRPr="00A070A2">
        <w:rPr>
          <w:rFonts w:eastAsiaTheme="minorHAnsi" w:cs="Times"/>
        </w:rPr>
        <w:t>”</w:t>
      </w:r>
      <w:r w:rsidR="009F43A1">
        <w:rPr>
          <w:rFonts w:eastAsiaTheme="minorHAnsi" w:cs="Times"/>
        </w:rPr>
        <w:t>.</w:t>
      </w:r>
      <w:r w:rsidR="00275F22">
        <w:rPr>
          <w:b/>
        </w:rPr>
        <w:t xml:space="preserve"> </w:t>
      </w:r>
    </w:p>
    <w:p w:rsidR="004C57E7" w:rsidRDefault="00275F22" w:rsidP="00A47CAB">
      <w:pPr>
        <w:pStyle w:val="Estilo1"/>
        <w:numPr>
          <w:ilvl w:val="0"/>
          <w:numId w:val="0"/>
        </w:numPr>
        <w:spacing w:after="0"/>
        <w:contextualSpacing/>
      </w:pPr>
      <w:r>
        <w:t xml:space="preserve"> </w:t>
      </w:r>
    </w:p>
    <w:p w:rsidR="004C57E7" w:rsidRDefault="004C57E7" w:rsidP="00347658">
      <w:pPr>
        <w:pStyle w:val="Estilo1"/>
        <w:tabs>
          <w:tab w:val="clear" w:pos="18282"/>
        </w:tabs>
        <w:spacing w:after="0"/>
        <w:contextualSpacing/>
      </w:pPr>
      <w:r w:rsidRPr="00A070A2">
        <w:t>Haciendo referencia al alegado “lucro cesante”, Perú refirió que es erróneo tomar como base el salario que recibía el señor Galindo como Vocal Provisional, siendo que el señor Galindo renunció por voluntad propia al cargo que dispensaba en ese momento. Además</w:t>
      </w:r>
      <w:r>
        <w:t>,</w:t>
      </w:r>
      <w:r w:rsidRPr="00A070A2">
        <w:t xml:space="preserve"> manifestó que el señor Galindo ejercía de manera provisional el cargo de Vocal, que iba ser sustituido según lo establecido en el artículo 273 de la Ley Orgánica del Poder Judicial</w:t>
      </w:r>
      <w:r w:rsidRPr="00663356">
        <w:rPr>
          <w:rStyle w:val="FootnoteReference"/>
        </w:rPr>
        <w:footnoteReference w:id="251"/>
      </w:r>
      <w:r w:rsidRPr="00A070A2">
        <w:t>. E</w:t>
      </w:r>
      <w:r>
        <w:rPr>
          <w:rFonts w:eastAsiaTheme="minorHAnsi" w:cs="Times"/>
        </w:rPr>
        <w:t>l Estado concluyó</w:t>
      </w:r>
      <w:r w:rsidRPr="00A070A2">
        <w:rPr>
          <w:rFonts w:eastAsiaTheme="minorHAnsi" w:cs="Times"/>
        </w:rPr>
        <w:t xml:space="preserve"> que no tiene lugar la solicitud del representante en cuanto al “daño profesional”</w:t>
      </w:r>
      <w:r>
        <w:rPr>
          <w:rFonts w:eastAsiaTheme="minorHAnsi" w:cs="Times"/>
        </w:rPr>
        <w:t>,</w:t>
      </w:r>
      <w:r w:rsidRPr="00A070A2">
        <w:rPr>
          <w:rFonts w:eastAsiaTheme="minorHAnsi" w:cs="Times"/>
        </w:rPr>
        <w:t xml:space="preserve"> ya que el señor Galindo no formaba parte de la Carrera Judicial ni fue funcionario judicial de modo permanente. Perú s</w:t>
      </w:r>
      <w:r w:rsidRPr="00A070A2">
        <w:t>eñaló también que la pericia presentada por el representante tomó como base la escala remunerativa de marzo de 2014, por lo que el cálculo está mal realizado, siendo que tuvo que basarse en la escala salarial de los per</w:t>
      </w:r>
      <w:r>
        <w:t>í</w:t>
      </w:r>
      <w:r w:rsidRPr="00A070A2">
        <w:t>odos que evalúa</w:t>
      </w:r>
      <w:r w:rsidRPr="00663356">
        <w:rPr>
          <w:rStyle w:val="FootnoteReference"/>
        </w:rPr>
        <w:footnoteReference w:id="252"/>
      </w:r>
      <w:r w:rsidRPr="00A070A2">
        <w:t xml:space="preserve">. </w:t>
      </w:r>
    </w:p>
    <w:p w:rsidR="004C57E7" w:rsidRDefault="004C57E7" w:rsidP="00A47CAB">
      <w:pPr>
        <w:pStyle w:val="ListParagraph"/>
        <w:ind w:left="0"/>
      </w:pPr>
    </w:p>
    <w:p w:rsidR="004C57E7" w:rsidRPr="00A070A2" w:rsidRDefault="004C57E7" w:rsidP="00347658">
      <w:pPr>
        <w:pStyle w:val="Estilo1"/>
        <w:tabs>
          <w:tab w:val="clear" w:pos="18282"/>
        </w:tabs>
        <w:spacing w:after="0"/>
        <w:contextualSpacing/>
      </w:pPr>
      <w:r w:rsidRPr="00A070A2">
        <w:t xml:space="preserve">Respecto al daño inmaterial, el Estado consideró que “el señor Galindo no fue procesado ni condenado por un delito de terrorismo como para que su imagen se viera afectada”. Expresó también que el Estado no puede ser responsable por la difusión de los hechos por la prensa, y que si el “caso [del señor Galindo] tomó cierta notoriedad fue por el cargo que ejercía, y si luego de ello vio restringida sus posibilidades laborales, el Estado no puede ser responsable”. </w:t>
      </w:r>
      <w:r w:rsidRPr="00A070A2">
        <w:rPr>
          <w:rFonts w:eastAsiaTheme="minorHAnsi" w:cs="Times"/>
        </w:rPr>
        <w:t xml:space="preserve">Haciendo referencia al daño familiar, Perú sostuvo que </w:t>
      </w:r>
      <w:r w:rsidRPr="00A070A2">
        <w:rPr>
          <w:rFonts w:cs="Times"/>
        </w:rPr>
        <w:t>“l</w:t>
      </w:r>
      <w:r w:rsidRPr="00A070A2">
        <w:rPr>
          <w:rFonts w:eastAsiaTheme="minorHAnsi" w:cs="Times"/>
        </w:rPr>
        <w:t>os informes médicos psicológicos corresponden a fechas anteriores y no han sido corroborados en la actualidad a fin de evaluar el presunto impacto originado por los hechos</w:t>
      </w:r>
      <w:r w:rsidRPr="00A070A2">
        <w:rPr>
          <w:rFonts w:cs="Times"/>
        </w:rPr>
        <w:t xml:space="preserve"> del </w:t>
      </w:r>
      <w:r w:rsidRPr="00A070A2">
        <w:rPr>
          <w:rFonts w:eastAsiaTheme="minorHAnsi" w:cs="Times"/>
        </w:rPr>
        <w:t xml:space="preserve">presente </w:t>
      </w:r>
      <w:r w:rsidRPr="00A070A2">
        <w:rPr>
          <w:rFonts w:eastAsiaTheme="minorHAnsi" w:cs="Times"/>
        </w:rPr>
        <w:lastRenderedPageBreak/>
        <w:t>caso. De otro lado, fueron elaborados a pedid</w:t>
      </w:r>
      <w:r w:rsidRPr="00A070A2">
        <w:rPr>
          <w:rFonts w:cs="Times"/>
        </w:rPr>
        <w:t>o de parte, y por un médico no e</w:t>
      </w:r>
      <w:r w:rsidRPr="00A070A2">
        <w:rPr>
          <w:rFonts w:eastAsiaTheme="minorHAnsi" w:cs="Times"/>
        </w:rPr>
        <w:t>speciali</w:t>
      </w:r>
      <w:r w:rsidRPr="00A070A2">
        <w:rPr>
          <w:rFonts w:cs="Times"/>
        </w:rPr>
        <w:t>zad</w:t>
      </w:r>
      <w:r w:rsidRPr="00A070A2">
        <w:rPr>
          <w:rFonts w:eastAsiaTheme="minorHAnsi" w:cs="Times"/>
        </w:rPr>
        <w:t>o, por lo cual su contenido no resulta verosímil”</w:t>
      </w:r>
      <w:r w:rsidR="004F231C">
        <w:rPr>
          <w:rFonts w:eastAsiaTheme="minorHAnsi" w:cs="Times"/>
        </w:rPr>
        <w:t>.</w:t>
      </w:r>
    </w:p>
    <w:p w:rsidR="004C57E7" w:rsidRDefault="004C57E7" w:rsidP="00A47CAB">
      <w:pPr>
        <w:pStyle w:val="ListParagraph"/>
        <w:ind w:left="0"/>
        <w:rPr>
          <w:rFonts w:eastAsiaTheme="minorHAnsi" w:cs="Times"/>
        </w:rPr>
      </w:pPr>
    </w:p>
    <w:p w:rsidR="004C57E7" w:rsidRPr="00DE0D96" w:rsidRDefault="004C57E7" w:rsidP="00347658">
      <w:pPr>
        <w:pStyle w:val="Estilo1"/>
        <w:tabs>
          <w:tab w:val="clear" w:pos="18282"/>
        </w:tabs>
        <w:spacing w:after="0"/>
        <w:contextualSpacing/>
      </w:pPr>
      <w:r w:rsidRPr="00A070A2">
        <w:rPr>
          <w:rFonts w:eastAsiaTheme="minorHAnsi" w:cs="Times"/>
        </w:rPr>
        <w:t xml:space="preserve">En cuanto al daño al proyecto de vida, el Estado consideró que es un </w:t>
      </w:r>
      <w:r w:rsidR="004F231C">
        <w:rPr>
          <w:rFonts w:eastAsiaTheme="minorHAnsi" w:cs="Times"/>
        </w:rPr>
        <w:t xml:space="preserve">concepto </w:t>
      </w:r>
      <w:r w:rsidRPr="00A070A2">
        <w:rPr>
          <w:rFonts w:eastAsiaTheme="minorHAnsi" w:cs="Times"/>
        </w:rPr>
        <w:t>que la Corte ha dejado en desuso por lo difícil de establecer el mismo, sin embargo el Estado mantiene la tesis de que si hubo algún daño al proyecto de vida fue por hechos cometidos por el propio señor Galindo y que no se puede imputar al Estad</w:t>
      </w:r>
      <w:r w:rsidR="00275F22">
        <w:rPr>
          <w:rFonts w:eastAsiaTheme="minorHAnsi" w:cs="Times"/>
        </w:rPr>
        <w:t>o por activar sus instituciones</w:t>
      </w:r>
      <w:r w:rsidRPr="00A070A2">
        <w:rPr>
          <w:rFonts w:eastAsiaTheme="minorHAnsi" w:cs="Times"/>
        </w:rPr>
        <w:t xml:space="preserve">. </w:t>
      </w:r>
    </w:p>
    <w:p w:rsidR="004C57E7" w:rsidRPr="00B43296" w:rsidRDefault="004C57E7" w:rsidP="00A47CAB">
      <w:pPr>
        <w:pStyle w:val="Estilo1"/>
        <w:numPr>
          <w:ilvl w:val="0"/>
          <w:numId w:val="0"/>
        </w:numPr>
        <w:spacing w:after="0"/>
        <w:contextualSpacing/>
      </w:pPr>
    </w:p>
    <w:p w:rsidR="004C57E7" w:rsidRPr="00B631F2" w:rsidRDefault="004C57E7" w:rsidP="00347658">
      <w:pPr>
        <w:pStyle w:val="Estilo1"/>
        <w:tabs>
          <w:tab w:val="clear" w:pos="18282"/>
        </w:tabs>
        <w:spacing w:after="0"/>
        <w:contextualSpacing/>
      </w:pPr>
      <w:r w:rsidRPr="00A070A2">
        <w:t xml:space="preserve">La </w:t>
      </w:r>
      <w:r w:rsidRPr="00A070A2">
        <w:rPr>
          <w:b/>
          <w:i/>
        </w:rPr>
        <w:t>Corte</w:t>
      </w:r>
      <w:r w:rsidRPr="00A070A2">
        <w:t xml:space="preserve"> examinará los argumentos de las partes respecto al daño material e inmaterial. Al hacerlo, se centrará en argumentos respecto del daño sufrido por el señor </w:t>
      </w:r>
      <w:r w:rsidRPr="009D2DA1">
        <w:t>Galindo</w:t>
      </w:r>
      <w:r>
        <w:t xml:space="preserve">, </w:t>
      </w:r>
      <w:r w:rsidRPr="00B631F2">
        <w:t xml:space="preserve">su esposa y su hijo. </w:t>
      </w:r>
    </w:p>
    <w:p w:rsidR="004C57E7" w:rsidRPr="00D675BD" w:rsidRDefault="004C57E7" w:rsidP="00A47CAB">
      <w:pPr>
        <w:pStyle w:val="Estilo1"/>
        <w:numPr>
          <w:ilvl w:val="0"/>
          <w:numId w:val="0"/>
        </w:numPr>
        <w:spacing w:after="0"/>
        <w:rPr>
          <w:sz w:val="16"/>
        </w:rPr>
      </w:pPr>
    </w:p>
    <w:p w:rsidR="004C57E7" w:rsidRPr="00B631F2" w:rsidRDefault="004C57E7" w:rsidP="00347658">
      <w:pPr>
        <w:pStyle w:val="Estilo1"/>
        <w:tabs>
          <w:tab w:val="clear" w:pos="18282"/>
        </w:tabs>
        <w:spacing w:after="0"/>
        <w:contextualSpacing/>
      </w:pPr>
      <w:r w:rsidRPr="00A070A2">
        <w:t xml:space="preserve">Respecto al “daño emergente”, </w:t>
      </w:r>
      <w:r w:rsidR="008E71F7">
        <w:t xml:space="preserve">sobre </w:t>
      </w:r>
      <w:r w:rsidRPr="00A070A2">
        <w:t>los gastos médicos que tuvo el señor Galindo</w:t>
      </w:r>
      <w:r>
        <w:t xml:space="preserve"> </w:t>
      </w:r>
      <w:r w:rsidRPr="00B631F2">
        <w:t>como su familia</w:t>
      </w:r>
      <w:r w:rsidR="00440461">
        <w:t>,</w:t>
      </w:r>
      <w:r w:rsidRPr="00B631F2">
        <w:t xml:space="preserve"> </w:t>
      </w:r>
      <w:r w:rsidRPr="00440461">
        <w:rPr>
          <w:spacing w:val="-2"/>
        </w:rPr>
        <w:t xml:space="preserve">esta Corte </w:t>
      </w:r>
      <w:r w:rsidR="00440461" w:rsidRPr="00440461">
        <w:rPr>
          <w:spacing w:val="-2"/>
        </w:rPr>
        <w:t>considera que no está acreditado el nexo causal de dichos gastos con las violaciones declaradas en la presente Sentencia</w:t>
      </w:r>
      <w:r w:rsidRPr="00440461">
        <w:rPr>
          <w:spacing w:val="-2"/>
        </w:rPr>
        <w:t>.</w:t>
      </w:r>
      <w:r w:rsidR="00EC2BFA">
        <w:rPr>
          <w:spacing w:val="-2"/>
        </w:rPr>
        <w:t xml:space="preserve"> </w:t>
      </w:r>
    </w:p>
    <w:p w:rsidR="004C57E7" w:rsidRDefault="004C57E7" w:rsidP="00A47CAB">
      <w:pPr>
        <w:pStyle w:val="Estilo1"/>
        <w:numPr>
          <w:ilvl w:val="0"/>
          <w:numId w:val="0"/>
        </w:numPr>
        <w:spacing w:after="0"/>
        <w:contextualSpacing/>
      </w:pPr>
    </w:p>
    <w:bookmarkEnd w:id="427"/>
    <w:p w:rsidR="004C57E7" w:rsidRPr="00792174" w:rsidRDefault="004C57E7" w:rsidP="00347658">
      <w:pPr>
        <w:pStyle w:val="Estilo1"/>
        <w:tabs>
          <w:tab w:val="clear" w:pos="18282"/>
        </w:tabs>
        <w:spacing w:after="0"/>
        <w:contextualSpacing/>
        <w:rPr>
          <w:b/>
          <w:strike/>
        </w:rPr>
      </w:pPr>
      <w:r w:rsidRPr="00A070A2">
        <w:t>Por otra parte,</w:t>
      </w:r>
      <w:r w:rsidR="00B84BC8">
        <w:t xml:space="preserve"> en cuanto al aducido daño emergente respecto al cual el señor Galindo viera disminuido su patrimonio, ya </w:t>
      </w:r>
      <w:r w:rsidRPr="00A070A2">
        <w:t xml:space="preserve">que </w:t>
      </w:r>
      <w:r w:rsidR="00B84BC8">
        <w:t xml:space="preserve">tuvo </w:t>
      </w:r>
      <w:r w:rsidRPr="00A070A2">
        <w:t xml:space="preserve">vender diversos bienes para suplir la imposibilidad de obtener recursos con base en el </w:t>
      </w:r>
      <w:r w:rsidR="003A4AAE">
        <w:t>ejercicio de su profesión,</w:t>
      </w:r>
      <w:r w:rsidR="00EC2BFA">
        <w:t xml:space="preserve"> </w:t>
      </w:r>
      <w:r w:rsidR="003A4AAE">
        <w:t>l</w:t>
      </w:r>
      <w:r w:rsidRPr="00A070A2">
        <w:t>a Corte</w:t>
      </w:r>
      <w:r w:rsidR="00B84BC8">
        <w:t xml:space="preserve"> advierte que el presente alegato</w:t>
      </w:r>
      <w:r w:rsidRPr="00A070A2">
        <w:t xml:space="preserve"> </w:t>
      </w:r>
      <w:r w:rsidR="003A4AAE">
        <w:t xml:space="preserve">corresponde </w:t>
      </w:r>
      <w:r w:rsidR="00EC2BFA" w:rsidRPr="00A070A2">
        <w:t>al “lucro cesante” alegado</w:t>
      </w:r>
      <w:r w:rsidR="00EC2BFA">
        <w:t>. E</w:t>
      </w:r>
      <w:r w:rsidR="00EC2BFA" w:rsidRPr="00A070A2">
        <w:t>n efecto, el representante ha indicado que dadas las violaciones a sus derechos</w:t>
      </w:r>
      <w:r w:rsidR="00B84BC8">
        <w:t xml:space="preserve"> el señor Galindo dejó de obtener ciertos ingresos, lo que es considerado como “lucro cesante”, y que debido a esto último debió desprenderse de ciertos bienes de su patrimonio.</w:t>
      </w:r>
    </w:p>
    <w:p w:rsidR="004C57E7" w:rsidRDefault="004C57E7" w:rsidP="00A47CAB">
      <w:pPr>
        <w:pStyle w:val="Estilo1"/>
        <w:numPr>
          <w:ilvl w:val="0"/>
          <w:numId w:val="0"/>
        </w:numPr>
        <w:spacing w:after="0"/>
        <w:contextualSpacing/>
      </w:pPr>
    </w:p>
    <w:p w:rsidR="004C57E7" w:rsidRDefault="004C57E7" w:rsidP="00347658">
      <w:pPr>
        <w:pStyle w:val="Estilo1"/>
        <w:tabs>
          <w:tab w:val="clear" w:pos="18282"/>
        </w:tabs>
        <w:spacing w:after="0"/>
        <w:contextualSpacing/>
      </w:pPr>
      <w:r w:rsidRPr="00A070A2">
        <w:t>En cuanto al “lucro cesante”, el peritaje presentado por el representante basa sus conclusiones en el supuesto de la permanencia del señor Galindo en el cargo de Juez.</w:t>
      </w:r>
      <w:r>
        <w:t xml:space="preserve"> </w:t>
      </w:r>
      <w:r w:rsidRPr="00F71C43">
        <w:t>Ello no puede ser considerado por este Tribunal, en tanto que</w:t>
      </w:r>
      <w:r w:rsidR="0095204B">
        <w:t xml:space="preserve"> el señor Galindo era J</w:t>
      </w:r>
      <w:r w:rsidR="0052230F" w:rsidRPr="00F71C43">
        <w:t xml:space="preserve">uez provisional y además no se desprende de los hechos que su falta de permanencia en </w:t>
      </w:r>
      <w:r w:rsidR="00F71C43">
        <w:t xml:space="preserve">el </w:t>
      </w:r>
      <w:r w:rsidR="0052230F" w:rsidRPr="00F71C43">
        <w:t>cargo pueda relacionarse causalmente c</w:t>
      </w:r>
      <w:r w:rsidR="00F71C43">
        <w:t>on las violaciones declaradas</w:t>
      </w:r>
      <w:r w:rsidR="003364AB" w:rsidRPr="00F71C43">
        <w:t>.</w:t>
      </w:r>
      <w:r>
        <w:t xml:space="preserve"> </w:t>
      </w:r>
    </w:p>
    <w:p w:rsidR="004C57E7" w:rsidRDefault="004C57E7" w:rsidP="00A47CAB">
      <w:pPr>
        <w:pStyle w:val="ListParagraph"/>
        <w:ind w:left="0"/>
      </w:pPr>
    </w:p>
    <w:p w:rsidR="004C57E7" w:rsidRDefault="004C57E7" w:rsidP="00347658">
      <w:pPr>
        <w:pStyle w:val="Estilo1"/>
        <w:tabs>
          <w:tab w:val="clear" w:pos="18282"/>
        </w:tabs>
        <w:spacing w:after="0"/>
        <w:contextualSpacing/>
      </w:pPr>
      <w:r w:rsidRPr="00A070A2">
        <w:t>Respecto al “</w:t>
      </w:r>
      <w:r>
        <w:t xml:space="preserve">daño moral”, la Corte advierte </w:t>
      </w:r>
      <w:r w:rsidRPr="00A070A2">
        <w:t>que el representante incluyó en el mismo el alegado “daño al proyecto de vida”, centrando sus alegatos al respecto en que el señor Galindo vio “</w:t>
      </w:r>
      <w:proofErr w:type="spellStart"/>
      <w:proofErr w:type="gramStart"/>
      <w:r w:rsidRPr="00A070A2">
        <w:t>trunc</w:t>
      </w:r>
      <w:proofErr w:type="spellEnd"/>
      <w:r w:rsidRPr="00A070A2">
        <w:t>[</w:t>
      </w:r>
      <w:proofErr w:type="spellStart"/>
      <w:proofErr w:type="gramEnd"/>
      <w:r w:rsidRPr="00A070A2">
        <w:t>ado</w:t>
      </w:r>
      <w:proofErr w:type="spellEnd"/>
      <w:r w:rsidRPr="00A070A2">
        <w:t>] de manera definitiva sus aspiraciones profesionales”. Es decir, ofreci</w:t>
      </w:r>
      <w:r>
        <w:t>ó</w:t>
      </w:r>
      <w:r w:rsidRPr="00A070A2">
        <w:t xml:space="preserve"> argumentos sobre tal daño que no difieren sustancialmente de los aducidos respecto de algunos aspectos del daño material o de otros aspectos del daño inmaterial. Por ello, la Corte no hará un examen del “daño al proyecto de vida” independiente del análisis del daño inmaterial.  </w:t>
      </w:r>
    </w:p>
    <w:p w:rsidR="004C57E7" w:rsidRPr="00DE0D96" w:rsidRDefault="004C57E7" w:rsidP="00A47CAB">
      <w:pPr>
        <w:pStyle w:val="Estilo1"/>
        <w:numPr>
          <w:ilvl w:val="0"/>
          <w:numId w:val="0"/>
        </w:numPr>
        <w:spacing w:after="0"/>
        <w:rPr>
          <w:sz w:val="16"/>
        </w:rPr>
      </w:pPr>
    </w:p>
    <w:p w:rsidR="004C57E7" w:rsidRPr="00D675BD" w:rsidRDefault="004C57E7" w:rsidP="00347658">
      <w:pPr>
        <w:pStyle w:val="Estilo1"/>
        <w:tabs>
          <w:tab w:val="clear" w:pos="18282"/>
        </w:tabs>
        <w:spacing w:after="0"/>
        <w:contextualSpacing/>
        <w:rPr>
          <w:b/>
          <w:sz w:val="24"/>
        </w:rPr>
      </w:pPr>
      <w:r w:rsidRPr="009D2DA1">
        <w:t>Sin perjuicio de lo dicho, así como de tener en consideración que las reparaciones relativas a la investigación</w:t>
      </w:r>
      <w:r w:rsidR="00B631F2">
        <w:t xml:space="preserve">, </w:t>
      </w:r>
      <w:r w:rsidR="00476086">
        <w:t>y a la difusión de esta S</w:t>
      </w:r>
      <w:r w:rsidRPr="009D2DA1">
        <w:t xml:space="preserve">entencia que se ordenaron anteriormente significan una reparación del daño inmaterial, la Corte, </w:t>
      </w:r>
      <w:r>
        <w:t>teniendo en cuenta</w:t>
      </w:r>
      <w:r w:rsidRPr="009D2DA1">
        <w:t xml:space="preserve"> las violaciones declaradas, considera pertinente en el presente caso determinar, en equidad, el pago de una suma de dinero al señor Galindo</w:t>
      </w:r>
      <w:r>
        <w:t xml:space="preserve">, </w:t>
      </w:r>
      <w:r w:rsidR="0097645D">
        <w:t>como</w:t>
      </w:r>
      <w:r w:rsidRPr="009D2DA1">
        <w:t xml:space="preserve"> resarcimiento. Por ello, este </w:t>
      </w:r>
      <w:r w:rsidRPr="00B631F2">
        <w:t>Tribunal</w:t>
      </w:r>
      <w:r w:rsidR="0097645D" w:rsidRPr="00B631F2">
        <w:t>, en equidad,</w:t>
      </w:r>
      <w:r w:rsidRPr="009D2DA1">
        <w:t xml:space="preserve"> ordena al Estado entregar</w:t>
      </w:r>
      <w:r>
        <w:t xml:space="preserve"> al señor Galindo</w:t>
      </w:r>
      <w:r w:rsidR="00F1070D">
        <w:t xml:space="preserve"> Cárdenas</w:t>
      </w:r>
      <w:r>
        <w:t xml:space="preserve"> la suma de </w:t>
      </w:r>
      <w:r w:rsidRPr="00B631F2">
        <w:rPr>
          <w:spacing w:val="-2"/>
        </w:rPr>
        <w:t>USD $50.000,00 (cincuenta mil dólares de los Estados Unidos de América)</w:t>
      </w:r>
      <w:r w:rsidR="00B631F2">
        <w:rPr>
          <w:b/>
          <w:spacing w:val="-2"/>
        </w:rPr>
        <w:t xml:space="preserve"> </w:t>
      </w:r>
      <w:r w:rsidR="00D40774" w:rsidRPr="00F810F3">
        <w:rPr>
          <w:spacing w:val="-2"/>
        </w:rPr>
        <w:t xml:space="preserve">por concepto de </w:t>
      </w:r>
      <w:r w:rsidR="00D40774" w:rsidRPr="00F810F3">
        <w:t>daños material e inmaterial</w:t>
      </w:r>
      <w:r w:rsidR="00B631F2" w:rsidRPr="00F9031D">
        <w:t>.</w:t>
      </w:r>
      <w:r w:rsidR="00D40774" w:rsidRPr="00F810F3">
        <w:rPr>
          <w:spacing w:val="-2"/>
        </w:rPr>
        <w:t xml:space="preserve"> </w:t>
      </w:r>
      <w:r w:rsidR="00B631F2" w:rsidRPr="00F9031D">
        <w:rPr>
          <w:spacing w:val="-2"/>
        </w:rPr>
        <w:t>Por otro lado,</w:t>
      </w:r>
      <w:r w:rsidR="0097645D" w:rsidRPr="00F9031D">
        <w:rPr>
          <w:spacing w:val="-2"/>
        </w:rPr>
        <w:t xml:space="preserve"> </w:t>
      </w:r>
      <w:r w:rsidR="00D40774" w:rsidRPr="00F810F3">
        <w:rPr>
          <w:spacing w:val="-2"/>
        </w:rPr>
        <w:t xml:space="preserve">la Corte, </w:t>
      </w:r>
      <w:r w:rsidR="008A782A" w:rsidRPr="00F9031D">
        <w:rPr>
          <w:spacing w:val="-2"/>
        </w:rPr>
        <w:t>en equidad,</w:t>
      </w:r>
      <w:r w:rsidR="00D40774" w:rsidRPr="00F810F3">
        <w:rPr>
          <w:spacing w:val="-2"/>
        </w:rPr>
        <w:t xml:space="preserve"> considera que el Estado otorgue la suma USD $5.000,00 (cinco mil dólares de los Estados Unidos de América) </w:t>
      </w:r>
      <w:r w:rsidR="00D40774" w:rsidRPr="00F810F3">
        <w:t xml:space="preserve">para cada uno de sus familiares, </w:t>
      </w:r>
      <w:r w:rsidR="00D40774" w:rsidRPr="00F810F3">
        <w:rPr>
          <w:szCs w:val="16"/>
        </w:rPr>
        <w:t xml:space="preserve">su esposa </w:t>
      </w:r>
      <w:r w:rsidR="00D40774" w:rsidRPr="00F810F3">
        <w:rPr>
          <w:szCs w:val="16"/>
          <w:lang w:val="es-CO"/>
        </w:rPr>
        <w:t xml:space="preserve">Irma Díaz de Galindo </w:t>
      </w:r>
      <w:r w:rsidR="00D40774" w:rsidRPr="00F810F3">
        <w:rPr>
          <w:szCs w:val="16"/>
        </w:rPr>
        <w:t xml:space="preserve">y su hijo </w:t>
      </w:r>
      <w:r w:rsidR="00D40774" w:rsidRPr="00F810F3">
        <w:rPr>
          <w:szCs w:val="16"/>
          <w:lang w:val="es-CO"/>
        </w:rPr>
        <w:t xml:space="preserve">Luis </w:t>
      </w:r>
      <w:proofErr w:type="spellStart"/>
      <w:r w:rsidR="00D40774" w:rsidRPr="00F810F3">
        <w:rPr>
          <w:szCs w:val="16"/>
          <w:lang w:val="es-CO"/>
        </w:rPr>
        <w:t>Idelso</w:t>
      </w:r>
      <w:proofErr w:type="spellEnd"/>
      <w:r w:rsidR="00D40774" w:rsidRPr="00F810F3">
        <w:rPr>
          <w:szCs w:val="16"/>
          <w:lang w:val="es-CO"/>
        </w:rPr>
        <w:t xml:space="preserve"> Galindo Díaz, por</w:t>
      </w:r>
      <w:r w:rsidR="00D40774" w:rsidRPr="00F810F3">
        <w:rPr>
          <w:spacing w:val="-2"/>
        </w:rPr>
        <w:t xml:space="preserve"> concepto de daño inmaterial</w:t>
      </w:r>
      <w:r w:rsidR="00D40774" w:rsidRPr="00F810F3">
        <w:rPr>
          <w:szCs w:val="16"/>
          <w:lang w:val="es-CO"/>
        </w:rPr>
        <w:t>.</w:t>
      </w:r>
      <w:r w:rsidRPr="00D675BD">
        <w:rPr>
          <w:rFonts w:eastAsia="Times New Roman"/>
          <w:b/>
          <w:sz w:val="24"/>
        </w:rPr>
        <w:t xml:space="preserve"> </w:t>
      </w:r>
    </w:p>
    <w:p w:rsidR="004C57E7" w:rsidRDefault="004C57E7" w:rsidP="004C57E7">
      <w:pPr>
        <w:contextualSpacing/>
        <w:rPr>
          <w:szCs w:val="20"/>
        </w:rPr>
      </w:pPr>
    </w:p>
    <w:p w:rsidR="002B2FEB" w:rsidRPr="00663356" w:rsidRDefault="002B2FEB" w:rsidP="004C57E7">
      <w:pPr>
        <w:contextualSpacing/>
        <w:rPr>
          <w:szCs w:val="20"/>
        </w:rPr>
      </w:pPr>
    </w:p>
    <w:p w:rsidR="004C57E7" w:rsidRPr="005D4D50" w:rsidRDefault="004C57E7" w:rsidP="005D3491">
      <w:pPr>
        <w:pStyle w:val="Heading2"/>
        <w:numPr>
          <w:ilvl w:val="0"/>
          <w:numId w:val="19"/>
        </w:numPr>
        <w:ind w:left="567" w:firstLine="0"/>
        <w:jc w:val="left"/>
        <w:rPr>
          <w:rFonts w:eastAsia="Calibri"/>
          <w:bCs w:val="0"/>
          <w:color w:val="auto"/>
          <w:spacing w:val="0"/>
          <w:w w:val="100"/>
          <w:lang w:val="es-ES"/>
        </w:rPr>
      </w:pPr>
      <w:bookmarkStart w:id="433" w:name="_Toc418530514"/>
      <w:bookmarkStart w:id="434" w:name="_Toc420941771"/>
      <w:bookmarkStart w:id="435" w:name="_Toc424313514"/>
      <w:bookmarkStart w:id="436" w:name="_Toc430869823"/>
      <w:bookmarkStart w:id="437" w:name="_Toc438129748"/>
      <w:r w:rsidRPr="005D4D50">
        <w:rPr>
          <w:rFonts w:eastAsia="Calibri"/>
          <w:bCs w:val="0"/>
          <w:color w:val="auto"/>
          <w:spacing w:val="0"/>
          <w:w w:val="100"/>
          <w:lang w:val="es-ES"/>
        </w:rPr>
        <w:lastRenderedPageBreak/>
        <w:t>Costas y gastos</w:t>
      </w:r>
      <w:bookmarkEnd w:id="433"/>
      <w:bookmarkEnd w:id="434"/>
      <w:bookmarkEnd w:id="435"/>
      <w:bookmarkEnd w:id="436"/>
      <w:bookmarkEnd w:id="437"/>
    </w:p>
    <w:p w:rsidR="004C57E7" w:rsidRPr="00A070A2" w:rsidRDefault="004C57E7" w:rsidP="004C57E7">
      <w:pPr>
        <w:pStyle w:val="Estilo1"/>
        <w:numPr>
          <w:ilvl w:val="0"/>
          <w:numId w:val="0"/>
        </w:numPr>
        <w:spacing w:after="0"/>
        <w:ind w:left="567"/>
        <w:contextualSpacing/>
      </w:pPr>
    </w:p>
    <w:p w:rsidR="004C57E7" w:rsidRPr="00A070A2" w:rsidRDefault="004C57E7" w:rsidP="00347658">
      <w:pPr>
        <w:pStyle w:val="Estilo1"/>
        <w:tabs>
          <w:tab w:val="clear" w:pos="18282"/>
        </w:tabs>
        <w:spacing w:after="0"/>
        <w:contextualSpacing/>
      </w:pPr>
      <w:r w:rsidRPr="00A070A2">
        <w:t>El</w:t>
      </w:r>
      <w:r w:rsidRPr="00A070A2">
        <w:rPr>
          <w:i/>
        </w:rPr>
        <w:t xml:space="preserve"> </w:t>
      </w:r>
      <w:r w:rsidRPr="00A070A2">
        <w:rPr>
          <w:b/>
          <w:i/>
        </w:rPr>
        <w:t>representante</w:t>
      </w:r>
      <w:r w:rsidRPr="00A070A2">
        <w:t xml:space="preserve"> solicitó “[o]</w:t>
      </w:r>
      <w:proofErr w:type="spellStart"/>
      <w:r w:rsidRPr="00A070A2">
        <w:rPr>
          <w:rFonts w:cs="Times"/>
          <w:bCs/>
        </w:rPr>
        <w:t>rdenar</w:t>
      </w:r>
      <w:proofErr w:type="spellEnd"/>
      <w:r w:rsidRPr="00A070A2">
        <w:rPr>
          <w:rFonts w:cs="Times"/>
          <w:bCs/>
        </w:rPr>
        <w:t xml:space="preserve"> el pago de </w:t>
      </w:r>
      <w:r w:rsidR="00C36BC5">
        <w:rPr>
          <w:rFonts w:cs="Times"/>
          <w:bCs/>
        </w:rPr>
        <w:t>[</w:t>
      </w:r>
      <w:r w:rsidRPr="00A070A2">
        <w:rPr>
          <w:rFonts w:cs="Times"/>
          <w:bCs/>
        </w:rPr>
        <w:t>c</w:t>
      </w:r>
      <w:r w:rsidR="00C36BC5">
        <w:rPr>
          <w:rFonts w:cs="Times"/>
          <w:bCs/>
        </w:rPr>
        <w:t>]</w:t>
      </w:r>
      <w:r w:rsidRPr="00A070A2">
        <w:rPr>
          <w:rFonts w:cs="Times"/>
          <w:bCs/>
        </w:rPr>
        <w:t xml:space="preserve">ostas y </w:t>
      </w:r>
      <w:r w:rsidR="00C36BC5">
        <w:rPr>
          <w:rFonts w:cs="Times"/>
          <w:bCs/>
        </w:rPr>
        <w:t>[</w:t>
      </w:r>
      <w:r w:rsidRPr="00A070A2">
        <w:rPr>
          <w:rFonts w:cs="Times"/>
          <w:bCs/>
        </w:rPr>
        <w:t>g</w:t>
      </w:r>
      <w:r w:rsidR="00C36BC5">
        <w:rPr>
          <w:rFonts w:cs="Times"/>
          <w:bCs/>
        </w:rPr>
        <w:t>]</w:t>
      </w:r>
      <w:proofErr w:type="spellStart"/>
      <w:r w:rsidRPr="00A070A2">
        <w:rPr>
          <w:rFonts w:cs="Times"/>
          <w:bCs/>
        </w:rPr>
        <w:t>astos</w:t>
      </w:r>
      <w:proofErr w:type="spellEnd"/>
      <w:r w:rsidRPr="00A070A2">
        <w:rPr>
          <w:rFonts w:cs="Times"/>
          <w:bCs/>
        </w:rPr>
        <w:t xml:space="preserve">, </w:t>
      </w:r>
      <w:r w:rsidR="00C36BC5">
        <w:rPr>
          <w:rFonts w:cs="Times"/>
          <w:bCs/>
        </w:rPr>
        <w:t>[</w:t>
      </w:r>
      <w:r w:rsidRPr="00A070A2">
        <w:rPr>
          <w:rFonts w:cs="Times"/>
          <w:bCs/>
        </w:rPr>
        <w:t>j</w:t>
      </w:r>
      <w:r w:rsidR="00C36BC5">
        <w:rPr>
          <w:rFonts w:cs="Times"/>
          <w:bCs/>
        </w:rPr>
        <w:t>]</w:t>
      </w:r>
      <w:proofErr w:type="spellStart"/>
      <w:r w:rsidRPr="00A070A2">
        <w:rPr>
          <w:rFonts w:cs="Times"/>
          <w:bCs/>
        </w:rPr>
        <w:t>udiciales</w:t>
      </w:r>
      <w:proofErr w:type="spellEnd"/>
      <w:r w:rsidRPr="00A070A2">
        <w:rPr>
          <w:rFonts w:cs="Times"/>
          <w:bCs/>
        </w:rPr>
        <w:t xml:space="preserve"> </w:t>
      </w:r>
      <w:r w:rsidR="00C36BC5">
        <w:rPr>
          <w:rFonts w:cs="Times"/>
          <w:bCs/>
        </w:rPr>
        <w:t xml:space="preserve">[…] </w:t>
      </w:r>
      <w:r w:rsidRPr="00A070A2">
        <w:rPr>
          <w:rFonts w:cs="Times"/>
          <w:bCs/>
        </w:rPr>
        <w:t xml:space="preserve">tanto a nivel interno como internacional </w:t>
      </w:r>
      <w:r w:rsidR="009F4F83">
        <w:rPr>
          <w:rFonts w:cs="Times"/>
          <w:bCs/>
        </w:rPr>
        <w:t>[</w:t>
      </w:r>
      <w:r w:rsidRPr="00A070A2">
        <w:rPr>
          <w:rFonts w:cs="Times"/>
          <w:bCs/>
        </w:rPr>
        <w:t>y</w:t>
      </w:r>
      <w:r w:rsidR="009F4F83">
        <w:rPr>
          <w:rFonts w:cs="Times"/>
          <w:bCs/>
        </w:rPr>
        <w:t>]</w:t>
      </w:r>
      <w:r w:rsidRPr="00A070A2">
        <w:rPr>
          <w:rFonts w:cs="Times"/>
          <w:bCs/>
        </w:rPr>
        <w:t xml:space="preserve"> que estima en </w:t>
      </w:r>
      <w:r w:rsidRPr="00A070A2">
        <w:rPr>
          <w:rFonts w:cs="Times"/>
        </w:rPr>
        <w:t xml:space="preserve">S/. </w:t>
      </w:r>
      <w:r w:rsidRPr="00A070A2">
        <w:rPr>
          <w:rFonts w:cs="Times"/>
          <w:bCs/>
        </w:rPr>
        <w:t>10,993.80 nuevos soles y</w:t>
      </w:r>
      <w:r>
        <w:rPr>
          <w:rFonts w:cs="Times"/>
          <w:bCs/>
        </w:rPr>
        <w:t xml:space="preserve"> </w:t>
      </w:r>
      <w:r w:rsidR="009F4F83">
        <w:rPr>
          <w:rFonts w:cs="Times"/>
          <w:bCs/>
        </w:rPr>
        <w:t>[</w:t>
      </w:r>
      <w:r>
        <w:rPr>
          <w:rFonts w:cs="Times"/>
          <w:bCs/>
        </w:rPr>
        <w:t>en</w:t>
      </w:r>
      <w:r w:rsidRPr="00A070A2">
        <w:rPr>
          <w:rFonts w:cs="Times"/>
          <w:bCs/>
        </w:rPr>
        <w:t xml:space="preserve"> US$</w:t>
      </w:r>
      <w:r w:rsidR="009F4F83">
        <w:rPr>
          <w:rFonts w:cs="Times"/>
          <w:bCs/>
        </w:rPr>
        <w:t>]</w:t>
      </w:r>
      <w:r w:rsidRPr="00A070A2">
        <w:rPr>
          <w:rFonts w:cs="Times"/>
          <w:bCs/>
        </w:rPr>
        <w:t xml:space="preserve"> 10</w:t>
      </w:r>
      <w:proofErr w:type="gramStart"/>
      <w:r w:rsidRPr="00A070A2">
        <w:rPr>
          <w:rFonts w:cs="Times"/>
          <w:bCs/>
        </w:rPr>
        <w:t>,614,66</w:t>
      </w:r>
      <w:proofErr w:type="gramEnd"/>
      <w:r w:rsidRPr="00A070A2">
        <w:rPr>
          <w:rFonts w:cs="Times"/>
          <w:bCs/>
        </w:rPr>
        <w:t xml:space="preserve"> dólares americanos, los mismos que señala estarán sujetos a incrementos por la actividad procesal todavía a realizar”.</w:t>
      </w:r>
    </w:p>
    <w:p w:rsidR="004C57E7" w:rsidRPr="00A070A2" w:rsidRDefault="004C57E7" w:rsidP="00A47CAB">
      <w:pPr>
        <w:pStyle w:val="Estilo1"/>
        <w:numPr>
          <w:ilvl w:val="0"/>
          <w:numId w:val="0"/>
        </w:numPr>
        <w:spacing w:after="0"/>
        <w:contextualSpacing/>
      </w:pPr>
    </w:p>
    <w:p w:rsidR="004C57E7" w:rsidRPr="00A070A2" w:rsidRDefault="004C57E7" w:rsidP="00347658">
      <w:pPr>
        <w:pStyle w:val="Estilo1"/>
        <w:tabs>
          <w:tab w:val="clear" w:pos="18282"/>
        </w:tabs>
        <w:spacing w:after="0"/>
        <w:contextualSpacing/>
      </w:pPr>
      <w:r w:rsidRPr="00A070A2">
        <w:t xml:space="preserve">El </w:t>
      </w:r>
      <w:r w:rsidRPr="00A070A2">
        <w:rPr>
          <w:b/>
          <w:i/>
        </w:rPr>
        <w:t>Estado</w:t>
      </w:r>
      <w:r w:rsidRPr="00A070A2">
        <w:t xml:space="preserve"> alegó que la Corte debe tomar en c</w:t>
      </w:r>
      <w:r>
        <w:t>uenta</w:t>
      </w:r>
      <w:r w:rsidRPr="00A070A2">
        <w:t xml:space="preserve"> que las costas sólo son consideradas como tal si son gastos necesarios y razonables para poder tener acceso al Sistema Interamericano, los cuales deben estar debidamente </w:t>
      </w:r>
      <w:proofErr w:type="spellStart"/>
      <w:r w:rsidRPr="00A070A2">
        <w:t>doc</w:t>
      </w:r>
      <w:r>
        <w:t>umentariados</w:t>
      </w:r>
      <w:proofErr w:type="spellEnd"/>
      <w:r>
        <w:t xml:space="preserve"> y probados. Señaló</w:t>
      </w:r>
      <w:r w:rsidRPr="00A070A2">
        <w:t xml:space="preserve"> que en el caso de marras </w:t>
      </w:r>
      <w:r w:rsidRPr="00A070A2">
        <w:rPr>
          <w:rFonts w:eastAsiaTheme="minorHAnsi" w:cs="Times"/>
        </w:rPr>
        <w:t>“</w:t>
      </w:r>
      <w:r>
        <w:rPr>
          <w:rFonts w:eastAsiaTheme="minorHAnsi" w:cs="Times"/>
        </w:rPr>
        <w:t>[e]</w:t>
      </w:r>
      <w:r w:rsidRPr="00A070A2">
        <w:rPr>
          <w:rFonts w:eastAsiaTheme="minorHAnsi" w:cs="Times"/>
        </w:rPr>
        <w:t xml:space="preserve">n particular, se observa multiplicidad de gastos relacionados con envíos de servicios postales hacia el extranjero, pasajes internos de familiares a la ciudad de Huánuco, reiterados viajes del señor Galindo </w:t>
      </w:r>
      <w:r w:rsidRPr="00A070A2">
        <w:rPr>
          <w:rFonts w:eastAsiaTheme="minorHAnsi" w:cs="Helvetica"/>
        </w:rPr>
        <w:t xml:space="preserve">y </w:t>
      </w:r>
      <w:r w:rsidRPr="00A070A2">
        <w:rPr>
          <w:rFonts w:eastAsiaTheme="minorHAnsi" w:cs="Times"/>
        </w:rPr>
        <w:t xml:space="preserve">otros familiares a las ciudades de Miami, Tampa </w:t>
      </w:r>
      <w:r w:rsidRPr="00A070A2">
        <w:rPr>
          <w:rFonts w:eastAsiaTheme="minorHAnsi" w:cs="Helvetica"/>
        </w:rPr>
        <w:t xml:space="preserve">y </w:t>
      </w:r>
      <w:r w:rsidRPr="00A070A2">
        <w:rPr>
          <w:rFonts w:eastAsiaTheme="minorHAnsi" w:cs="Times"/>
        </w:rPr>
        <w:t>Washington D</w:t>
      </w:r>
      <w:r>
        <w:rPr>
          <w:rFonts w:eastAsiaTheme="minorHAnsi" w:cs="Times"/>
        </w:rPr>
        <w:t>.</w:t>
      </w:r>
      <w:r w:rsidRPr="00A070A2">
        <w:rPr>
          <w:rFonts w:eastAsiaTheme="minorHAnsi" w:cs="Times"/>
        </w:rPr>
        <w:t>C</w:t>
      </w:r>
      <w:r>
        <w:rPr>
          <w:rFonts w:eastAsiaTheme="minorHAnsi" w:cs="Times"/>
        </w:rPr>
        <w:t>.</w:t>
      </w:r>
      <w:r w:rsidRPr="00A070A2">
        <w:rPr>
          <w:rFonts w:eastAsiaTheme="minorHAnsi" w:cs="Times"/>
        </w:rPr>
        <w:t xml:space="preserve"> (USA) así como viáticos, gastos por la elaboración de un peritaje, entre otros, sin que se especifique la necesidad </w:t>
      </w:r>
      <w:r w:rsidRPr="00A070A2">
        <w:rPr>
          <w:rFonts w:eastAsiaTheme="minorHAnsi" w:cs="Helvetica"/>
        </w:rPr>
        <w:t xml:space="preserve">y </w:t>
      </w:r>
      <w:r w:rsidRPr="00A070A2">
        <w:rPr>
          <w:rFonts w:eastAsiaTheme="minorHAnsi" w:cs="Times"/>
        </w:rPr>
        <w:t>razonabilidad de los mismos”.</w:t>
      </w:r>
    </w:p>
    <w:p w:rsidR="004C57E7" w:rsidRDefault="004C57E7" w:rsidP="00A47CAB">
      <w:pPr>
        <w:pStyle w:val="ListParagraph"/>
        <w:ind w:left="0"/>
      </w:pPr>
    </w:p>
    <w:p w:rsidR="004C57E7" w:rsidRDefault="004C57E7" w:rsidP="00347658">
      <w:pPr>
        <w:pStyle w:val="Estilo1"/>
        <w:tabs>
          <w:tab w:val="clear" w:pos="18282"/>
        </w:tabs>
        <w:spacing w:after="0"/>
        <w:contextualSpacing/>
      </w:pPr>
      <w:r w:rsidRPr="00A070A2">
        <w:t xml:space="preserve">La </w:t>
      </w:r>
      <w:r w:rsidRPr="00A070A2">
        <w:rPr>
          <w:b/>
          <w:i/>
        </w:rPr>
        <w:t>Comisión</w:t>
      </w:r>
      <w:r w:rsidRPr="00A070A2">
        <w:rPr>
          <w:b/>
        </w:rPr>
        <w:t xml:space="preserve"> </w:t>
      </w:r>
      <w:r w:rsidRPr="00A070A2">
        <w:t>no presentó observaciones al respecto.</w:t>
      </w:r>
    </w:p>
    <w:p w:rsidR="004C57E7" w:rsidRPr="00B43296" w:rsidRDefault="004C57E7" w:rsidP="00A47CAB">
      <w:pPr>
        <w:rPr>
          <w:rFonts w:eastAsia="MS Mincho"/>
        </w:rPr>
      </w:pPr>
    </w:p>
    <w:p w:rsidR="008E71F7" w:rsidRDefault="004C57E7" w:rsidP="00347658">
      <w:pPr>
        <w:pStyle w:val="Estilo1"/>
        <w:tabs>
          <w:tab w:val="clear" w:pos="18282"/>
        </w:tabs>
        <w:spacing w:after="0"/>
        <w:contextualSpacing/>
      </w:pPr>
      <w:r w:rsidRPr="00A070A2">
        <w:rPr>
          <w:rFonts w:eastAsia="MS Mincho"/>
        </w:rPr>
        <w:t xml:space="preserve">La </w:t>
      </w:r>
      <w:r w:rsidRPr="00A070A2">
        <w:rPr>
          <w:rFonts w:eastAsia="MS Mincho"/>
          <w:b/>
          <w:i/>
        </w:rPr>
        <w:t>Corte</w:t>
      </w:r>
      <w:r w:rsidRPr="00A070A2">
        <w:rPr>
          <w:rFonts w:eastAsia="MS Mincho"/>
        </w:rPr>
        <w:t xml:space="preserve"> reitera que, conforme a su jurisprudencia, las costas y gastos hacen parte del concepto de reparación, toda vez que las actividades desplegadas por las víctimas con el fin de obtener justicia, tanto a nivel </w:t>
      </w:r>
      <w:r w:rsidRPr="00A070A2">
        <w:t>nacional</w:t>
      </w:r>
      <w:r w:rsidRPr="00A070A2">
        <w:rPr>
          <w:rFonts w:eastAsia="MS Mincho"/>
        </w:rPr>
        <w:t xml:space="preserve"> como internacional, implican erogaciones que deben ser compensadas cuando la responsabilidad internacional del Estado es declarada mediante una sentencia condenatoria. </w:t>
      </w:r>
      <w:r w:rsidRPr="00A070A2">
        <w:rPr>
          <w:rFonts w:cs="Verdana-Italic"/>
          <w:lang w:bidi="en-US"/>
        </w:rPr>
        <w:t>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663356">
        <w:rPr>
          <w:rStyle w:val="FootnoteReference"/>
          <w:rFonts w:cs="Verdana-Italic"/>
          <w:lang w:bidi="en-US"/>
        </w:rPr>
        <w:footnoteReference w:id="253"/>
      </w:r>
      <w:r w:rsidRPr="00A070A2">
        <w:rPr>
          <w:rFonts w:cs="Verdana-Italic"/>
          <w:lang w:bidi="en-US"/>
        </w:rPr>
        <w:t>.</w:t>
      </w:r>
    </w:p>
    <w:p w:rsidR="008E71F7" w:rsidRDefault="008E71F7" w:rsidP="00A47CAB">
      <w:pPr>
        <w:pStyle w:val="ListParagraph"/>
        <w:ind w:left="0"/>
        <w:rPr>
          <w:rFonts w:eastAsia="MS Mincho"/>
        </w:rPr>
      </w:pPr>
    </w:p>
    <w:p w:rsidR="008E71F7" w:rsidRPr="008E71F7" w:rsidRDefault="004C57E7" w:rsidP="00347658">
      <w:pPr>
        <w:pStyle w:val="Estilo1"/>
        <w:tabs>
          <w:tab w:val="clear" w:pos="18282"/>
        </w:tabs>
        <w:spacing w:after="0"/>
        <w:contextualSpacing/>
      </w:pPr>
      <w:r w:rsidRPr="008E71F7">
        <w:rPr>
          <w:rFonts w:eastAsia="MS Mincho"/>
        </w:rPr>
        <w:t xml:space="preserve">En cuanto al reembolso de gastos,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w:t>
      </w:r>
      <w:r w:rsidRPr="00A070A2">
        <w:t>protección</w:t>
      </w:r>
      <w:r w:rsidRPr="008E71F7">
        <w:rPr>
          <w:rFonts w:eastAsia="MS Mincho"/>
        </w:rPr>
        <w:t xml:space="preserve"> de los derechos humanos. </w:t>
      </w:r>
    </w:p>
    <w:p w:rsidR="008E71F7" w:rsidRDefault="008E71F7" w:rsidP="00A47CAB">
      <w:pPr>
        <w:pStyle w:val="ListParagraph"/>
        <w:ind w:left="0"/>
        <w:rPr>
          <w:b/>
          <w:spacing w:val="-2"/>
        </w:rPr>
      </w:pPr>
    </w:p>
    <w:p w:rsidR="004C57E7" w:rsidRPr="00524196" w:rsidRDefault="004C57E7" w:rsidP="00347658">
      <w:pPr>
        <w:pStyle w:val="Estilo1"/>
        <w:tabs>
          <w:tab w:val="clear" w:pos="18282"/>
        </w:tabs>
        <w:spacing w:after="0"/>
        <w:contextualSpacing/>
      </w:pPr>
      <w:r w:rsidRPr="00524196">
        <w:rPr>
          <w:spacing w:val="-2"/>
        </w:rPr>
        <w:t>En el presente caso,</w:t>
      </w:r>
      <w:r w:rsidR="00BD4E01" w:rsidRPr="00BD4E01">
        <w:rPr>
          <w:color w:val="000000" w:themeColor="text1"/>
        </w:rPr>
        <w:t xml:space="preserve"> </w:t>
      </w:r>
      <w:r w:rsidR="00BD4E01" w:rsidRPr="009C162C">
        <w:rPr>
          <w:color w:val="000000" w:themeColor="text1"/>
        </w:rPr>
        <w:t>en consideración de la argumentación del representante en relación con la solicitud de costas y gastos</w:t>
      </w:r>
      <w:r w:rsidR="00C32BEC">
        <w:rPr>
          <w:color w:val="000000" w:themeColor="text1"/>
        </w:rPr>
        <w:t xml:space="preserve"> y la prueba aportada</w:t>
      </w:r>
      <w:r w:rsidR="00BD4E01" w:rsidRPr="009C162C">
        <w:rPr>
          <w:color w:val="000000" w:themeColor="text1"/>
        </w:rPr>
        <w:t xml:space="preserve">, la Corte ha constatado que en algunos casos no </w:t>
      </w:r>
      <w:r w:rsidR="009C162C">
        <w:rPr>
          <w:color w:val="000000" w:themeColor="text1"/>
        </w:rPr>
        <w:t xml:space="preserve">hay justificación </w:t>
      </w:r>
      <w:r w:rsidR="00BD4E01" w:rsidRPr="009C162C">
        <w:rPr>
          <w:color w:val="000000" w:themeColor="text1"/>
        </w:rPr>
        <w:t>de los montos solicitados</w:t>
      </w:r>
      <w:r w:rsidR="00CF424C">
        <w:rPr>
          <w:color w:val="000000" w:themeColor="text1"/>
        </w:rPr>
        <w:t xml:space="preserve"> y su relación con el proceso</w:t>
      </w:r>
      <w:r w:rsidR="009C6F7D">
        <w:rPr>
          <w:color w:val="000000" w:themeColor="text1"/>
        </w:rPr>
        <w:t>.</w:t>
      </w:r>
      <w:r w:rsidR="00C32BEC">
        <w:rPr>
          <w:spacing w:val="-2"/>
        </w:rPr>
        <w:t xml:space="preserve"> E</w:t>
      </w:r>
      <w:r w:rsidRPr="00524196">
        <w:rPr>
          <w:spacing w:val="-2"/>
        </w:rPr>
        <w:t>st</w:t>
      </w:r>
      <w:r w:rsidR="00524196" w:rsidRPr="00524196">
        <w:rPr>
          <w:spacing w:val="-2"/>
        </w:rPr>
        <w:t xml:space="preserve">e Tribunal </w:t>
      </w:r>
      <w:r w:rsidR="00C32BEC">
        <w:rPr>
          <w:spacing w:val="-2"/>
        </w:rPr>
        <w:t xml:space="preserve">considera que </w:t>
      </w:r>
      <w:r w:rsidR="00C32BEC" w:rsidRPr="00F810F3">
        <w:rPr>
          <w:spacing w:val="-2"/>
        </w:rPr>
        <w:t>el representante</w:t>
      </w:r>
      <w:r w:rsidR="00C32BEC" w:rsidRPr="00524196">
        <w:rPr>
          <w:spacing w:val="-2"/>
        </w:rPr>
        <w:t xml:space="preserve"> realiz</w:t>
      </w:r>
      <w:r w:rsidR="009C6F7D">
        <w:rPr>
          <w:spacing w:val="-2"/>
        </w:rPr>
        <w:t>ó diversas</w:t>
      </w:r>
      <w:r w:rsidR="00C32BEC" w:rsidRPr="00524196">
        <w:rPr>
          <w:spacing w:val="-2"/>
        </w:rPr>
        <w:t xml:space="preserve"> erogaciones económicas</w:t>
      </w:r>
      <w:r w:rsidR="00C32BEC">
        <w:rPr>
          <w:spacing w:val="-2"/>
        </w:rPr>
        <w:t xml:space="preserve"> relativa</w:t>
      </w:r>
      <w:r w:rsidRPr="00524196">
        <w:rPr>
          <w:spacing w:val="-2"/>
        </w:rPr>
        <w:t>s al ejerc</w:t>
      </w:r>
      <w:r w:rsidR="009C6F7D">
        <w:rPr>
          <w:spacing w:val="-2"/>
        </w:rPr>
        <w:t xml:space="preserve">icio de su representación legal, así como otras erogaciones por concepto de envíos postales, boletos aéreos, entre otros, </w:t>
      </w:r>
      <w:r w:rsidRPr="00524196">
        <w:rPr>
          <w:spacing w:val="-2"/>
        </w:rPr>
        <w:t xml:space="preserve">durante el </w:t>
      </w:r>
      <w:r w:rsidR="00C32BEC">
        <w:rPr>
          <w:spacing w:val="-2"/>
        </w:rPr>
        <w:t>proceso ante la Comisión y la Corte</w:t>
      </w:r>
      <w:r w:rsidRPr="00524196">
        <w:rPr>
          <w:spacing w:val="-2"/>
        </w:rPr>
        <w:t xml:space="preserve">. Teniendo en cuenta lo anterior, la Corte </w:t>
      </w:r>
      <w:r w:rsidR="00F1070D" w:rsidRPr="00524196">
        <w:rPr>
          <w:spacing w:val="-2"/>
        </w:rPr>
        <w:t xml:space="preserve">estima razonable fijar </w:t>
      </w:r>
      <w:r w:rsidRPr="00524196">
        <w:rPr>
          <w:spacing w:val="-2"/>
        </w:rPr>
        <w:t>la cantidad de US$ 10.000</w:t>
      </w:r>
      <w:r w:rsidR="00F1070D" w:rsidRPr="00524196">
        <w:rPr>
          <w:spacing w:val="-2"/>
        </w:rPr>
        <w:t>.00</w:t>
      </w:r>
      <w:r w:rsidRPr="00524196">
        <w:rPr>
          <w:spacing w:val="-2"/>
        </w:rPr>
        <w:t xml:space="preserve"> (diez mil dólares de los Estados Unidos de América) q</w:t>
      </w:r>
      <w:r w:rsidR="00524196" w:rsidRPr="00524196">
        <w:rPr>
          <w:spacing w:val="-2"/>
        </w:rPr>
        <w:t>ue deberán ser entregados al representante</w:t>
      </w:r>
      <w:r w:rsidRPr="00524196">
        <w:rPr>
          <w:spacing w:val="-2"/>
        </w:rPr>
        <w:t xml:space="preserve"> por concepto de costas y gastos por la tramitación del proceso ante el sistema interamericano de derechos humanos. En la etapa de supervisión de cumplimiento de la presente Sentencia, la Corte podrá disponer el reembolso por parte del Estado a las víctimas o su representante de gastos posteriores razonables y debidamente comprobados</w:t>
      </w:r>
      <w:r w:rsidRPr="00524196">
        <w:rPr>
          <w:spacing w:val="-2"/>
          <w:vertAlign w:val="superscript"/>
        </w:rPr>
        <w:footnoteReference w:id="254"/>
      </w:r>
      <w:r w:rsidRPr="00524196">
        <w:rPr>
          <w:spacing w:val="-2"/>
        </w:rPr>
        <w:t>.</w:t>
      </w:r>
    </w:p>
    <w:p w:rsidR="0000297E" w:rsidRDefault="0000297E" w:rsidP="0000297E">
      <w:pPr>
        <w:pStyle w:val="Estilo1"/>
        <w:numPr>
          <w:ilvl w:val="0"/>
          <w:numId w:val="0"/>
        </w:numPr>
        <w:spacing w:after="0"/>
        <w:contextualSpacing/>
      </w:pPr>
    </w:p>
    <w:p w:rsidR="00DF3EE2" w:rsidRPr="005B3D37" w:rsidRDefault="00DF3EE2" w:rsidP="0000297E">
      <w:pPr>
        <w:pStyle w:val="Estilo1"/>
        <w:numPr>
          <w:ilvl w:val="0"/>
          <w:numId w:val="0"/>
        </w:numPr>
        <w:spacing w:after="0"/>
        <w:contextualSpacing/>
      </w:pPr>
    </w:p>
    <w:p w:rsidR="0000297E" w:rsidRDefault="0000297E" w:rsidP="005D3491">
      <w:pPr>
        <w:pStyle w:val="Heading2"/>
        <w:numPr>
          <w:ilvl w:val="0"/>
          <w:numId w:val="19"/>
        </w:numPr>
        <w:ind w:left="567" w:firstLine="0"/>
        <w:jc w:val="left"/>
        <w:rPr>
          <w:rFonts w:eastAsia="Calibri"/>
          <w:bCs w:val="0"/>
          <w:color w:val="auto"/>
          <w:spacing w:val="0"/>
          <w:w w:val="100"/>
          <w:lang w:val="es-ES"/>
        </w:rPr>
      </w:pPr>
      <w:bookmarkStart w:id="438" w:name="_Toc406580711"/>
      <w:bookmarkStart w:id="439" w:name="_Toc392536837"/>
      <w:bookmarkStart w:id="440" w:name="_Toc375560987"/>
      <w:bookmarkStart w:id="441" w:name="_Toc418530515"/>
      <w:bookmarkStart w:id="442" w:name="_Toc420941772"/>
      <w:bookmarkStart w:id="443" w:name="_Toc424313515"/>
      <w:bookmarkStart w:id="444" w:name="_Toc430869824"/>
      <w:bookmarkStart w:id="445" w:name="_Toc438129749"/>
      <w:r w:rsidRPr="003E22AE">
        <w:rPr>
          <w:rFonts w:eastAsia="Calibri"/>
          <w:bCs w:val="0"/>
          <w:color w:val="auto"/>
          <w:spacing w:val="0"/>
          <w:w w:val="100"/>
          <w:lang w:val="es-ES"/>
        </w:rPr>
        <w:t>Modalidad de cumplimiento de los pagos ordenado</w:t>
      </w:r>
      <w:bookmarkEnd w:id="438"/>
      <w:bookmarkEnd w:id="439"/>
      <w:bookmarkEnd w:id="440"/>
      <w:bookmarkEnd w:id="441"/>
      <w:bookmarkEnd w:id="442"/>
      <w:bookmarkEnd w:id="443"/>
      <w:bookmarkEnd w:id="444"/>
      <w:r w:rsidR="00DF3EE2">
        <w:rPr>
          <w:rFonts w:eastAsia="Calibri"/>
          <w:bCs w:val="0"/>
          <w:color w:val="auto"/>
          <w:spacing w:val="0"/>
          <w:w w:val="100"/>
          <w:lang w:val="es-ES"/>
        </w:rPr>
        <w:t>s</w:t>
      </w:r>
      <w:bookmarkEnd w:id="445"/>
    </w:p>
    <w:p w:rsidR="00DF3EE2" w:rsidRPr="00DF3EE2" w:rsidRDefault="00DF3EE2" w:rsidP="00DF3EE2"/>
    <w:p w:rsidR="0000297E" w:rsidRPr="003E22AE" w:rsidRDefault="0000297E" w:rsidP="0000297E">
      <w:pPr>
        <w:pStyle w:val="ListParagraph"/>
      </w:pPr>
    </w:p>
    <w:p w:rsidR="0000297E" w:rsidRPr="003E22AE" w:rsidRDefault="0000297E" w:rsidP="00347658">
      <w:pPr>
        <w:pStyle w:val="Estilo1"/>
        <w:tabs>
          <w:tab w:val="clear" w:pos="18282"/>
        </w:tabs>
        <w:spacing w:after="0"/>
        <w:contextualSpacing/>
      </w:pPr>
      <w:r w:rsidRPr="003E22AE">
        <w:t>El Estado deberá efectuar el pago de las indemnizaciones por concepto de daño</w:t>
      </w:r>
      <w:r w:rsidR="00D51B85" w:rsidRPr="003E22AE">
        <w:t>s</w:t>
      </w:r>
      <w:r w:rsidRPr="003E22AE">
        <w:t xml:space="preserve"> material e </w:t>
      </w:r>
      <w:r w:rsidRPr="003E22AE">
        <w:rPr>
          <w:rFonts w:eastAsia="MS Mincho"/>
        </w:rPr>
        <w:t>inmaterial</w:t>
      </w:r>
      <w:r w:rsidRPr="003E22AE">
        <w:t xml:space="preserve"> y el reintegro de costas y gastos establecidos en la presente Sentencia directamente </w:t>
      </w:r>
      <w:bookmarkEnd w:id="392"/>
      <w:r w:rsidRPr="003E22AE">
        <w:t>a las personas indicadas en la misma, dentro del plazo de un año, contado a partir de la notificación del present</w:t>
      </w:r>
      <w:r w:rsidR="00D51B85" w:rsidRPr="003E22AE">
        <w:t>e Fallo,</w:t>
      </w:r>
      <w:r w:rsidR="00CF424C">
        <w:t xml:space="preserve"> en los términos de los siguientes párrafos.</w:t>
      </w:r>
      <w:r w:rsidRPr="003E22AE">
        <w:t xml:space="preserve"> </w:t>
      </w:r>
    </w:p>
    <w:p w:rsidR="0000297E" w:rsidRDefault="0000297E" w:rsidP="00A47CAB">
      <w:pPr>
        <w:pStyle w:val="Estilo1"/>
        <w:numPr>
          <w:ilvl w:val="0"/>
          <w:numId w:val="0"/>
        </w:numPr>
        <w:spacing w:after="0"/>
        <w:contextualSpacing/>
      </w:pPr>
    </w:p>
    <w:p w:rsidR="0000297E" w:rsidRDefault="00D51B85" w:rsidP="00347658">
      <w:pPr>
        <w:pStyle w:val="Estilo1"/>
        <w:tabs>
          <w:tab w:val="clear" w:pos="18282"/>
        </w:tabs>
        <w:spacing w:after="0"/>
        <w:contextualSpacing/>
      </w:pPr>
      <w:r>
        <w:t>En caso de que los</w:t>
      </w:r>
      <w:r w:rsidR="0000297E" w:rsidRPr="00A070A2">
        <w:t xml:space="preserve"> beneficiario</w:t>
      </w:r>
      <w:r>
        <w:t xml:space="preserve">s </w:t>
      </w:r>
      <w:r w:rsidR="0000297E" w:rsidRPr="00A070A2">
        <w:t>fallezca</w:t>
      </w:r>
      <w:r>
        <w:t>n</w:t>
      </w:r>
      <w:r w:rsidR="001527F3">
        <w:t xml:space="preserve"> antes de que le</w:t>
      </w:r>
      <w:r w:rsidR="001A3CD1">
        <w:t>s sea</w:t>
      </w:r>
      <w:r w:rsidR="001527F3">
        <w:t xml:space="preserve"> entregada la cantidad respectiva, ésta</w:t>
      </w:r>
      <w:r w:rsidR="0000297E" w:rsidRPr="00A070A2">
        <w:t xml:space="preserve"> se </w:t>
      </w:r>
      <w:r w:rsidR="001527F3">
        <w:t xml:space="preserve">entregará </w:t>
      </w:r>
      <w:r w:rsidR="0000297E" w:rsidRPr="00A070A2">
        <w:t>directamente a sus derechohabientes, conforme al derecho interno aplicable.</w:t>
      </w:r>
    </w:p>
    <w:p w:rsidR="0000297E" w:rsidRDefault="0000297E" w:rsidP="00A47CAB">
      <w:pPr>
        <w:pStyle w:val="ListParagraph"/>
        <w:ind w:left="0"/>
      </w:pPr>
    </w:p>
    <w:p w:rsidR="0000297E" w:rsidRDefault="0000297E" w:rsidP="00347658">
      <w:pPr>
        <w:pStyle w:val="Estilo1"/>
        <w:tabs>
          <w:tab w:val="clear" w:pos="18282"/>
        </w:tabs>
        <w:spacing w:after="0"/>
        <w:contextualSpacing/>
      </w:pPr>
      <w:r w:rsidRPr="00A070A2">
        <w:t>El Estado debe</w:t>
      </w:r>
      <w:r w:rsidR="001527F3">
        <w:t>rá</w:t>
      </w:r>
      <w:r w:rsidRPr="00A070A2">
        <w:t xml:space="preserve"> cumplir </w:t>
      </w:r>
      <w:r w:rsidR="001527F3">
        <w:t>con la</w:t>
      </w:r>
      <w:r w:rsidRPr="00A070A2">
        <w:t xml:space="preserve">s obligaciones </w:t>
      </w:r>
      <w:r w:rsidR="001527F3">
        <w:t xml:space="preserve">monetarias </w:t>
      </w:r>
      <w:r w:rsidRPr="00A070A2">
        <w:t xml:space="preserve">mediante el pago en dólares de los Estados Unidos de </w:t>
      </w:r>
      <w:r w:rsidRPr="00A070A2">
        <w:rPr>
          <w:rFonts w:eastAsia="MS Mincho"/>
        </w:rPr>
        <w:t>América</w:t>
      </w:r>
      <w:r w:rsidRPr="00A070A2">
        <w:t xml:space="preserve"> o </w:t>
      </w:r>
      <w:r w:rsidR="001527F3">
        <w:t>su equivalente en moneda nacional</w:t>
      </w:r>
      <w:r w:rsidRPr="00A070A2">
        <w:t xml:space="preserve">, utilizando para el cálculo respectivo el tipo de cambio </w:t>
      </w:r>
      <w:r w:rsidR="001527F3">
        <w:t xml:space="preserve">que se encuentre </w:t>
      </w:r>
      <w:r w:rsidRPr="00A070A2">
        <w:t>vigente en la bolsa de Nueva York, Estados Unidos de América, el día anterior al pago.</w:t>
      </w:r>
    </w:p>
    <w:p w:rsidR="0099306F" w:rsidRDefault="0099306F" w:rsidP="00A47CAB">
      <w:pPr>
        <w:pStyle w:val="ListParagraph"/>
        <w:ind w:left="0"/>
      </w:pPr>
    </w:p>
    <w:p w:rsidR="0000297E" w:rsidRDefault="0000297E" w:rsidP="00347658">
      <w:pPr>
        <w:pStyle w:val="Estilo1"/>
        <w:tabs>
          <w:tab w:val="clear" w:pos="18282"/>
        </w:tabs>
        <w:spacing w:after="0"/>
        <w:contextualSpacing/>
      </w:pPr>
      <w:r w:rsidRPr="00A070A2">
        <w:t>Si por causas at</w:t>
      </w:r>
      <w:r w:rsidR="001527F3">
        <w:t>ribuibles al beneficiario de la indemnización o a sus derechohabientes</w:t>
      </w:r>
      <w:r w:rsidRPr="00A070A2">
        <w:t xml:space="preserve"> no fuese posible </w:t>
      </w:r>
      <w:r w:rsidR="001527F3">
        <w:t xml:space="preserve">el pago de las cantidades determinadas </w:t>
      </w:r>
      <w:r w:rsidRPr="00A070A2">
        <w:t>dentro del plazo indicado, el Estado consignará dichos montos a su favor en una cuenta o certificado de depósito en una institución financiera peruana</w:t>
      </w:r>
      <w:r w:rsidR="001527F3">
        <w:t xml:space="preserve"> solvente</w:t>
      </w:r>
      <w:r w:rsidRPr="00A070A2">
        <w:t xml:space="preserve">, en dólares de los Estados Unidos de América y en las condiciones financieras más favorables que permitan la legislación y la práctica bancaria del Estado. Si </w:t>
      </w:r>
      <w:r w:rsidR="001527F3">
        <w:t xml:space="preserve">no se reclama la indemnización correspondiente una vez transcurridos diez </w:t>
      </w:r>
      <w:r w:rsidRPr="00A070A2">
        <w:t>años</w:t>
      </w:r>
      <w:r w:rsidR="001527F3">
        <w:t>, las cantidades</w:t>
      </w:r>
      <w:r w:rsidRPr="00A070A2">
        <w:t xml:space="preserve"> serán devueltas al Estado con los intereses devengados.</w:t>
      </w:r>
    </w:p>
    <w:p w:rsidR="0099306F" w:rsidRDefault="0099306F" w:rsidP="00A47CAB">
      <w:pPr>
        <w:pStyle w:val="ListParagraph"/>
        <w:ind w:left="0"/>
      </w:pPr>
    </w:p>
    <w:p w:rsidR="0000297E" w:rsidRDefault="0000297E" w:rsidP="00347658">
      <w:pPr>
        <w:pStyle w:val="Estilo1"/>
        <w:tabs>
          <w:tab w:val="clear" w:pos="18282"/>
        </w:tabs>
        <w:spacing w:after="0"/>
        <w:contextualSpacing/>
      </w:pPr>
      <w:r w:rsidRPr="00A070A2">
        <w:t>Las cantidades asignadas en la presente Sentencia como indemnización</w:t>
      </w:r>
      <w:r w:rsidR="001527F3">
        <w:t xml:space="preserve"> por daño material e inmaterial y como reintegro de costas y gastos</w:t>
      </w:r>
      <w:r w:rsidRPr="00A070A2">
        <w:t xml:space="preserve"> deberán ser </w:t>
      </w:r>
      <w:r w:rsidRPr="00A070A2">
        <w:rPr>
          <w:rFonts w:eastAsia="MS Mincho"/>
        </w:rPr>
        <w:t>entregadas</w:t>
      </w:r>
      <w:r w:rsidRPr="00A070A2">
        <w:t xml:space="preserve"> a las personas indicadas en forma íntegra</w:t>
      </w:r>
      <w:r w:rsidR="001527F3">
        <w:t>,</w:t>
      </w:r>
      <w:r w:rsidRPr="00A070A2">
        <w:t xml:space="preserve"> conforme a lo establecido en este Fallo, sin reducciones derivadas de eventuales cargas fiscales.</w:t>
      </w:r>
    </w:p>
    <w:p w:rsidR="0000297E" w:rsidRDefault="0000297E" w:rsidP="00A47CAB">
      <w:pPr>
        <w:pStyle w:val="ListParagraph"/>
        <w:ind w:left="0"/>
      </w:pPr>
    </w:p>
    <w:p w:rsidR="0099306F" w:rsidRDefault="0099306F" w:rsidP="00A47CAB">
      <w:pPr>
        <w:pStyle w:val="ListParagraph"/>
        <w:ind w:left="0"/>
      </w:pPr>
    </w:p>
    <w:p w:rsidR="003C7C91" w:rsidRDefault="0000297E" w:rsidP="0099306F">
      <w:pPr>
        <w:pStyle w:val="Estilo1"/>
        <w:tabs>
          <w:tab w:val="clear" w:pos="18282"/>
        </w:tabs>
        <w:spacing w:after="0"/>
        <w:contextualSpacing/>
        <w:outlineLvl w:val="0"/>
        <w:rPr>
          <w:b/>
          <w:bCs/>
          <w:spacing w:val="-2"/>
        </w:rPr>
      </w:pPr>
      <w:bookmarkStart w:id="446" w:name="_Toc431736116"/>
      <w:bookmarkStart w:id="447" w:name="_Toc438129750"/>
      <w:r w:rsidRPr="00A070A2">
        <w:t xml:space="preserve">En </w:t>
      </w:r>
      <w:r w:rsidRPr="00C0698A">
        <w:rPr>
          <w:rFonts w:eastAsia="MS Mincho"/>
        </w:rPr>
        <w:t>caso</w:t>
      </w:r>
      <w:r w:rsidRPr="00A070A2">
        <w:t xml:space="preserve"> de que el Estado incurriera en mora, deberá pagar un interés sobre la </w:t>
      </w:r>
      <w:r w:rsidRPr="00C0698A">
        <w:rPr>
          <w:rFonts w:eastAsia="MS Mincho"/>
        </w:rPr>
        <w:t>cantidad</w:t>
      </w:r>
      <w:r w:rsidRPr="00A070A2">
        <w:t xml:space="preserve"> adeudada, correspondiente al interés bancario moratorio en la República del Perú.</w:t>
      </w:r>
      <w:bookmarkStart w:id="448" w:name="_Toc418530516"/>
      <w:bookmarkStart w:id="449" w:name="_Toc420940041"/>
      <w:bookmarkStart w:id="450" w:name="_Toc420941773"/>
      <w:bookmarkStart w:id="451" w:name="_Toc424313516"/>
      <w:bookmarkStart w:id="452" w:name="_Toc430869352"/>
      <w:bookmarkStart w:id="453" w:name="_Toc430869825"/>
      <w:bookmarkEnd w:id="446"/>
      <w:bookmarkEnd w:id="447"/>
    </w:p>
    <w:p w:rsidR="0099306F" w:rsidRPr="0099306F" w:rsidRDefault="0099306F" w:rsidP="0099306F">
      <w:pPr>
        <w:pStyle w:val="Estilo1"/>
        <w:numPr>
          <w:ilvl w:val="0"/>
          <w:numId w:val="0"/>
        </w:numPr>
        <w:spacing w:after="0"/>
        <w:contextualSpacing/>
        <w:outlineLvl w:val="0"/>
        <w:rPr>
          <w:b/>
          <w:bCs/>
          <w:spacing w:val="-2"/>
        </w:rPr>
      </w:pPr>
    </w:p>
    <w:bookmarkEnd w:id="448"/>
    <w:bookmarkEnd w:id="449"/>
    <w:bookmarkEnd w:id="450"/>
    <w:bookmarkEnd w:id="451"/>
    <w:bookmarkEnd w:id="452"/>
    <w:bookmarkEnd w:id="453"/>
    <w:p w:rsidR="00B82EB8" w:rsidRDefault="00B82EB8" w:rsidP="00B82EB8">
      <w:pPr>
        <w:pStyle w:val="ListParagraph"/>
        <w:rPr>
          <w:spacing w:val="-2"/>
        </w:rPr>
      </w:pPr>
    </w:p>
    <w:p w:rsidR="00F54F79" w:rsidRDefault="00397083" w:rsidP="00397083">
      <w:pPr>
        <w:pStyle w:val="Default"/>
        <w:jc w:val="center"/>
        <w:outlineLvl w:val="0"/>
        <w:rPr>
          <w:rFonts w:ascii="Verdana" w:hAnsi="Verdana"/>
          <w:b/>
          <w:bCs/>
          <w:spacing w:val="-2"/>
          <w:sz w:val="20"/>
          <w:szCs w:val="20"/>
        </w:rPr>
      </w:pPr>
      <w:bookmarkStart w:id="454" w:name="_Toc438129751"/>
      <w:r w:rsidRPr="00DF1E0B">
        <w:rPr>
          <w:rFonts w:ascii="Verdana" w:hAnsi="Verdana"/>
          <w:b/>
          <w:bCs/>
          <w:spacing w:val="-2"/>
          <w:sz w:val="20"/>
          <w:szCs w:val="20"/>
        </w:rPr>
        <w:t>X</w:t>
      </w:r>
      <w:bookmarkEnd w:id="454"/>
    </w:p>
    <w:p w:rsidR="00397083" w:rsidRPr="00DF1E0B" w:rsidRDefault="00397083" w:rsidP="00397083">
      <w:pPr>
        <w:pStyle w:val="Default"/>
        <w:jc w:val="center"/>
        <w:outlineLvl w:val="0"/>
        <w:rPr>
          <w:rFonts w:ascii="Verdana" w:hAnsi="Verdana"/>
          <w:spacing w:val="-2"/>
          <w:sz w:val="20"/>
          <w:szCs w:val="20"/>
        </w:rPr>
      </w:pPr>
      <w:bookmarkStart w:id="455" w:name="_Toc438129752"/>
      <w:r w:rsidRPr="00DF1E0B">
        <w:rPr>
          <w:rFonts w:ascii="Verdana" w:hAnsi="Verdana"/>
          <w:b/>
          <w:bCs/>
          <w:spacing w:val="-2"/>
          <w:sz w:val="20"/>
          <w:szCs w:val="20"/>
        </w:rPr>
        <w:t>PUNTOS RESOLUTIVOS</w:t>
      </w:r>
      <w:bookmarkEnd w:id="455"/>
    </w:p>
    <w:p w:rsidR="00397083" w:rsidRDefault="00397083" w:rsidP="00397083">
      <w:pPr>
        <w:pStyle w:val="ListParagraph"/>
        <w:rPr>
          <w:spacing w:val="-2"/>
        </w:rPr>
      </w:pPr>
    </w:p>
    <w:p w:rsidR="00397083" w:rsidRPr="00B82EB8" w:rsidRDefault="00397083" w:rsidP="00347658">
      <w:pPr>
        <w:pStyle w:val="Estilo1"/>
        <w:tabs>
          <w:tab w:val="clear" w:pos="18282"/>
        </w:tabs>
        <w:spacing w:after="0"/>
        <w:contextualSpacing/>
      </w:pPr>
      <w:r w:rsidRPr="00B82EB8">
        <w:rPr>
          <w:spacing w:val="-2"/>
        </w:rPr>
        <w:t xml:space="preserve">Por tanto, </w:t>
      </w:r>
    </w:p>
    <w:p w:rsidR="00397083" w:rsidRPr="00DF1E0B" w:rsidRDefault="00397083" w:rsidP="00397083">
      <w:pPr>
        <w:pStyle w:val="Default"/>
        <w:jc w:val="both"/>
        <w:rPr>
          <w:rFonts w:ascii="Verdana" w:hAnsi="Verdana"/>
          <w:spacing w:val="-2"/>
          <w:sz w:val="20"/>
          <w:szCs w:val="20"/>
        </w:rPr>
      </w:pPr>
    </w:p>
    <w:p w:rsidR="00397083" w:rsidRPr="00DF1E0B" w:rsidRDefault="00397083" w:rsidP="00397083">
      <w:pPr>
        <w:pStyle w:val="Default"/>
        <w:jc w:val="both"/>
        <w:rPr>
          <w:rFonts w:ascii="Verdana" w:hAnsi="Verdana"/>
          <w:spacing w:val="-2"/>
          <w:sz w:val="20"/>
          <w:szCs w:val="20"/>
        </w:rPr>
      </w:pPr>
      <w:r w:rsidRPr="00DF1E0B">
        <w:rPr>
          <w:rFonts w:ascii="Verdana" w:hAnsi="Verdana"/>
          <w:b/>
          <w:bCs/>
          <w:spacing w:val="-2"/>
          <w:sz w:val="20"/>
          <w:szCs w:val="20"/>
        </w:rPr>
        <w:t xml:space="preserve">LA CORTE </w:t>
      </w:r>
    </w:p>
    <w:p w:rsidR="00397083" w:rsidRPr="003E4862" w:rsidRDefault="00397083" w:rsidP="00397083">
      <w:pPr>
        <w:autoSpaceDE w:val="0"/>
        <w:autoSpaceDN w:val="0"/>
        <w:adjustRightInd w:val="0"/>
        <w:rPr>
          <w:rFonts w:cs="Univers"/>
          <w:b/>
          <w:bCs/>
          <w:color w:val="000000"/>
          <w:spacing w:val="-2"/>
          <w:szCs w:val="20"/>
          <w:lang w:val="es-CR"/>
        </w:rPr>
      </w:pPr>
    </w:p>
    <w:p w:rsidR="00397083" w:rsidRPr="003E4862" w:rsidRDefault="00397083" w:rsidP="00397083">
      <w:pPr>
        <w:autoSpaceDE w:val="0"/>
        <w:autoSpaceDN w:val="0"/>
        <w:adjustRightInd w:val="0"/>
        <w:rPr>
          <w:rFonts w:cs="Univers"/>
          <w:color w:val="000000"/>
          <w:spacing w:val="-2"/>
          <w:szCs w:val="20"/>
          <w:lang w:val="es-CR"/>
        </w:rPr>
      </w:pPr>
      <w:r w:rsidRPr="003E4862">
        <w:rPr>
          <w:rFonts w:cs="Univers"/>
          <w:b/>
          <w:bCs/>
          <w:color w:val="000000"/>
          <w:spacing w:val="-2"/>
          <w:szCs w:val="20"/>
          <w:lang w:val="es-CR"/>
        </w:rPr>
        <w:t xml:space="preserve">DECIDE, </w:t>
      </w:r>
    </w:p>
    <w:p w:rsidR="00397083" w:rsidRPr="003E4862" w:rsidRDefault="00397083" w:rsidP="00397083">
      <w:pPr>
        <w:autoSpaceDE w:val="0"/>
        <w:autoSpaceDN w:val="0"/>
        <w:adjustRightInd w:val="0"/>
        <w:rPr>
          <w:rFonts w:cs="Univers"/>
          <w:color w:val="000000"/>
          <w:spacing w:val="-2"/>
          <w:szCs w:val="20"/>
          <w:lang w:val="es-CR"/>
        </w:rPr>
      </w:pPr>
    </w:p>
    <w:p w:rsidR="00397083" w:rsidRPr="003364AB" w:rsidRDefault="00397083" w:rsidP="00397083">
      <w:pPr>
        <w:tabs>
          <w:tab w:val="left" w:pos="720"/>
        </w:tabs>
        <w:rPr>
          <w:rFonts w:cs="Verdana"/>
          <w:color w:val="000000" w:themeColor="text1"/>
          <w:spacing w:val="-2"/>
          <w:szCs w:val="20"/>
          <w:lang w:val="es-EC"/>
        </w:rPr>
      </w:pPr>
      <w:r w:rsidRPr="003364AB">
        <w:rPr>
          <w:rFonts w:cs="Verdana"/>
          <w:color w:val="000000" w:themeColor="text1"/>
          <w:spacing w:val="-2"/>
          <w:szCs w:val="20"/>
          <w:lang w:val="es-EC"/>
        </w:rPr>
        <w:t>Por cinco votos</w:t>
      </w:r>
      <w:r w:rsidR="00501702" w:rsidRPr="003364AB">
        <w:rPr>
          <w:rFonts w:cs="Verdana"/>
          <w:color w:val="000000" w:themeColor="text1"/>
          <w:spacing w:val="-2"/>
          <w:szCs w:val="20"/>
          <w:lang w:val="es-EC"/>
        </w:rPr>
        <w:t xml:space="preserve"> a favor y uno en contra,</w:t>
      </w:r>
    </w:p>
    <w:p w:rsidR="00397083" w:rsidRPr="00F25AD2" w:rsidRDefault="00397083" w:rsidP="00397083">
      <w:pPr>
        <w:tabs>
          <w:tab w:val="left" w:pos="720"/>
        </w:tabs>
        <w:rPr>
          <w:rFonts w:eastAsiaTheme="minorHAnsi" w:cs="Verdana"/>
          <w:color w:val="000000"/>
          <w:sz w:val="16"/>
          <w:szCs w:val="16"/>
          <w:lang w:val="es-EC"/>
        </w:rPr>
      </w:pPr>
      <w:r w:rsidRPr="00F25AD2">
        <w:rPr>
          <w:rFonts w:eastAsiaTheme="minorHAnsi" w:cs="Verdana"/>
          <w:color w:val="000000"/>
          <w:sz w:val="16"/>
          <w:szCs w:val="16"/>
          <w:lang w:val="es-EC"/>
        </w:rPr>
        <w:t xml:space="preserve"> </w:t>
      </w:r>
    </w:p>
    <w:p w:rsidR="00397083" w:rsidRPr="0095204B" w:rsidRDefault="00397083" w:rsidP="005D3491">
      <w:pPr>
        <w:pStyle w:val="ListParagraph"/>
        <w:numPr>
          <w:ilvl w:val="1"/>
          <w:numId w:val="13"/>
        </w:numPr>
        <w:tabs>
          <w:tab w:val="clear" w:pos="1440"/>
        </w:tabs>
        <w:spacing w:after="120"/>
        <w:ind w:left="0" w:firstLine="0"/>
        <w:jc w:val="both"/>
        <w:rPr>
          <w:spacing w:val="-2"/>
          <w:sz w:val="20"/>
          <w:szCs w:val="20"/>
          <w:lang w:val="es-AR"/>
        </w:rPr>
      </w:pPr>
      <w:r w:rsidRPr="0095204B">
        <w:rPr>
          <w:spacing w:val="-2"/>
          <w:sz w:val="20"/>
          <w:szCs w:val="20"/>
          <w:lang w:val="es-AR"/>
        </w:rPr>
        <w:t xml:space="preserve">Desestimar las excepciones preliminares de caducidad y falta de agotamiento de recursos internos, en los términos de los párrafos </w:t>
      </w:r>
      <w:r w:rsidR="005F0702" w:rsidRPr="0095204B">
        <w:rPr>
          <w:spacing w:val="-2"/>
          <w:sz w:val="20"/>
          <w:szCs w:val="20"/>
          <w:lang w:val="es-AR"/>
        </w:rPr>
        <w:t xml:space="preserve">29 </w:t>
      </w:r>
      <w:r w:rsidRPr="0095204B">
        <w:rPr>
          <w:spacing w:val="-2"/>
          <w:sz w:val="20"/>
          <w:szCs w:val="20"/>
          <w:lang w:val="es-AR"/>
        </w:rPr>
        <w:t xml:space="preserve">a </w:t>
      </w:r>
      <w:r w:rsidR="005F0702" w:rsidRPr="0095204B">
        <w:rPr>
          <w:spacing w:val="-2"/>
          <w:sz w:val="20"/>
          <w:szCs w:val="20"/>
          <w:lang w:val="es-AR"/>
        </w:rPr>
        <w:t xml:space="preserve">55 </w:t>
      </w:r>
      <w:r w:rsidRPr="0095204B">
        <w:rPr>
          <w:spacing w:val="-2"/>
          <w:sz w:val="20"/>
          <w:szCs w:val="20"/>
          <w:lang w:val="es-AR"/>
        </w:rPr>
        <w:t xml:space="preserve">de la presente Sentencia. </w:t>
      </w:r>
    </w:p>
    <w:p w:rsidR="00397083" w:rsidRPr="003364AB" w:rsidRDefault="009D0A73" w:rsidP="00397083">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9D0A73" w:rsidRDefault="009D0A73" w:rsidP="00397083">
      <w:pPr>
        <w:tabs>
          <w:tab w:val="num" w:pos="630"/>
          <w:tab w:val="left" w:pos="720"/>
        </w:tabs>
        <w:rPr>
          <w:rFonts w:cs="Verdana"/>
          <w:b/>
          <w:color w:val="000000" w:themeColor="text1"/>
          <w:spacing w:val="-2"/>
          <w:szCs w:val="20"/>
          <w:lang w:val="es-AR"/>
        </w:rPr>
      </w:pPr>
    </w:p>
    <w:p w:rsidR="009D0A73" w:rsidRPr="003E4862" w:rsidRDefault="009D0A73" w:rsidP="00397083">
      <w:pPr>
        <w:tabs>
          <w:tab w:val="num" w:pos="630"/>
          <w:tab w:val="left" w:pos="720"/>
        </w:tabs>
        <w:rPr>
          <w:rFonts w:cs="Verdana"/>
          <w:b/>
          <w:color w:val="000000" w:themeColor="text1"/>
          <w:spacing w:val="-2"/>
          <w:szCs w:val="20"/>
          <w:lang w:val="es-AR"/>
        </w:rPr>
      </w:pPr>
    </w:p>
    <w:p w:rsidR="00397083" w:rsidRPr="00DF1E0B" w:rsidRDefault="00397083" w:rsidP="00397083">
      <w:pPr>
        <w:tabs>
          <w:tab w:val="num" w:pos="630"/>
          <w:tab w:val="left" w:pos="720"/>
        </w:tabs>
        <w:rPr>
          <w:rFonts w:cs="Verdana"/>
          <w:b/>
          <w:color w:val="000000" w:themeColor="text1"/>
          <w:spacing w:val="-2"/>
          <w:szCs w:val="20"/>
          <w:lang w:val="es-EC"/>
        </w:rPr>
      </w:pPr>
      <w:r w:rsidRPr="00DF1E0B">
        <w:rPr>
          <w:rFonts w:cs="Verdana"/>
          <w:b/>
          <w:color w:val="000000" w:themeColor="text1"/>
          <w:spacing w:val="-2"/>
          <w:szCs w:val="20"/>
          <w:lang w:val="es-EC"/>
        </w:rPr>
        <w:lastRenderedPageBreak/>
        <w:t>DECLARA,</w:t>
      </w:r>
    </w:p>
    <w:p w:rsidR="00397083" w:rsidRPr="00DF1E0B" w:rsidRDefault="00397083" w:rsidP="00397083">
      <w:pPr>
        <w:tabs>
          <w:tab w:val="num" w:pos="630"/>
          <w:tab w:val="left" w:pos="720"/>
        </w:tabs>
        <w:rPr>
          <w:rFonts w:cs="Verdana"/>
          <w:b/>
          <w:color w:val="000000" w:themeColor="text1"/>
          <w:spacing w:val="-2"/>
          <w:sz w:val="16"/>
          <w:szCs w:val="16"/>
          <w:lang w:val="es-EC"/>
        </w:rPr>
      </w:pPr>
    </w:p>
    <w:p w:rsidR="00397083" w:rsidRPr="00DF1E0B" w:rsidRDefault="00397083" w:rsidP="00397083">
      <w:pPr>
        <w:tabs>
          <w:tab w:val="num" w:pos="630"/>
          <w:tab w:val="left" w:pos="720"/>
        </w:tabs>
        <w:rPr>
          <w:rFonts w:cs="Verdana"/>
          <w:b/>
          <w:color w:val="000000" w:themeColor="text1"/>
          <w:spacing w:val="-2"/>
          <w:szCs w:val="20"/>
          <w:lang w:val="es-EC"/>
        </w:rPr>
      </w:pPr>
    </w:p>
    <w:p w:rsidR="00397083" w:rsidRPr="003364AB" w:rsidRDefault="00397083" w:rsidP="00397083">
      <w:pPr>
        <w:tabs>
          <w:tab w:val="left" w:pos="720"/>
        </w:tabs>
        <w:rPr>
          <w:rFonts w:cs="Verdana"/>
          <w:color w:val="000000" w:themeColor="text1"/>
          <w:spacing w:val="-2"/>
          <w:szCs w:val="20"/>
          <w:lang w:val="es-EC"/>
        </w:rPr>
      </w:pPr>
      <w:r w:rsidRPr="003364AB">
        <w:rPr>
          <w:rFonts w:cs="Verdana"/>
          <w:color w:val="000000" w:themeColor="text1"/>
          <w:spacing w:val="-2"/>
          <w:szCs w:val="20"/>
          <w:lang w:val="es-EC"/>
        </w:rPr>
        <w:t>Por cinco votos</w:t>
      </w:r>
      <w:r w:rsidR="00C0698A" w:rsidRPr="003364AB">
        <w:rPr>
          <w:rFonts w:cs="Verdana"/>
          <w:color w:val="000000" w:themeColor="text1"/>
          <w:spacing w:val="-2"/>
          <w:szCs w:val="20"/>
          <w:lang w:val="es-EC"/>
        </w:rPr>
        <w:t xml:space="preserve"> a favor y uno en contra, que:</w:t>
      </w:r>
    </w:p>
    <w:p w:rsidR="00397083" w:rsidRPr="00524196" w:rsidRDefault="00397083" w:rsidP="00397083">
      <w:pPr>
        <w:tabs>
          <w:tab w:val="left" w:pos="567"/>
        </w:tabs>
        <w:rPr>
          <w:rFonts w:eastAsia="Batang" w:cs="Times"/>
          <w:color w:val="000000" w:themeColor="text1"/>
          <w:spacing w:val="-2"/>
          <w:szCs w:val="20"/>
          <w:lang w:val="es-EC"/>
        </w:rPr>
      </w:pPr>
    </w:p>
    <w:p w:rsidR="00397083" w:rsidRPr="00520B95" w:rsidRDefault="00501702" w:rsidP="005D3491">
      <w:pPr>
        <w:pStyle w:val="Default"/>
        <w:numPr>
          <w:ilvl w:val="1"/>
          <w:numId w:val="13"/>
        </w:numPr>
        <w:tabs>
          <w:tab w:val="clear" w:pos="1440"/>
        </w:tabs>
        <w:ind w:left="0" w:firstLine="0"/>
        <w:jc w:val="both"/>
        <w:rPr>
          <w:rFonts w:ascii="Verdana" w:hAnsi="Verdana"/>
          <w:spacing w:val="-2"/>
          <w:sz w:val="20"/>
          <w:szCs w:val="20"/>
          <w:lang w:val="es-AR"/>
        </w:rPr>
      </w:pPr>
      <w:r>
        <w:rPr>
          <w:rFonts w:ascii="Verdana" w:hAnsi="Verdana"/>
          <w:spacing w:val="-2"/>
          <w:sz w:val="20"/>
          <w:szCs w:val="20"/>
          <w:lang w:val="es-AR"/>
        </w:rPr>
        <w:t>El Estado es responsable por</w:t>
      </w:r>
      <w:r w:rsidR="00397083" w:rsidRPr="00524196">
        <w:rPr>
          <w:rFonts w:ascii="Verdana" w:hAnsi="Verdana"/>
          <w:spacing w:val="-2"/>
          <w:sz w:val="20"/>
          <w:szCs w:val="20"/>
          <w:lang w:val="es-AR"/>
        </w:rPr>
        <w:t xml:space="preserve"> la violación del derecho a la libertad personal reconocido en el artículo 7, incisos 1, 2, 3, 4, 5 y 6 de la Convención Americana sobre Derechos Humanos, en relación con el artículo 1.1 de la Convención, en perjuicio del señor Luis Antonio Galindo Cárdenas, en los términos de los párrafos </w:t>
      </w:r>
      <w:r w:rsidR="005F0702" w:rsidRPr="00520B95">
        <w:rPr>
          <w:rFonts w:ascii="Verdana" w:hAnsi="Verdana"/>
          <w:spacing w:val="-2"/>
          <w:sz w:val="20"/>
          <w:szCs w:val="20"/>
          <w:lang w:val="es-AR"/>
        </w:rPr>
        <w:t>17</w:t>
      </w:r>
      <w:r w:rsidR="00FB2FC9">
        <w:rPr>
          <w:rFonts w:ascii="Verdana" w:hAnsi="Verdana"/>
          <w:spacing w:val="-2"/>
          <w:sz w:val="20"/>
          <w:szCs w:val="20"/>
          <w:lang w:val="es-AR"/>
        </w:rPr>
        <w:t>8</w:t>
      </w:r>
      <w:r w:rsidR="00351482" w:rsidRPr="00520B95">
        <w:rPr>
          <w:rFonts w:ascii="Verdana" w:hAnsi="Verdana"/>
          <w:spacing w:val="-2"/>
          <w:sz w:val="20"/>
          <w:szCs w:val="20"/>
          <w:lang w:val="es-AR"/>
        </w:rPr>
        <w:t xml:space="preserve"> a 21</w:t>
      </w:r>
      <w:r w:rsidR="00FB2FC9">
        <w:rPr>
          <w:rFonts w:ascii="Verdana" w:hAnsi="Verdana"/>
          <w:spacing w:val="-2"/>
          <w:sz w:val="20"/>
          <w:szCs w:val="20"/>
          <w:lang w:val="es-AR"/>
        </w:rPr>
        <w:t>5</w:t>
      </w:r>
      <w:r w:rsidR="00351482" w:rsidRPr="00520B95">
        <w:rPr>
          <w:rFonts w:ascii="Verdana" w:hAnsi="Verdana"/>
          <w:spacing w:val="-2"/>
          <w:sz w:val="20"/>
          <w:szCs w:val="20"/>
          <w:lang w:val="es-AR"/>
        </w:rPr>
        <w:t xml:space="preserve"> y 21</w:t>
      </w:r>
      <w:r w:rsidR="00FB2FC9">
        <w:rPr>
          <w:rFonts w:ascii="Verdana" w:hAnsi="Verdana"/>
          <w:spacing w:val="-2"/>
          <w:sz w:val="20"/>
          <w:szCs w:val="20"/>
          <w:lang w:val="es-AR"/>
        </w:rPr>
        <w:t>8</w:t>
      </w:r>
      <w:r w:rsidR="00351482" w:rsidRPr="00520B95">
        <w:rPr>
          <w:rFonts w:ascii="Verdana" w:hAnsi="Verdana"/>
          <w:spacing w:val="-2"/>
          <w:sz w:val="20"/>
          <w:szCs w:val="20"/>
          <w:lang w:val="es-AR"/>
        </w:rPr>
        <w:t xml:space="preserve"> </w:t>
      </w:r>
      <w:r w:rsidR="00397083" w:rsidRPr="00520B95">
        <w:rPr>
          <w:rFonts w:ascii="Verdana" w:hAnsi="Verdana"/>
          <w:spacing w:val="-2"/>
          <w:sz w:val="20"/>
          <w:szCs w:val="20"/>
          <w:lang w:val="es-AR"/>
        </w:rPr>
        <w:t xml:space="preserve">a </w:t>
      </w:r>
      <w:r w:rsidR="00F817A3" w:rsidRPr="00520B95">
        <w:rPr>
          <w:rFonts w:ascii="Verdana" w:hAnsi="Verdana"/>
          <w:spacing w:val="-2"/>
          <w:sz w:val="20"/>
          <w:szCs w:val="20"/>
          <w:lang w:val="es-AR"/>
        </w:rPr>
        <w:t>22</w:t>
      </w:r>
      <w:r w:rsidR="00FB2FC9">
        <w:rPr>
          <w:rFonts w:ascii="Verdana" w:hAnsi="Verdana"/>
          <w:spacing w:val="-2"/>
          <w:sz w:val="20"/>
          <w:szCs w:val="20"/>
          <w:lang w:val="es-AR"/>
        </w:rPr>
        <w:t>9</w:t>
      </w:r>
      <w:r w:rsidR="005F0702" w:rsidRPr="00520B95">
        <w:rPr>
          <w:rFonts w:ascii="Verdana" w:hAnsi="Verdana"/>
          <w:spacing w:val="-2"/>
          <w:sz w:val="20"/>
          <w:szCs w:val="20"/>
          <w:lang w:val="es-AR"/>
        </w:rPr>
        <w:t xml:space="preserve"> </w:t>
      </w:r>
      <w:r w:rsidR="00397083" w:rsidRPr="00520B95">
        <w:rPr>
          <w:rFonts w:ascii="Verdana" w:hAnsi="Verdana"/>
          <w:spacing w:val="-2"/>
          <w:sz w:val="20"/>
          <w:szCs w:val="20"/>
          <w:lang w:val="es-AR"/>
        </w:rPr>
        <w:t xml:space="preserve">de la presente Sentencia. </w:t>
      </w:r>
    </w:p>
    <w:p w:rsidR="00397083" w:rsidRPr="00520B95" w:rsidRDefault="00397083" w:rsidP="00397083">
      <w:pPr>
        <w:pStyle w:val="Default"/>
        <w:jc w:val="both"/>
        <w:rPr>
          <w:rFonts w:ascii="Verdana" w:hAnsi="Verdana"/>
          <w:spacing w:val="-2"/>
          <w:sz w:val="20"/>
          <w:szCs w:val="20"/>
          <w:lang w:val="es-EC"/>
        </w:rPr>
      </w:pPr>
    </w:p>
    <w:p w:rsidR="009D0A73" w:rsidRPr="00520B95" w:rsidRDefault="009D0A73" w:rsidP="009D0A73">
      <w:pPr>
        <w:tabs>
          <w:tab w:val="num" w:pos="630"/>
          <w:tab w:val="left" w:pos="720"/>
        </w:tabs>
        <w:rPr>
          <w:rFonts w:cs="Verdana"/>
          <w:color w:val="000000" w:themeColor="text1"/>
          <w:spacing w:val="-2"/>
          <w:szCs w:val="20"/>
          <w:lang w:val="es-AR"/>
        </w:rPr>
      </w:pPr>
      <w:r w:rsidRPr="00520B95">
        <w:rPr>
          <w:rFonts w:cs="Verdana"/>
          <w:color w:val="000000" w:themeColor="text1"/>
          <w:spacing w:val="-2"/>
          <w:szCs w:val="20"/>
          <w:lang w:val="es-AR"/>
        </w:rPr>
        <w:t xml:space="preserve">Disiente el Juez Vio Grossi. </w:t>
      </w:r>
    </w:p>
    <w:p w:rsidR="009D0A73" w:rsidRPr="00520B95" w:rsidRDefault="009D0A73" w:rsidP="00397083">
      <w:pPr>
        <w:pStyle w:val="Default"/>
        <w:jc w:val="both"/>
        <w:rPr>
          <w:rFonts w:ascii="Verdana" w:hAnsi="Verdana"/>
          <w:b/>
          <w:spacing w:val="-2"/>
          <w:sz w:val="20"/>
          <w:szCs w:val="20"/>
          <w:lang w:val="es-EC"/>
        </w:rPr>
      </w:pPr>
    </w:p>
    <w:p w:rsidR="000572E5" w:rsidRPr="00520B95" w:rsidRDefault="000572E5" w:rsidP="00397083">
      <w:pPr>
        <w:pStyle w:val="Default"/>
        <w:jc w:val="both"/>
        <w:rPr>
          <w:rFonts w:ascii="Verdana" w:hAnsi="Verdana"/>
          <w:b/>
          <w:spacing w:val="-2"/>
          <w:sz w:val="20"/>
          <w:szCs w:val="20"/>
          <w:lang w:val="es-EC"/>
        </w:rPr>
      </w:pPr>
    </w:p>
    <w:p w:rsidR="00397083" w:rsidRPr="00520B95" w:rsidRDefault="00397083" w:rsidP="00397083">
      <w:pPr>
        <w:pStyle w:val="Default"/>
        <w:jc w:val="both"/>
        <w:rPr>
          <w:rFonts w:ascii="Verdana" w:hAnsi="Verdana"/>
          <w:b/>
          <w:spacing w:val="-2"/>
          <w:sz w:val="20"/>
          <w:szCs w:val="20"/>
          <w:lang w:val="es-EC"/>
        </w:rPr>
      </w:pPr>
      <w:r w:rsidRPr="00520B95">
        <w:rPr>
          <w:rFonts w:ascii="Verdana" w:hAnsi="Verdana"/>
          <w:spacing w:val="-2"/>
          <w:sz w:val="20"/>
          <w:szCs w:val="20"/>
          <w:lang w:val="es-EC"/>
        </w:rPr>
        <w:t>Por cinco votos</w:t>
      </w:r>
      <w:r w:rsidR="00C0698A" w:rsidRPr="00520B95">
        <w:rPr>
          <w:rFonts w:ascii="Verdana" w:hAnsi="Verdana"/>
          <w:spacing w:val="-2"/>
          <w:sz w:val="20"/>
          <w:szCs w:val="20"/>
          <w:lang w:val="es-EC"/>
        </w:rPr>
        <w:t xml:space="preserve"> a favor y uno en contra, que:</w:t>
      </w:r>
      <w:r w:rsidRPr="00520B95">
        <w:rPr>
          <w:rFonts w:ascii="Verdana" w:hAnsi="Verdana"/>
          <w:b/>
          <w:spacing w:val="-2"/>
          <w:sz w:val="20"/>
          <w:szCs w:val="20"/>
          <w:lang w:val="es-EC"/>
        </w:rPr>
        <w:t xml:space="preserve"> </w:t>
      </w:r>
    </w:p>
    <w:p w:rsidR="00397083" w:rsidRPr="00520B95" w:rsidRDefault="00397083" w:rsidP="00397083">
      <w:pPr>
        <w:pStyle w:val="Default"/>
        <w:jc w:val="both"/>
        <w:rPr>
          <w:rFonts w:ascii="Verdana" w:hAnsi="Verdana"/>
          <w:spacing w:val="-2"/>
          <w:sz w:val="20"/>
          <w:szCs w:val="20"/>
          <w:lang w:val="es-EC"/>
        </w:rPr>
      </w:pPr>
    </w:p>
    <w:p w:rsidR="00397083" w:rsidRPr="00524196" w:rsidRDefault="00397083" w:rsidP="005D3491">
      <w:pPr>
        <w:pStyle w:val="Default"/>
        <w:numPr>
          <w:ilvl w:val="1"/>
          <w:numId w:val="13"/>
        </w:numPr>
        <w:tabs>
          <w:tab w:val="clear" w:pos="1440"/>
        </w:tabs>
        <w:ind w:left="0" w:firstLine="0"/>
        <w:jc w:val="both"/>
        <w:rPr>
          <w:rFonts w:ascii="Verdana" w:hAnsi="Verdana"/>
          <w:spacing w:val="-2"/>
          <w:sz w:val="20"/>
          <w:szCs w:val="20"/>
          <w:lang w:val="es-AR"/>
        </w:rPr>
      </w:pPr>
      <w:r w:rsidRPr="00520B95">
        <w:rPr>
          <w:rFonts w:ascii="Verdana" w:hAnsi="Verdana"/>
          <w:iCs/>
          <w:sz w:val="20"/>
          <w:szCs w:val="20"/>
          <w:lang w:val="es-AR"/>
        </w:rPr>
        <w:t>E</w:t>
      </w:r>
      <w:r w:rsidRPr="00520B95">
        <w:rPr>
          <w:rFonts w:ascii="Verdana" w:hAnsi="Verdana"/>
          <w:iCs/>
          <w:sz w:val="20"/>
          <w:szCs w:val="20"/>
        </w:rPr>
        <w:t xml:space="preserve">l Estado </w:t>
      </w:r>
      <w:r w:rsidRPr="00520B95">
        <w:rPr>
          <w:rFonts w:ascii="Verdana" w:eastAsia="Batang" w:hAnsi="Verdana" w:cs="Times"/>
          <w:color w:val="000000" w:themeColor="text1"/>
          <w:spacing w:val="-2"/>
          <w:sz w:val="20"/>
          <w:szCs w:val="20"/>
          <w:lang w:val="es-PR"/>
        </w:rPr>
        <w:t>es responsable</w:t>
      </w:r>
      <w:r w:rsidR="00501702" w:rsidRPr="00520B95">
        <w:rPr>
          <w:rFonts w:ascii="Verdana" w:eastAsia="Batang" w:hAnsi="Verdana" w:cs="Times"/>
          <w:color w:val="000000" w:themeColor="text1"/>
          <w:spacing w:val="-2"/>
          <w:sz w:val="20"/>
          <w:szCs w:val="20"/>
          <w:lang w:val="es-PR"/>
        </w:rPr>
        <w:t xml:space="preserve"> por</w:t>
      </w:r>
      <w:r w:rsidRPr="00520B95">
        <w:rPr>
          <w:rFonts w:ascii="Verdana" w:eastAsia="Batang" w:hAnsi="Verdana" w:cs="Times"/>
          <w:color w:val="000000" w:themeColor="text1"/>
          <w:spacing w:val="-2"/>
          <w:sz w:val="20"/>
          <w:szCs w:val="20"/>
          <w:lang w:val="es-PR"/>
        </w:rPr>
        <w:t xml:space="preserve"> la violación de</w:t>
      </w:r>
      <w:r w:rsidRPr="00520B95">
        <w:rPr>
          <w:rFonts w:ascii="Verdana" w:hAnsi="Verdana"/>
          <w:iCs/>
          <w:sz w:val="20"/>
          <w:szCs w:val="20"/>
        </w:rPr>
        <w:t xml:space="preserve"> las garantías judiciales reconocido en el artículo 8.2.b) y c) de la Convención Americana sobre Derechos Humanos, en relación con el artículo 1.1 de la Convención, en perjuicio del señor Luis Antonio Galindo Cárdenas, </w:t>
      </w:r>
      <w:r w:rsidRPr="00520B95">
        <w:rPr>
          <w:rFonts w:ascii="Verdana" w:hAnsi="Verdana"/>
          <w:color w:val="000000" w:themeColor="text1"/>
          <w:spacing w:val="-2"/>
          <w:sz w:val="20"/>
          <w:szCs w:val="20"/>
          <w:lang w:val="es-AR"/>
        </w:rPr>
        <w:t xml:space="preserve">en los términos de los párrafos </w:t>
      </w:r>
      <w:r w:rsidR="00DD27A8" w:rsidRPr="00520B95">
        <w:rPr>
          <w:rFonts w:ascii="Verdana" w:hAnsi="Verdana"/>
          <w:color w:val="000000" w:themeColor="text1"/>
          <w:spacing w:val="-2"/>
          <w:sz w:val="20"/>
          <w:szCs w:val="20"/>
          <w:lang w:val="es-AR"/>
        </w:rPr>
        <w:t>20</w:t>
      </w:r>
      <w:r w:rsidR="00FB2FC9">
        <w:rPr>
          <w:rFonts w:ascii="Verdana" w:hAnsi="Verdana"/>
          <w:color w:val="000000" w:themeColor="text1"/>
          <w:spacing w:val="-2"/>
          <w:sz w:val="20"/>
          <w:szCs w:val="20"/>
          <w:lang w:val="es-AR"/>
        </w:rPr>
        <w:t>8</w:t>
      </w:r>
      <w:r w:rsidR="00DD27A8" w:rsidRPr="00520B95">
        <w:rPr>
          <w:rFonts w:ascii="Verdana" w:hAnsi="Verdana"/>
          <w:color w:val="000000" w:themeColor="text1"/>
          <w:spacing w:val="-2"/>
          <w:sz w:val="20"/>
          <w:szCs w:val="20"/>
          <w:lang w:val="es-AR"/>
        </w:rPr>
        <w:t xml:space="preserve"> a 21</w:t>
      </w:r>
      <w:r w:rsidR="00FB2FC9">
        <w:rPr>
          <w:rFonts w:ascii="Verdana" w:hAnsi="Verdana"/>
          <w:color w:val="000000" w:themeColor="text1"/>
          <w:spacing w:val="-2"/>
          <w:sz w:val="20"/>
          <w:szCs w:val="20"/>
          <w:lang w:val="es-AR"/>
        </w:rPr>
        <w:t>5</w:t>
      </w:r>
      <w:r w:rsidR="00825B6C" w:rsidRPr="00520B95">
        <w:rPr>
          <w:rFonts w:ascii="Verdana" w:hAnsi="Verdana"/>
          <w:color w:val="000000" w:themeColor="text1"/>
          <w:spacing w:val="-2"/>
          <w:sz w:val="20"/>
          <w:szCs w:val="20"/>
          <w:lang w:val="es-AR"/>
        </w:rPr>
        <w:t xml:space="preserve"> </w:t>
      </w:r>
      <w:r w:rsidR="00B27B27" w:rsidRPr="00520B95">
        <w:rPr>
          <w:rFonts w:ascii="Verdana" w:hAnsi="Verdana"/>
          <w:color w:val="000000" w:themeColor="text1"/>
          <w:spacing w:val="-2"/>
          <w:sz w:val="20"/>
          <w:szCs w:val="20"/>
          <w:lang w:val="es-AR"/>
        </w:rPr>
        <w:t>y 22</w:t>
      </w:r>
      <w:r w:rsidR="00FB2FC9">
        <w:rPr>
          <w:rFonts w:ascii="Verdana" w:hAnsi="Verdana"/>
          <w:color w:val="000000" w:themeColor="text1"/>
          <w:spacing w:val="-2"/>
          <w:sz w:val="20"/>
          <w:szCs w:val="20"/>
          <w:lang w:val="es-AR"/>
        </w:rPr>
        <w:t>9</w:t>
      </w:r>
      <w:r w:rsidR="00B27B27" w:rsidRPr="00520B95">
        <w:rPr>
          <w:rFonts w:ascii="Verdana" w:hAnsi="Verdana"/>
          <w:color w:val="000000" w:themeColor="text1"/>
          <w:spacing w:val="-2"/>
          <w:sz w:val="20"/>
          <w:szCs w:val="20"/>
          <w:lang w:val="es-AR"/>
        </w:rPr>
        <w:t xml:space="preserve"> </w:t>
      </w:r>
      <w:r w:rsidRPr="00520B95">
        <w:rPr>
          <w:rFonts w:ascii="Verdana" w:hAnsi="Verdana"/>
          <w:color w:val="000000" w:themeColor="text1"/>
          <w:spacing w:val="-2"/>
          <w:sz w:val="20"/>
          <w:szCs w:val="20"/>
          <w:lang w:val="es-AR"/>
        </w:rPr>
        <w:t>de</w:t>
      </w:r>
      <w:r w:rsidRPr="00524196">
        <w:rPr>
          <w:rFonts w:ascii="Verdana" w:hAnsi="Verdana"/>
          <w:color w:val="000000" w:themeColor="text1"/>
          <w:spacing w:val="-2"/>
          <w:sz w:val="20"/>
          <w:szCs w:val="20"/>
          <w:lang w:val="es-AR"/>
        </w:rPr>
        <w:t xml:space="preserve"> la presente Sentencia.</w:t>
      </w:r>
      <w:r w:rsidRPr="00524196">
        <w:rPr>
          <w:rFonts w:ascii="Verdana" w:hAnsi="Verdana"/>
          <w:spacing w:val="-2"/>
          <w:sz w:val="20"/>
          <w:szCs w:val="20"/>
          <w:lang w:val="es-AR"/>
        </w:rPr>
        <w:t xml:space="preserve"> </w:t>
      </w:r>
    </w:p>
    <w:p w:rsidR="009D0A73" w:rsidRPr="00524196" w:rsidRDefault="009D0A73" w:rsidP="009D0A73">
      <w:pPr>
        <w:tabs>
          <w:tab w:val="num" w:pos="630"/>
          <w:tab w:val="left" w:pos="720"/>
        </w:tabs>
        <w:rPr>
          <w:rFonts w:cs="Verdana"/>
          <w:color w:val="000000" w:themeColor="text1"/>
          <w:spacing w:val="-2"/>
          <w:szCs w:val="20"/>
          <w:lang w:val="es-AR"/>
        </w:rPr>
      </w:pPr>
    </w:p>
    <w:p w:rsidR="009D0A73" w:rsidRPr="003364AB" w:rsidRDefault="009D0A73" w:rsidP="009D0A73">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397083" w:rsidRDefault="00397083" w:rsidP="00397083">
      <w:pPr>
        <w:pStyle w:val="Default"/>
        <w:jc w:val="both"/>
        <w:rPr>
          <w:rFonts w:ascii="Verdana" w:hAnsi="Verdana"/>
          <w:spacing w:val="-2"/>
          <w:sz w:val="20"/>
          <w:szCs w:val="20"/>
          <w:lang w:val="es-AR"/>
        </w:rPr>
      </w:pPr>
    </w:p>
    <w:p w:rsidR="000572E5" w:rsidRDefault="000572E5" w:rsidP="00397083">
      <w:pPr>
        <w:pStyle w:val="Default"/>
        <w:jc w:val="both"/>
        <w:rPr>
          <w:rFonts w:ascii="Verdana" w:hAnsi="Verdana"/>
          <w:spacing w:val="-2"/>
          <w:sz w:val="20"/>
          <w:szCs w:val="20"/>
          <w:lang w:val="es-AR"/>
        </w:rPr>
      </w:pPr>
    </w:p>
    <w:p w:rsidR="000572E5" w:rsidRPr="003364AB" w:rsidRDefault="000572E5" w:rsidP="000572E5">
      <w:pPr>
        <w:pStyle w:val="Default"/>
        <w:jc w:val="both"/>
        <w:rPr>
          <w:rFonts w:ascii="Verdana" w:hAnsi="Verdana"/>
          <w:spacing w:val="-2"/>
          <w:sz w:val="20"/>
          <w:szCs w:val="20"/>
          <w:lang w:val="es-AR"/>
        </w:rPr>
      </w:pPr>
      <w:r w:rsidRPr="003364AB">
        <w:rPr>
          <w:rFonts w:ascii="Verdana" w:hAnsi="Verdana"/>
          <w:spacing w:val="-2"/>
          <w:sz w:val="20"/>
          <w:szCs w:val="20"/>
          <w:lang w:val="es-AR"/>
        </w:rPr>
        <w:t xml:space="preserve">Por cuatro votos a favor y dos en contra, que:  </w:t>
      </w:r>
    </w:p>
    <w:p w:rsidR="000572E5" w:rsidRPr="00524196" w:rsidRDefault="000572E5" w:rsidP="000572E5">
      <w:pPr>
        <w:pStyle w:val="Default"/>
        <w:jc w:val="both"/>
        <w:rPr>
          <w:rFonts w:ascii="Verdana" w:hAnsi="Verdana"/>
          <w:spacing w:val="-2"/>
          <w:sz w:val="20"/>
          <w:szCs w:val="20"/>
          <w:lang w:val="es-AR"/>
        </w:rPr>
      </w:pPr>
    </w:p>
    <w:p w:rsidR="000572E5" w:rsidRPr="00524196" w:rsidRDefault="000572E5" w:rsidP="005D3491">
      <w:pPr>
        <w:pStyle w:val="Default"/>
        <w:numPr>
          <w:ilvl w:val="1"/>
          <w:numId w:val="13"/>
        </w:numPr>
        <w:tabs>
          <w:tab w:val="clear" w:pos="1440"/>
        </w:tabs>
        <w:ind w:left="0" w:firstLine="0"/>
        <w:jc w:val="both"/>
        <w:rPr>
          <w:spacing w:val="-2"/>
          <w:sz w:val="16"/>
          <w:szCs w:val="16"/>
          <w:lang w:val="es-AR"/>
        </w:rPr>
      </w:pPr>
      <w:r w:rsidRPr="00524196">
        <w:rPr>
          <w:rFonts w:ascii="Verdana" w:hAnsi="Verdana"/>
          <w:spacing w:val="-2"/>
          <w:sz w:val="20"/>
          <w:szCs w:val="20"/>
          <w:lang w:val="es-AR"/>
        </w:rPr>
        <w:t xml:space="preserve">El Estado </w:t>
      </w:r>
      <w:r>
        <w:rPr>
          <w:rFonts w:ascii="Verdana" w:eastAsia="Batang" w:hAnsi="Verdana" w:cs="Times"/>
          <w:color w:val="000000" w:themeColor="text1"/>
          <w:spacing w:val="-2"/>
          <w:sz w:val="20"/>
          <w:szCs w:val="20"/>
          <w:lang w:val="es-PR"/>
        </w:rPr>
        <w:t>es responsable por</w:t>
      </w:r>
      <w:r w:rsidRPr="00524196">
        <w:rPr>
          <w:rFonts w:ascii="Verdana" w:eastAsia="Batang" w:hAnsi="Verdana" w:cs="Times"/>
          <w:color w:val="000000" w:themeColor="text1"/>
          <w:spacing w:val="-2"/>
          <w:sz w:val="20"/>
          <w:szCs w:val="20"/>
          <w:lang w:val="es-PR"/>
        </w:rPr>
        <w:t xml:space="preserve"> la violación</w:t>
      </w:r>
      <w:r w:rsidRPr="00524196">
        <w:rPr>
          <w:rFonts w:ascii="Verdana" w:hAnsi="Verdana"/>
          <w:iCs/>
          <w:sz w:val="20"/>
          <w:szCs w:val="20"/>
          <w:lang w:val="es-AR"/>
        </w:rPr>
        <w:t xml:space="preserve"> del </w:t>
      </w:r>
      <w:r w:rsidRPr="00524196">
        <w:rPr>
          <w:rFonts w:ascii="Verdana" w:hAnsi="Verdana"/>
          <w:spacing w:val="-2"/>
          <w:sz w:val="20"/>
          <w:szCs w:val="20"/>
          <w:lang w:val="es-AR"/>
        </w:rPr>
        <w:t xml:space="preserve">derecho a la integridad personal reconocido en el </w:t>
      </w:r>
      <w:r w:rsidRPr="00524196">
        <w:rPr>
          <w:rFonts w:ascii="Verdana" w:hAnsi="Verdana"/>
          <w:sz w:val="20"/>
          <w:szCs w:val="20"/>
        </w:rPr>
        <w:t>artículo 5</w:t>
      </w:r>
      <w:r w:rsidR="00B70124">
        <w:rPr>
          <w:rFonts w:ascii="Verdana" w:hAnsi="Verdana"/>
          <w:sz w:val="20"/>
          <w:szCs w:val="20"/>
        </w:rPr>
        <w:t>.1</w:t>
      </w:r>
      <w:r w:rsidRPr="00524196">
        <w:rPr>
          <w:rFonts w:ascii="Verdana" w:hAnsi="Verdana"/>
          <w:sz w:val="20"/>
          <w:szCs w:val="20"/>
        </w:rPr>
        <w:t xml:space="preserve"> de la Convención Americana sobre Derechos Humanos, </w:t>
      </w:r>
      <w:r w:rsidRPr="00275F22">
        <w:rPr>
          <w:rFonts w:ascii="Verdana" w:hAnsi="Verdana"/>
          <w:sz w:val="20"/>
          <w:szCs w:val="20"/>
        </w:rPr>
        <w:t xml:space="preserve">en perjuicio de Luis Antonio Galindo Cárdenas, </w:t>
      </w:r>
      <w:r w:rsidRPr="00275F22">
        <w:rPr>
          <w:rFonts w:ascii="Verdana" w:hAnsi="Verdana"/>
          <w:sz w:val="20"/>
          <w:szCs w:val="20"/>
          <w:lang w:val="es-CO"/>
        </w:rPr>
        <w:t xml:space="preserve">Irma Díaz de Galindo </w:t>
      </w:r>
      <w:r w:rsidRPr="00275F22">
        <w:rPr>
          <w:rFonts w:ascii="Verdana" w:hAnsi="Verdana"/>
          <w:sz w:val="20"/>
          <w:szCs w:val="20"/>
        </w:rPr>
        <w:t xml:space="preserve">y </w:t>
      </w:r>
      <w:r w:rsidRPr="00275F22">
        <w:rPr>
          <w:rFonts w:ascii="Verdana" w:hAnsi="Verdana"/>
          <w:sz w:val="20"/>
          <w:szCs w:val="20"/>
          <w:lang w:val="es-CO"/>
        </w:rPr>
        <w:t xml:space="preserve">Luis </w:t>
      </w:r>
      <w:proofErr w:type="spellStart"/>
      <w:r w:rsidRPr="00275F22">
        <w:rPr>
          <w:rFonts w:ascii="Verdana" w:hAnsi="Verdana"/>
          <w:sz w:val="20"/>
          <w:szCs w:val="20"/>
          <w:lang w:val="es-CO"/>
        </w:rPr>
        <w:t>Idelso</w:t>
      </w:r>
      <w:proofErr w:type="spellEnd"/>
      <w:r w:rsidRPr="00275F22">
        <w:rPr>
          <w:rFonts w:ascii="Verdana" w:hAnsi="Verdana"/>
          <w:sz w:val="20"/>
          <w:szCs w:val="20"/>
          <w:lang w:val="es-CO"/>
        </w:rPr>
        <w:t xml:space="preserve"> Galindo Díaz,</w:t>
      </w:r>
      <w:r w:rsidRPr="00524196">
        <w:rPr>
          <w:rFonts w:ascii="Verdana" w:hAnsi="Verdana"/>
          <w:sz w:val="20"/>
          <w:szCs w:val="20"/>
        </w:rPr>
        <w:t xml:space="preserve"> en los términos de los párrafos </w:t>
      </w:r>
      <w:r>
        <w:rPr>
          <w:rFonts w:ascii="Verdana" w:hAnsi="Verdana"/>
          <w:sz w:val="20"/>
          <w:szCs w:val="20"/>
        </w:rPr>
        <w:t>23</w:t>
      </w:r>
      <w:r w:rsidR="00FB2FC9">
        <w:rPr>
          <w:rFonts w:ascii="Verdana" w:hAnsi="Verdana"/>
          <w:sz w:val="20"/>
          <w:szCs w:val="20"/>
        </w:rPr>
        <w:t>9</w:t>
      </w:r>
      <w:r w:rsidRPr="00524196">
        <w:rPr>
          <w:rFonts w:ascii="Verdana" w:hAnsi="Verdana"/>
          <w:sz w:val="20"/>
          <w:szCs w:val="20"/>
        </w:rPr>
        <w:t xml:space="preserve"> a </w:t>
      </w:r>
      <w:r>
        <w:rPr>
          <w:rFonts w:ascii="Verdana" w:hAnsi="Verdana"/>
          <w:sz w:val="20"/>
          <w:szCs w:val="20"/>
        </w:rPr>
        <w:t>2</w:t>
      </w:r>
      <w:r w:rsidR="00FB2FC9">
        <w:rPr>
          <w:rFonts w:ascii="Verdana" w:hAnsi="Verdana"/>
          <w:sz w:val="20"/>
          <w:szCs w:val="20"/>
        </w:rPr>
        <w:t>51</w:t>
      </w:r>
      <w:r w:rsidRPr="00524196">
        <w:rPr>
          <w:rFonts w:ascii="Verdana" w:hAnsi="Verdana"/>
          <w:sz w:val="20"/>
          <w:szCs w:val="20"/>
        </w:rPr>
        <w:t xml:space="preserve"> de la presente Sentencia.</w:t>
      </w:r>
    </w:p>
    <w:p w:rsidR="000572E5" w:rsidRPr="003364AB" w:rsidRDefault="000572E5" w:rsidP="000572E5">
      <w:pPr>
        <w:pStyle w:val="Default"/>
        <w:jc w:val="both"/>
        <w:rPr>
          <w:rFonts w:ascii="Verdana" w:hAnsi="Verdana"/>
          <w:sz w:val="20"/>
          <w:szCs w:val="20"/>
        </w:rPr>
      </w:pPr>
    </w:p>
    <w:p w:rsidR="000572E5" w:rsidRPr="003364AB" w:rsidRDefault="000572E5" w:rsidP="000572E5">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Disienten los Jueces Sierra Porto y Vio Grossi. </w:t>
      </w:r>
    </w:p>
    <w:p w:rsidR="000572E5" w:rsidRDefault="000572E5" w:rsidP="00397083">
      <w:pPr>
        <w:pStyle w:val="Default"/>
        <w:jc w:val="both"/>
        <w:rPr>
          <w:rFonts w:ascii="Verdana" w:hAnsi="Verdana"/>
          <w:spacing w:val="-2"/>
          <w:sz w:val="20"/>
          <w:szCs w:val="20"/>
          <w:lang w:val="es-AR"/>
        </w:rPr>
      </w:pPr>
    </w:p>
    <w:p w:rsidR="000572E5" w:rsidRPr="003364AB" w:rsidRDefault="000572E5" w:rsidP="00397083">
      <w:pPr>
        <w:pStyle w:val="Default"/>
        <w:jc w:val="both"/>
        <w:rPr>
          <w:rFonts w:ascii="Verdana" w:hAnsi="Verdana"/>
          <w:spacing w:val="-2"/>
          <w:sz w:val="20"/>
          <w:szCs w:val="20"/>
          <w:lang w:val="es-AR"/>
        </w:rPr>
      </w:pPr>
    </w:p>
    <w:p w:rsidR="00397083" w:rsidRPr="003364AB" w:rsidRDefault="00397083" w:rsidP="00397083">
      <w:pPr>
        <w:pStyle w:val="Default"/>
        <w:jc w:val="both"/>
        <w:rPr>
          <w:rFonts w:ascii="Verdana" w:hAnsi="Verdana"/>
          <w:spacing w:val="-2"/>
          <w:sz w:val="20"/>
          <w:szCs w:val="20"/>
          <w:lang w:val="es-AR"/>
        </w:rPr>
      </w:pPr>
      <w:r w:rsidRPr="003364AB">
        <w:rPr>
          <w:rFonts w:ascii="Verdana" w:hAnsi="Verdana"/>
          <w:spacing w:val="-2"/>
          <w:sz w:val="20"/>
          <w:szCs w:val="20"/>
          <w:lang w:val="es-AR"/>
        </w:rPr>
        <w:t>Por cuatro votos</w:t>
      </w:r>
      <w:r w:rsidR="00C0698A" w:rsidRPr="003364AB">
        <w:rPr>
          <w:rFonts w:ascii="Verdana" w:hAnsi="Verdana"/>
          <w:spacing w:val="-2"/>
          <w:sz w:val="20"/>
          <w:szCs w:val="20"/>
          <w:lang w:val="es-AR"/>
        </w:rPr>
        <w:t xml:space="preserve"> a favor y dos en </w:t>
      </w:r>
      <w:r w:rsidRPr="003364AB">
        <w:rPr>
          <w:rFonts w:ascii="Verdana" w:hAnsi="Verdana"/>
          <w:spacing w:val="-2"/>
          <w:sz w:val="20"/>
          <w:szCs w:val="20"/>
          <w:lang w:val="es-AR"/>
        </w:rPr>
        <w:t>contra</w:t>
      </w:r>
      <w:r w:rsidR="00C0698A" w:rsidRPr="003364AB">
        <w:rPr>
          <w:rFonts w:ascii="Verdana" w:hAnsi="Verdana"/>
          <w:spacing w:val="-2"/>
          <w:sz w:val="20"/>
          <w:szCs w:val="20"/>
          <w:lang w:val="es-AR"/>
        </w:rPr>
        <w:t>, que:</w:t>
      </w:r>
      <w:r w:rsidRPr="003364AB">
        <w:rPr>
          <w:rFonts w:ascii="Verdana" w:hAnsi="Verdana"/>
          <w:spacing w:val="-2"/>
          <w:sz w:val="20"/>
          <w:szCs w:val="20"/>
          <w:lang w:val="es-AR"/>
        </w:rPr>
        <w:t xml:space="preserve"> </w:t>
      </w:r>
    </w:p>
    <w:p w:rsidR="00397083" w:rsidRPr="00524196" w:rsidRDefault="00397083" w:rsidP="00397083">
      <w:pPr>
        <w:pStyle w:val="Default"/>
        <w:jc w:val="both"/>
        <w:rPr>
          <w:rFonts w:ascii="Verdana" w:hAnsi="Verdana"/>
          <w:spacing w:val="-2"/>
          <w:sz w:val="20"/>
          <w:szCs w:val="20"/>
          <w:lang w:val="es-AR"/>
        </w:rPr>
      </w:pPr>
    </w:p>
    <w:p w:rsidR="00397083" w:rsidRPr="00524196" w:rsidRDefault="00397083" w:rsidP="005D3491">
      <w:pPr>
        <w:pStyle w:val="Default"/>
        <w:numPr>
          <w:ilvl w:val="1"/>
          <w:numId w:val="13"/>
        </w:numPr>
        <w:tabs>
          <w:tab w:val="clear" w:pos="1440"/>
        </w:tabs>
        <w:ind w:left="0" w:firstLine="0"/>
        <w:jc w:val="both"/>
        <w:rPr>
          <w:rFonts w:ascii="Verdana" w:hAnsi="Verdana"/>
          <w:spacing w:val="-2"/>
          <w:sz w:val="20"/>
          <w:szCs w:val="20"/>
          <w:lang w:val="es-AR"/>
        </w:rPr>
      </w:pPr>
      <w:r w:rsidRPr="00524196">
        <w:rPr>
          <w:rFonts w:ascii="Verdana" w:hAnsi="Verdana"/>
          <w:color w:val="000000" w:themeColor="text1"/>
          <w:spacing w:val="-2"/>
          <w:sz w:val="20"/>
          <w:szCs w:val="20"/>
          <w:lang w:val="es-AR"/>
        </w:rPr>
        <w:t xml:space="preserve">El Estado </w:t>
      </w:r>
      <w:r w:rsidR="00501702">
        <w:rPr>
          <w:rFonts w:ascii="Verdana" w:hAnsi="Verdana"/>
          <w:spacing w:val="-2"/>
          <w:sz w:val="20"/>
          <w:szCs w:val="20"/>
          <w:lang w:val="es-AR"/>
        </w:rPr>
        <w:t>es responsable por</w:t>
      </w:r>
      <w:r w:rsidRPr="00524196">
        <w:rPr>
          <w:rFonts w:ascii="Verdana" w:hAnsi="Verdana"/>
          <w:spacing w:val="-2"/>
          <w:sz w:val="20"/>
          <w:szCs w:val="20"/>
          <w:lang w:val="es-AR"/>
        </w:rPr>
        <w:t xml:space="preserve"> la violación de los </w:t>
      </w:r>
      <w:r w:rsidRPr="00524196">
        <w:rPr>
          <w:rFonts w:ascii="Verdana" w:hAnsi="Verdana"/>
          <w:color w:val="000000" w:themeColor="text1"/>
          <w:spacing w:val="-2"/>
          <w:sz w:val="20"/>
          <w:szCs w:val="20"/>
          <w:lang w:val="es-AR"/>
        </w:rPr>
        <w:t xml:space="preserve">derechos a las garantías judiciales y a la protección judicial reconocidos en los artículos 8.1 y 25.1 de la Convención Americana sobre Derechos Humanos, en relación con el artículo 1.1 de la Convención, en perjuicio del señor Luis Antonio Galindo Cárdenas, en los términos de los párrafos </w:t>
      </w:r>
      <w:r w:rsidR="000572E5">
        <w:rPr>
          <w:rFonts w:ascii="Verdana" w:hAnsi="Verdana"/>
          <w:color w:val="000000" w:themeColor="text1"/>
          <w:spacing w:val="-2"/>
          <w:sz w:val="20"/>
          <w:szCs w:val="20"/>
          <w:lang w:val="es-AR"/>
        </w:rPr>
        <w:t>25</w:t>
      </w:r>
      <w:r w:rsidR="00FB2FC9">
        <w:rPr>
          <w:rFonts w:ascii="Verdana" w:hAnsi="Verdana"/>
          <w:color w:val="000000" w:themeColor="text1"/>
          <w:spacing w:val="-2"/>
          <w:sz w:val="20"/>
          <w:szCs w:val="20"/>
          <w:lang w:val="es-AR"/>
        </w:rPr>
        <w:t>8</w:t>
      </w:r>
      <w:r w:rsidR="00DD562C" w:rsidRPr="00524196">
        <w:rPr>
          <w:rFonts w:ascii="Verdana" w:hAnsi="Verdana"/>
          <w:color w:val="000000" w:themeColor="text1"/>
          <w:spacing w:val="-2"/>
          <w:sz w:val="20"/>
          <w:szCs w:val="20"/>
          <w:lang w:val="es-AR"/>
        </w:rPr>
        <w:t xml:space="preserve"> </w:t>
      </w:r>
      <w:r w:rsidRPr="00524196">
        <w:rPr>
          <w:rFonts w:ascii="Verdana" w:hAnsi="Verdana"/>
          <w:color w:val="000000" w:themeColor="text1"/>
          <w:spacing w:val="-2"/>
          <w:sz w:val="20"/>
          <w:szCs w:val="20"/>
          <w:lang w:val="es-AR"/>
        </w:rPr>
        <w:t xml:space="preserve">a </w:t>
      </w:r>
      <w:r w:rsidR="00DD562C">
        <w:rPr>
          <w:rFonts w:ascii="Verdana" w:hAnsi="Verdana"/>
          <w:color w:val="000000" w:themeColor="text1"/>
          <w:spacing w:val="-2"/>
          <w:sz w:val="20"/>
          <w:szCs w:val="20"/>
          <w:lang w:val="es-AR"/>
        </w:rPr>
        <w:t>2</w:t>
      </w:r>
      <w:r w:rsidR="000572E5">
        <w:rPr>
          <w:rFonts w:ascii="Verdana" w:hAnsi="Verdana"/>
          <w:color w:val="000000" w:themeColor="text1"/>
          <w:spacing w:val="-2"/>
          <w:sz w:val="20"/>
          <w:szCs w:val="20"/>
          <w:lang w:val="es-AR"/>
        </w:rPr>
        <w:t>6</w:t>
      </w:r>
      <w:r w:rsidR="00FB2FC9">
        <w:rPr>
          <w:rFonts w:ascii="Verdana" w:hAnsi="Verdana"/>
          <w:color w:val="000000" w:themeColor="text1"/>
          <w:spacing w:val="-2"/>
          <w:sz w:val="20"/>
          <w:szCs w:val="20"/>
          <w:lang w:val="es-AR"/>
        </w:rPr>
        <w:t>6</w:t>
      </w:r>
      <w:r w:rsidR="00DD562C" w:rsidRPr="00524196">
        <w:rPr>
          <w:rFonts w:ascii="Verdana" w:hAnsi="Verdana"/>
          <w:color w:val="000000" w:themeColor="text1"/>
          <w:spacing w:val="-2"/>
          <w:sz w:val="20"/>
          <w:szCs w:val="20"/>
          <w:lang w:val="es-AR"/>
        </w:rPr>
        <w:t xml:space="preserve"> </w:t>
      </w:r>
      <w:r w:rsidRPr="00524196">
        <w:rPr>
          <w:rFonts w:ascii="Verdana" w:hAnsi="Verdana"/>
          <w:color w:val="000000" w:themeColor="text1"/>
          <w:spacing w:val="-2"/>
          <w:sz w:val="20"/>
          <w:szCs w:val="20"/>
          <w:lang w:val="es-AR"/>
        </w:rPr>
        <w:t xml:space="preserve">de la presente Sentencia. </w:t>
      </w:r>
      <w:r w:rsidRPr="00524196">
        <w:rPr>
          <w:rFonts w:ascii="Verdana" w:hAnsi="Verdana"/>
          <w:spacing w:val="-2"/>
          <w:sz w:val="16"/>
          <w:szCs w:val="16"/>
          <w:lang w:val="es-AR"/>
        </w:rPr>
        <w:t xml:space="preserve"> </w:t>
      </w:r>
    </w:p>
    <w:p w:rsidR="00397083" w:rsidRPr="003364AB" w:rsidRDefault="00397083" w:rsidP="00397083">
      <w:pPr>
        <w:pStyle w:val="Default"/>
        <w:jc w:val="both"/>
        <w:rPr>
          <w:rFonts w:ascii="Verdana" w:hAnsi="Verdana"/>
          <w:spacing w:val="-2"/>
          <w:sz w:val="16"/>
          <w:szCs w:val="16"/>
          <w:lang w:val="es-AR"/>
        </w:rPr>
      </w:pPr>
    </w:p>
    <w:p w:rsidR="009D0A73" w:rsidRPr="000572E5" w:rsidRDefault="009D0A73" w:rsidP="000572E5">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Disienten los Jue</w:t>
      </w:r>
      <w:r w:rsidR="000572E5">
        <w:rPr>
          <w:rFonts w:cs="Verdana"/>
          <w:color w:val="000000" w:themeColor="text1"/>
          <w:spacing w:val="-2"/>
          <w:szCs w:val="20"/>
          <w:lang w:val="es-AR"/>
        </w:rPr>
        <w:t xml:space="preserve">ces Sierra Porto y Vio Grossi. </w:t>
      </w:r>
    </w:p>
    <w:p w:rsidR="00501702" w:rsidRDefault="00501702" w:rsidP="00397083">
      <w:pPr>
        <w:pStyle w:val="Default"/>
        <w:jc w:val="both"/>
        <w:rPr>
          <w:rFonts w:ascii="Verdana" w:hAnsi="Verdana"/>
          <w:b/>
          <w:sz w:val="20"/>
          <w:szCs w:val="20"/>
        </w:rPr>
      </w:pPr>
    </w:p>
    <w:p w:rsidR="000572E5" w:rsidRDefault="000572E5" w:rsidP="00397083">
      <w:pPr>
        <w:pStyle w:val="Default"/>
        <w:jc w:val="both"/>
        <w:rPr>
          <w:rFonts w:ascii="Verdana" w:hAnsi="Verdana"/>
          <w:b/>
          <w:sz w:val="20"/>
          <w:szCs w:val="20"/>
        </w:rPr>
      </w:pPr>
    </w:p>
    <w:p w:rsidR="00351482" w:rsidRPr="003364AB" w:rsidRDefault="00351482" w:rsidP="00351482">
      <w:pPr>
        <w:pStyle w:val="Default"/>
        <w:jc w:val="both"/>
        <w:rPr>
          <w:rFonts w:ascii="Verdana" w:hAnsi="Verdana"/>
          <w:spacing w:val="-2"/>
          <w:sz w:val="20"/>
          <w:szCs w:val="20"/>
          <w:lang w:val="es-EC"/>
        </w:rPr>
      </w:pPr>
      <w:r w:rsidRPr="003364AB">
        <w:rPr>
          <w:rFonts w:ascii="Verdana" w:eastAsia="Batang" w:hAnsi="Verdana" w:cs="Times"/>
          <w:color w:val="000000" w:themeColor="text1"/>
          <w:spacing w:val="-2"/>
          <w:sz w:val="20"/>
          <w:szCs w:val="20"/>
          <w:lang w:val="es-PR"/>
        </w:rPr>
        <w:t xml:space="preserve">Por cinco votos a favor y uno en contra, que: </w:t>
      </w:r>
    </w:p>
    <w:p w:rsidR="00351482" w:rsidRPr="000572E5" w:rsidRDefault="00351482" w:rsidP="00351482">
      <w:pPr>
        <w:pStyle w:val="Default"/>
        <w:jc w:val="both"/>
        <w:rPr>
          <w:spacing w:val="-2"/>
          <w:sz w:val="20"/>
          <w:szCs w:val="20"/>
          <w:lang w:val="es-AR"/>
        </w:rPr>
      </w:pPr>
    </w:p>
    <w:p w:rsidR="00351482" w:rsidRPr="00524196" w:rsidRDefault="00351482" w:rsidP="005D3491">
      <w:pPr>
        <w:pStyle w:val="Default"/>
        <w:numPr>
          <w:ilvl w:val="1"/>
          <w:numId w:val="13"/>
        </w:numPr>
        <w:tabs>
          <w:tab w:val="clear" w:pos="1440"/>
        </w:tabs>
        <w:ind w:left="0" w:firstLine="0"/>
        <w:jc w:val="both"/>
        <w:rPr>
          <w:spacing w:val="-2"/>
          <w:sz w:val="16"/>
          <w:szCs w:val="16"/>
          <w:lang w:val="es-AR"/>
        </w:rPr>
      </w:pPr>
      <w:r w:rsidRPr="00524196">
        <w:rPr>
          <w:rFonts w:ascii="Verdana" w:hAnsi="Verdana"/>
          <w:iCs/>
          <w:color w:val="auto"/>
          <w:sz w:val="20"/>
          <w:szCs w:val="20"/>
          <w:lang w:val="es-AR"/>
        </w:rPr>
        <w:t xml:space="preserve">El Estado </w:t>
      </w:r>
      <w:r w:rsidRPr="00524196">
        <w:rPr>
          <w:rFonts w:ascii="Verdana" w:eastAsia="Batang" w:hAnsi="Verdana" w:cs="Times"/>
          <w:color w:val="000000" w:themeColor="text1"/>
          <w:spacing w:val="-2"/>
          <w:sz w:val="20"/>
          <w:szCs w:val="20"/>
          <w:lang w:val="es-PR"/>
        </w:rPr>
        <w:t xml:space="preserve">no es responsable de la </w:t>
      </w:r>
      <w:r w:rsidRPr="003E4B2C">
        <w:rPr>
          <w:rFonts w:ascii="Verdana" w:eastAsia="Batang" w:hAnsi="Verdana" w:cs="Times"/>
          <w:color w:val="000000" w:themeColor="text1"/>
          <w:spacing w:val="-2"/>
          <w:sz w:val="20"/>
          <w:szCs w:val="20"/>
          <w:lang w:val="es-PR"/>
        </w:rPr>
        <w:t>violación</w:t>
      </w:r>
      <w:r w:rsidRPr="00524196">
        <w:rPr>
          <w:rFonts w:ascii="Verdana" w:hAnsi="Verdana"/>
          <w:iCs/>
          <w:color w:val="auto"/>
          <w:sz w:val="20"/>
          <w:szCs w:val="20"/>
          <w:lang w:val="es-AR"/>
        </w:rPr>
        <w:t xml:space="preserve"> de</w:t>
      </w:r>
      <w:r w:rsidRPr="00524196">
        <w:rPr>
          <w:rFonts w:ascii="Verdana" w:hAnsi="Verdana"/>
          <w:iCs/>
          <w:sz w:val="20"/>
          <w:szCs w:val="20"/>
          <w:lang w:val="es-AR"/>
        </w:rPr>
        <w:t>l</w:t>
      </w:r>
      <w:r w:rsidRPr="00524196">
        <w:rPr>
          <w:rFonts w:ascii="Verdana" w:hAnsi="Verdana"/>
          <w:iCs/>
          <w:sz w:val="20"/>
          <w:szCs w:val="20"/>
        </w:rPr>
        <w:t xml:space="preserve"> deber de adoptar disposiciones </w:t>
      </w:r>
      <w:r>
        <w:rPr>
          <w:rFonts w:ascii="Verdana" w:hAnsi="Verdana"/>
          <w:iCs/>
          <w:sz w:val="20"/>
          <w:szCs w:val="20"/>
        </w:rPr>
        <w:t>y</w:t>
      </w:r>
      <w:r w:rsidRPr="00524196">
        <w:rPr>
          <w:rFonts w:ascii="Verdana" w:hAnsi="Verdana"/>
          <w:iCs/>
          <w:sz w:val="20"/>
          <w:szCs w:val="20"/>
        </w:rPr>
        <w:t xml:space="preserve"> derecho interno reconocido en el artículo 2 de la Convención Americana sobre Derechos Humanos, en los términos de los párrafos </w:t>
      </w:r>
      <w:r w:rsidRPr="005D7D05">
        <w:rPr>
          <w:rFonts w:ascii="Verdana" w:hAnsi="Verdana"/>
          <w:iCs/>
          <w:sz w:val="20"/>
          <w:szCs w:val="20"/>
        </w:rPr>
        <w:t>20</w:t>
      </w:r>
      <w:r w:rsidR="00FB2FC9" w:rsidRPr="005D7D05">
        <w:rPr>
          <w:rFonts w:ascii="Verdana" w:hAnsi="Verdana"/>
          <w:iCs/>
          <w:sz w:val="20"/>
          <w:szCs w:val="20"/>
        </w:rPr>
        <w:t>7</w:t>
      </w:r>
      <w:r w:rsidRPr="005D7D05">
        <w:rPr>
          <w:rFonts w:ascii="Verdana" w:hAnsi="Verdana"/>
          <w:iCs/>
          <w:sz w:val="20"/>
          <w:szCs w:val="20"/>
        </w:rPr>
        <w:t xml:space="preserve"> y 21</w:t>
      </w:r>
      <w:r w:rsidR="00FB2FC9" w:rsidRPr="005D7D05">
        <w:rPr>
          <w:rFonts w:ascii="Verdana" w:hAnsi="Verdana"/>
          <w:iCs/>
          <w:sz w:val="20"/>
          <w:szCs w:val="20"/>
        </w:rPr>
        <w:t>7</w:t>
      </w:r>
      <w:r w:rsidRPr="00524196">
        <w:rPr>
          <w:rFonts w:ascii="Verdana" w:hAnsi="Verdana"/>
          <w:iCs/>
          <w:sz w:val="20"/>
          <w:szCs w:val="20"/>
        </w:rPr>
        <w:t xml:space="preserve"> de la presente Sentencia.</w:t>
      </w:r>
      <w:r w:rsidRPr="00524196">
        <w:rPr>
          <w:rFonts w:ascii="Verdana" w:hAnsi="Verdana"/>
          <w:spacing w:val="-2"/>
          <w:sz w:val="20"/>
          <w:szCs w:val="20"/>
          <w:lang w:val="es-AR"/>
        </w:rPr>
        <w:t xml:space="preserve"> </w:t>
      </w:r>
    </w:p>
    <w:p w:rsidR="00351482" w:rsidRPr="00524196" w:rsidRDefault="00351482" w:rsidP="00351482">
      <w:pPr>
        <w:tabs>
          <w:tab w:val="left" w:pos="567"/>
          <w:tab w:val="left" w:pos="720"/>
        </w:tabs>
        <w:rPr>
          <w:rFonts w:cs="Verdana"/>
          <w:color w:val="000000" w:themeColor="text1"/>
          <w:spacing w:val="-2"/>
          <w:szCs w:val="20"/>
        </w:rPr>
      </w:pPr>
    </w:p>
    <w:p w:rsidR="00351482" w:rsidRPr="003364AB" w:rsidRDefault="00351482" w:rsidP="00351482">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351482" w:rsidRDefault="00351482" w:rsidP="00397083">
      <w:pPr>
        <w:pStyle w:val="Default"/>
        <w:jc w:val="both"/>
        <w:rPr>
          <w:rFonts w:ascii="Verdana" w:hAnsi="Verdana"/>
          <w:b/>
          <w:sz w:val="20"/>
          <w:szCs w:val="20"/>
          <w:lang w:val="es-AR"/>
        </w:rPr>
      </w:pPr>
    </w:p>
    <w:p w:rsidR="00351482" w:rsidRPr="00351482" w:rsidRDefault="00351482" w:rsidP="00397083">
      <w:pPr>
        <w:pStyle w:val="Default"/>
        <w:jc w:val="both"/>
        <w:rPr>
          <w:rFonts w:ascii="Verdana" w:hAnsi="Verdana"/>
          <w:b/>
          <w:sz w:val="20"/>
          <w:szCs w:val="20"/>
          <w:lang w:val="es-AR"/>
        </w:rPr>
      </w:pPr>
    </w:p>
    <w:p w:rsidR="00397083" w:rsidRPr="003364AB" w:rsidRDefault="00397083" w:rsidP="00397083">
      <w:pPr>
        <w:pStyle w:val="Default"/>
        <w:jc w:val="both"/>
        <w:rPr>
          <w:rFonts w:ascii="Verdana" w:hAnsi="Verdana"/>
          <w:spacing w:val="-2"/>
          <w:sz w:val="20"/>
          <w:szCs w:val="20"/>
        </w:rPr>
      </w:pPr>
      <w:r w:rsidRPr="003364AB">
        <w:rPr>
          <w:rFonts w:ascii="Verdana" w:hAnsi="Verdana"/>
          <w:sz w:val="20"/>
          <w:szCs w:val="20"/>
        </w:rPr>
        <w:t>Por cinco votos</w:t>
      </w:r>
      <w:r w:rsidR="00C0698A" w:rsidRPr="003364AB">
        <w:rPr>
          <w:rFonts w:ascii="Verdana" w:hAnsi="Verdana"/>
          <w:sz w:val="20"/>
          <w:szCs w:val="20"/>
        </w:rPr>
        <w:t xml:space="preserve"> a favor y uno en contra, que:</w:t>
      </w:r>
      <w:r w:rsidRPr="003364AB">
        <w:rPr>
          <w:rFonts w:ascii="Verdana" w:hAnsi="Verdana"/>
          <w:sz w:val="20"/>
          <w:szCs w:val="20"/>
        </w:rPr>
        <w:t xml:space="preserve"> </w:t>
      </w:r>
    </w:p>
    <w:p w:rsidR="00397083" w:rsidRPr="00524196" w:rsidRDefault="00397083" w:rsidP="00397083">
      <w:pPr>
        <w:pStyle w:val="Default"/>
        <w:jc w:val="both"/>
        <w:rPr>
          <w:spacing w:val="-2"/>
          <w:sz w:val="16"/>
          <w:szCs w:val="16"/>
          <w:lang w:val="es-AR"/>
        </w:rPr>
      </w:pPr>
    </w:p>
    <w:p w:rsidR="00397083" w:rsidRPr="00524196" w:rsidRDefault="00397083" w:rsidP="005D3491">
      <w:pPr>
        <w:pStyle w:val="Default"/>
        <w:numPr>
          <w:ilvl w:val="1"/>
          <w:numId w:val="13"/>
        </w:numPr>
        <w:tabs>
          <w:tab w:val="clear" w:pos="1440"/>
        </w:tabs>
        <w:ind w:left="0" w:firstLine="0"/>
        <w:jc w:val="both"/>
        <w:rPr>
          <w:spacing w:val="-2"/>
          <w:sz w:val="16"/>
          <w:szCs w:val="16"/>
          <w:lang w:val="es-AR"/>
        </w:rPr>
      </w:pPr>
      <w:r w:rsidRPr="00524196">
        <w:rPr>
          <w:rFonts w:ascii="Verdana" w:eastAsia="Batang" w:hAnsi="Verdana" w:cs="Times"/>
          <w:color w:val="000000" w:themeColor="text1"/>
          <w:spacing w:val="-2"/>
          <w:sz w:val="20"/>
          <w:szCs w:val="20"/>
          <w:lang w:val="es-PR"/>
        </w:rPr>
        <w:t xml:space="preserve">El </w:t>
      </w:r>
      <w:r w:rsidRPr="00524196">
        <w:rPr>
          <w:rFonts w:ascii="Verdana" w:hAnsi="Verdana"/>
          <w:color w:val="000000" w:themeColor="text1"/>
          <w:spacing w:val="-2"/>
          <w:sz w:val="20"/>
          <w:szCs w:val="20"/>
          <w:lang w:val="es-ES_tradnl"/>
        </w:rPr>
        <w:t>Estado</w:t>
      </w:r>
      <w:r w:rsidRPr="00524196">
        <w:rPr>
          <w:rFonts w:ascii="Verdana" w:eastAsia="Batang" w:hAnsi="Verdana" w:cs="Times"/>
          <w:color w:val="000000" w:themeColor="text1"/>
          <w:spacing w:val="-2"/>
          <w:sz w:val="20"/>
          <w:szCs w:val="20"/>
          <w:lang w:val="es-PR"/>
        </w:rPr>
        <w:t xml:space="preserve"> no es responsable de la violación del </w:t>
      </w:r>
      <w:r w:rsidRPr="00524196">
        <w:rPr>
          <w:rFonts w:ascii="Verdana" w:hAnsi="Verdana"/>
          <w:sz w:val="20"/>
          <w:szCs w:val="20"/>
        </w:rPr>
        <w:t>principio de legalidad y de no retroactividad de la ley reconocido en el artículo 9 de la Convención Americana sobre De</w:t>
      </w:r>
      <w:r w:rsidR="00351482">
        <w:rPr>
          <w:rFonts w:ascii="Verdana" w:hAnsi="Verdana"/>
          <w:sz w:val="20"/>
          <w:szCs w:val="20"/>
        </w:rPr>
        <w:t>rechos Humanos</w:t>
      </w:r>
      <w:r w:rsidRPr="00524196">
        <w:rPr>
          <w:rFonts w:ascii="Verdana" w:hAnsi="Verdana"/>
          <w:sz w:val="20"/>
          <w:szCs w:val="20"/>
        </w:rPr>
        <w:t>, en perjuicio de Luis Antonio Galindo Cárdenas</w:t>
      </w:r>
      <w:r w:rsidRPr="00524196">
        <w:rPr>
          <w:rFonts w:ascii="Verdana" w:hAnsi="Verdana"/>
          <w:color w:val="000000" w:themeColor="text1"/>
          <w:spacing w:val="-2"/>
          <w:sz w:val="20"/>
          <w:szCs w:val="20"/>
          <w:lang w:val="es-PR" w:eastAsia="es-CR"/>
        </w:rPr>
        <w:t>, en los términos de los párrafos</w:t>
      </w:r>
      <w:r w:rsidRPr="00524196">
        <w:rPr>
          <w:rFonts w:ascii="Verdana" w:eastAsia="Batang" w:hAnsi="Verdana" w:cs="Times"/>
          <w:color w:val="000000" w:themeColor="text1"/>
          <w:spacing w:val="-2"/>
          <w:sz w:val="20"/>
          <w:szCs w:val="20"/>
          <w:lang w:val="es-PR"/>
        </w:rPr>
        <w:t xml:space="preserve"> </w:t>
      </w:r>
      <w:r w:rsidR="00DD562C">
        <w:rPr>
          <w:rFonts w:ascii="Verdana" w:eastAsia="Batang" w:hAnsi="Verdana" w:cs="Times"/>
          <w:color w:val="000000" w:themeColor="text1"/>
          <w:spacing w:val="-2"/>
          <w:sz w:val="20"/>
          <w:szCs w:val="20"/>
          <w:lang w:val="es-PR"/>
        </w:rPr>
        <w:t>27</w:t>
      </w:r>
      <w:r w:rsidR="00FB2FC9">
        <w:rPr>
          <w:rFonts w:ascii="Verdana" w:eastAsia="Batang" w:hAnsi="Verdana" w:cs="Times"/>
          <w:color w:val="000000" w:themeColor="text1"/>
          <w:spacing w:val="-2"/>
          <w:sz w:val="20"/>
          <w:szCs w:val="20"/>
          <w:lang w:val="es-PR"/>
        </w:rPr>
        <w:t>3</w:t>
      </w:r>
      <w:r w:rsidR="00DD562C" w:rsidRPr="00524196">
        <w:rPr>
          <w:rFonts w:ascii="Verdana" w:eastAsia="Batang" w:hAnsi="Verdana" w:cs="Times"/>
          <w:color w:val="000000" w:themeColor="text1"/>
          <w:spacing w:val="-2"/>
          <w:sz w:val="20"/>
          <w:szCs w:val="20"/>
          <w:lang w:val="es-PR"/>
        </w:rPr>
        <w:t xml:space="preserve"> </w:t>
      </w:r>
      <w:r w:rsidRPr="00524196">
        <w:rPr>
          <w:rFonts w:ascii="Verdana" w:eastAsia="Batang" w:hAnsi="Verdana" w:cs="Times"/>
          <w:color w:val="000000" w:themeColor="text1"/>
          <w:spacing w:val="-2"/>
          <w:sz w:val="20"/>
          <w:szCs w:val="20"/>
          <w:lang w:val="es-PR"/>
        </w:rPr>
        <w:t xml:space="preserve">a </w:t>
      </w:r>
      <w:r w:rsidR="00DD562C">
        <w:rPr>
          <w:rFonts w:ascii="Verdana" w:eastAsia="Batang" w:hAnsi="Verdana" w:cs="Times"/>
          <w:color w:val="000000" w:themeColor="text1"/>
          <w:spacing w:val="-2"/>
          <w:sz w:val="20"/>
          <w:szCs w:val="20"/>
          <w:lang w:val="es-PR"/>
        </w:rPr>
        <w:t>27</w:t>
      </w:r>
      <w:r w:rsidR="00FB2FC9">
        <w:rPr>
          <w:rFonts w:ascii="Verdana" w:eastAsia="Batang" w:hAnsi="Verdana" w:cs="Times"/>
          <w:color w:val="000000" w:themeColor="text1"/>
          <w:spacing w:val="-2"/>
          <w:sz w:val="20"/>
          <w:szCs w:val="20"/>
          <w:lang w:val="es-PR"/>
        </w:rPr>
        <w:t>9</w:t>
      </w:r>
      <w:r w:rsidR="00DD562C" w:rsidRPr="00524196">
        <w:rPr>
          <w:rFonts w:ascii="Verdana" w:eastAsia="Batang" w:hAnsi="Verdana" w:cs="Times"/>
          <w:color w:val="000000" w:themeColor="text1"/>
          <w:spacing w:val="-2"/>
          <w:sz w:val="20"/>
          <w:szCs w:val="20"/>
          <w:lang w:val="es-ES_tradnl"/>
        </w:rPr>
        <w:t xml:space="preserve"> </w:t>
      </w:r>
      <w:r w:rsidRPr="00524196">
        <w:rPr>
          <w:rFonts w:ascii="Verdana" w:eastAsia="Batang" w:hAnsi="Verdana" w:cs="Times"/>
          <w:color w:val="000000" w:themeColor="text1"/>
          <w:spacing w:val="-2"/>
          <w:sz w:val="20"/>
          <w:szCs w:val="20"/>
          <w:lang w:val="es-PR"/>
        </w:rPr>
        <w:t>de la presente Sentencia.</w:t>
      </w:r>
    </w:p>
    <w:p w:rsidR="00397083" w:rsidRPr="000572E5" w:rsidRDefault="00397083" w:rsidP="00397083">
      <w:pPr>
        <w:pStyle w:val="Default"/>
        <w:jc w:val="both"/>
        <w:rPr>
          <w:spacing w:val="-2"/>
          <w:sz w:val="20"/>
          <w:szCs w:val="20"/>
          <w:lang w:val="es-AR"/>
        </w:rPr>
      </w:pPr>
    </w:p>
    <w:p w:rsidR="009D0A73" w:rsidRPr="003364AB" w:rsidRDefault="009D0A73" w:rsidP="009D0A73">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9D0A73" w:rsidRPr="00524196" w:rsidRDefault="009D0A73" w:rsidP="00397083">
      <w:pPr>
        <w:tabs>
          <w:tab w:val="left" w:pos="567"/>
          <w:tab w:val="left" w:pos="720"/>
        </w:tabs>
        <w:rPr>
          <w:rFonts w:cs="Verdana"/>
          <w:color w:val="000000" w:themeColor="text1"/>
          <w:spacing w:val="-2"/>
          <w:szCs w:val="20"/>
          <w:lang w:val="es-AR"/>
        </w:rPr>
      </w:pPr>
    </w:p>
    <w:p w:rsidR="009D0A73" w:rsidRPr="00524196" w:rsidRDefault="009D0A73" w:rsidP="00397083">
      <w:pPr>
        <w:tabs>
          <w:tab w:val="left" w:pos="567"/>
          <w:tab w:val="left" w:pos="720"/>
        </w:tabs>
        <w:rPr>
          <w:rFonts w:cs="Verdana"/>
          <w:color w:val="000000" w:themeColor="text1"/>
          <w:spacing w:val="-2"/>
          <w:szCs w:val="20"/>
        </w:rPr>
      </w:pPr>
    </w:p>
    <w:p w:rsidR="00397083" w:rsidRPr="00524196" w:rsidRDefault="00397083" w:rsidP="00397083">
      <w:pPr>
        <w:tabs>
          <w:tab w:val="left" w:pos="567"/>
          <w:tab w:val="left" w:pos="720"/>
        </w:tabs>
        <w:rPr>
          <w:rFonts w:cs="Verdana"/>
          <w:b/>
          <w:color w:val="000000" w:themeColor="text1"/>
          <w:spacing w:val="-2"/>
          <w:szCs w:val="20"/>
        </w:rPr>
      </w:pPr>
      <w:r w:rsidRPr="00524196">
        <w:rPr>
          <w:rFonts w:cs="Verdana"/>
          <w:b/>
          <w:color w:val="000000" w:themeColor="text1"/>
          <w:spacing w:val="-2"/>
          <w:szCs w:val="20"/>
        </w:rPr>
        <w:t>Y DISPONE,</w:t>
      </w:r>
    </w:p>
    <w:p w:rsidR="00397083" w:rsidRPr="00524196" w:rsidRDefault="00397083" w:rsidP="00397083">
      <w:pPr>
        <w:tabs>
          <w:tab w:val="left" w:pos="567"/>
          <w:tab w:val="left" w:pos="720"/>
        </w:tabs>
        <w:rPr>
          <w:rFonts w:cs="Verdana"/>
          <w:b/>
          <w:color w:val="000000" w:themeColor="text1"/>
          <w:spacing w:val="-2"/>
          <w:szCs w:val="20"/>
        </w:rPr>
      </w:pPr>
    </w:p>
    <w:p w:rsidR="00397083" w:rsidRPr="003364AB" w:rsidRDefault="00397083" w:rsidP="00397083">
      <w:pPr>
        <w:pStyle w:val="Default"/>
        <w:jc w:val="both"/>
        <w:rPr>
          <w:rFonts w:ascii="Verdana" w:hAnsi="Verdana"/>
          <w:spacing w:val="-2"/>
          <w:sz w:val="20"/>
          <w:szCs w:val="20"/>
          <w:lang w:val="es-EC"/>
        </w:rPr>
      </w:pPr>
      <w:r w:rsidRPr="003364AB">
        <w:rPr>
          <w:rFonts w:ascii="Verdana" w:hAnsi="Verdana" w:cs="Verdana"/>
          <w:color w:val="000000" w:themeColor="text1"/>
          <w:spacing w:val="-2"/>
          <w:sz w:val="20"/>
          <w:szCs w:val="20"/>
          <w:lang w:val="es-EC"/>
        </w:rPr>
        <w:t>Por cinco votos</w:t>
      </w:r>
      <w:r w:rsidR="009D0A73" w:rsidRPr="003364AB">
        <w:rPr>
          <w:rFonts w:ascii="Verdana" w:hAnsi="Verdana" w:cs="Verdana"/>
          <w:color w:val="000000" w:themeColor="text1"/>
          <w:spacing w:val="-2"/>
          <w:sz w:val="20"/>
          <w:szCs w:val="20"/>
          <w:lang w:val="es-EC"/>
        </w:rPr>
        <w:t xml:space="preserve"> a favor y uno en</w:t>
      </w:r>
      <w:r w:rsidRPr="003364AB">
        <w:rPr>
          <w:rFonts w:ascii="Verdana" w:hAnsi="Verdana" w:cs="Verdana"/>
          <w:color w:val="000000" w:themeColor="text1"/>
          <w:spacing w:val="-2"/>
          <w:sz w:val="20"/>
          <w:szCs w:val="20"/>
          <w:lang w:val="es-EC"/>
        </w:rPr>
        <w:t xml:space="preserve"> contra</w:t>
      </w:r>
      <w:r w:rsidR="009D0A73" w:rsidRPr="003364AB">
        <w:rPr>
          <w:rFonts w:ascii="Verdana" w:hAnsi="Verdana" w:cs="Verdana"/>
          <w:color w:val="000000" w:themeColor="text1"/>
          <w:spacing w:val="-2"/>
          <w:sz w:val="20"/>
          <w:szCs w:val="20"/>
          <w:lang w:val="es-EC"/>
        </w:rPr>
        <w:t>,</w:t>
      </w:r>
      <w:r w:rsidRPr="003364AB">
        <w:rPr>
          <w:rFonts w:ascii="Verdana" w:hAnsi="Verdana" w:cs="Verdana"/>
          <w:color w:val="000000" w:themeColor="text1"/>
          <w:spacing w:val="-2"/>
          <w:sz w:val="20"/>
          <w:szCs w:val="20"/>
          <w:lang w:val="es-EC"/>
        </w:rPr>
        <w:t xml:space="preserve"> </w:t>
      </w:r>
      <w:r w:rsidR="009D0A73" w:rsidRPr="003364AB">
        <w:rPr>
          <w:rFonts w:ascii="Verdana" w:hAnsi="Verdana" w:cs="Verdana"/>
          <w:color w:val="000000" w:themeColor="text1"/>
          <w:spacing w:val="-2"/>
          <w:sz w:val="20"/>
          <w:szCs w:val="20"/>
          <w:lang w:val="es-EC"/>
        </w:rPr>
        <w:t>q</w:t>
      </w:r>
      <w:r w:rsidRPr="003364AB">
        <w:rPr>
          <w:rFonts w:ascii="Verdana" w:hAnsi="Verdana" w:cs="Verdana"/>
          <w:color w:val="000000" w:themeColor="text1"/>
          <w:spacing w:val="-2"/>
          <w:sz w:val="20"/>
          <w:szCs w:val="20"/>
          <w:lang w:val="es-EC"/>
        </w:rPr>
        <w:t xml:space="preserve">ue: </w:t>
      </w:r>
    </w:p>
    <w:p w:rsidR="00397083" w:rsidRPr="00524196" w:rsidRDefault="00397083" w:rsidP="00397083">
      <w:pPr>
        <w:pStyle w:val="Default"/>
        <w:jc w:val="both"/>
        <w:rPr>
          <w:rFonts w:ascii="Verdana" w:hAnsi="Verdana"/>
          <w:color w:val="000000" w:themeColor="text1"/>
          <w:spacing w:val="-2"/>
          <w:sz w:val="20"/>
          <w:szCs w:val="20"/>
          <w:lang w:val="es-AR"/>
        </w:rPr>
      </w:pPr>
    </w:p>
    <w:p w:rsidR="00397083" w:rsidRPr="00524196" w:rsidRDefault="00397083" w:rsidP="005D3491">
      <w:pPr>
        <w:pStyle w:val="Default"/>
        <w:numPr>
          <w:ilvl w:val="1"/>
          <w:numId w:val="13"/>
        </w:numPr>
        <w:tabs>
          <w:tab w:val="clear" w:pos="1440"/>
        </w:tabs>
        <w:ind w:left="0" w:firstLine="0"/>
        <w:jc w:val="both"/>
        <w:rPr>
          <w:rFonts w:ascii="Verdana" w:hAnsi="Verdana"/>
          <w:color w:val="000000" w:themeColor="text1"/>
          <w:spacing w:val="-2"/>
          <w:sz w:val="20"/>
          <w:szCs w:val="20"/>
          <w:lang w:val="es-AR"/>
        </w:rPr>
      </w:pPr>
      <w:r w:rsidRPr="00524196">
        <w:rPr>
          <w:rFonts w:ascii="Verdana" w:hAnsi="Verdana"/>
          <w:color w:val="auto"/>
          <w:spacing w:val="-2"/>
          <w:sz w:val="20"/>
          <w:szCs w:val="20"/>
          <w:lang w:val="es-PR"/>
        </w:rPr>
        <w:t xml:space="preserve">Esta </w:t>
      </w:r>
      <w:r w:rsidRPr="00524196">
        <w:rPr>
          <w:rFonts w:ascii="Verdana" w:hAnsi="Verdana"/>
          <w:color w:val="auto"/>
          <w:spacing w:val="-2"/>
          <w:sz w:val="20"/>
          <w:szCs w:val="20"/>
          <w:lang w:val="es-GT" w:eastAsia="es-ES"/>
        </w:rPr>
        <w:t>Sentencia</w:t>
      </w:r>
      <w:r w:rsidRPr="00524196">
        <w:rPr>
          <w:rFonts w:ascii="Verdana" w:hAnsi="Verdana"/>
          <w:color w:val="auto"/>
          <w:spacing w:val="-2"/>
          <w:sz w:val="20"/>
          <w:szCs w:val="20"/>
          <w:lang w:val="es-PR"/>
        </w:rPr>
        <w:t xml:space="preserve"> constituye </w:t>
      </w:r>
      <w:r w:rsidRPr="00524196">
        <w:rPr>
          <w:rFonts w:ascii="Verdana" w:hAnsi="Verdana"/>
          <w:i/>
          <w:color w:val="auto"/>
          <w:spacing w:val="-2"/>
          <w:sz w:val="20"/>
          <w:szCs w:val="20"/>
          <w:lang w:val="es-PR"/>
        </w:rPr>
        <w:t>per se</w:t>
      </w:r>
      <w:r w:rsidRPr="00524196">
        <w:rPr>
          <w:rFonts w:ascii="Verdana" w:hAnsi="Verdana"/>
          <w:color w:val="auto"/>
          <w:spacing w:val="-2"/>
          <w:sz w:val="20"/>
          <w:szCs w:val="20"/>
          <w:lang w:val="es-PR"/>
        </w:rPr>
        <w:t xml:space="preserve"> una forma de reparación.</w:t>
      </w:r>
    </w:p>
    <w:p w:rsidR="00397083" w:rsidRPr="00524196" w:rsidRDefault="00397083" w:rsidP="00397083">
      <w:pPr>
        <w:pStyle w:val="Default"/>
        <w:jc w:val="both"/>
        <w:rPr>
          <w:rFonts w:ascii="Verdana" w:hAnsi="Verdana"/>
          <w:color w:val="auto"/>
          <w:spacing w:val="-2"/>
          <w:sz w:val="20"/>
          <w:szCs w:val="20"/>
          <w:lang w:val="es-PR"/>
        </w:rPr>
      </w:pPr>
    </w:p>
    <w:p w:rsidR="009D0A73" w:rsidRPr="003364AB" w:rsidRDefault="009D0A73" w:rsidP="009D0A73">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9D0A73" w:rsidRDefault="009D0A73" w:rsidP="00397083">
      <w:pPr>
        <w:pStyle w:val="Default"/>
        <w:jc w:val="both"/>
        <w:rPr>
          <w:rFonts w:ascii="Verdana" w:hAnsi="Verdana"/>
          <w:color w:val="auto"/>
          <w:spacing w:val="-2"/>
          <w:sz w:val="20"/>
          <w:szCs w:val="20"/>
          <w:lang w:val="es-PR"/>
        </w:rPr>
      </w:pPr>
    </w:p>
    <w:p w:rsidR="000572E5" w:rsidRPr="003364AB" w:rsidRDefault="000572E5" w:rsidP="00397083">
      <w:pPr>
        <w:pStyle w:val="Default"/>
        <w:jc w:val="both"/>
        <w:rPr>
          <w:rFonts w:ascii="Verdana" w:hAnsi="Verdana"/>
          <w:color w:val="auto"/>
          <w:spacing w:val="-2"/>
          <w:sz w:val="20"/>
          <w:szCs w:val="20"/>
          <w:lang w:val="es-PR"/>
        </w:rPr>
      </w:pPr>
    </w:p>
    <w:p w:rsidR="00397083" w:rsidRPr="003364AB" w:rsidRDefault="00397083" w:rsidP="00397083">
      <w:pPr>
        <w:pStyle w:val="Default"/>
        <w:jc w:val="both"/>
        <w:rPr>
          <w:rFonts w:ascii="Verdana" w:hAnsi="Verdana"/>
          <w:spacing w:val="-2"/>
          <w:sz w:val="20"/>
          <w:szCs w:val="20"/>
          <w:lang w:val="es-EC"/>
        </w:rPr>
      </w:pPr>
      <w:r w:rsidRPr="003364AB">
        <w:rPr>
          <w:rFonts w:ascii="Verdana" w:hAnsi="Verdana"/>
          <w:color w:val="auto"/>
          <w:spacing w:val="-2"/>
          <w:sz w:val="20"/>
          <w:szCs w:val="20"/>
          <w:lang w:val="es-PR"/>
        </w:rPr>
        <w:t>Por cinco votos</w:t>
      </w:r>
      <w:r w:rsidR="009D0A73" w:rsidRPr="003364AB">
        <w:rPr>
          <w:rFonts w:ascii="Verdana" w:hAnsi="Verdana"/>
          <w:color w:val="auto"/>
          <w:spacing w:val="-2"/>
          <w:sz w:val="20"/>
          <w:szCs w:val="20"/>
          <w:lang w:val="es-PR"/>
        </w:rPr>
        <w:t xml:space="preserve"> a favor y uno en contra, que:</w:t>
      </w:r>
      <w:r w:rsidRPr="003364AB">
        <w:rPr>
          <w:rFonts w:ascii="Verdana" w:hAnsi="Verdana"/>
          <w:color w:val="auto"/>
          <w:spacing w:val="-2"/>
          <w:sz w:val="20"/>
          <w:szCs w:val="20"/>
          <w:lang w:val="es-PR"/>
        </w:rPr>
        <w:t xml:space="preserve"> </w:t>
      </w:r>
    </w:p>
    <w:p w:rsidR="00397083" w:rsidRPr="00524196" w:rsidRDefault="00397083" w:rsidP="00397083">
      <w:pPr>
        <w:pStyle w:val="Default"/>
        <w:jc w:val="both"/>
        <w:rPr>
          <w:rFonts w:ascii="Verdana" w:hAnsi="Verdana"/>
          <w:color w:val="000000" w:themeColor="text1"/>
          <w:spacing w:val="-2"/>
          <w:sz w:val="20"/>
          <w:szCs w:val="20"/>
          <w:lang w:val="es-AR"/>
        </w:rPr>
      </w:pPr>
    </w:p>
    <w:p w:rsidR="00397083" w:rsidRPr="00524196" w:rsidRDefault="00397083" w:rsidP="005D3491">
      <w:pPr>
        <w:pStyle w:val="Default"/>
        <w:numPr>
          <w:ilvl w:val="1"/>
          <w:numId w:val="13"/>
        </w:numPr>
        <w:tabs>
          <w:tab w:val="clear" w:pos="1440"/>
        </w:tabs>
        <w:ind w:left="0" w:firstLine="0"/>
        <w:jc w:val="both"/>
        <w:rPr>
          <w:rFonts w:ascii="Verdana" w:hAnsi="Verdana"/>
          <w:color w:val="000000" w:themeColor="text1"/>
          <w:spacing w:val="-2"/>
          <w:sz w:val="20"/>
          <w:szCs w:val="20"/>
          <w:lang w:val="es-AR"/>
        </w:rPr>
      </w:pPr>
      <w:r w:rsidRPr="00524196">
        <w:rPr>
          <w:rFonts w:ascii="Verdana" w:hAnsi="Verdana"/>
          <w:color w:val="000000" w:themeColor="text1"/>
          <w:spacing w:val="-2"/>
          <w:sz w:val="20"/>
          <w:szCs w:val="20"/>
          <w:lang w:val="es-PR"/>
        </w:rPr>
        <w:t xml:space="preserve"> El Estado </w:t>
      </w:r>
      <w:r w:rsidR="00501702">
        <w:rPr>
          <w:rFonts w:ascii="Verdana" w:hAnsi="Verdana"/>
          <w:color w:val="000000" w:themeColor="text1"/>
          <w:spacing w:val="-2"/>
          <w:sz w:val="20"/>
          <w:szCs w:val="20"/>
          <w:lang w:val="es-PR" w:eastAsia="es-CR"/>
        </w:rPr>
        <w:t>debe</w:t>
      </w:r>
      <w:r w:rsidRPr="00524196">
        <w:rPr>
          <w:rFonts w:ascii="Verdana" w:hAnsi="Verdana"/>
          <w:color w:val="000000" w:themeColor="text1"/>
          <w:spacing w:val="-2"/>
          <w:sz w:val="20"/>
          <w:szCs w:val="20"/>
          <w:lang w:val="es-PR" w:eastAsia="es-CR"/>
        </w:rPr>
        <w:t xml:space="preserve"> </w:t>
      </w:r>
      <w:r w:rsidR="00351482">
        <w:rPr>
          <w:rFonts w:ascii="Verdana" w:eastAsia="Times New Roman" w:hAnsi="Verdana"/>
          <w:color w:val="000000" w:themeColor="text1"/>
          <w:spacing w:val="-2"/>
          <w:sz w:val="20"/>
          <w:szCs w:val="20"/>
          <w:lang w:val="es-ES" w:eastAsia="es-CR"/>
        </w:rPr>
        <w:t xml:space="preserve">continuar y </w:t>
      </w:r>
      <w:r w:rsidR="00351482" w:rsidRPr="00CF424C">
        <w:rPr>
          <w:rFonts w:ascii="Verdana" w:eastAsia="Times New Roman" w:hAnsi="Verdana"/>
          <w:color w:val="000000" w:themeColor="text1"/>
          <w:spacing w:val="-2"/>
          <w:sz w:val="20"/>
          <w:szCs w:val="20"/>
          <w:lang w:val="es-ES" w:eastAsia="es-CR"/>
        </w:rPr>
        <w:t>concluir</w:t>
      </w:r>
      <w:r w:rsidRPr="00CF424C">
        <w:rPr>
          <w:rFonts w:ascii="Verdana" w:eastAsia="Times New Roman" w:hAnsi="Verdana"/>
          <w:color w:val="000000" w:themeColor="text1"/>
          <w:spacing w:val="-2"/>
          <w:sz w:val="20"/>
          <w:szCs w:val="20"/>
          <w:lang w:val="es-ES" w:eastAsia="es-CR"/>
        </w:rPr>
        <w:t>,</w:t>
      </w:r>
      <w:r w:rsidRPr="00524196">
        <w:rPr>
          <w:rFonts w:ascii="Verdana" w:eastAsia="Times New Roman" w:hAnsi="Verdana"/>
          <w:color w:val="000000" w:themeColor="text1"/>
          <w:spacing w:val="-2"/>
          <w:sz w:val="20"/>
          <w:szCs w:val="20"/>
          <w:lang w:val="es-ES" w:eastAsia="es-CR"/>
        </w:rPr>
        <w:t xml:space="preserve"> en un plazo razonable</w:t>
      </w:r>
      <w:r w:rsidR="00501702">
        <w:rPr>
          <w:rFonts w:ascii="Verdana" w:eastAsia="Times New Roman" w:hAnsi="Verdana"/>
          <w:color w:val="000000" w:themeColor="text1"/>
          <w:spacing w:val="-2"/>
          <w:sz w:val="20"/>
          <w:szCs w:val="20"/>
          <w:lang w:val="es-ES" w:eastAsia="es-CR"/>
        </w:rPr>
        <w:t>,</w:t>
      </w:r>
      <w:r w:rsidRPr="00524196">
        <w:rPr>
          <w:rFonts w:ascii="Verdana" w:eastAsia="Times New Roman" w:hAnsi="Verdana"/>
          <w:color w:val="000000" w:themeColor="text1"/>
          <w:spacing w:val="-2"/>
          <w:sz w:val="20"/>
          <w:szCs w:val="20"/>
          <w:lang w:val="es-ES" w:eastAsia="es-CR"/>
        </w:rPr>
        <w:t xml:space="preserve"> la investigación de los hechos a fin de</w:t>
      </w:r>
      <w:r w:rsidR="00F52095">
        <w:rPr>
          <w:rFonts w:ascii="Verdana" w:eastAsia="Times New Roman" w:hAnsi="Verdana"/>
          <w:color w:val="000000" w:themeColor="text1"/>
          <w:spacing w:val="-2"/>
          <w:sz w:val="20"/>
          <w:szCs w:val="20"/>
          <w:lang w:val="es-ES" w:eastAsia="es-CR"/>
        </w:rPr>
        <w:t xml:space="preserve"> determinarlos, y de ser</w:t>
      </w:r>
      <w:r w:rsidRPr="00524196">
        <w:rPr>
          <w:rFonts w:ascii="Verdana" w:eastAsia="Times New Roman" w:hAnsi="Verdana"/>
          <w:color w:val="000000" w:themeColor="text1"/>
          <w:spacing w:val="-2"/>
          <w:sz w:val="20"/>
          <w:szCs w:val="20"/>
          <w:lang w:val="es-ES" w:eastAsia="es-CR"/>
        </w:rPr>
        <w:t xml:space="preserve"> procedente, identificar, juzgar </w:t>
      </w:r>
      <w:r w:rsidRPr="00524196">
        <w:rPr>
          <w:rFonts w:ascii="Verdana" w:hAnsi="Verdana"/>
          <w:color w:val="000000" w:themeColor="text1"/>
          <w:spacing w:val="-2"/>
          <w:sz w:val="20"/>
          <w:szCs w:val="20"/>
          <w:lang w:val="es-ES" w:eastAsia="es-CR"/>
        </w:rPr>
        <w:t>y</w:t>
      </w:r>
      <w:r w:rsidR="00F52095">
        <w:rPr>
          <w:rFonts w:ascii="Verdana" w:hAnsi="Verdana"/>
          <w:color w:val="000000" w:themeColor="text1"/>
          <w:spacing w:val="-2"/>
          <w:sz w:val="20"/>
          <w:szCs w:val="20"/>
          <w:lang w:val="es-ES" w:eastAsia="es-CR"/>
        </w:rPr>
        <w:t>, en su caso,</w:t>
      </w:r>
      <w:r w:rsidRPr="00524196">
        <w:rPr>
          <w:rFonts w:ascii="Verdana" w:hAnsi="Verdana"/>
          <w:color w:val="000000" w:themeColor="text1"/>
          <w:spacing w:val="-2"/>
          <w:sz w:val="20"/>
          <w:szCs w:val="20"/>
          <w:lang w:val="es-ES" w:eastAsia="es-CR"/>
        </w:rPr>
        <w:t xml:space="preserve"> sancionar a los responsables, </w:t>
      </w:r>
      <w:r w:rsidR="000572E5">
        <w:rPr>
          <w:rFonts w:ascii="Verdana" w:hAnsi="Verdana"/>
          <w:color w:val="000000" w:themeColor="text1"/>
          <w:spacing w:val="-2"/>
          <w:sz w:val="20"/>
          <w:szCs w:val="20"/>
          <w:lang w:val="es-PR" w:eastAsia="es-CR"/>
        </w:rPr>
        <w:t xml:space="preserve">en los términos de los </w:t>
      </w:r>
      <w:r w:rsidR="003364AB">
        <w:rPr>
          <w:rFonts w:ascii="Verdana" w:hAnsi="Verdana"/>
          <w:color w:val="000000" w:themeColor="text1"/>
          <w:spacing w:val="-2"/>
          <w:sz w:val="20"/>
          <w:szCs w:val="20"/>
          <w:lang w:val="es-PR" w:eastAsia="es-CR"/>
        </w:rPr>
        <w:t>párrafo</w:t>
      </w:r>
      <w:r w:rsidR="000572E5">
        <w:rPr>
          <w:rFonts w:ascii="Verdana" w:hAnsi="Verdana"/>
          <w:color w:val="000000" w:themeColor="text1"/>
          <w:spacing w:val="-2"/>
          <w:sz w:val="20"/>
          <w:szCs w:val="20"/>
          <w:lang w:val="es-PR" w:eastAsia="es-CR"/>
        </w:rPr>
        <w:t>s</w:t>
      </w:r>
      <w:r w:rsidR="00F14568" w:rsidRPr="00524196">
        <w:rPr>
          <w:rFonts w:ascii="Verdana" w:hAnsi="Verdana"/>
          <w:color w:val="000000" w:themeColor="text1"/>
          <w:spacing w:val="-2"/>
          <w:sz w:val="20"/>
          <w:szCs w:val="20"/>
          <w:lang w:val="es-PR" w:eastAsia="es-CR"/>
        </w:rPr>
        <w:t xml:space="preserve"> </w:t>
      </w:r>
      <w:r w:rsidR="00F52095">
        <w:rPr>
          <w:rFonts w:ascii="Verdana" w:hAnsi="Verdana"/>
          <w:color w:val="000000" w:themeColor="text1"/>
          <w:spacing w:val="-2"/>
          <w:sz w:val="20"/>
          <w:szCs w:val="20"/>
          <w:lang w:val="es-PR" w:eastAsia="es-CR"/>
        </w:rPr>
        <w:t>28</w:t>
      </w:r>
      <w:r w:rsidR="00FB2FC9">
        <w:rPr>
          <w:rFonts w:ascii="Verdana" w:hAnsi="Verdana"/>
          <w:color w:val="000000" w:themeColor="text1"/>
          <w:spacing w:val="-2"/>
          <w:sz w:val="20"/>
          <w:szCs w:val="20"/>
          <w:lang w:val="es-PR" w:eastAsia="es-CR"/>
        </w:rPr>
        <w:t>8</w:t>
      </w:r>
      <w:r w:rsidR="00F52095">
        <w:rPr>
          <w:rFonts w:ascii="Verdana" w:hAnsi="Verdana"/>
          <w:color w:val="000000" w:themeColor="text1"/>
          <w:spacing w:val="-2"/>
          <w:sz w:val="20"/>
          <w:szCs w:val="20"/>
          <w:lang w:val="es-PR" w:eastAsia="es-CR"/>
        </w:rPr>
        <w:t xml:space="preserve"> y 28</w:t>
      </w:r>
      <w:r w:rsidR="00FB2FC9">
        <w:rPr>
          <w:rFonts w:ascii="Verdana" w:hAnsi="Verdana"/>
          <w:color w:val="000000" w:themeColor="text1"/>
          <w:spacing w:val="-2"/>
          <w:sz w:val="20"/>
          <w:szCs w:val="20"/>
          <w:lang w:val="es-PR" w:eastAsia="es-CR"/>
        </w:rPr>
        <w:t>9</w:t>
      </w:r>
      <w:r w:rsidR="008C17DB" w:rsidRPr="00524196">
        <w:rPr>
          <w:rFonts w:ascii="Verdana" w:hAnsi="Verdana"/>
          <w:color w:val="000000" w:themeColor="text1"/>
          <w:spacing w:val="-2"/>
          <w:sz w:val="20"/>
          <w:szCs w:val="20"/>
          <w:lang w:val="es-PR" w:eastAsia="es-CR"/>
        </w:rPr>
        <w:t xml:space="preserve"> </w:t>
      </w:r>
      <w:r w:rsidRPr="00524196">
        <w:rPr>
          <w:rFonts w:ascii="Verdana" w:hAnsi="Verdana"/>
          <w:color w:val="000000" w:themeColor="text1"/>
          <w:spacing w:val="-2"/>
          <w:sz w:val="20"/>
          <w:szCs w:val="20"/>
          <w:lang w:val="es-PR" w:eastAsia="es-CR"/>
        </w:rPr>
        <w:t xml:space="preserve">de la presente Sentencia. </w:t>
      </w:r>
    </w:p>
    <w:p w:rsidR="00397083" w:rsidRPr="00524196" w:rsidRDefault="00397083" w:rsidP="00397083">
      <w:pPr>
        <w:pStyle w:val="Default"/>
        <w:jc w:val="both"/>
        <w:rPr>
          <w:rFonts w:ascii="Verdana" w:hAnsi="Verdana"/>
          <w:color w:val="000000" w:themeColor="text1"/>
          <w:spacing w:val="-2"/>
          <w:sz w:val="20"/>
          <w:szCs w:val="20"/>
          <w:lang w:val="es-AR"/>
        </w:rPr>
      </w:pPr>
    </w:p>
    <w:p w:rsidR="009D0A73" w:rsidRPr="003364AB" w:rsidRDefault="009D0A73" w:rsidP="009D0A73">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9D0A73" w:rsidRDefault="009D0A73" w:rsidP="00397083">
      <w:pPr>
        <w:pStyle w:val="Default"/>
        <w:jc w:val="both"/>
        <w:rPr>
          <w:rFonts w:ascii="Verdana" w:hAnsi="Verdana"/>
          <w:color w:val="000000" w:themeColor="text1"/>
          <w:spacing w:val="-2"/>
          <w:sz w:val="20"/>
          <w:szCs w:val="20"/>
          <w:lang w:val="es-AR"/>
        </w:rPr>
      </w:pPr>
    </w:p>
    <w:p w:rsidR="000572E5" w:rsidRPr="003364AB" w:rsidRDefault="000572E5" w:rsidP="00397083">
      <w:pPr>
        <w:pStyle w:val="Default"/>
        <w:jc w:val="both"/>
        <w:rPr>
          <w:rFonts w:ascii="Verdana" w:hAnsi="Verdana"/>
          <w:color w:val="000000" w:themeColor="text1"/>
          <w:spacing w:val="-2"/>
          <w:sz w:val="20"/>
          <w:szCs w:val="20"/>
          <w:lang w:val="es-AR"/>
        </w:rPr>
      </w:pPr>
    </w:p>
    <w:p w:rsidR="00397083" w:rsidRPr="003364AB" w:rsidRDefault="00397083" w:rsidP="00397083">
      <w:pPr>
        <w:pStyle w:val="Default"/>
        <w:jc w:val="both"/>
        <w:rPr>
          <w:rFonts w:ascii="Verdana" w:hAnsi="Verdana"/>
          <w:spacing w:val="-2"/>
          <w:sz w:val="20"/>
          <w:szCs w:val="20"/>
          <w:lang w:val="es-EC"/>
        </w:rPr>
      </w:pPr>
      <w:r w:rsidRPr="003364AB">
        <w:rPr>
          <w:rFonts w:ascii="Verdana" w:hAnsi="Verdana"/>
          <w:color w:val="000000" w:themeColor="text1"/>
          <w:spacing w:val="-2"/>
          <w:sz w:val="20"/>
          <w:szCs w:val="20"/>
          <w:lang w:val="es-AR"/>
        </w:rPr>
        <w:t xml:space="preserve">Por cinco votos </w:t>
      </w:r>
      <w:r w:rsidR="009D0A73" w:rsidRPr="003364AB">
        <w:rPr>
          <w:rFonts w:ascii="Verdana" w:hAnsi="Verdana"/>
          <w:color w:val="000000" w:themeColor="text1"/>
          <w:spacing w:val="-2"/>
          <w:sz w:val="20"/>
          <w:szCs w:val="20"/>
          <w:lang w:val="es-AR"/>
        </w:rPr>
        <w:t>a favor y uno en contra, que</w:t>
      </w:r>
      <w:r w:rsidR="00C0698A" w:rsidRPr="003364AB">
        <w:rPr>
          <w:rFonts w:ascii="Verdana" w:hAnsi="Verdana"/>
          <w:color w:val="000000" w:themeColor="text1"/>
          <w:spacing w:val="-2"/>
          <w:sz w:val="20"/>
          <w:szCs w:val="20"/>
          <w:lang w:val="es-AR"/>
        </w:rPr>
        <w:t>:</w:t>
      </w:r>
    </w:p>
    <w:p w:rsidR="00397083" w:rsidRPr="00524196" w:rsidRDefault="00397083" w:rsidP="00397083">
      <w:pPr>
        <w:pStyle w:val="Default"/>
        <w:jc w:val="both"/>
        <w:rPr>
          <w:rFonts w:ascii="Verdana" w:hAnsi="Verdana"/>
          <w:color w:val="000000" w:themeColor="text1"/>
          <w:spacing w:val="-2"/>
          <w:sz w:val="20"/>
          <w:szCs w:val="20"/>
          <w:lang w:val="es-AR"/>
        </w:rPr>
      </w:pPr>
    </w:p>
    <w:p w:rsidR="00397083" w:rsidRPr="00524196" w:rsidRDefault="00397083" w:rsidP="005D3491">
      <w:pPr>
        <w:pStyle w:val="Default"/>
        <w:numPr>
          <w:ilvl w:val="1"/>
          <w:numId w:val="13"/>
        </w:numPr>
        <w:tabs>
          <w:tab w:val="clear" w:pos="1440"/>
        </w:tabs>
        <w:ind w:left="0" w:firstLine="0"/>
        <w:jc w:val="both"/>
        <w:rPr>
          <w:rFonts w:ascii="Verdana" w:hAnsi="Verdana"/>
          <w:color w:val="000000" w:themeColor="text1"/>
          <w:spacing w:val="-2"/>
          <w:sz w:val="20"/>
          <w:szCs w:val="20"/>
          <w:lang w:val="es-AR"/>
        </w:rPr>
      </w:pPr>
      <w:r w:rsidRPr="00524196">
        <w:rPr>
          <w:rFonts w:ascii="Verdana" w:hAnsi="Verdana"/>
          <w:spacing w:val="-2"/>
          <w:sz w:val="20"/>
          <w:szCs w:val="20"/>
          <w:lang w:val="es-PR"/>
        </w:rPr>
        <w:t>El Estado debe</w:t>
      </w:r>
      <w:r w:rsidRPr="00275F22">
        <w:rPr>
          <w:rFonts w:ascii="Verdana" w:hAnsi="Verdana"/>
          <w:spacing w:val="-2"/>
          <w:sz w:val="20"/>
          <w:szCs w:val="20"/>
          <w:lang w:val="es-PR"/>
        </w:rPr>
        <w:t xml:space="preserve"> adoptar todas las medidas necesarias para asegurar que las actas de arrepentimiento del 15 de octubre de 1994 sean privadas de todos los efectos jurídicos,</w:t>
      </w:r>
      <w:r w:rsidRPr="00275F22">
        <w:rPr>
          <w:rFonts w:ascii="Verdana" w:hAnsi="Verdana"/>
          <w:spacing w:val="-2"/>
          <w:sz w:val="20"/>
          <w:szCs w:val="20"/>
          <w:lang w:val="es-PR" w:eastAsia="es-CR"/>
        </w:rPr>
        <w:t xml:space="preserve"> </w:t>
      </w:r>
      <w:r w:rsidRPr="00524196">
        <w:rPr>
          <w:rFonts w:ascii="Verdana" w:hAnsi="Verdana"/>
          <w:spacing w:val="-2"/>
          <w:sz w:val="20"/>
          <w:szCs w:val="20"/>
          <w:lang w:val="es-PR" w:eastAsia="es-CR"/>
        </w:rPr>
        <w:t xml:space="preserve">en los términos de los párrafos </w:t>
      </w:r>
      <w:r w:rsidR="008C17DB">
        <w:rPr>
          <w:rFonts w:ascii="Verdana" w:hAnsi="Verdana"/>
          <w:spacing w:val="-2"/>
          <w:sz w:val="20"/>
          <w:szCs w:val="20"/>
          <w:lang w:val="es-PR" w:eastAsia="es-CR"/>
        </w:rPr>
        <w:t>2</w:t>
      </w:r>
      <w:r w:rsidR="00FB2FC9">
        <w:rPr>
          <w:rFonts w:ascii="Verdana" w:hAnsi="Verdana"/>
          <w:spacing w:val="-2"/>
          <w:sz w:val="20"/>
          <w:szCs w:val="20"/>
          <w:lang w:val="es-PR" w:eastAsia="es-CR"/>
        </w:rPr>
        <w:t>91</w:t>
      </w:r>
      <w:r w:rsidR="008C17DB" w:rsidRPr="00524196">
        <w:rPr>
          <w:rFonts w:ascii="Verdana" w:hAnsi="Verdana"/>
          <w:spacing w:val="-2"/>
          <w:sz w:val="20"/>
          <w:szCs w:val="20"/>
          <w:lang w:val="es-PR" w:eastAsia="es-CR"/>
        </w:rPr>
        <w:t xml:space="preserve"> </w:t>
      </w:r>
      <w:r w:rsidRPr="00524196">
        <w:rPr>
          <w:rFonts w:ascii="Verdana" w:hAnsi="Verdana"/>
          <w:spacing w:val="-2"/>
          <w:sz w:val="20"/>
          <w:szCs w:val="20"/>
          <w:lang w:val="es-PR" w:eastAsia="es-CR"/>
        </w:rPr>
        <w:t xml:space="preserve">a </w:t>
      </w:r>
      <w:r w:rsidR="008C17DB">
        <w:rPr>
          <w:rFonts w:ascii="Verdana" w:hAnsi="Verdana"/>
          <w:spacing w:val="-2"/>
          <w:sz w:val="20"/>
          <w:szCs w:val="20"/>
          <w:lang w:val="es-PR" w:eastAsia="es-CR"/>
        </w:rPr>
        <w:t>29</w:t>
      </w:r>
      <w:r w:rsidR="00FB2FC9">
        <w:rPr>
          <w:rFonts w:ascii="Verdana" w:hAnsi="Verdana"/>
          <w:spacing w:val="-2"/>
          <w:sz w:val="20"/>
          <w:szCs w:val="20"/>
          <w:lang w:val="es-PR" w:eastAsia="es-CR"/>
        </w:rPr>
        <w:t>7</w:t>
      </w:r>
      <w:r w:rsidR="008C17DB" w:rsidRPr="00524196">
        <w:rPr>
          <w:rFonts w:ascii="Verdana" w:hAnsi="Verdana"/>
          <w:spacing w:val="-2"/>
          <w:sz w:val="20"/>
          <w:szCs w:val="20"/>
          <w:lang w:val="es-PR" w:eastAsia="es-CR"/>
        </w:rPr>
        <w:t xml:space="preserve"> </w:t>
      </w:r>
      <w:r w:rsidRPr="00524196">
        <w:rPr>
          <w:rFonts w:ascii="Verdana" w:hAnsi="Verdana"/>
          <w:spacing w:val="-2"/>
          <w:sz w:val="20"/>
          <w:szCs w:val="20"/>
          <w:lang w:val="es-PR" w:eastAsia="es-CR"/>
        </w:rPr>
        <w:t>de la presente Sentencia.</w:t>
      </w:r>
    </w:p>
    <w:p w:rsidR="00397083" w:rsidRDefault="00397083" w:rsidP="00397083">
      <w:pPr>
        <w:pStyle w:val="Default"/>
        <w:jc w:val="both"/>
        <w:rPr>
          <w:rFonts w:ascii="Verdana" w:hAnsi="Verdana"/>
          <w:color w:val="000000" w:themeColor="text1"/>
          <w:spacing w:val="-2"/>
          <w:sz w:val="20"/>
          <w:szCs w:val="20"/>
          <w:lang w:val="es-AR"/>
        </w:rPr>
      </w:pPr>
    </w:p>
    <w:p w:rsidR="000572E5" w:rsidRPr="00524196" w:rsidRDefault="000572E5" w:rsidP="00397083">
      <w:pPr>
        <w:pStyle w:val="Default"/>
        <w:jc w:val="both"/>
        <w:rPr>
          <w:rFonts w:ascii="Verdana" w:hAnsi="Verdana"/>
          <w:color w:val="000000" w:themeColor="text1"/>
          <w:spacing w:val="-2"/>
          <w:sz w:val="20"/>
          <w:szCs w:val="20"/>
          <w:lang w:val="es-AR"/>
        </w:rPr>
      </w:pPr>
    </w:p>
    <w:p w:rsidR="009D0A73" w:rsidRPr="003364AB" w:rsidRDefault="009D0A73" w:rsidP="009D0A73">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9D0A73" w:rsidRDefault="009D0A73" w:rsidP="00397083">
      <w:pPr>
        <w:pStyle w:val="Default"/>
        <w:jc w:val="both"/>
        <w:rPr>
          <w:rFonts w:ascii="Verdana" w:hAnsi="Verdana"/>
          <w:color w:val="000000" w:themeColor="text1"/>
          <w:spacing w:val="-2"/>
          <w:sz w:val="20"/>
          <w:szCs w:val="20"/>
          <w:lang w:val="es-AR"/>
        </w:rPr>
      </w:pPr>
    </w:p>
    <w:p w:rsidR="000572E5" w:rsidRPr="003364AB" w:rsidRDefault="000572E5" w:rsidP="00397083">
      <w:pPr>
        <w:pStyle w:val="Default"/>
        <w:jc w:val="both"/>
        <w:rPr>
          <w:rFonts w:ascii="Verdana" w:hAnsi="Verdana"/>
          <w:color w:val="000000" w:themeColor="text1"/>
          <w:spacing w:val="-2"/>
          <w:sz w:val="20"/>
          <w:szCs w:val="20"/>
          <w:lang w:val="es-AR"/>
        </w:rPr>
      </w:pPr>
    </w:p>
    <w:p w:rsidR="00397083" w:rsidRPr="003364AB" w:rsidRDefault="00397083" w:rsidP="00397083">
      <w:pPr>
        <w:pStyle w:val="Default"/>
        <w:jc w:val="both"/>
        <w:rPr>
          <w:rFonts w:ascii="Verdana" w:hAnsi="Verdana"/>
          <w:spacing w:val="-2"/>
          <w:sz w:val="20"/>
          <w:szCs w:val="20"/>
          <w:lang w:val="es-EC"/>
        </w:rPr>
      </w:pPr>
      <w:r w:rsidRPr="003364AB">
        <w:rPr>
          <w:rFonts w:ascii="Verdana" w:hAnsi="Verdana"/>
          <w:color w:val="000000" w:themeColor="text1"/>
          <w:spacing w:val="-2"/>
          <w:sz w:val="20"/>
          <w:szCs w:val="20"/>
          <w:lang w:val="es-AR"/>
        </w:rPr>
        <w:t>Por cinco votos</w:t>
      </w:r>
      <w:r w:rsidR="009D0A73" w:rsidRPr="003364AB">
        <w:rPr>
          <w:rFonts w:ascii="Verdana" w:hAnsi="Verdana"/>
          <w:color w:val="000000" w:themeColor="text1"/>
          <w:spacing w:val="-2"/>
          <w:sz w:val="20"/>
          <w:szCs w:val="20"/>
          <w:lang w:val="es-AR"/>
        </w:rPr>
        <w:t xml:space="preserve"> a favor y uno en contra, que</w:t>
      </w:r>
      <w:r w:rsidR="00C0698A" w:rsidRPr="003364AB">
        <w:rPr>
          <w:rFonts w:ascii="Verdana" w:hAnsi="Verdana"/>
          <w:color w:val="000000" w:themeColor="text1"/>
          <w:spacing w:val="-2"/>
          <w:sz w:val="20"/>
          <w:szCs w:val="20"/>
          <w:lang w:val="es-AR"/>
        </w:rPr>
        <w:t>:</w:t>
      </w:r>
    </w:p>
    <w:p w:rsidR="00397083" w:rsidRPr="00524196" w:rsidRDefault="00397083" w:rsidP="00397083">
      <w:pPr>
        <w:pStyle w:val="Default"/>
        <w:jc w:val="both"/>
        <w:rPr>
          <w:rFonts w:ascii="Verdana" w:hAnsi="Verdana"/>
          <w:color w:val="000000" w:themeColor="text1"/>
          <w:spacing w:val="-2"/>
          <w:sz w:val="20"/>
          <w:szCs w:val="20"/>
          <w:lang w:val="es-AR"/>
        </w:rPr>
      </w:pPr>
    </w:p>
    <w:p w:rsidR="00397083" w:rsidRPr="00524196" w:rsidRDefault="00397083" w:rsidP="005D3491">
      <w:pPr>
        <w:pStyle w:val="Default"/>
        <w:numPr>
          <w:ilvl w:val="1"/>
          <w:numId w:val="13"/>
        </w:numPr>
        <w:tabs>
          <w:tab w:val="clear" w:pos="1440"/>
        </w:tabs>
        <w:ind w:left="0" w:firstLine="0"/>
        <w:jc w:val="both"/>
        <w:rPr>
          <w:rFonts w:ascii="Verdana" w:hAnsi="Verdana"/>
          <w:color w:val="000000" w:themeColor="text1"/>
          <w:spacing w:val="-2"/>
          <w:sz w:val="20"/>
          <w:szCs w:val="20"/>
          <w:lang w:val="es-AR"/>
        </w:rPr>
      </w:pPr>
      <w:r w:rsidRPr="00524196">
        <w:rPr>
          <w:rFonts w:ascii="Verdana" w:hAnsi="Verdana"/>
          <w:color w:val="000000" w:themeColor="text1"/>
          <w:spacing w:val="-2"/>
          <w:sz w:val="20"/>
          <w:szCs w:val="20"/>
          <w:lang w:val="es-PR"/>
        </w:rPr>
        <w:t>El Estado debe, en el plazo de seis meses</w:t>
      </w:r>
      <w:r w:rsidRPr="00524196">
        <w:rPr>
          <w:rFonts w:ascii="Verdana" w:hAnsi="Verdana"/>
          <w:color w:val="000000" w:themeColor="text1"/>
          <w:spacing w:val="-2"/>
          <w:sz w:val="20"/>
          <w:szCs w:val="20"/>
          <w:lang w:val="es-ES"/>
        </w:rPr>
        <w:t xml:space="preserve"> a partir de la notificación de la presente Sentencia</w:t>
      </w:r>
      <w:r w:rsidRPr="00524196">
        <w:rPr>
          <w:rFonts w:ascii="Verdana" w:hAnsi="Verdana"/>
          <w:color w:val="000000" w:themeColor="text1"/>
          <w:spacing w:val="-2"/>
          <w:sz w:val="20"/>
          <w:szCs w:val="20"/>
          <w:lang w:val="es-PR"/>
        </w:rPr>
        <w:t>, realizar</w:t>
      </w:r>
      <w:r w:rsidRPr="00524196">
        <w:rPr>
          <w:rFonts w:ascii="Verdana" w:hAnsi="Verdana"/>
          <w:color w:val="000000" w:themeColor="text1"/>
          <w:spacing w:val="-2"/>
          <w:sz w:val="20"/>
          <w:szCs w:val="20"/>
          <w:lang w:val="es-ES" w:eastAsia="es-CR"/>
        </w:rPr>
        <w:t xml:space="preserve"> las </w:t>
      </w:r>
      <w:r w:rsidRPr="00524196">
        <w:rPr>
          <w:rFonts w:ascii="Verdana" w:hAnsi="Verdana"/>
          <w:color w:val="000000" w:themeColor="text1"/>
          <w:spacing w:val="-2"/>
          <w:sz w:val="20"/>
          <w:szCs w:val="20"/>
          <w:lang w:val="es-GT" w:eastAsia="es-ES"/>
        </w:rPr>
        <w:t>publicaciones</w:t>
      </w:r>
      <w:r w:rsidRPr="00524196">
        <w:rPr>
          <w:rFonts w:ascii="Verdana" w:hAnsi="Verdana"/>
          <w:color w:val="000000" w:themeColor="text1"/>
          <w:spacing w:val="-2"/>
          <w:sz w:val="20"/>
          <w:szCs w:val="20"/>
          <w:lang w:val="es-ES" w:eastAsia="es-CR"/>
        </w:rPr>
        <w:t xml:space="preserve"> indicadas en el párrafo </w:t>
      </w:r>
      <w:r w:rsidR="008C17DB">
        <w:rPr>
          <w:rFonts w:ascii="Verdana" w:hAnsi="Verdana"/>
          <w:color w:val="000000" w:themeColor="text1"/>
          <w:spacing w:val="-2"/>
          <w:sz w:val="20"/>
          <w:szCs w:val="20"/>
          <w:lang w:val="es-ES" w:eastAsia="es-CR"/>
        </w:rPr>
        <w:t>29</w:t>
      </w:r>
      <w:r w:rsidR="003C7C91">
        <w:rPr>
          <w:rFonts w:ascii="Verdana" w:hAnsi="Verdana"/>
          <w:color w:val="000000" w:themeColor="text1"/>
          <w:spacing w:val="-2"/>
          <w:sz w:val="20"/>
          <w:szCs w:val="20"/>
          <w:lang w:val="es-ES" w:eastAsia="es-CR"/>
        </w:rPr>
        <w:t>8</w:t>
      </w:r>
      <w:r w:rsidR="008C17DB" w:rsidRPr="00524196">
        <w:rPr>
          <w:rFonts w:ascii="Verdana" w:hAnsi="Verdana"/>
          <w:color w:val="000000" w:themeColor="text1"/>
          <w:spacing w:val="-2"/>
          <w:sz w:val="20"/>
          <w:szCs w:val="20"/>
          <w:lang w:val="es-ES" w:eastAsia="es-CR"/>
        </w:rPr>
        <w:t xml:space="preserve"> </w:t>
      </w:r>
      <w:r w:rsidRPr="00524196">
        <w:rPr>
          <w:rFonts w:ascii="Verdana" w:hAnsi="Verdana"/>
          <w:color w:val="000000" w:themeColor="text1"/>
          <w:spacing w:val="-2"/>
          <w:sz w:val="20"/>
          <w:szCs w:val="20"/>
          <w:lang w:val="es-ES" w:eastAsia="es-CR"/>
        </w:rPr>
        <w:t>de la presente Sentencia, en los t</w:t>
      </w:r>
      <w:r w:rsidR="00520B95">
        <w:rPr>
          <w:rFonts w:ascii="Verdana" w:hAnsi="Verdana"/>
          <w:color w:val="000000" w:themeColor="text1"/>
          <w:spacing w:val="-2"/>
          <w:sz w:val="20"/>
          <w:szCs w:val="20"/>
          <w:lang w:val="es-ES" w:eastAsia="es-CR"/>
        </w:rPr>
        <w:t>érminos dispuestos en el mismo</w:t>
      </w:r>
      <w:r w:rsidRPr="00524196">
        <w:rPr>
          <w:rFonts w:ascii="Verdana" w:hAnsi="Verdana"/>
          <w:color w:val="000000" w:themeColor="text1"/>
          <w:spacing w:val="-2"/>
          <w:sz w:val="20"/>
          <w:szCs w:val="20"/>
          <w:lang w:val="es-ES" w:eastAsia="es-CR"/>
        </w:rPr>
        <w:t xml:space="preserve">. </w:t>
      </w:r>
    </w:p>
    <w:p w:rsidR="00397083" w:rsidRDefault="00397083" w:rsidP="00397083">
      <w:pPr>
        <w:pStyle w:val="Default"/>
        <w:jc w:val="both"/>
        <w:rPr>
          <w:rFonts w:ascii="Verdana" w:hAnsi="Verdana"/>
          <w:color w:val="000000" w:themeColor="text1"/>
          <w:spacing w:val="-2"/>
          <w:sz w:val="20"/>
          <w:szCs w:val="20"/>
          <w:lang w:val="es-ES" w:eastAsia="es-CR"/>
        </w:rPr>
      </w:pPr>
    </w:p>
    <w:p w:rsidR="000572E5" w:rsidRPr="00524196" w:rsidRDefault="000572E5" w:rsidP="00397083">
      <w:pPr>
        <w:pStyle w:val="Default"/>
        <w:jc w:val="both"/>
        <w:rPr>
          <w:rFonts w:ascii="Verdana" w:hAnsi="Verdana"/>
          <w:color w:val="000000" w:themeColor="text1"/>
          <w:spacing w:val="-2"/>
          <w:sz w:val="20"/>
          <w:szCs w:val="20"/>
          <w:lang w:val="es-ES" w:eastAsia="es-CR"/>
        </w:rPr>
      </w:pPr>
    </w:p>
    <w:p w:rsidR="009D0A73" w:rsidRPr="003364AB" w:rsidRDefault="009D0A73" w:rsidP="009D0A73">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9D0A73" w:rsidRPr="00524196" w:rsidRDefault="009D0A73" w:rsidP="00397083">
      <w:pPr>
        <w:pStyle w:val="Default"/>
        <w:jc w:val="both"/>
        <w:rPr>
          <w:rFonts w:ascii="Verdana" w:hAnsi="Verdana"/>
          <w:b/>
          <w:color w:val="000000" w:themeColor="text1"/>
          <w:spacing w:val="-2"/>
          <w:sz w:val="20"/>
          <w:szCs w:val="20"/>
          <w:lang w:val="es-AR" w:eastAsia="es-CR"/>
        </w:rPr>
      </w:pPr>
    </w:p>
    <w:p w:rsidR="009D0A73" w:rsidRPr="00524196" w:rsidRDefault="009D0A73" w:rsidP="00397083">
      <w:pPr>
        <w:pStyle w:val="Default"/>
        <w:jc w:val="both"/>
        <w:rPr>
          <w:rFonts w:ascii="Verdana" w:hAnsi="Verdana"/>
          <w:b/>
          <w:color w:val="000000" w:themeColor="text1"/>
          <w:spacing w:val="-2"/>
          <w:sz w:val="20"/>
          <w:szCs w:val="20"/>
          <w:lang w:val="es-ES" w:eastAsia="es-CR"/>
        </w:rPr>
      </w:pPr>
    </w:p>
    <w:p w:rsidR="00397083" w:rsidRPr="003364AB" w:rsidRDefault="00397083" w:rsidP="00397083">
      <w:pPr>
        <w:pStyle w:val="Default"/>
        <w:jc w:val="both"/>
        <w:rPr>
          <w:rFonts w:ascii="Verdana" w:hAnsi="Verdana"/>
          <w:spacing w:val="-2"/>
          <w:sz w:val="20"/>
          <w:szCs w:val="20"/>
          <w:lang w:val="es-EC"/>
        </w:rPr>
      </w:pPr>
      <w:r w:rsidRPr="003364AB">
        <w:rPr>
          <w:rFonts w:ascii="Verdana" w:hAnsi="Verdana"/>
          <w:color w:val="000000" w:themeColor="text1"/>
          <w:spacing w:val="-2"/>
          <w:sz w:val="20"/>
          <w:szCs w:val="20"/>
          <w:lang w:val="es-ES" w:eastAsia="es-CR"/>
        </w:rPr>
        <w:t>Por cuatro votos</w:t>
      </w:r>
      <w:r w:rsidR="009D0A73" w:rsidRPr="003364AB">
        <w:rPr>
          <w:rFonts w:ascii="Verdana" w:hAnsi="Verdana"/>
          <w:color w:val="000000" w:themeColor="text1"/>
          <w:spacing w:val="-2"/>
          <w:sz w:val="20"/>
          <w:szCs w:val="20"/>
          <w:lang w:val="es-ES" w:eastAsia="es-CR"/>
        </w:rPr>
        <w:t xml:space="preserve"> a favor y dos en contra, que</w:t>
      </w:r>
      <w:r w:rsidR="003364AB">
        <w:rPr>
          <w:rFonts w:ascii="Verdana" w:hAnsi="Verdana"/>
          <w:color w:val="000000" w:themeColor="text1"/>
          <w:spacing w:val="-2"/>
          <w:sz w:val="20"/>
          <w:szCs w:val="20"/>
          <w:lang w:val="es-ES" w:eastAsia="es-CR"/>
        </w:rPr>
        <w:t>:</w:t>
      </w:r>
    </w:p>
    <w:p w:rsidR="00397083" w:rsidRPr="009E56BD" w:rsidRDefault="00397083" w:rsidP="00397083">
      <w:pPr>
        <w:pStyle w:val="Default"/>
        <w:jc w:val="both"/>
        <w:rPr>
          <w:rFonts w:ascii="Verdana" w:hAnsi="Verdana"/>
          <w:color w:val="000000" w:themeColor="text1"/>
          <w:spacing w:val="-2"/>
          <w:sz w:val="20"/>
          <w:szCs w:val="20"/>
          <w:lang w:val="es-ES" w:eastAsia="es-CR"/>
        </w:rPr>
      </w:pPr>
    </w:p>
    <w:p w:rsidR="009D0A73" w:rsidRPr="009D0A73" w:rsidRDefault="00397083" w:rsidP="005D3491">
      <w:pPr>
        <w:pStyle w:val="Default"/>
        <w:numPr>
          <w:ilvl w:val="1"/>
          <w:numId w:val="13"/>
        </w:numPr>
        <w:tabs>
          <w:tab w:val="clear" w:pos="1440"/>
        </w:tabs>
        <w:ind w:left="0" w:firstLine="0"/>
        <w:jc w:val="both"/>
        <w:rPr>
          <w:rFonts w:ascii="Verdana" w:hAnsi="Verdana"/>
          <w:color w:val="000000" w:themeColor="text1"/>
          <w:spacing w:val="-2"/>
          <w:sz w:val="20"/>
          <w:szCs w:val="20"/>
          <w:lang w:val="es-AR"/>
        </w:rPr>
      </w:pPr>
      <w:r w:rsidRPr="007F68A8">
        <w:rPr>
          <w:rFonts w:ascii="Verdana" w:hAnsi="Verdana"/>
          <w:sz w:val="20"/>
          <w:szCs w:val="20"/>
          <w:lang w:val="es-GT"/>
        </w:rPr>
        <w:t>E</w:t>
      </w:r>
      <w:r w:rsidRPr="007F68A8">
        <w:rPr>
          <w:rFonts w:ascii="Verdana" w:hAnsi="Verdana"/>
          <w:spacing w:val="-2"/>
          <w:sz w:val="20"/>
          <w:szCs w:val="20"/>
          <w:lang w:val="es-ES_tradnl"/>
        </w:rPr>
        <w:t xml:space="preserve">l Estado debe brindar gratuitamente </w:t>
      </w:r>
      <w:r w:rsidR="007F68A8" w:rsidRPr="007F68A8">
        <w:rPr>
          <w:rFonts w:ascii="Verdana" w:eastAsia="Verdana" w:hAnsi="Verdana" w:cs="Verdana"/>
          <w:sz w:val="20"/>
          <w:szCs w:val="20"/>
          <w:lang w:val="es-ES"/>
        </w:rPr>
        <w:t>a</w:t>
      </w:r>
      <w:r w:rsidR="007F68A8" w:rsidRPr="007F68A8">
        <w:rPr>
          <w:rFonts w:ascii="Verdana" w:eastAsia="Verdana" w:hAnsi="Verdana" w:cs="Verdana"/>
          <w:spacing w:val="8"/>
          <w:sz w:val="20"/>
          <w:szCs w:val="20"/>
          <w:lang w:val="es-ES"/>
        </w:rPr>
        <w:t xml:space="preserve"> </w:t>
      </w:r>
      <w:r w:rsidR="007F68A8" w:rsidRPr="007F68A8">
        <w:rPr>
          <w:rFonts w:ascii="Verdana" w:eastAsia="Verdana" w:hAnsi="Verdana" w:cs="Verdana"/>
          <w:spacing w:val="1"/>
          <w:sz w:val="20"/>
          <w:szCs w:val="20"/>
          <w:lang w:val="es-ES"/>
        </w:rPr>
        <w:t>t</w:t>
      </w:r>
      <w:r w:rsidR="007F68A8" w:rsidRPr="007F68A8">
        <w:rPr>
          <w:rFonts w:ascii="Verdana" w:eastAsia="Verdana" w:hAnsi="Verdana" w:cs="Verdana"/>
          <w:spacing w:val="-1"/>
          <w:sz w:val="20"/>
          <w:szCs w:val="20"/>
          <w:lang w:val="es-ES"/>
        </w:rPr>
        <w:t>r</w:t>
      </w:r>
      <w:r w:rsidR="007F68A8" w:rsidRPr="007F68A8">
        <w:rPr>
          <w:rFonts w:ascii="Verdana" w:eastAsia="Verdana" w:hAnsi="Verdana" w:cs="Verdana"/>
          <w:sz w:val="20"/>
          <w:szCs w:val="20"/>
          <w:lang w:val="es-ES"/>
        </w:rPr>
        <w:t>a</w:t>
      </w:r>
      <w:r w:rsidR="007F68A8" w:rsidRPr="007F68A8">
        <w:rPr>
          <w:rFonts w:ascii="Verdana" w:eastAsia="Verdana" w:hAnsi="Verdana" w:cs="Verdana"/>
          <w:spacing w:val="2"/>
          <w:sz w:val="20"/>
          <w:szCs w:val="20"/>
          <w:lang w:val="es-ES"/>
        </w:rPr>
        <w:t>v</w:t>
      </w:r>
      <w:r w:rsidR="007F68A8" w:rsidRPr="007F68A8">
        <w:rPr>
          <w:rFonts w:ascii="Verdana" w:eastAsia="Verdana" w:hAnsi="Verdana" w:cs="Verdana"/>
          <w:spacing w:val="-1"/>
          <w:sz w:val="20"/>
          <w:szCs w:val="20"/>
          <w:lang w:val="es-ES"/>
        </w:rPr>
        <w:t>é</w:t>
      </w:r>
      <w:r w:rsidR="007F68A8" w:rsidRPr="007F68A8">
        <w:rPr>
          <w:rFonts w:ascii="Verdana" w:eastAsia="Verdana" w:hAnsi="Verdana" w:cs="Verdana"/>
          <w:sz w:val="20"/>
          <w:szCs w:val="20"/>
          <w:lang w:val="es-ES"/>
        </w:rPr>
        <w:t>s</w:t>
      </w:r>
      <w:r w:rsidR="007F68A8" w:rsidRPr="007F68A8">
        <w:rPr>
          <w:rFonts w:ascii="Verdana" w:eastAsia="Verdana" w:hAnsi="Verdana" w:cs="Verdana"/>
          <w:spacing w:val="4"/>
          <w:sz w:val="20"/>
          <w:szCs w:val="20"/>
          <w:lang w:val="es-ES"/>
        </w:rPr>
        <w:t xml:space="preserve"> </w:t>
      </w:r>
      <w:r w:rsidR="007F68A8" w:rsidRPr="007F68A8">
        <w:rPr>
          <w:rFonts w:ascii="Verdana" w:eastAsia="Verdana" w:hAnsi="Verdana" w:cs="Verdana"/>
          <w:spacing w:val="1"/>
          <w:sz w:val="20"/>
          <w:szCs w:val="20"/>
          <w:lang w:val="es-ES"/>
        </w:rPr>
        <w:t>d</w:t>
      </w:r>
      <w:r w:rsidR="007F68A8" w:rsidRPr="007F68A8">
        <w:rPr>
          <w:rFonts w:ascii="Verdana" w:eastAsia="Verdana" w:hAnsi="Verdana" w:cs="Verdana"/>
          <w:sz w:val="20"/>
          <w:szCs w:val="20"/>
          <w:lang w:val="es-ES"/>
        </w:rPr>
        <w:t>e</w:t>
      </w:r>
      <w:r w:rsidR="007F68A8" w:rsidRPr="007F68A8">
        <w:rPr>
          <w:rFonts w:ascii="Verdana" w:eastAsia="Verdana" w:hAnsi="Verdana" w:cs="Verdana"/>
          <w:spacing w:val="6"/>
          <w:sz w:val="20"/>
          <w:szCs w:val="20"/>
          <w:lang w:val="es-ES"/>
        </w:rPr>
        <w:t xml:space="preserve"> </w:t>
      </w:r>
      <w:r w:rsidR="007F68A8" w:rsidRPr="007F68A8">
        <w:rPr>
          <w:rFonts w:ascii="Verdana" w:eastAsia="Verdana" w:hAnsi="Verdana" w:cs="Verdana"/>
          <w:sz w:val="20"/>
          <w:szCs w:val="20"/>
          <w:lang w:val="es-ES"/>
        </w:rPr>
        <w:t>sus</w:t>
      </w:r>
      <w:r w:rsidR="007F68A8" w:rsidRPr="007F68A8">
        <w:rPr>
          <w:rFonts w:ascii="Verdana" w:eastAsia="Verdana" w:hAnsi="Verdana" w:cs="Verdana"/>
          <w:spacing w:val="6"/>
          <w:sz w:val="20"/>
          <w:szCs w:val="20"/>
          <w:lang w:val="es-ES"/>
        </w:rPr>
        <w:t xml:space="preserve"> </w:t>
      </w:r>
      <w:r w:rsidR="007F68A8" w:rsidRPr="007F68A8">
        <w:rPr>
          <w:rFonts w:ascii="Verdana" w:eastAsia="Verdana" w:hAnsi="Verdana" w:cs="Verdana"/>
          <w:spacing w:val="3"/>
          <w:sz w:val="20"/>
          <w:szCs w:val="20"/>
          <w:lang w:val="es-ES"/>
        </w:rPr>
        <w:t>i</w:t>
      </w:r>
      <w:r w:rsidR="007F68A8" w:rsidRPr="007F68A8">
        <w:rPr>
          <w:rFonts w:ascii="Verdana" w:eastAsia="Verdana" w:hAnsi="Verdana" w:cs="Verdana"/>
          <w:spacing w:val="1"/>
          <w:sz w:val="20"/>
          <w:szCs w:val="20"/>
          <w:lang w:val="es-ES"/>
        </w:rPr>
        <w:t>n</w:t>
      </w:r>
      <w:r w:rsidR="007F68A8" w:rsidRPr="007F68A8">
        <w:rPr>
          <w:rFonts w:ascii="Verdana" w:eastAsia="Verdana" w:hAnsi="Verdana" w:cs="Verdana"/>
          <w:sz w:val="20"/>
          <w:szCs w:val="20"/>
          <w:lang w:val="es-ES"/>
        </w:rPr>
        <w:t>st</w:t>
      </w:r>
      <w:r w:rsidR="007F68A8" w:rsidRPr="007F68A8">
        <w:rPr>
          <w:rFonts w:ascii="Verdana" w:eastAsia="Verdana" w:hAnsi="Verdana" w:cs="Verdana"/>
          <w:spacing w:val="3"/>
          <w:sz w:val="20"/>
          <w:szCs w:val="20"/>
          <w:lang w:val="es-ES"/>
        </w:rPr>
        <w:t>i</w:t>
      </w:r>
      <w:r w:rsidR="007F68A8" w:rsidRPr="007F68A8">
        <w:rPr>
          <w:rFonts w:ascii="Verdana" w:eastAsia="Verdana" w:hAnsi="Verdana" w:cs="Verdana"/>
          <w:spacing w:val="-2"/>
          <w:sz w:val="20"/>
          <w:szCs w:val="20"/>
          <w:lang w:val="es-ES"/>
        </w:rPr>
        <w:t>t</w:t>
      </w:r>
      <w:r w:rsidR="007F68A8" w:rsidRPr="007F68A8">
        <w:rPr>
          <w:rFonts w:ascii="Verdana" w:eastAsia="Verdana" w:hAnsi="Verdana" w:cs="Verdana"/>
          <w:spacing w:val="1"/>
          <w:sz w:val="20"/>
          <w:szCs w:val="20"/>
          <w:lang w:val="es-ES"/>
        </w:rPr>
        <w:t>u</w:t>
      </w:r>
      <w:r w:rsidR="007F68A8" w:rsidRPr="007F68A8">
        <w:rPr>
          <w:rFonts w:ascii="Verdana" w:eastAsia="Verdana" w:hAnsi="Verdana" w:cs="Verdana"/>
          <w:sz w:val="20"/>
          <w:szCs w:val="20"/>
          <w:lang w:val="es-ES"/>
        </w:rPr>
        <w:t>c</w:t>
      </w:r>
      <w:r w:rsidR="007F68A8" w:rsidRPr="007F68A8">
        <w:rPr>
          <w:rFonts w:ascii="Verdana" w:eastAsia="Verdana" w:hAnsi="Verdana" w:cs="Verdana"/>
          <w:spacing w:val="2"/>
          <w:sz w:val="20"/>
          <w:szCs w:val="20"/>
          <w:lang w:val="es-ES"/>
        </w:rPr>
        <w:t>i</w:t>
      </w:r>
      <w:r w:rsidR="007F68A8" w:rsidRPr="007F68A8">
        <w:rPr>
          <w:rFonts w:ascii="Verdana" w:eastAsia="Verdana" w:hAnsi="Verdana" w:cs="Verdana"/>
          <w:spacing w:val="-1"/>
          <w:sz w:val="20"/>
          <w:szCs w:val="20"/>
          <w:lang w:val="es-ES"/>
        </w:rPr>
        <w:t>o</w:t>
      </w:r>
      <w:r w:rsidR="007F68A8" w:rsidRPr="007F68A8">
        <w:rPr>
          <w:rFonts w:ascii="Verdana" w:eastAsia="Verdana" w:hAnsi="Verdana" w:cs="Verdana"/>
          <w:spacing w:val="1"/>
          <w:sz w:val="20"/>
          <w:szCs w:val="20"/>
          <w:lang w:val="es-ES"/>
        </w:rPr>
        <w:t>n</w:t>
      </w:r>
      <w:r w:rsidR="007F68A8" w:rsidRPr="007F68A8">
        <w:rPr>
          <w:rFonts w:ascii="Verdana" w:eastAsia="Verdana" w:hAnsi="Verdana" w:cs="Verdana"/>
          <w:spacing w:val="-1"/>
          <w:sz w:val="20"/>
          <w:szCs w:val="20"/>
          <w:lang w:val="es-ES"/>
        </w:rPr>
        <w:t>e</w:t>
      </w:r>
      <w:r w:rsidR="007F68A8" w:rsidRPr="007F68A8">
        <w:rPr>
          <w:rFonts w:ascii="Verdana" w:eastAsia="Verdana" w:hAnsi="Verdana" w:cs="Verdana"/>
          <w:sz w:val="20"/>
          <w:szCs w:val="20"/>
          <w:lang w:val="es-ES"/>
        </w:rPr>
        <w:t>s</w:t>
      </w:r>
      <w:r w:rsidR="007F68A8" w:rsidRPr="007F68A8">
        <w:rPr>
          <w:rFonts w:ascii="Verdana" w:eastAsia="Verdana" w:hAnsi="Verdana" w:cs="Verdana"/>
          <w:spacing w:val="-5"/>
          <w:sz w:val="20"/>
          <w:szCs w:val="20"/>
          <w:lang w:val="es-ES"/>
        </w:rPr>
        <w:t xml:space="preserve"> </w:t>
      </w:r>
      <w:r w:rsidR="007F68A8" w:rsidRPr="007F68A8">
        <w:rPr>
          <w:rFonts w:ascii="Verdana" w:eastAsia="Verdana" w:hAnsi="Verdana" w:cs="Verdana"/>
          <w:spacing w:val="1"/>
          <w:sz w:val="20"/>
          <w:szCs w:val="20"/>
          <w:lang w:val="es-ES"/>
        </w:rPr>
        <w:t>d</w:t>
      </w:r>
      <w:r w:rsidR="007F68A8" w:rsidRPr="007F68A8">
        <w:rPr>
          <w:rFonts w:ascii="Verdana" w:eastAsia="Verdana" w:hAnsi="Verdana" w:cs="Verdana"/>
          <w:sz w:val="20"/>
          <w:szCs w:val="20"/>
          <w:lang w:val="es-ES"/>
        </w:rPr>
        <w:t>e</w:t>
      </w:r>
      <w:r w:rsidR="007F68A8" w:rsidRPr="007F68A8">
        <w:rPr>
          <w:rFonts w:ascii="Verdana" w:eastAsia="Verdana" w:hAnsi="Verdana" w:cs="Verdana"/>
          <w:spacing w:val="8"/>
          <w:sz w:val="20"/>
          <w:szCs w:val="20"/>
          <w:lang w:val="es-ES"/>
        </w:rPr>
        <w:t xml:space="preserve"> </w:t>
      </w:r>
      <w:r w:rsidR="007F68A8" w:rsidRPr="007F68A8">
        <w:rPr>
          <w:rFonts w:ascii="Verdana" w:eastAsia="Verdana" w:hAnsi="Verdana" w:cs="Verdana"/>
          <w:sz w:val="20"/>
          <w:szCs w:val="20"/>
          <w:lang w:val="es-ES"/>
        </w:rPr>
        <w:t>sa</w:t>
      </w:r>
      <w:r w:rsidR="007F68A8" w:rsidRPr="007F68A8">
        <w:rPr>
          <w:rFonts w:ascii="Verdana" w:eastAsia="Verdana" w:hAnsi="Verdana" w:cs="Verdana"/>
          <w:spacing w:val="3"/>
          <w:sz w:val="20"/>
          <w:szCs w:val="20"/>
          <w:lang w:val="es-ES"/>
        </w:rPr>
        <w:t>l</w:t>
      </w:r>
      <w:r w:rsidR="007F68A8" w:rsidRPr="007F68A8">
        <w:rPr>
          <w:rFonts w:ascii="Verdana" w:eastAsia="Verdana" w:hAnsi="Verdana" w:cs="Verdana"/>
          <w:spacing w:val="1"/>
          <w:sz w:val="20"/>
          <w:szCs w:val="20"/>
          <w:lang w:val="es-ES"/>
        </w:rPr>
        <w:t>u</w:t>
      </w:r>
      <w:r w:rsidR="007F68A8" w:rsidRPr="007F68A8">
        <w:rPr>
          <w:rFonts w:ascii="Verdana" w:eastAsia="Verdana" w:hAnsi="Verdana" w:cs="Verdana"/>
          <w:sz w:val="20"/>
          <w:szCs w:val="20"/>
          <w:lang w:val="es-ES"/>
        </w:rPr>
        <w:t>d</w:t>
      </w:r>
      <w:r w:rsidR="007F68A8" w:rsidRPr="007F68A8">
        <w:rPr>
          <w:rFonts w:ascii="Verdana" w:hAnsi="Verdana"/>
          <w:b/>
          <w:spacing w:val="-2"/>
          <w:sz w:val="20"/>
          <w:szCs w:val="20"/>
          <w:lang w:val="es-ES_tradnl"/>
        </w:rPr>
        <w:t xml:space="preserve"> </w:t>
      </w:r>
      <w:r w:rsidR="007F68A8" w:rsidRPr="007F68A8">
        <w:rPr>
          <w:rFonts w:ascii="Verdana" w:eastAsia="Verdana" w:hAnsi="Verdana" w:cs="Verdana"/>
          <w:spacing w:val="-2"/>
          <w:sz w:val="20"/>
          <w:szCs w:val="20"/>
          <w:lang w:val="es-ES"/>
        </w:rPr>
        <w:t>t</w:t>
      </w:r>
      <w:r w:rsidR="007F68A8" w:rsidRPr="007F68A8">
        <w:rPr>
          <w:rFonts w:ascii="Verdana" w:eastAsia="Verdana" w:hAnsi="Verdana" w:cs="Verdana"/>
          <w:spacing w:val="-1"/>
          <w:sz w:val="20"/>
          <w:szCs w:val="20"/>
          <w:lang w:val="es-ES"/>
        </w:rPr>
        <w:t>r</w:t>
      </w:r>
      <w:r w:rsidR="007F68A8" w:rsidRPr="007F68A8">
        <w:rPr>
          <w:rFonts w:ascii="Verdana" w:eastAsia="Verdana" w:hAnsi="Verdana" w:cs="Verdana"/>
          <w:sz w:val="20"/>
          <w:szCs w:val="20"/>
          <w:lang w:val="es-ES"/>
        </w:rPr>
        <w:t>a</w:t>
      </w:r>
      <w:r w:rsidR="007F68A8" w:rsidRPr="007F68A8">
        <w:rPr>
          <w:rFonts w:ascii="Verdana" w:eastAsia="Verdana" w:hAnsi="Verdana" w:cs="Verdana"/>
          <w:spacing w:val="1"/>
          <w:sz w:val="20"/>
          <w:szCs w:val="20"/>
          <w:lang w:val="es-ES"/>
        </w:rPr>
        <w:t>t</w:t>
      </w:r>
      <w:r w:rsidR="007F68A8" w:rsidRPr="007F68A8">
        <w:rPr>
          <w:rFonts w:ascii="Verdana" w:eastAsia="Verdana" w:hAnsi="Verdana" w:cs="Verdana"/>
          <w:sz w:val="20"/>
          <w:szCs w:val="20"/>
          <w:lang w:val="es-ES"/>
        </w:rPr>
        <w:t>a</w:t>
      </w:r>
      <w:r w:rsidR="007F68A8" w:rsidRPr="007F68A8">
        <w:rPr>
          <w:rFonts w:ascii="Verdana" w:eastAsia="Verdana" w:hAnsi="Verdana" w:cs="Verdana"/>
          <w:spacing w:val="1"/>
          <w:sz w:val="20"/>
          <w:szCs w:val="20"/>
          <w:lang w:val="es-ES"/>
        </w:rPr>
        <w:t>m</w:t>
      </w:r>
      <w:r w:rsidR="007F68A8" w:rsidRPr="007F68A8">
        <w:rPr>
          <w:rFonts w:ascii="Verdana" w:eastAsia="Verdana" w:hAnsi="Verdana" w:cs="Verdana"/>
          <w:spacing w:val="3"/>
          <w:sz w:val="20"/>
          <w:szCs w:val="20"/>
          <w:lang w:val="es-ES"/>
        </w:rPr>
        <w:t>i</w:t>
      </w:r>
      <w:r w:rsidR="007F68A8" w:rsidRPr="007F68A8">
        <w:rPr>
          <w:rFonts w:ascii="Verdana" w:eastAsia="Verdana" w:hAnsi="Verdana" w:cs="Verdana"/>
          <w:spacing w:val="-1"/>
          <w:sz w:val="20"/>
          <w:szCs w:val="20"/>
          <w:lang w:val="es-ES"/>
        </w:rPr>
        <w:t>e</w:t>
      </w:r>
      <w:r w:rsidR="007F68A8" w:rsidRPr="007F68A8">
        <w:rPr>
          <w:rFonts w:ascii="Verdana" w:eastAsia="Verdana" w:hAnsi="Verdana" w:cs="Verdana"/>
          <w:spacing w:val="1"/>
          <w:sz w:val="20"/>
          <w:szCs w:val="20"/>
          <w:lang w:val="es-ES"/>
        </w:rPr>
        <w:t>nt</w:t>
      </w:r>
      <w:r w:rsidR="007F68A8" w:rsidRPr="007F68A8">
        <w:rPr>
          <w:rFonts w:ascii="Verdana" w:eastAsia="Verdana" w:hAnsi="Verdana" w:cs="Verdana"/>
          <w:sz w:val="20"/>
          <w:szCs w:val="20"/>
          <w:lang w:val="es-ES"/>
        </w:rPr>
        <w:t>o</w:t>
      </w:r>
      <w:r w:rsidR="007F68A8" w:rsidRPr="007F68A8">
        <w:rPr>
          <w:rFonts w:ascii="Verdana" w:hAnsi="Verdana"/>
          <w:b/>
          <w:spacing w:val="-2"/>
          <w:sz w:val="20"/>
          <w:szCs w:val="20"/>
          <w:lang w:val="es-ES_tradnl"/>
        </w:rPr>
        <w:t xml:space="preserve"> </w:t>
      </w:r>
      <w:r w:rsidRPr="0099306F">
        <w:rPr>
          <w:rFonts w:ascii="Verdana" w:hAnsi="Verdana"/>
          <w:spacing w:val="-2"/>
          <w:sz w:val="20"/>
          <w:szCs w:val="20"/>
          <w:lang w:val="es-ES_tradnl"/>
        </w:rPr>
        <w:t xml:space="preserve">psicológico </w:t>
      </w:r>
      <w:r w:rsidR="008D1116" w:rsidRPr="0099306F">
        <w:rPr>
          <w:rFonts w:ascii="Verdana" w:hAnsi="Verdana"/>
          <w:spacing w:val="-2"/>
          <w:sz w:val="20"/>
          <w:szCs w:val="20"/>
          <w:lang w:val="es-ES_tradnl"/>
        </w:rPr>
        <w:t>y/</w:t>
      </w:r>
      <w:r w:rsidRPr="0099306F">
        <w:rPr>
          <w:rFonts w:ascii="Verdana" w:hAnsi="Verdana"/>
          <w:spacing w:val="-2"/>
          <w:sz w:val="20"/>
          <w:szCs w:val="20"/>
          <w:lang w:val="es-ES_tradnl"/>
        </w:rPr>
        <w:t>o psiquiátrico</w:t>
      </w:r>
      <w:r w:rsidRPr="00275F22">
        <w:rPr>
          <w:rFonts w:ascii="Verdana" w:hAnsi="Verdana"/>
          <w:spacing w:val="-2"/>
          <w:sz w:val="20"/>
          <w:szCs w:val="20"/>
          <w:lang w:val="es-GT"/>
        </w:rPr>
        <w:t xml:space="preserve"> a </w:t>
      </w:r>
      <w:r w:rsidR="007F68A8" w:rsidRPr="00275F22">
        <w:rPr>
          <w:rFonts w:ascii="Verdana" w:eastAsia="Verdana" w:hAnsi="Verdana" w:cs="Verdana"/>
          <w:sz w:val="20"/>
          <w:szCs w:val="20"/>
          <w:lang w:val="es-ES"/>
        </w:rPr>
        <w:t>fav</w:t>
      </w:r>
      <w:r w:rsidR="007F68A8" w:rsidRPr="00275F22">
        <w:rPr>
          <w:rFonts w:ascii="Verdana" w:eastAsia="Verdana" w:hAnsi="Verdana" w:cs="Verdana"/>
          <w:spacing w:val="-1"/>
          <w:sz w:val="20"/>
          <w:szCs w:val="20"/>
          <w:lang w:val="es-ES"/>
        </w:rPr>
        <w:t>o</w:t>
      </w:r>
      <w:r w:rsidR="007F68A8" w:rsidRPr="00275F22">
        <w:rPr>
          <w:rFonts w:ascii="Verdana" w:eastAsia="Verdana" w:hAnsi="Verdana" w:cs="Verdana"/>
          <w:sz w:val="20"/>
          <w:szCs w:val="20"/>
          <w:lang w:val="es-ES"/>
        </w:rPr>
        <w:t>r</w:t>
      </w:r>
      <w:r w:rsidR="007F68A8" w:rsidRPr="00275F22">
        <w:rPr>
          <w:rFonts w:ascii="Verdana" w:eastAsia="Verdana" w:hAnsi="Verdana" w:cs="Verdana"/>
          <w:spacing w:val="3"/>
          <w:sz w:val="20"/>
          <w:szCs w:val="20"/>
          <w:lang w:val="es-ES"/>
        </w:rPr>
        <w:t xml:space="preserve"> </w:t>
      </w:r>
      <w:r w:rsidR="007F68A8" w:rsidRPr="00275F22">
        <w:rPr>
          <w:rFonts w:ascii="Verdana" w:eastAsia="Verdana" w:hAnsi="Verdana" w:cs="Verdana"/>
          <w:spacing w:val="1"/>
          <w:sz w:val="20"/>
          <w:szCs w:val="20"/>
          <w:lang w:val="es-ES"/>
        </w:rPr>
        <w:t>d</w:t>
      </w:r>
      <w:r w:rsidR="007F68A8" w:rsidRPr="00275F22">
        <w:rPr>
          <w:rFonts w:ascii="Verdana" w:eastAsia="Verdana" w:hAnsi="Verdana" w:cs="Verdana"/>
          <w:sz w:val="20"/>
          <w:szCs w:val="20"/>
          <w:lang w:val="es-ES"/>
        </w:rPr>
        <w:t>e</w:t>
      </w:r>
      <w:r w:rsidR="007F68A8" w:rsidRPr="00275F22">
        <w:rPr>
          <w:rFonts w:ascii="Verdana" w:eastAsia="Verdana" w:hAnsi="Verdana" w:cs="Verdana"/>
          <w:spacing w:val="3"/>
          <w:sz w:val="20"/>
          <w:szCs w:val="20"/>
          <w:lang w:val="es-ES"/>
        </w:rPr>
        <w:t xml:space="preserve"> </w:t>
      </w:r>
      <w:r w:rsidR="008D1116" w:rsidRPr="00275F22">
        <w:rPr>
          <w:rFonts w:ascii="Verdana" w:hAnsi="Verdana"/>
          <w:sz w:val="20"/>
          <w:szCs w:val="20"/>
        </w:rPr>
        <w:t xml:space="preserve">Luis Antonio Galindo Cárdenas, </w:t>
      </w:r>
      <w:r w:rsidR="008D1116" w:rsidRPr="00275F22">
        <w:rPr>
          <w:rFonts w:ascii="Verdana" w:hAnsi="Verdana"/>
          <w:sz w:val="20"/>
          <w:szCs w:val="20"/>
          <w:lang w:val="es-CO"/>
        </w:rPr>
        <w:t xml:space="preserve">Irma Díaz </w:t>
      </w:r>
      <w:r w:rsidR="008D1116" w:rsidRPr="00275F22">
        <w:rPr>
          <w:rFonts w:ascii="Verdana" w:hAnsi="Verdana"/>
          <w:sz w:val="20"/>
          <w:szCs w:val="20"/>
          <w:lang w:val="es-CO"/>
        </w:rPr>
        <w:lastRenderedPageBreak/>
        <w:t xml:space="preserve">de Galindo </w:t>
      </w:r>
      <w:r w:rsidR="008D1116" w:rsidRPr="00275F22">
        <w:rPr>
          <w:rFonts w:ascii="Verdana" w:hAnsi="Verdana"/>
          <w:sz w:val="20"/>
          <w:szCs w:val="20"/>
        </w:rPr>
        <w:t xml:space="preserve">y </w:t>
      </w:r>
      <w:r w:rsidR="008D1116" w:rsidRPr="00275F22">
        <w:rPr>
          <w:rFonts w:ascii="Verdana" w:hAnsi="Verdana"/>
          <w:sz w:val="20"/>
          <w:szCs w:val="20"/>
          <w:lang w:val="es-CO"/>
        </w:rPr>
        <w:t xml:space="preserve">Luis </w:t>
      </w:r>
      <w:proofErr w:type="spellStart"/>
      <w:r w:rsidR="008D1116" w:rsidRPr="00275F22">
        <w:rPr>
          <w:rFonts w:ascii="Verdana" w:hAnsi="Verdana"/>
          <w:sz w:val="20"/>
          <w:szCs w:val="20"/>
          <w:lang w:val="es-CO"/>
        </w:rPr>
        <w:t>Idelso</w:t>
      </w:r>
      <w:proofErr w:type="spellEnd"/>
      <w:r w:rsidR="008D1116" w:rsidRPr="00275F22">
        <w:rPr>
          <w:rFonts w:ascii="Verdana" w:hAnsi="Verdana"/>
          <w:sz w:val="20"/>
          <w:szCs w:val="20"/>
          <w:lang w:val="es-CO"/>
        </w:rPr>
        <w:t xml:space="preserve"> Galindo Díaz</w:t>
      </w:r>
      <w:r w:rsidR="008D1116" w:rsidRPr="00275F22">
        <w:rPr>
          <w:rFonts w:ascii="Verdana" w:hAnsi="Verdana"/>
          <w:sz w:val="20"/>
          <w:szCs w:val="20"/>
        </w:rPr>
        <w:t xml:space="preserve"> </w:t>
      </w:r>
      <w:r w:rsidR="007F68A8" w:rsidRPr="00275F22">
        <w:rPr>
          <w:rFonts w:ascii="Verdana" w:eastAsia="Verdana" w:hAnsi="Verdana" w:cs="Verdana"/>
          <w:spacing w:val="-1"/>
          <w:sz w:val="20"/>
          <w:szCs w:val="20"/>
          <w:lang w:val="es-ES"/>
        </w:rPr>
        <w:t>s</w:t>
      </w:r>
      <w:r w:rsidR="007F68A8" w:rsidRPr="00275F22">
        <w:rPr>
          <w:rFonts w:ascii="Verdana" w:eastAsia="Verdana" w:hAnsi="Verdana" w:cs="Verdana"/>
          <w:sz w:val="20"/>
          <w:szCs w:val="20"/>
          <w:lang w:val="es-ES"/>
        </w:rPr>
        <w:t>i a</w:t>
      </w:r>
      <w:r w:rsidR="007F68A8" w:rsidRPr="00275F22">
        <w:rPr>
          <w:rFonts w:ascii="Verdana" w:eastAsia="Verdana" w:hAnsi="Verdana" w:cs="Verdana"/>
          <w:spacing w:val="-1"/>
          <w:sz w:val="20"/>
          <w:szCs w:val="20"/>
          <w:lang w:val="es-ES"/>
        </w:rPr>
        <w:t>s</w:t>
      </w:r>
      <w:r w:rsidR="007F68A8" w:rsidRPr="00275F22">
        <w:rPr>
          <w:rFonts w:ascii="Verdana" w:eastAsia="Verdana" w:hAnsi="Verdana" w:cs="Verdana"/>
          <w:sz w:val="20"/>
          <w:szCs w:val="20"/>
          <w:lang w:val="es-ES"/>
        </w:rPr>
        <w:t>í</w:t>
      </w:r>
      <w:r w:rsidR="007F68A8" w:rsidRPr="00275F22">
        <w:rPr>
          <w:rFonts w:ascii="Verdana" w:eastAsia="Verdana" w:hAnsi="Verdana" w:cs="Verdana"/>
          <w:spacing w:val="-3"/>
          <w:sz w:val="20"/>
          <w:szCs w:val="20"/>
          <w:lang w:val="es-ES"/>
        </w:rPr>
        <w:t xml:space="preserve"> </w:t>
      </w:r>
      <w:r w:rsidR="007F68A8" w:rsidRPr="00275F22">
        <w:rPr>
          <w:rFonts w:ascii="Verdana" w:eastAsia="Verdana" w:hAnsi="Verdana" w:cs="Verdana"/>
          <w:spacing w:val="3"/>
          <w:sz w:val="20"/>
          <w:szCs w:val="20"/>
          <w:lang w:val="es-ES"/>
        </w:rPr>
        <w:t>l</w:t>
      </w:r>
      <w:r w:rsidR="007F68A8" w:rsidRPr="00275F22">
        <w:rPr>
          <w:rFonts w:ascii="Verdana" w:eastAsia="Verdana" w:hAnsi="Verdana" w:cs="Verdana"/>
          <w:sz w:val="20"/>
          <w:szCs w:val="20"/>
          <w:lang w:val="es-ES"/>
        </w:rPr>
        <w:t>o</w:t>
      </w:r>
      <w:r w:rsidR="007F68A8" w:rsidRPr="00275F22">
        <w:rPr>
          <w:rFonts w:ascii="Verdana" w:eastAsia="Verdana" w:hAnsi="Verdana" w:cs="Verdana"/>
          <w:spacing w:val="-3"/>
          <w:sz w:val="20"/>
          <w:szCs w:val="20"/>
          <w:lang w:val="es-ES"/>
        </w:rPr>
        <w:t xml:space="preserve"> </w:t>
      </w:r>
      <w:r w:rsidR="007F68A8" w:rsidRPr="00275F22">
        <w:rPr>
          <w:rFonts w:ascii="Verdana" w:eastAsia="Verdana" w:hAnsi="Verdana" w:cs="Verdana"/>
          <w:spacing w:val="-1"/>
          <w:sz w:val="20"/>
          <w:szCs w:val="20"/>
          <w:lang w:val="es-ES"/>
        </w:rPr>
        <w:t>so</w:t>
      </w:r>
      <w:r w:rsidR="007F68A8" w:rsidRPr="00275F22">
        <w:rPr>
          <w:rFonts w:ascii="Verdana" w:eastAsia="Verdana" w:hAnsi="Verdana" w:cs="Verdana"/>
          <w:spacing w:val="3"/>
          <w:sz w:val="20"/>
          <w:szCs w:val="20"/>
          <w:lang w:val="es-ES"/>
        </w:rPr>
        <w:t>li</w:t>
      </w:r>
      <w:r w:rsidR="007F68A8" w:rsidRPr="00275F22">
        <w:rPr>
          <w:rFonts w:ascii="Verdana" w:eastAsia="Verdana" w:hAnsi="Verdana" w:cs="Verdana"/>
          <w:spacing w:val="-3"/>
          <w:sz w:val="20"/>
          <w:szCs w:val="20"/>
          <w:lang w:val="es-ES"/>
        </w:rPr>
        <w:t>c</w:t>
      </w:r>
      <w:r w:rsidR="007F68A8" w:rsidRPr="00275F22">
        <w:rPr>
          <w:rFonts w:ascii="Verdana" w:eastAsia="Verdana" w:hAnsi="Verdana" w:cs="Verdana"/>
          <w:spacing w:val="3"/>
          <w:sz w:val="20"/>
          <w:szCs w:val="20"/>
          <w:lang w:val="es-ES"/>
        </w:rPr>
        <w:t>i</w:t>
      </w:r>
      <w:r w:rsidR="007F68A8" w:rsidRPr="00275F22">
        <w:rPr>
          <w:rFonts w:ascii="Verdana" w:eastAsia="Verdana" w:hAnsi="Verdana" w:cs="Verdana"/>
          <w:spacing w:val="1"/>
          <w:sz w:val="20"/>
          <w:szCs w:val="20"/>
          <w:lang w:val="es-ES"/>
        </w:rPr>
        <w:t>t</w:t>
      </w:r>
      <w:r w:rsidR="00520B95">
        <w:rPr>
          <w:rFonts w:ascii="Verdana" w:eastAsia="Verdana" w:hAnsi="Verdana" w:cs="Verdana"/>
          <w:spacing w:val="5"/>
          <w:sz w:val="20"/>
          <w:szCs w:val="20"/>
          <w:lang w:val="es-ES"/>
        </w:rPr>
        <w:t>a</w:t>
      </w:r>
      <w:r w:rsidR="007F68A8" w:rsidRPr="00275F22">
        <w:rPr>
          <w:rFonts w:ascii="Verdana" w:eastAsia="Verdana" w:hAnsi="Verdana" w:cs="Verdana"/>
          <w:spacing w:val="5"/>
          <w:sz w:val="20"/>
          <w:szCs w:val="20"/>
          <w:lang w:val="es-ES"/>
        </w:rPr>
        <w:t>n</w:t>
      </w:r>
      <w:r w:rsidRPr="00C66B24">
        <w:rPr>
          <w:rFonts w:ascii="Verdana" w:hAnsi="Verdana"/>
          <w:spacing w:val="-2"/>
          <w:sz w:val="20"/>
          <w:szCs w:val="20"/>
          <w:lang w:val="es-GT"/>
        </w:rPr>
        <w:t>,</w:t>
      </w:r>
      <w:r w:rsidRPr="007F68A8">
        <w:rPr>
          <w:rFonts w:ascii="Verdana" w:hAnsi="Verdana"/>
          <w:spacing w:val="-2"/>
          <w:sz w:val="20"/>
          <w:szCs w:val="20"/>
          <w:lang w:val="es-GT"/>
        </w:rPr>
        <w:t xml:space="preserve"> </w:t>
      </w:r>
      <w:r w:rsidRPr="007F68A8">
        <w:rPr>
          <w:rFonts w:ascii="Verdana" w:hAnsi="Verdana"/>
          <w:spacing w:val="-2"/>
          <w:sz w:val="20"/>
          <w:szCs w:val="20"/>
          <w:lang w:val="es-PR" w:eastAsia="es-CR"/>
        </w:rPr>
        <w:t xml:space="preserve">en los términos </w:t>
      </w:r>
      <w:r w:rsidR="00D85528">
        <w:rPr>
          <w:rFonts w:ascii="Verdana" w:hAnsi="Verdana"/>
          <w:spacing w:val="-2"/>
          <w:sz w:val="20"/>
          <w:szCs w:val="20"/>
          <w:lang w:val="es-PR" w:eastAsia="es-CR"/>
        </w:rPr>
        <w:t>del</w:t>
      </w:r>
      <w:r w:rsidRPr="007F68A8">
        <w:rPr>
          <w:rFonts w:ascii="Verdana" w:hAnsi="Verdana"/>
          <w:spacing w:val="-2"/>
          <w:sz w:val="20"/>
          <w:szCs w:val="20"/>
          <w:lang w:val="es-PR" w:eastAsia="es-CR"/>
        </w:rPr>
        <w:t xml:space="preserve"> párrafo </w:t>
      </w:r>
      <w:r w:rsidR="003C7C91">
        <w:rPr>
          <w:rFonts w:ascii="Verdana" w:hAnsi="Verdana"/>
          <w:spacing w:val="-2"/>
          <w:sz w:val="20"/>
          <w:szCs w:val="20"/>
          <w:lang w:val="es-PR" w:eastAsia="es-CR"/>
        </w:rPr>
        <w:t>300</w:t>
      </w:r>
      <w:r w:rsidR="00D85528" w:rsidRPr="007F68A8">
        <w:rPr>
          <w:rFonts w:ascii="Verdana" w:hAnsi="Verdana"/>
          <w:spacing w:val="-2"/>
          <w:sz w:val="20"/>
          <w:szCs w:val="20"/>
          <w:lang w:val="es-PR" w:eastAsia="es-CR"/>
        </w:rPr>
        <w:t xml:space="preserve"> </w:t>
      </w:r>
      <w:r w:rsidRPr="007F68A8">
        <w:rPr>
          <w:rFonts w:ascii="Verdana" w:hAnsi="Verdana"/>
          <w:spacing w:val="-2"/>
          <w:sz w:val="20"/>
          <w:szCs w:val="20"/>
          <w:lang w:val="es-PR" w:eastAsia="es-CR"/>
        </w:rPr>
        <w:t>de la presente Sentencia.</w:t>
      </w:r>
      <w:r w:rsidR="009D0A73">
        <w:rPr>
          <w:rFonts w:ascii="Verdana" w:hAnsi="Verdana"/>
          <w:color w:val="000000" w:themeColor="text1"/>
          <w:spacing w:val="-2"/>
          <w:sz w:val="20"/>
          <w:szCs w:val="20"/>
          <w:lang w:val="es-AR"/>
        </w:rPr>
        <w:t xml:space="preserve"> </w:t>
      </w:r>
    </w:p>
    <w:p w:rsidR="009D0A73" w:rsidRDefault="009D0A73" w:rsidP="00397083">
      <w:pPr>
        <w:pStyle w:val="Default"/>
        <w:jc w:val="both"/>
        <w:rPr>
          <w:rFonts w:ascii="Verdana" w:hAnsi="Verdana"/>
          <w:spacing w:val="-2"/>
          <w:sz w:val="20"/>
          <w:szCs w:val="20"/>
          <w:lang w:val="es-PR" w:eastAsia="es-CR"/>
        </w:rPr>
      </w:pPr>
    </w:p>
    <w:p w:rsidR="009D0A73" w:rsidRPr="003364AB" w:rsidRDefault="009D0A73" w:rsidP="009D0A73">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Disienten los Jueces Sierra Porto y Vio Grossi. </w:t>
      </w:r>
    </w:p>
    <w:p w:rsidR="009D0A73" w:rsidRDefault="009D0A73" w:rsidP="00397083">
      <w:pPr>
        <w:pStyle w:val="Default"/>
        <w:jc w:val="both"/>
        <w:rPr>
          <w:rFonts w:ascii="Verdana" w:hAnsi="Verdana"/>
          <w:spacing w:val="-2"/>
          <w:sz w:val="20"/>
          <w:szCs w:val="20"/>
          <w:lang w:val="es-PR" w:eastAsia="es-CR"/>
        </w:rPr>
      </w:pPr>
    </w:p>
    <w:p w:rsidR="000572E5" w:rsidRPr="003364AB" w:rsidRDefault="000572E5" w:rsidP="00397083">
      <w:pPr>
        <w:pStyle w:val="Default"/>
        <w:jc w:val="both"/>
        <w:rPr>
          <w:rFonts w:ascii="Verdana" w:hAnsi="Verdana"/>
          <w:spacing w:val="-2"/>
          <w:sz w:val="20"/>
          <w:szCs w:val="20"/>
          <w:lang w:val="es-PR" w:eastAsia="es-CR"/>
        </w:rPr>
      </w:pPr>
    </w:p>
    <w:p w:rsidR="00397083" w:rsidRPr="003364AB" w:rsidRDefault="00397083" w:rsidP="00397083">
      <w:pPr>
        <w:pStyle w:val="Default"/>
        <w:jc w:val="both"/>
        <w:rPr>
          <w:rFonts w:ascii="Verdana" w:hAnsi="Verdana"/>
          <w:spacing w:val="-2"/>
          <w:sz w:val="20"/>
          <w:szCs w:val="20"/>
          <w:lang w:val="es-EC"/>
        </w:rPr>
      </w:pPr>
      <w:r w:rsidRPr="003364AB">
        <w:rPr>
          <w:rFonts w:ascii="Verdana" w:hAnsi="Verdana"/>
          <w:spacing w:val="-2"/>
          <w:sz w:val="20"/>
          <w:szCs w:val="20"/>
          <w:lang w:val="es-PR" w:eastAsia="es-CR"/>
        </w:rPr>
        <w:t>Por cinco votos</w:t>
      </w:r>
      <w:r w:rsidR="00C0698A" w:rsidRPr="003364AB">
        <w:rPr>
          <w:rFonts w:ascii="Verdana" w:hAnsi="Verdana"/>
          <w:spacing w:val="-2"/>
          <w:sz w:val="20"/>
          <w:szCs w:val="20"/>
          <w:lang w:val="es-PR" w:eastAsia="es-CR"/>
        </w:rPr>
        <w:t xml:space="preserve"> a favor y uno en contra, que:</w:t>
      </w:r>
    </w:p>
    <w:p w:rsidR="00397083" w:rsidRPr="009E56BD" w:rsidRDefault="00397083" w:rsidP="00397083">
      <w:pPr>
        <w:pStyle w:val="Default"/>
        <w:jc w:val="both"/>
        <w:rPr>
          <w:rFonts w:ascii="Verdana" w:hAnsi="Verdana"/>
          <w:color w:val="000000" w:themeColor="text1"/>
          <w:spacing w:val="-2"/>
          <w:sz w:val="20"/>
          <w:szCs w:val="20"/>
          <w:lang w:val="es-AR"/>
        </w:rPr>
      </w:pPr>
    </w:p>
    <w:p w:rsidR="00397083" w:rsidRPr="009E56BD" w:rsidRDefault="00397083" w:rsidP="005D3491">
      <w:pPr>
        <w:pStyle w:val="Default"/>
        <w:numPr>
          <w:ilvl w:val="1"/>
          <w:numId w:val="13"/>
        </w:numPr>
        <w:tabs>
          <w:tab w:val="clear" w:pos="1440"/>
        </w:tabs>
        <w:ind w:left="0" w:firstLine="0"/>
        <w:jc w:val="both"/>
        <w:rPr>
          <w:rFonts w:ascii="Verdana" w:hAnsi="Verdana"/>
          <w:color w:val="000000" w:themeColor="text1"/>
          <w:spacing w:val="-2"/>
          <w:sz w:val="20"/>
          <w:szCs w:val="20"/>
          <w:lang w:val="es-AR"/>
        </w:rPr>
      </w:pPr>
      <w:r w:rsidRPr="009E56BD">
        <w:rPr>
          <w:rFonts w:ascii="Verdana" w:hAnsi="Verdana"/>
          <w:color w:val="000000" w:themeColor="text1"/>
          <w:spacing w:val="-2"/>
          <w:sz w:val="20"/>
          <w:szCs w:val="20"/>
          <w:lang w:val="es-GT" w:eastAsia="es-CR"/>
        </w:rPr>
        <w:t xml:space="preserve">El Estado </w:t>
      </w:r>
      <w:r w:rsidRPr="009E56BD">
        <w:rPr>
          <w:rFonts w:ascii="Verdana" w:hAnsi="Verdana"/>
          <w:color w:val="000000" w:themeColor="text1"/>
          <w:spacing w:val="-2"/>
          <w:sz w:val="20"/>
          <w:szCs w:val="20"/>
          <w:lang w:val="es-GT" w:eastAsia="es-ES"/>
        </w:rPr>
        <w:t>debe pagar</w:t>
      </w:r>
      <w:r w:rsidRPr="009E56BD">
        <w:rPr>
          <w:rFonts w:ascii="Verdana" w:hAnsi="Verdana"/>
          <w:color w:val="000000" w:themeColor="text1"/>
          <w:spacing w:val="-2"/>
          <w:sz w:val="20"/>
          <w:szCs w:val="20"/>
          <w:lang w:val="es-GT" w:eastAsia="es-CR"/>
        </w:rPr>
        <w:t xml:space="preserve">, dentro del plazo de un año a partir de la notificación de la presente Sentencia, las cantidades fijadas en </w:t>
      </w:r>
      <w:r w:rsidR="000572E5">
        <w:rPr>
          <w:rFonts w:ascii="Verdana" w:hAnsi="Verdana"/>
          <w:color w:val="000000" w:themeColor="text1"/>
          <w:spacing w:val="-2"/>
          <w:sz w:val="20"/>
          <w:szCs w:val="20"/>
          <w:lang w:val="es-GT" w:eastAsia="es-CR"/>
        </w:rPr>
        <w:t>los</w:t>
      </w:r>
      <w:r w:rsidR="00D85528" w:rsidRPr="009E56BD">
        <w:rPr>
          <w:rFonts w:ascii="Verdana" w:hAnsi="Verdana"/>
          <w:color w:val="000000" w:themeColor="text1"/>
          <w:spacing w:val="-2"/>
          <w:sz w:val="20"/>
          <w:szCs w:val="20"/>
          <w:lang w:val="es-GT" w:eastAsia="es-CR"/>
        </w:rPr>
        <w:t xml:space="preserve"> </w:t>
      </w:r>
      <w:r w:rsidRPr="009E56BD">
        <w:rPr>
          <w:rFonts w:ascii="Verdana" w:hAnsi="Verdana"/>
          <w:color w:val="000000" w:themeColor="text1"/>
          <w:spacing w:val="-2"/>
          <w:sz w:val="20"/>
          <w:szCs w:val="20"/>
          <w:lang w:val="es-GT" w:eastAsia="es-CR"/>
        </w:rPr>
        <w:t>párrafo</w:t>
      </w:r>
      <w:r w:rsidR="000572E5">
        <w:rPr>
          <w:rFonts w:ascii="Verdana" w:hAnsi="Verdana"/>
          <w:color w:val="000000" w:themeColor="text1"/>
          <w:spacing w:val="-2"/>
          <w:sz w:val="20"/>
          <w:szCs w:val="20"/>
          <w:lang w:val="es-GT" w:eastAsia="es-CR"/>
        </w:rPr>
        <w:t>s</w:t>
      </w:r>
      <w:r w:rsidRPr="009E56BD">
        <w:rPr>
          <w:rFonts w:ascii="Verdana" w:hAnsi="Verdana"/>
          <w:color w:val="000000" w:themeColor="text1"/>
          <w:spacing w:val="-2"/>
          <w:sz w:val="20"/>
          <w:szCs w:val="20"/>
          <w:lang w:val="es-GT" w:eastAsia="es-CR"/>
        </w:rPr>
        <w:t xml:space="preserve"> </w:t>
      </w:r>
      <w:r w:rsidR="00D85528">
        <w:rPr>
          <w:rFonts w:ascii="Verdana" w:hAnsi="Verdana"/>
          <w:color w:val="000000" w:themeColor="text1"/>
          <w:spacing w:val="-2"/>
          <w:sz w:val="20"/>
          <w:szCs w:val="20"/>
          <w:lang w:val="es-GT" w:eastAsia="es-CR"/>
        </w:rPr>
        <w:t>31</w:t>
      </w:r>
      <w:r w:rsidR="003C7C91">
        <w:rPr>
          <w:rFonts w:ascii="Verdana" w:hAnsi="Verdana"/>
          <w:color w:val="000000" w:themeColor="text1"/>
          <w:spacing w:val="-2"/>
          <w:sz w:val="20"/>
          <w:szCs w:val="20"/>
          <w:lang w:val="es-GT" w:eastAsia="es-CR"/>
        </w:rPr>
        <w:t>9</w:t>
      </w:r>
      <w:r w:rsidR="000572E5">
        <w:rPr>
          <w:rFonts w:ascii="Verdana" w:hAnsi="Verdana"/>
          <w:color w:val="000000" w:themeColor="text1"/>
          <w:spacing w:val="-2"/>
          <w:sz w:val="20"/>
          <w:szCs w:val="20"/>
          <w:lang w:val="es-GT" w:eastAsia="es-CR"/>
        </w:rPr>
        <w:t xml:space="preserve"> y 32</w:t>
      </w:r>
      <w:r w:rsidR="003C7C91">
        <w:rPr>
          <w:rFonts w:ascii="Verdana" w:hAnsi="Verdana"/>
          <w:color w:val="000000" w:themeColor="text1"/>
          <w:spacing w:val="-2"/>
          <w:sz w:val="20"/>
          <w:szCs w:val="20"/>
          <w:lang w:val="es-GT" w:eastAsia="es-CR"/>
        </w:rPr>
        <w:t>5</w:t>
      </w:r>
      <w:r w:rsidR="00D85528" w:rsidRPr="009E56BD">
        <w:rPr>
          <w:rFonts w:ascii="Verdana" w:hAnsi="Verdana"/>
          <w:color w:val="000000" w:themeColor="text1"/>
          <w:spacing w:val="-2"/>
          <w:sz w:val="20"/>
          <w:szCs w:val="20"/>
          <w:lang w:val="es-GT" w:eastAsia="es-CR"/>
        </w:rPr>
        <w:t xml:space="preserve"> </w:t>
      </w:r>
      <w:r w:rsidRPr="009E56BD">
        <w:rPr>
          <w:rFonts w:ascii="Verdana" w:hAnsi="Verdana"/>
          <w:color w:val="000000" w:themeColor="text1"/>
          <w:spacing w:val="-2"/>
          <w:sz w:val="20"/>
          <w:szCs w:val="20"/>
          <w:lang w:val="es-GT" w:eastAsia="es-CR"/>
        </w:rPr>
        <w:t xml:space="preserve">de la misma por concepto de indemnización por daños materiales e inmateriales, y el reintegro de costas y gastos, en los términos </w:t>
      </w:r>
      <w:r w:rsidR="00D85528">
        <w:rPr>
          <w:rFonts w:ascii="Verdana" w:hAnsi="Verdana"/>
          <w:color w:val="000000" w:themeColor="text1"/>
          <w:spacing w:val="-2"/>
          <w:sz w:val="20"/>
          <w:szCs w:val="20"/>
          <w:lang w:val="es-GT" w:eastAsia="es-CR"/>
        </w:rPr>
        <w:t>de</w:t>
      </w:r>
      <w:r w:rsidR="00F817A3">
        <w:rPr>
          <w:rFonts w:ascii="Verdana" w:hAnsi="Verdana"/>
          <w:color w:val="000000" w:themeColor="text1"/>
          <w:spacing w:val="-2"/>
          <w:sz w:val="20"/>
          <w:szCs w:val="20"/>
          <w:lang w:val="es-GT" w:eastAsia="es-CR"/>
        </w:rPr>
        <w:t xml:space="preserve"> </w:t>
      </w:r>
      <w:r w:rsidR="00D85528">
        <w:rPr>
          <w:rFonts w:ascii="Verdana" w:hAnsi="Verdana"/>
          <w:color w:val="000000" w:themeColor="text1"/>
          <w:spacing w:val="-2"/>
          <w:sz w:val="20"/>
          <w:szCs w:val="20"/>
          <w:lang w:val="es-GT" w:eastAsia="es-CR"/>
        </w:rPr>
        <w:t>l</w:t>
      </w:r>
      <w:r w:rsidR="00F817A3">
        <w:rPr>
          <w:rFonts w:ascii="Verdana" w:hAnsi="Verdana"/>
          <w:color w:val="000000" w:themeColor="text1"/>
          <w:spacing w:val="-2"/>
          <w:sz w:val="20"/>
          <w:szCs w:val="20"/>
          <w:lang w:val="es-GT" w:eastAsia="es-CR"/>
        </w:rPr>
        <w:t>os</w:t>
      </w:r>
      <w:r w:rsidRPr="009E56BD">
        <w:rPr>
          <w:rFonts w:ascii="Verdana" w:hAnsi="Verdana"/>
          <w:color w:val="000000" w:themeColor="text1"/>
          <w:spacing w:val="-2"/>
          <w:sz w:val="20"/>
          <w:szCs w:val="20"/>
          <w:lang w:val="es-GT" w:eastAsia="es-CR"/>
        </w:rPr>
        <w:t xml:space="preserve"> párrafo</w:t>
      </w:r>
      <w:r w:rsidR="00F817A3">
        <w:rPr>
          <w:rFonts w:ascii="Verdana" w:hAnsi="Verdana"/>
          <w:color w:val="000000" w:themeColor="text1"/>
          <w:spacing w:val="-2"/>
          <w:sz w:val="20"/>
          <w:szCs w:val="20"/>
          <w:lang w:val="es-GT" w:eastAsia="es-CR"/>
        </w:rPr>
        <w:t>s</w:t>
      </w:r>
      <w:r w:rsidRPr="009E56BD">
        <w:rPr>
          <w:rFonts w:ascii="Verdana" w:hAnsi="Verdana"/>
          <w:color w:val="000000" w:themeColor="text1"/>
          <w:spacing w:val="-2"/>
          <w:sz w:val="20"/>
          <w:szCs w:val="20"/>
          <w:lang w:val="es-GT" w:eastAsia="es-CR"/>
        </w:rPr>
        <w:t xml:space="preserve"> </w:t>
      </w:r>
      <w:r w:rsidR="003C7C91">
        <w:rPr>
          <w:rFonts w:ascii="Verdana" w:hAnsi="Verdana"/>
          <w:color w:val="000000" w:themeColor="text1"/>
          <w:spacing w:val="-2"/>
          <w:sz w:val="20"/>
          <w:szCs w:val="20"/>
          <w:lang w:val="es-GT" w:eastAsia="es-CR"/>
        </w:rPr>
        <w:t>314 a 318 y 323 a 325</w:t>
      </w:r>
      <w:r w:rsidRPr="009E56BD">
        <w:rPr>
          <w:rFonts w:ascii="Verdana" w:hAnsi="Verdana"/>
          <w:color w:val="000000" w:themeColor="text1"/>
          <w:spacing w:val="-2"/>
          <w:sz w:val="20"/>
          <w:szCs w:val="20"/>
          <w:lang w:val="es-GT" w:eastAsia="es-CR"/>
        </w:rPr>
        <w:t>de la presente Sentencia.</w:t>
      </w:r>
      <w:r w:rsidRPr="009E56BD">
        <w:rPr>
          <w:rFonts w:ascii="Verdana" w:hAnsi="Verdana"/>
          <w:color w:val="000000" w:themeColor="text1"/>
          <w:spacing w:val="-2"/>
          <w:sz w:val="16"/>
          <w:szCs w:val="16"/>
          <w:lang w:val="es-AR"/>
        </w:rPr>
        <w:t xml:space="preserve"> </w:t>
      </w:r>
    </w:p>
    <w:p w:rsidR="00397083" w:rsidRDefault="00397083" w:rsidP="00397083">
      <w:pPr>
        <w:pStyle w:val="Default"/>
        <w:jc w:val="both"/>
        <w:rPr>
          <w:rFonts w:ascii="Verdana" w:hAnsi="Verdana"/>
          <w:color w:val="000000" w:themeColor="text1"/>
          <w:spacing w:val="-2"/>
          <w:sz w:val="20"/>
          <w:szCs w:val="20"/>
          <w:lang w:val="es-AR"/>
        </w:rPr>
      </w:pPr>
    </w:p>
    <w:p w:rsidR="00C0698A" w:rsidRPr="003364AB" w:rsidRDefault="00C0698A" w:rsidP="00C0698A">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C0698A" w:rsidRDefault="00C0698A" w:rsidP="00397083">
      <w:pPr>
        <w:pStyle w:val="Default"/>
        <w:jc w:val="both"/>
        <w:rPr>
          <w:rFonts w:ascii="Verdana" w:hAnsi="Verdana"/>
          <w:color w:val="000000" w:themeColor="text1"/>
          <w:spacing w:val="-2"/>
          <w:sz w:val="20"/>
          <w:szCs w:val="20"/>
          <w:lang w:val="es-AR"/>
        </w:rPr>
      </w:pPr>
    </w:p>
    <w:p w:rsidR="000572E5" w:rsidRPr="003364AB" w:rsidRDefault="000572E5" w:rsidP="00397083">
      <w:pPr>
        <w:pStyle w:val="Default"/>
        <w:jc w:val="both"/>
        <w:rPr>
          <w:rFonts w:ascii="Verdana" w:hAnsi="Verdana"/>
          <w:color w:val="000000" w:themeColor="text1"/>
          <w:spacing w:val="-2"/>
          <w:sz w:val="20"/>
          <w:szCs w:val="20"/>
          <w:lang w:val="es-AR"/>
        </w:rPr>
      </w:pPr>
    </w:p>
    <w:p w:rsidR="00397083" w:rsidRPr="003364AB" w:rsidRDefault="002F6FA1" w:rsidP="00397083">
      <w:pPr>
        <w:pStyle w:val="Default"/>
        <w:jc w:val="both"/>
        <w:rPr>
          <w:rFonts w:ascii="Verdana" w:hAnsi="Verdana"/>
          <w:color w:val="000000" w:themeColor="text1"/>
          <w:spacing w:val="-2"/>
          <w:sz w:val="20"/>
          <w:szCs w:val="20"/>
          <w:lang w:val="es-AR"/>
        </w:rPr>
      </w:pPr>
      <w:r w:rsidRPr="003364AB">
        <w:rPr>
          <w:rFonts w:ascii="Verdana" w:hAnsi="Verdana"/>
          <w:color w:val="000000" w:themeColor="text1"/>
          <w:spacing w:val="-2"/>
          <w:sz w:val="20"/>
          <w:szCs w:val="20"/>
          <w:lang w:val="es-AR"/>
        </w:rPr>
        <w:t xml:space="preserve">Por </w:t>
      </w:r>
      <w:r w:rsidR="00397083" w:rsidRPr="003364AB">
        <w:rPr>
          <w:rFonts w:ascii="Verdana" w:hAnsi="Verdana"/>
          <w:color w:val="000000" w:themeColor="text1"/>
          <w:spacing w:val="-2"/>
          <w:sz w:val="20"/>
          <w:szCs w:val="20"/>
          <w:lang w:val="es-AR"/>
        </w:rPr>
        <w:t>unanimidad,</w:t>
      </w:r>
      <w:r w:rsidR="00C0698A" w:rsidRPr="003364AB">
        <w:rPr>
          <w:rFonts w:ascii="Verdana" w:hAnsi="Verdana"/>
          <w:color w:val="000000" w:themeColor="text1"/>
          <w:spacing w:val="-2"/>
          <w:sz w:val="20"/>
          <w:szCs w:val="20"/>
          <w:lang w:val="es-AR"/>
        </w:rPr>
        <w:t xml:space="preserve"> que: </w:t>
      </w:r>
    </w:p>
    <w:p w:rsidR="00397083" w:rsidRPr="00CE68AB" w:rsidRDefault="00397083" w:rsidP="00397083">
      <w:pPr>
        <w:pStyle w:val="Default"/>
        <w:jc w:val="both"/>
        <w:rPr>
          <w:rFonts w:ascii="Verdana" w:hAnsi="Verdana"/>
          <w:color w:val="000000" w:themeColor="text1"/>
          <w:spacing w:val="-2"/>
          <w:sz w:val="20"/>
          <w:szCs w:val="20"/>
          <w:lang w:val="es-AR"/>
        </w:rPr>
      </w:pPr>
    </w:p>
    <w:p w:rsidR="00397083" w:rsidRPr="00CE68AB" w:rsidRDefault="00397083" w:rsidP="005D3491">
      <w:pPr>
        <w:pStyle w:val="Default"/>
        <w:numPr>
          <w:ilvl w:val="1"/>
          <w:numId w:val="13"/>
        </w:numPr>
        <w:tabs>
          <w:tab w:val="clear" w:pos="1440"/>
        </w:tabs>
        <w:ind w:left="0" w:firstLine="0"/>
        <w:jc w:val="both"/>
        <w:rPr>
          <w:rFonts w:ascii="Verdana" w:hAnsi="Verdana"/>
          <w:color w:val="000000" w:themeColor="text1"/>
          <w:spacing w:val="-2"/>
          <w:sz w:val="20"/>
          <w:szCs w:val="20"/>
          <w:lang w:val="es-AR"/>
        </w:rPr>
      </w:pPr>
      <w:r w:rsidRPr="00CE68AB">
        <w:rPr>
          <w:rFonts w:ascii="Verdana" w:hAnsi="Verdana"/>
          <w:color w:val="000000" w:themeColor="text1"/>
          <w:spacing w:val="-2"/>
          <w:sz w:val="20"/>
          <w:szCs w:val="20"/>
          <w:lang w:val="es-ES" w:eastAsia="es-CR"/>
        </w:rPr>
        <w:t xml:space="preserve">El Estado debe rendir a este Tribunal un informe, dentro del plazo de un año contado a partir de la </w:t>
      </w:r>
      <w:r w:rsidRPr="00CE68AB">
        <w:rPr>
          <w:rFonts w:ascii="Verdana" w:hAnsi="Verdana"/>
          <w:color w:val="000000" w:themeColor="text1"/>
          <w:spacing w:val="-2"/>
          <w:sz w:val="20"/>
          <w:szCs w:val="20"/>
          <w:lang w:val="es-ES_tradnl"/>
        </w:rPr>
        <w:t>notificación</w:t>
      </w:r>
      <w:r w:rsidRPr="00CE68AB">
        <w:rPr>
          <w:rFonts w:ascii="Verdana" w:hAnsi="Verdana"/>
          <w:color w:val="000000" w:themeColor="text1"/>
          <w:spacing w:val="-2"/>
          <w:sz w:val="20"/>
          <w:szCs w:val="20"/>
          <w:lang w:val="es-ES" w:eastAsia="es-CR"/>
        </w:rPr>
        <w:t xml:space="preserve"> de la presente Sentencia, sobre las medidas adoptadas para cumplir con la misma. </w:t>
      </w:r>
    </w:p>
    <w:p w:rsidR="000572E5" w:rsidRDefault="000572E5" w:rsidP="00397083">
      <w:pPr>
        <w:pStyle w:val="Default"/>
        <w:jc w:val="both"/>
        <w:rPr>
          <w:color w:val="000000" w:themeColor="text1"/>
          <w:spacing w:val="-2"/>
          <w:sz w:val="20"/>
          <w:szCs w:val="20"/>
          <w:lang w:val="es-ES" w:eastAsia="es-CR"/>
        </w:rPr>
      </w:pPr>
    </w:p>
    <w:p w:rsidR="00397083" w:rsidRPr="003364AB" w:rsidRDefault="00397083" w:rsidP="00397083">
      <w:pPr>
        <w:pStyle w:val="Default"/>
        <w:jc w:val="both"/>
        <w:rPr>
          <w:rFonts w:ascii="Verdana" w:hAnsi="Verdana"/>
          <w:color w:val="000000" w:themeColor="text1"/>
          <w:spacing w:val="-2"/>
          <w:sz w:val="20"/>
          <w:szCs w:val="20"/>
          <w:lang w:val="es-ES" w:eastAsia="es-CR"/>
        </w:rPr>
      </w:pPr>
      <w:r w:rsidRPr="003364AB">
        <w:rPr>
          <w:rFonts w:ascii="Verdana" w:hAnsi="Verdana"/>
          <w:color w:val="000000" w:themeColor="text1"/>
          <w:spacing w:val="-2"/>
          <w:sz w:val="20"/>
          <w:szCs w:val="20"/>
          <w:lang w:val="es-ES" w:eastAsia="es-CR"/>
        </w:rPr>
        <w:t xml:space="preserve">Por unanimidad, </w:t>
      </w:r>
      <w:r w:rsidR="00C0698A" w:rsidRPr="003364AB">
        <w:rPr>
          <w:rFonts w:ascii="Verdana" w:hAnsi="Verdana"/>
          <w:color w:val="000000" w:themeColor="text1"/>
          <w:spacing w:val="-2"/>
          <w:sz w:val="20"/>
          <w:szCs w:val="20"/>
          <w:lang w:val="es-ES" w:eastAsia="es-CR"/>
        </w:rPr>
        <w:t xml:space="preserve">que: </w:t>
      </w:r>
    </w:p>
    <w:p w:rsidR="00397083" w:rsidRPr="009E56BD" w:rsidRDefault="00397083" w:rsidP="00397083">
      <w:pPr>
        <w:pStyle w:val="Default"/>
        <w:jc w:val="both"/>
        <w:rPr>
          <w:rFonts w:ascii="Verdana" w:hAnsi="Verdana"/>
          <w:color w:val="000000" w:themeColor="text1"/>
          <w:spacing w:val="-2"/>
          <w:sz w:val="20"/>
          <w:szCs w:val="20"/>
          <w:lang w:val="es-AR"/>
        </w:rPr>
      </w:pPr>
    </w:p>
    <w:p w:rsidR="00397083" w:rsidRPr="009E56BD" w:rsidRDefault="00397083" w:rsidP="005D3491">
      <w:pPr>
        <w:pStyle w:val="Default"/>
        <w:numPr>
          <w:ilvl w:val="1"/>
          <w:numId w:val="13"/>
        </w:numPr>
        <w:tabs>
          <w:tab w:val="clear" w:pos="1440"/>
        </w:tabs>
        <w:ind w:left="0" w:firstLine="0"/>
        <w:jc w:val="both"/>
        <w:rPr>
          <w:rFonts w:ascii="Verdana" w:hAnsi="Verdana"/>
          <w:color w:val="000000" w:themeColor="text1"/>
          <w:spacing w:val="-2"/>
          <w:sz w:val="20"/>
          <w:szCs w:val="20"/>
          <w:lang w:val="es-AR"/>
        </w:rPr>
      </w:pPr>
      <w:r w:rsidRPr="009E56BD">
        <w:rPr>
          <w:rFonts w:ascii="Verdana" w:hAnsi="Verdana"/>
          <w:color w:val="000000" w:themeColor="text1"/>
          <w:spacing w:val="-2"/>
          <w:sz w:val="20"/>
          <w:szCs w:val="20"/>
          <w:lang w:val="es-ES" w:eastAsia="es-CR"/>
        </w:rPr>
        <w:t xml:space="preserve">La Corte supervisará el cumplimiento íntegro de esta Sentencia, en ejercicio de sus </w:t>
      </w:r>
      <w:r w:rsidRPr="009E56BD">
        <w:rPr>
          <w:rFonts w:ascii="Verdana" w:hAnsi="Verdana"/>
          <w:color w:val="000000" w:themeColor="text1"/>
          <w:spacing w:val="-2"/>
          <w:sz w:val="20"/>
          <w:szCs w:val="20"/>
          <w:lang w:val="es-ES_tradnl"/>
        </w:rPr>
        <w:t>atribuciones</w:t>
      </w:r>
      <w:r w:rsidRPr="009E56BD">
        <w:rPr>
          <w:rFonts w:ascii="Verdana" w:hAnsi="Verdana"/>
          <w:color w:val="000000" w:themeColor="text1"/>
          <w:spacing w:val="-2"/>
          <w:sz w:val="20"/>
          <w:szCs w:val="20"/>
          <w:lang w:val="es-ES" w:eastAsia="es-CR"/>
        </w:rPr>
        <w:t xml:space="preserve"> y en cumplimiento de sus deberes conforme a la Convención Americana sobre Derechos Humanos, y dará por concluido el presente caso una vez que el Estado haya dado cabal cumplimiento a lo dispuesto en la misma.</w:t>
      </w:r>
    </w:p>
    <w:p w:rsidR="002F6FA1" w:rsidRDefault="002F6FA1" w:rsidP="00397083">
      <w:pPr>
        <w:pStyle w:val="Default"/>
        <w:jc w:val="both"/>
      </w:pPr>
    </w:p>
    <w:p w:rsidR="00397083" w:rsidRPr="00275F22" w:rsidRDefault="000C1594" w:rsidP="005C46C8">
      <w:pPr>
        <w:pStyle w:val="Default"/>
        <w:jc w:val="both"/>
        <w:rPr>
          <w:rFonts w:ascii="Verdana" w:hAnsi="Verdana"/>
          <w:sz w:val="20"/>
          <w:szCs w:val="20"/>
        </w:rPr>
      </w:pPr>
      <w:r w:rsidRPr="00DC45F5">
        <w:rPr>
          <w:rFonts w:ascii="Verdana" w:hAnsi="Verdana"/>
          <w:sz w:val="20"/>
          <w:szCs w:val="20"/>
        </w:rPr>
        <w:t>El</w:t>
      </w:r>
      <w:r w:rsidR="008D1116" w:rsidRPr="00DC45F5">
        <w:rPr>
          <w:rFonts w:ascii="Verdana" w:hAnsi="Verdana"/>
          <w:sz w:val="20"/>
          <w:szCs w:val="20"/>
        </w:rPr>
        <w:t xml:space="preserve"> Juez</w:t>
      </w:r>
      <w:r w:rsidR="00397083" w:rsidRPr="00DC45F5">
        <w:rPr>
          <w:rFonts w:ascii="Verdana" w:hAnsi="Verdana"/>
          <w:sz w:val="20"/>
          <w:szCs w:val="20"/>
        </w:rPr>
        <w:t xml:space="preserve"> Humberto Antonio Sierra Porto</w:t>
      </w:r>
      <w:r w:rsidR="009E7A18" w:rsidRPr="00DC45F5">
        <w:rPr>
          <w:rFonts w:ascii="Verdana" w:hAnsi="Verdana"/>
          <w:sz w:val="20"/>
          <w:szCs w:val="20"/>
        </w:rPr>
        <w:t xml:space="preserve"> hizo conocer a la Corte su </w:t>
      </w:r>
      <w:r w:rsidR="008D1116" w:rsidRPr="00DC45F5">
        <w:rPr>
          <w:rFonts w:ascii="Verdana" w:hAnsi="Verdana"/>
          <w:sz w:val="20"/>
          <w:szCs w:val="20"/>
        </w:rPr>
        <w:t>voto parcialmente disidente</w:t>
      </w:r>
      <w:r w:rsidR="00397083" w:rsidRPr="00FB2FC9">
        <w:rPr>
          <w:rFonts w:ascii="Verdana" w:hAnsi="Verdana"/>
          <w:sz w:val="20"/>
          <w:szCs w:val="20"/>
        </w:rPr>
        <w:t xml:space="preserve"> y </w:t>
      </w:r>
      <w:r w:rsidRPr="00F7555D">
        <w:rPr>
          <w:rFonts w:ascii="Verdana" w:hAnsi="Verdana"/>
          <w:sz w:val="20"/>
          <w:szCs w:val="20"/>
        </w:rPr>
        <w:t>el</w:t>
      </w:r>
      <w:r w:rsidRPr="006E4150">
        <w:rPr>
          <w:rFonts w:ascii="Verdana" w:hAnsi="Verdana"/>
          <w:sz w:val="20"/>
          <w:szCs w:val="20"/>
        </w:rPr>
        <w:t xml:space="preserve"> Juez </w:t>
      </w:r>
      <w:r w:rsidR="00397083" w:rsidRPr="006E4150">
        <w:rPr>
          <w:rFonts w:ascii="Verdana" w:hAnsi="Verdana"/>
          <w:sz w:val="20"/>
          <w:szCs w:val="20"/>
        </w:rPr>
        <w:t>Eduardo</w:t>
      </w:r>
      <w:r w:rsidR="008D1116" w:rsidRPr="006E4150">
        <w:rPr>
          <w:rFonts w:ascii="Verdana" w:hAnsi="Verdana"/>
          <w:sz w:val="20"/>
          <w:szCs w:val="20"/>
        </w:rPr>
        <w:t xml:space="preserve"> Vio Grossi hizo</w:t>
      </w:r>
      <w:r w:rsidR="00397083" w:rsidRPr="006E4150">
        <w:rPr>
          <w:rFonts w:ascii="Verdana" w:hAnsi="Verdana"/>
          <w:sz w:val="20"/>
          <w:szCs w:val="20"/>
        </w:rPr>
        <w:t xml:space="preserve"> conocer </w:t>
      </w:r>
      <w:r w:rsidR="008D1116" w:rsidRPr="006E4150">
        <w:rPr>
          <w:rFonts w:ascii="Verdana" w:hAnsi="Verdana"/>
          <w:sz w:val="20"/>
          <w:szCs w:val="20"/>
        </w:rPr>
        <w:t>a la Corte su voto disidente</w:t>
      </w:r>
      <w:r w:rsidR="00397083" w:rsidRPr="006E4150">
        <w:rPr>
          <w:rFonts w:ascii="Verdana" w:hAnsi="Verdana"/>
          <w:sz w:val="20"/>
          <w:szCs w:val="20"/>
        </w:rPr>
        <w:t>, los cuales acompañan</w:t>
      </w:r>
      <w:r w:rsidR="00397083" w:rsidRPr="00275F22">
        <w:rPr>
          <w:rFonts w:ascii="Verdana" w:hAnsi="Verdana"/>
          <w:sz w:val="20"/>
          <w:szCs w:val="20"/>
        </w:rPr>
        <w:t xml:space="preserve"> esta Sentencia.</w:t>
      </w:r>
      <w:r w:rsidR="00CE68AB" w:rsidRPr="00275F22">
        <w:rPr>
          <w:rFonts w:ascii="Verdana" w:hAnsi="Verdana"/>
          <w:sz w:val="20"/>
          <w:szCs w:val="20"/>
        </w:rPr>
        <w:t xml:space="preserve"> </w:t>
      </w:r>
    </w:p>
    <w:p w:rsidR="005C46C8" w:rsidRPr="005C46C8" w:rsidRDefault="005C46C8" w:rsidP="005C46C8">
      <w:pPr>
        <w:pStyle w:val="Default"/>
        <w:jc w:val="both"/>
        <w:rPr>
          <w:rFonts w:ascii="Verdana" w:hAnsi="Verdana"/>
          <w:b/>
          <w:sz w:val="20"/>
          <w:szCs w:val="20"/>
        </w:rPr>
      </w:pPr>
    </w:p>
    <w:p w:rsidR="000B2756" w:rsidRDefault="00397083" w:rsidP="005C46C8">
      <w:r w:rsidRPr="003364AB">
        <w:t>Redactada en español en San José, Costa Rica, el 2 de octubre de 2015.</w:t>
      </w:r>
    </w:p>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6E3730" w:rsidRDefault="006E3730" w:rsidP="005C46C8"/>
    <w:p w:rsidR="003C540A" w:rsidRDefault="003C540A" w:rsidP="005C46C8"/>
    <w:p w:rsidR="003C540A" w:rsidRDefault="003C540A" w:rsidP="005C46C8"/>
    <w:p w:rsidR="003C540A" w:rsidRDefault="003C540A" w:rsidP="005C46C8"/>
    <w:p w:rsidR="003C540A" w:rsidRDefault="003C540A" w:rsidP="005C46C8"/>
    <w:p w:rsidR="003C540A" w:rsidRDefault="003C540A" w:rsidP="005C46C8"/>
    <w:p w:rsidR="003C540A" w:rsidRDefault="003C540A" w:rsidP="003C540A">
      <w:pPr>
        <w:jc w:val="center"/>
      </w:pPr>
      <w:r>
        <w:t>Humberto Sierra Porto</w:t>
      </w:r>
    </w:p>
    <w:p w:rsidR="003C540A" w:rsidRDefault="003C540A" w:rsidP="003C540A">
      <w:pPr>
        <w:jc w:val="center"/>
      </w:pPr>
      <w:r>
        <w:t>Presidente</w:t>
      </w:r>
    </w:p>
    <w:p w:rsidR="003C540A" w:rsidRDefault="003C540A" w:rsidP="003C540A">
      <w:pPr>
        <w:jc w:val="center"/>
      </w:pPr>
    </w:p>
    <w:p w:rsidR="003C540A" w:rsidRDefault="003C540A" w:rsidP="003C540A">
      <w:pPr>
        <w:jc w:val="center"/>
      </w:pPr>
    </w:p>
    <w:p w:rsidR="003C540A" w:rsidRDefault="003C540A" w:rsidP="005C46C8"/>
    <w:p w:rsidR="003C540A" w:rsidRDefault="003C540A" w:rsidP="005C46C8"/>
    <w:p w:rsidR="003C540A" w:rsidRDefault="003C540A" w:rsidP="005C46C8"/>
    <w:p w:rsidR="003C540A" w:rsidRDefault="003C540A" w:rsidP="005C46C8">
      <w:r>
        <w:t xml:space="preserve">Roberto F. Caldas </w:t>
      </w:r>
      <w:r>
        <w:tab/>
      </w:r>
      <w:r>
        <w:tab/>
      </w:r>
      <w:r>
        <w:tab/>
      </w:r>
      <w:r>
        <w:tab/>
      </w:r>
      <w:r>
        <w:tab/>
      </w:r>
      <w:r>
        <w:tab/>
      </w:r>
      <w:r>
        <w:tab/>
        <w:t>Manuel E. Ventura Robles</w:t>
      </w:r>
    </w:p>
    <w:p w:rsidR="003C540A" w:rsidRDefault="003C540A" w:rsidP="005C46C8"/>
    <w:p w:rsidR="003C540A" w:rsidRDefault="003C540A" w:rsidP="005C46C8"/>
    <w:p w:rsidR="003C540A" w:rsidRDefault="003C540A" w:rsidP="005C46C8"/>
    <w:p w:rsidR="003C540A" w:rsidRDefault="003C540A" w:rsidP="005C46C8"/>
    <w:p w:rsidR="003C540A" w:rsidRDefault="003C540A" w:rsidP="005C46C8"/>
    <w:p w:rsidR="003C540A" w:rsidRDefault="003C540A" w:rsidP="005C46C8">
      <w:r>
        <w:t xml:space="preserve">Alberto Pérez </w:t>
      </w:r>
      <w:proofErr w:type="spellStart"/>
      <w:r>
        <w:t>Pérez</w:t>
      </w:r>
      <w:proofErr w:type="spellEnd"/>
      <w:r>
        <w:t xml:space="preserve"> </w:t>
      </w:r>
      <w:r>
        <w:tab/>
      </w:r>
      <w:r>
        <w:tab/>
      </w:r>
      <w:r>
        <w:tab/>
      </w:r>
      <w:r>
        <w:tab/>
      </w:r>
      <w:r>
        <w:tab/>
      </w:r>
      <w:r>
        <w:tab/>
      </w:r>
      <w:r>
        <w:tab/>
      </w:r>
      <w:r>
        <w:tab/>
        <w:t>Eduardo Vio Grossi</w:t>
      </w:r>
    </w:p>
    <w:p w:rsidR="003C540A" w:rsidRDefault="003C540A" w:rsidP="005C46C8"/>
    <w:p w:rsidR="003C540A" w:rsidRDefault="003C540A" w:rsidP="005C46C8"/>
    <w:p w:rsidR="003C540A" w:rsidRDefault="003C540A" w:rsidP="005C46C8"/>
    <w:p w:rsidR="003C540A" w:rsidRDefault="003C540A" w:rsidP="005C46C8"/>
    <w:p w:rsidR="003C540A" w:rsidRDefault="003C540A" w:rsidP="003C540A">
      <w:pPr>
        <w:jc w:val="center"/>
      </w:pPr>
      <w:r>
        <w:t>Eduardo Ferrer Mac-Gregor Poisot</w:t>
      </w:r>
    </w:p>
    <w:p w:rsidR="003C540A" w:rsidRDefault="003C540A" w:rsidP="005C46C8"/>
    <w:p w:rsidR="003C540A" w:rsidRDefault="003C540A" w:rsidP="005C46C8"/>
    <w:p w:rsidR="003C540A" w:rsidRDefault="003C540A" w:rsidP="005C46C8"/>
    <w:p w:rsidR="003C540A" w:rsidRDefault="003C540A" w:rsidP="005C46C8"/>
    <w:p w:rsidR="003C540A" w:rsidRDefault="003C540A" w:rsidP="005C46C8"/>
    <w:p w:rsidR="003C540A" w:rsidRDefault="003C540A" w:rsidP="005C46C8"/>
    <w:p w:rsidR="003C540A" w:rsidRDefault="003C540A" w:rsidP="005C46C8"/>
    <w:p w:rsidR="003C540A" w:rsidRDefault="003C540A" w:rsidP="003C540A">
      <w:pPr>
        <w:jc w:val="center"/>
      </w:pPr>
      <w:r>
        <w:t>Pablo Saavedra Alessandri</w:t>
      </w:r>
    </w:p>
    <w:p w:rsidR="003C540A" w:rsidRDefault="003C540A" w:rsidP="003C540A">
      <w:pPr>
        <w:jc w:val="center"/>
      </w:pPr>
      <w:r>
        <w:t>Secretario</w:t>
      </w:r>
    </w:p>
    <w:p w:rsidR="003C540A" w:rsidRDefault="003C540A" w:rsidP="003C540A">
      <w:pPr>
        <w:jc w:val="center"/>
      </w:pPr>
    </w:p>
    <w:p w:rsidR="003C540A" w:rsidRDefault="003C540A" w:rsidP="005C46C8"/>
    <w:p w:rsidR="003C540A" w:rsidRDefault="003C540A" w:rsidP="005C46C8"/>
    <w:p w:rsidR="003C540A" w:rsidRDefault="003C540A" w:rsidP="005C46C8">
      <w:r>
        <w:t xml:space="preserve">Comuníquese y ejecútese, </w:t>
      </w:r>
    </w:p>
    <w:p w:rsidR="003C540A" w:rsidRDefault="003C540A" w:rsidP="005C46C8"/>
    <w:p w:rsidR="003C540A" w:rsidRDefault="003C540A" w:rsidP="005C46C8"/>
    <w:p w:rsidR="003C540A" w:rsidRDefault="003C540A" w:rsidP="005C46C8"/>
    <w:p w:rsidR="003C540A" w:rsidRDefault="003C540A" w:rsidP="003C540A">
      <w:pPr>
        <w:ind w:left="4956" w:firstLine="708"/>
        <w:jc w:val="center"/>
      </w:pPr>
      <w:r>
        <w:t>Humberto Sierra Porto</w:t>
      </w:r>
    </w:p>
    <w:p w:rsidR="003C540A" w:rsidRDefault="003C540A" w:rsidP="003C540A">
      <w:pPr>
        <w:ind w:left="4956" w:firstLine="708"/>
        <w:jc w:val="center"/>
      </w:pPr>
      <w:r>
        <w:t>Presidente</w:t>
      </w:r>
    </w:p>
    <w:p w:rsidR="003C540A" w:rsidRDefault="003C540A" w:rsidP="005C46C8"/>
    <w:p w:rsidR="003C540A" w:rsidRDefault="003C540A" w:rsidP="005C46C8"/>
    <w:p w:rsidR="003C540A" w:rsidRDefault="003C540A" w:rsidP="003C540A">
      <w:r>
        <w:t>Pablo Saavedra Alessandri</w:t>
      </w:r>
    </w:p>
    <w:p w:rsidR="003C540A" w:rsidRDefault="003C540A" w:rsidP="003C540A">
      <w:r>
        <w:t xml:space="preserve">         Secretario</w:t>
      </w:r>
    </w:p>
    <w:p w:rsidR="003C540A" w:rsidRDefault="003C540A" w:rsidP="005C46C8"/>
    <w:p w:rsidR="007E3DB6" w:rsidRDefault="007E3DB6" w:rsidP="005C46C8"/>
    <w:p w:rsidR="007E3DB6" w:rsidRDefault="007E3DB6" w:rsidP="005C46C8">
      <w:pPr>
        <w:sectPr w:rsidR="007E3DB6" w:rsidSect="00D7590E">
          <w:headerReference w:type="default" r:id="rId9"/>
          <w:pgSz w:w="12240" w:h="15840"/>
          <w:pgMar w:top="1440" w:right="1440" w:bottom="1440" w:left="1440" w:header="794" w:footer="720" w:gutter="0"/>
          <w:cols w:space="720"/>
          <w:titlePg/>
          <w:docGrid w:linePitch="360"/>
        </w:sectPr>
      </w:pPr>
    </w:p>
    <w:p w:rsidR="007E3DB6" w:rsidRPr="006145EF" w:rsidRDefault="007E3DB6" w:rsidP="007E3DB6">
      <w:pPr>
        <w:tabs>
          <w:tab w:val="left" w:pos="567"/>
          <w:tab w:val="left" w:pos="1134"/>
        </w:tabs>
        <w:ind w:right="29"/>
        <w:jc w:val="center"/>
        <w:rPr>
          <w:b/>
          <w:snapToGrid w:val="0"/>
          <w:szCs w:val="20"/>
        </w:rPr>
      </w:pPr>
      <w:r w:rsidRPr="006145EF">
        <w:rPr>
          <w:b/>
          <w:szCs w:val="20"/>
          <w:lang w:val="es-CR"/>
        </w:rPr>
        <w:lastRenderedPageBreak/>
        <w:t>VOTO PARCIALMENTE DISIDENTE DEL JUEZ HUMBERTO ANTONIO SIERRA PORTO</w:t>
      </w:r>
    </w:p>
    <w:p w:rsidR="007E3DB6" w:rsidRPr="006145EF" w:rsidRDefault="007E3DB6" w:rsidP="007E3DB6">
      <w:pPr>
        <w:tabs>
          <w:tab w:val="left" w:pos="567"/>
          <w:tab w:val="left" w:pos="1134"/>
        </w:tabs>
        <w:ind w:right="29"/>
        <w:jc w:val="center"/>
        <w:rPr>
          <w:b/>
          <w:snapToGrid w:val="0"/>
          <w:szCs w:val="20"/>
        </w:rPr>
      </w:pPr>
    </w:p>
    <w:p w:rsidR="007E3DB6" w:rsidRPr="006145EF" w:rsidRDefault="007E3DB6" w:rsidP="007E3DB6">
      <w:pPr>
        <w:tabs>
          <w:tab w:val="left" w:pos="567"/>
          <w:tab w:val="left" w:pos="1134"/>
        </w:tabs>
        <w:ind w:right="29"/>
        <w:jc w:val="center"/>
        <w:rPr>
          <w:b/>
          <w:snapToGrid w:val="0"/>
          <w:szCs w:val="20"/>
        </w:rPr>
      </w:pPr>
      <w:r w:rsidRPr="006145EF">
        <w:rPr>
          <w:b/>
          <w:snapToGrid w:val="0"/>
          <w:szCs w:val="20"/>
        </w:rPr>
        <w:t>CORTE INTERAMERICANA DE DERECHOS HUMANOS</w:t>
      </w:r>
    </w:p>
    <w:p w:rsidR="007E3DB6" w:rsidRPr="006145EF" w:rsidRDefault="007E3DB6" w:rsidP="007E3DB6">
      <w:pPr>
        <w:tabs>
          <w:tab w:val="left" w:pos="567"/>
          <w:tab w:val="left" w:pos="968"/>
          <w:tab w:val="left" w:pos="1134"/>
        </w:tabs>
        <w:ind w:right="29"/>
        <w:jc w:val="center"/>
        <w:rPr>
          <w:b/>
          <w:snapToGrid w:val="0"/>
          <w:szCs w:val="20"/>
        </w:rPr>
      </w:pPr>
    </w:p>
    <w:p w:rsidR="007E3DB6" w:rsidRPr="006145EF" w:rsidRDefault="007E3DB6" w:rsidP="007E3DB6">
      <w:pPr>
        <w:tabs>
          <w:tab w:val="left" w:pos="567"/>
          <w:tab w:val="left" w:pos="1134"/>
        </w:tabs>
        <w:ind w:right="29"/>
        <w:jc w:val="center"/>
        <w:rPr>
          <w:b/>
          <w:szCs w:val="20"/>
        </w:rPr>
      </w:pPr>
      <w:r w:rsidRPr="006145EF">
        <w:rPr>
          <w:b/>
          <w:szCs w:val="20"/>
        </w:rPr>
        <w:t xml:space="preserve">CASO </w:t>
      </w:r>
      <w:r w:rsidRPr="006145EF">
        <w:rPr>
          <w:b/>
          <w:szCs w:val="20"/>
          <w:lang w:val="es-CO"/>
        </w:rPr>
        <w:t>GALINDO CÁRDENAS Y OTROS VS. PERÚ</w:t>
      </w:r>
    </w:p>
    <w:p w:rsidR="007E3DB6" w:rsidRPr="006145EF" w:rsidRDefault="007E3DB6" w:rsidP="007E3DB6">
      <w:pPr>
        <w:tabs>
          <w:tab w:val="left" w:pos="567"/>
          <w:tab w:val="left" w:pos="1134"/>
        </w:tabs>
        <w:ind w:right="29"/>
        <w:jc w:val="center"/>
        <w:rPr>
          <w:rFonts w:cs="Verdana"/>
          <w:bCs/>
          <w:caps/>
          <w:snapToGrid w:val="0"/>
          <w:szCs w:val="20"/>
        </w:rPr>
      </w:pPr>
    </w:p>
    <w:p w:rsidR="007E3DB6" w:rsidRPr="006145EF" w:rsidRDefault="007E3DB6" w:rsidP="007E3DB6">
      <w:pPr>
        <w:tabs>
          <w:tab w:val="left" w:pos="567"/>
          <w:tab w:val="left" w:pos="1134"/>
          <w:tab w:val="center" w:pos="4680"/>
          <w:tab w:val="left" w:pos="8328"/>
        </w:tabs>
        <w:ind w:right="29"/>
        <w:jc w:val="center"/>
        <w:rPr>
          <w:b/>
          <w:snapToGrid w:val="0"/>
          <w:szCs w:val="20"/>
        </w:rPr>
      </w:pPr>
      <w:r w:rsidRPr="006145EF">
        <w:rPr>
          <w:b/>
          <w:snapToGrid w:val="0"/>
          <w:szCs w:val="20"/>
        </w:rPr>
        <w:t>SENTENCIA DE 2 DE OCTUBRE DE 2015</w:t>
      </w:r>
    </w:p>
    <w:p w:rsidR="007E3DB6" w:rsidRPr="006145EF" w:rsidRDefault="007E3DB6" w:rsidP="007E3DB6">
      <w:pPr>
        <w:jc w:val="center"/>
        <w:rPr>
          <w:b/>
          <w:i/>
          <w:snapToGrid w:val="0"/>
          <w:szCs w:val="20"/>
        </w:rPr>
      </w:pPr>
      <w:r w:rsidRPr="006145EF">
        <w:rPr>
          <w:b/>
          <w:snapToGrid w:val="0"/>
          <w:szCs w:val="20"/>
        </w:rPr>
        <w:t>(</w:t>
      </w:r>
      <w:r w:rsidRPr="006145EF">
        <w:rPr>
          <w:b/>
          <w:i/>
          <w:snapToGrid w:val="0"/>
          <w:szCs w:val="20"/>
        </w:rPr>
        <w:t>Excepciones Preliminares</w:t>
      </w:r>
      <w:r w:rsidRPr="006145EF">
        <w:rPr>
          <w:b/>
          <w:snapToGrid w:val="0"/>
          <w:szCs w:val="20"/>
        </w:rPr>
        <w:t xml:space="preserve">, </w:t>
      </w:r>
      <w:r w:rsidRPr="006145EF">
        <w:rPr>
          <w:b/>
          <w:i/>
          <w:snapToGrid w:val="0"/>
          <w:szCs w:val="20"/>
        </w:rPr>
        <w:t>Fondo, Reparaciones y costas)</w:t>
      </w:r>
    </w:p>
    <w:p w:rsidR="007E3DB6" w:rsidRPr="006145EF" w:rsidRDefault="007E3DB6" w:rsidP="007E3DB6">
      <w:pPr>
        <w:jc w:val="center"/>
        <w:rPr>
          <w:b/>
          <w:i/>
          <w:snapToGrid w:val="0"/>
          <w:szCs w:val="20"/>
        </w:rPr>
      </w:pPr>
    </w:p>
    <w:p w:rsidR="007E3DB6" w:rsidRPr="006145EF" w:rsidRDefault="007E3DB6" w:rsidP="007E3DB6">
      <w:pPr>
        <w:jc w:val="center"/>
        <w:rPr>
          <w:b/>
          <w:i/>
          <w:snapToGrid w:val="0"/>
          <w:szCs w:val="20"/>
        </w:rPr>
      </w:pPr>
    </w:p>
    <w:p w:rsidR="007E3DB6" w:rsidRPr="006145EF" w:rsidRDefault="007E3DB6" w:rsidP="007E3DB6">
      <w:pPr>
        <w:rPr>
          <w:b/>
          <w:i/>
          <w:snapToGrid w:val="0"/>
          <w:szCs w:val="20"/>
        </w:rPr>
      </w:pPr>
    </w:p>
    <w:p w:rsidR="007E3DB6" w:rsidRPr="006145EF" w:rsidRDefault="007E3DB6" w:rsidP="005D3491">
      <w:pPr>
        <w:pStyle w:val="ListParagraph"/>
        <w:numPr>
          <w:ilvl w:val="0"/>
          <w:numId w:val="21"/>
        </w:numPr>
        <w:ind w:left="0" w:firstLine="0"/>
        <w:contextualSpacing/>
        <w:jc w:val="both"/>
        <w:rPr>
          <w:snapToGrid w:val="0"/>
          <w:sz w:val="20"/>
          <w:szCs w:val="20"/>
        </w:rPr>
      </w:pPr>
      <w:r w:rsidRPr="006145EF">
        <w:rPr>
          <w:snapToGrid w:val="0"/>
          <w:sz w:val="20"/>
          <w:szCs w:val="20"/>
        </w:rPr>
        <w:t xml:space="preserve">El motivo del presente voto es expresar los motivos de mi disidencia parcial respecto de lo decidido por la mayoría de los Jueces de la Corte Interamericana de Derechos Humanos (en adelante “la Corte” o “el Tribunal”) en la Sentencia de 2 de octubre de 2015 sobre el caso </w:t>
      </w:r>
      <w:r w:rsidRPr="006145EF">
        <w:rPr>
          <w:i/>
          <w:snapToGrid w:val="0"/>
          <w:sz w:val="20"/>
          <w:szCs w:val="20"/>
        </w:rPr>
        <w:t>Galindo Cárdenas y otros</w:t>
      </w:r>
      <w:r w:rsidRPr="006145EF">
        <w:rPr>
          <w:snapToGrid w:val="0"/>
          <w:sz w:val="20"/>
          <w:szCs w:val="20"/>
        </w:rPr>
        <w:t xml:space="preserve"> </w:t>
      </w:r>
      <w:r w:rsidRPr="006145EF">
        <w:rPr>
          <w:i/>
          <w:snapToGrid w:val="0"/>
          <w:sz w:val="20"/>
          <w:szCs w:val="20"/>
        </w:rPr>
        <w:t xml:space="preserve">vs. Perú. </w:t>
      </w:r>
    </w:p>
    <w:p w:rsidR="007E3DB6" w:rsidRPr="006145EF" w:rsidRDefault="007E3DB6" w:rsidP="007E3DB6">
      <w:pPr>
        <w:pStyle w:val="ListParagraph"/>
        <w:ind w:left="0"/>
        <w:rPr>
          <w:snapToGrid w:val="0"/>
          <w:sz w:val="20"/>
          <w:szCs w:val="20"/>
        </w:rPr>
      </w:pPr>
    </w:p>
    <w:p w:rsidR="007E3DB6" w:rsidRPr="006145EF" w:rsidRDefault="007E3DB6" w:rsidP="005D3491">
      <w:pPr>
        <w:pStyle w:val="ListParagraph"/>
        <w:numPr>
          <w:ilvl w:val="0"/>
          <w:numId w:val="21"/>
        </w:numPr>
        <w:ind w:left="0" w:firstLine="0"/>
        <w:contextualSpacing/>
        <w:jc w:val="both"/>
        <w:rPr>
          <w:snapToGrid w:val="0"/>
          <w:sz w:val="20"/>
          <w:szCs w:val="20"/>
        </w:rPr>
      </w:pPr>
      <w:r w:rsidRPr="006145EF">
        <w:rPr>
          <w:snapToGrid w:val="0"/>
          <w:sz w:val="20"/>
          <w:szCs w:val="20"/>
        </w:rPr>
        <w:t>Mi diferencia respecto de la posición que ha prevalecido se refiere esencialmente a los puntos resolutivos 4 y 5, en los que la Corte determinó que se violaron los derechos a la integridad personal, a las garantías judiciales y a la protección judicial, estos últimos en cuanto a la investigación de los hechos. Asimismo, como consecuencia de mi posición respecto al derecho a la integridad personal, me separo también del punto resolutivo 12 por el que se ordenó brindar tratamiento médico, psicológico y/o psiquiátrico a las personas declaradas víctimas.</w:t>
      </w:r>
    </w:p>
    <w:p w:rsidR="007E3DB6" w:rsidRPr="006145EF" w:rsidRDefault="007E3DB6" w:rsidP="007E3DB6">
      <w:pPr>
        <w:pStyle w:val="ListParagraph"/>
        <w:ind w:left="0"/>
        <w:rPr>
          <w:snapToGrid w:val="0"/>
          <w:sz w:val="20"/>
          <w:szCs w:val="20"/>
        </w:rPr>
      </w:pPr>
    </w:p>
    <w:p w:rsidR="007E3DB6" w:rsidRPr="006145EF" w:rsidRDefault="007E3DB6" w:rsidP="005D3491">
      <w:pPr>
        <w:pStyle w:val="ListParagraph"/>
        <w:numPr>
          <w:ilvl w:val="0"/>
          <w:numId w:val="22"/>
        </w:numPr>
        <w:contextualSpacing/>
        <w:jc w:val="both"/>
        <w:rPr>
          <w:b/>
          <w:snapToGrid w:val="0"/>
          <w:sz w:val="20"/>
          <w:szCs w:val="20"/>
        </w:rPr>
      </w:pPr>
      <w:r w:rsidRPr="006145EF">
        <w:rPr>
          <w:b/>
          <w:snapToGrid w:val="0"/>
          <w:sz w:val="20"/>
          <w:szCs w:val="20"/>
        </w:rPr>
        <w:t xml:space="preserve">Disidencia respecto a la declaración de violación del derecho a la integridad personal y la orden de brindar tratamiento médico, psicológico y/o psiquiátrico (puntos resolutivos 4 y 12)  </w:t>
      </w:r>
    </w:p>
    <w:p w:rsidR="007E3DB6" w:rsidRPr="006145EF" w:rsidRDefault="007E3DB6" w:rsidP="007E3DB6">
      <w:pPr>
        <w:pStyle w:val="ListParagraph"/>
        <w:ind w:left="0"/>
        <w:rPr>
          <w:snapToGrid w:val="0"/>
          <w:sz w:val="20"/>
          <w:szCs w:val="20"/>
        </w:rPr>
      </w:pPr>
    </w:p>
    <w:p w:rsidR="007E3DB6" w:rsidRPr="006145EF" w:rsidRDefault="007E3DB6" w:rsidP="005D3491">
      <w:pPr>
        <w:pStyle w:val="ListParagraph"/>
        <w:numPr>
          <w:ilvl w:val="0"/>
          <w:numId w:val="21"/>
        </w:numPr>
        <w:ind w:left="0" w:hanging="4"/>
        <w:contextualSpacing/>
        <w:jc w:val="both"/>
        <w:rPr>
          <w:snapToGrid w:val="0"/>
          <w:sz w:val="20"/>
          <w:szCs w:val="20"/>
        </w:rPr>
      </w:pPr>
      <w:r w:rsidRPr="006145EF">
        <w:rPr>
          <w:snapToGrid w:val="0"/>
          <w:sz w:val="20"/>
          <w:szCs w:val="20"/>
        </w:rPr>
        <w:t xml:space="preserve">En el cuarto punto resolutivo de la Sentencia, la Corte declaró que “[e]l Estado es responsable por la violación del derecho a la integridad personal reconocido en el artículo 5.1 de la Convención Americana sobre Derechos Humanos, en perjuicio de Luis Antonio Galindo Cárdenas, Irma Díaz de Galindo y Luis </w:t>
      </w:r>
      <w:proofErr w:type="spellStart"/>
      <w:r w:rsidRPr="006145EF">
        <w:rPr>
          <w:snapToGrid w:val="0"/>
          <w:sz w:val="20"/>
          <w:szCs w:val="20"/>
        </w:rPr>
        <w:t>Idelso</w:t>
      </w:r>
      <w:proofErr w:type="spellEnd"/>
      <w:r w:rsidRPr="006145EF">
        <w:rPr>
          <w:snapToGrid w:val="0"/>
          <w:sz w:val="20"/>
          <w:szCs w:val="20"/>
        </w:rPr>
        <w:t xml:space="preserve"> Galindo Díaz, en los términos de los párrafos 239 a 251 de la presente Sentencia”. Además, como surge del párrafo 300 de la Sentencia, “[h]</w:t>
      </w:r>
      <w:proofErr w:type="spellStart"/>
      <w:r w:rsidRPr="006145EF">
        <w:rPr>
          <w:rFonts w:eastAsia="Verdana" w:cs="Verdana"/>
          <w:sz w:val="20"/>
          <w:szCs w:val="20"/>
        </w:rPr>
        <w:t>a</w:t>
      </w:r>
      <w:r w:rsidRPr="006145EF">
        <w:rPr>
          <w:rFonts w:eastAsia="Verdana" w:cs="Verdana"/>
          <w:spacing w:val="1"/>
          <w:sz w:val="20"/>
          <w:szCs w:val="20"/>
        </w:rPr>
        <w:t>b</w:t>
      </w:r>
      <w:r w:rsidRPr="006145EF">
        <w:rPr>
          <w:rFonts w:eastAsia="Verdana" w:cs="Verdana"/>
          <w:spacing w:val="3"/>
          <w:sz w:val="20"/>
          <w:szCs w:val="20"/>
        </w:rPr>
        <w:t>i</w:t>
      </w:r>
      <w:r w:rsidRPr="006145EF">
        <w:rPr>
          <w:rFonts w:eastAsia="Verdana" w:cs="Verdana"/>
          <w:spacing w:val="-1"/>
          <w:sz w:val="20"/>
          <w:szCs w:val="20"/>
        </w:rPr>
        <w:t>e</w:t>
      </w:r>
      <w:r w:rsidRPr="006145EF">
        <w:rPr>
          <w:rFonts w:eastAsia="Verdana" w:cs="Verdana"/>
          <w:spacing w:val="1"/>
          <w:sz w:val="20"/>
          <w:szCs w:val="20"/>
        </w:rPr>
        <w:t>nd</w:t>
      </w:r>
      <w:r w:rsidRPr="006145EF">
        <w:rPr>
          <w:rFonts w:eastAsia="Verdana" w:cs="Verdana"/>
          <w:sz w:val="20"/>
          <w:szCs w:val="20"/>
        </w:rPr>
        <w:t>o</w:t>
      </w:r>
      <w:proofErr w:type="spellEnd"/>
      <w:r w:rsidRPr="006145EF">
        <w:rPr>
          <w:rFonts w:eastAsia="Verdana" w:cs="Verdana"/>
          <w:spacing w:val="42"/>
          <w:sz w:val="20"/>
          <w:szCs w:val="20"/>
        </w:rPr>
        <w:t xml:space="preserve"> </w:t>
      </w:r>
      <w:r w:rsidRPr="006145EF">
        <w:rPr>
          <w:rFonts w:eastAsia="Verdana" w:cs="Verdana"/>
          <w:sz w:val="20"/>
          <w:szCs w:val="20"/>
        </w:rPr>
        <w:t>c</w:t>
      </w:r>
      <w:r w:rsidRPr="006145EF">
        <w:rPr>
          <w:rFonts w:eastAsia="Verdana" w:cs="Verdana"/>
          <w:spacing w:val="-2"/>
          <w:sz w:val="20"/>
          <w:szCs w:val="20"/>
        </w:rPr>
        <w:t>o</w:t>
      </w:r>
      <w:r w:rsidRPr="006145EF">
        <w:rPr>
          <w:rFonts w:eastAsia="Verdana" w:cs="Verdana"/>
          <w:spacing w:val="1"/>
          <w:sz w:val="20"/>
          <w:szCs w:val="20"/>
        </w:rPr>
        <w:t>n</w:t>
      </w:r>
      <w:r w:rsidRPr="006145EF">
        <w:rPr>
          <w:rFonts w:eastAsia="Verdana" w:cs="Verdana"/>
          <w:sz w:val="20"/>
          <w:szCs w:val="20"/>
        </w:rPr>
        <w:t>sta</w:t>
      </w:r>
      <w:r w:rsidRPr="006145EF">
        <w:rPr>
          <w:rFonts w:eastAsia="Verdana" w:cs="Verdana"/>
          <w:spacing w:val="1"/>
          <w:sz w:val="20"/>
          <w:szCs w:val="20"/>
        </w:rPr>
        <w:t>t</w:t>
      </w:r>
      <w:r w:rsidRPr="006145EF">
        <w:rPr>
          <w:rFonts w:eastAsia="Verdana" w:cs="Verdana"/>
          <w:sz w:val="20"/>
          <w:szCs w:val="20"/>
        </w:rPr>
        <w:t>a</w:t>
      </w:r>
      <w:r w:rsidRPr="006145EF">
        <w:rPr>
          <w:rFonts w:eastAsia="Verdana" w:cs="Verdana"/>
          <w:spacing w:val="3"/>
          <w:sz w:val="20"/>
          <w:szCs w:val="20"/>
        </w:rPr>
        <w:t>d</w:t>
      </w:r>
      <w:r w:rsidRPr="006145EF">
        <w:rPr>
          <w:rFonts w:eastAsia="Verdana" w:cs="Verdana"/>
          <w:sz w:val="20"/>
          <w:szCs w:val="20"/>
        </w:rPr>
        <w:t>o</w:t>
      </w:r>
      <w:r w:rsidRPr="006145EF">
        <w:rPr>
          <w:rFonts w:eastAsia="Verdana" w:cs="Verdana"/>
          <w:spacing w:val="39"/>
          <w:sz w:val="20"/>
          <w:szCs w:val="20"/>
        </w:rPr>
        <w:t xml:space="preserve"> </w:t>
      </w:r>
      <w:r w:rsidRPr="006145EF">
        <w:rPr>
          <w:rFonts w:eastAsia="Verdana" w:cs="Verdana"/>
          <w:sz w:val="20"/>
          <w:szCs w:val="20"/>
        </w:rPr>
        <w:t>la</w:t>
      </w:r>
      <w:r w:rsidRPr="006145EF">
        <w:rPr>
          <w:rFonts w:eastAsia="Verdana" w:cs="Verdana"/>
          <w:spacing w:val="51"/>
          <w:sz w:val="20"/>
          <w:szCs w:val="20"/>
        </w:rPr>
        <w:t xml:space="preserve"> </w:t>
      </w:r>
      <w:r w:rsidRPr="006145EF">
        <w:rPr>
          <w:rFonts w:eastAsia="Verdana" w:cs="Verdana"/>
          <w:sz w:val="20"/>
          <w:szCs w:val="20"/>
        </w:rPr>
        <w:t>af</w:t>
      </w:r>
      <w:r w:rsidRPr="006145EF">
        <w:rPr>
          <w:rFonts w:eastAsia="Verdana" w:cs="Verdana"/>
          <w:spacing w:val="-1"/>
          <w:sz w:val="20"/>
          <w:szCs w:val="20"/>
        </w:rPr>
        <w:t>e</w:t>
      </w:r>
      <w:r w:rsidRPr="006145EF">
        <w:rPr>
          <w:rFonts w:eastAsia="Verdana" w:cs="Verdana"/>
          <w:sz w:val="20"/>
          <w:szCs w:val="20"/>
        </w:rPr>
        <w:t>ct</w:t>
      </w:r>
      <w:r w:rsidRPr="006145EF">
        <w:rPr>
          <w:rFonts w:eastAsia="Verdana" w:cs="Verdana"/>
          <w:spacing w:val="3"/>
          <w:sz w:val="20"/>
          <w:szCs w:val="20"/>
        </w:rPr>
        <w:t>a</w:t>
      </w:r>
      <w:r w:rsidRPr="006145EF">
        <w:rPr>
          <w:rFonts w:eastAsia="Verdana" w:cs="Verdana"/>
          <w:sz w:val="20"/>
          <w:szCs w:val="20"/>
        </w:rPr>
        <w:t>c</w:t>
      </w:r>
      <w:r w:rsidRPr="006145EF">
        <w:rPr>
          <w:rFonts w:eastAsia="Verdana" w:cs="Verdana"/>
          <w:spacing w:val="2"/>
          <w:sz w:val="20"/>
          <w:szCs w:val="20"/>
        </w:rPr>
        <w:t>i</w:t>
      </w:r>
      <w:r w:rsidRPr="006145EF">
        <w:rPr>
          <w:rFonts w:eastAsia="Verdana" w:cs="Verdana"/>
          <w:spacing w:val="-1"/>
          <w:sz w:val="20"/>
          <w:szCs w:val="20"/>
        </w:rPr>
        <w:t>ó</w:t>
      </w:r>
      <w:r w:rsidRPr="006145EF">
        <w:rPr>
          <w:rFonts w:eastAsia="Verdana" w:cs="Verdana"/>
          <w:sz w:val="20"/>
          <w:szCs w:val="20"/>
        </w:rPr>
        <w:t>n</w:t>
      </w:r>
      <w:r w:rsidRPr="006145EF">
        <w:rPr>
          <w:rFonts w:eastAsia="Verdana" w:cs="Verdana"/>
          <w:spacing w:val="42"/>
          <w:sz w:val="20"/>
          <w:szCs w:val="20"/>
        </w:rPr>
        <w:t xml:space="preserve"> </w:t>
      </w:r>
      <w:r w:rsidRPr="006145EF">
        <w:rPr>
          <w:rFonts w:eastAsia="Verdana" w:cs="Verdana"/>
          <w:sz w:val="20"/>
          <w:szCs w:val="20"/>
        </w:rPr>
        <w:t>a</w:t>
      </w:r>
      <w:r w:rsidRPr="006145EF">
        <w:rPr>
          <w:rFonts w:eastAsia="Verdana" w:cs="Verdana"/>
          <w:spacing w:val="48"/>
          <w:sz w:val="20"/>
          <w:szCs w:val="20"/>
        </w:rPr>
        <w:t xml:space="preserve"> </w:t>
      </w:r>
      <w:r w:rsidRPr="006145EF">
        <w:rPr>
          <w:rFonts w:eastAsia="Verdana" w:cs="Verdana"/>
          <w:spacing w:val="3"/>
          <w:sz w:val="20"/>
          <w:szCs w:val="20"/>
        </w:rPr>
        <w:t>l</w:t>
      </w:r>
      <w:r w:rsidRPr="006145EF">
        <w:rPr>
          <w:rFonts w:eastAsia="Verdana" w:cs="Verdana"/>
          <w:sz w:val="20"/>
          <w:szCs w:val="20"/>
        </w:rPr>
        <w:t>a</w:t>
      </w:r>
      <w:r w:rsidRPr="006145EF">
        <w:rPr>
          <w:rFonts w:eastAsia="Verdana" w:cs="Verdana"/>
          <w:spacing w:val="48"/>
          <w:sz w:val="20"/>
          <w:szCs w:val="20"/>
        </w:rPr>
        <w:t xml:space="preserve"> </w:t>
      </w:r>
      <w:r w:rsidRPr="006145EF">
        <w:rPr>
          <w:rFonts w:eastAsia="Verdana" w:cs="Verdana"/>
          <w:spacing w:val="3"/>
          <w:sz w:val="20"/>
          <w:szCs w:val="20"/>
        </w:rPr>
        <w:t>i</w:t>
      </w:r>
      <w:r w:rsidRPr="006145EF">
        <w:rPr>
          <w:rFonts w:eastAsia="Verdana" w:cs="Verdana"/>
          <w:spacing w:val="1"/>
          <w:sz w:val="20"/>
          <w:szCs w:val="20"/>
        </w:rPr>
        <w:t>nt</w:t>
      </w:r>
      <w:r w:rsidRPr="006145EF">
        <w:rPr>
          <w:rFonts w:eastAsia="Verdana" w:cs="Verdana"/>
          <w:spacing w:val="-1"/>
          <w:sz w:val="20"/>
          <w:szCs w:val="20"/>
        </w:rPr>
        <w:t>e</w:t>
      </w:r>
      <w:r w:rsidRPr="006145EF">
        <w:rPr>
          <w:rFonts w:eastAsia="Verdana" w:cs="Verdana"/>
          <w:spacing w:val="-2"/>
          <w:sz w:val="20"/>
          <w:szCs w:val="20"/>
        </w:rPr>
        <w:t>g</w:t>
      </w:r>
      <w:r w:rsidRPr="006145EF">
        <w:rPr>
          <w:rFonts w:eastAsia="Verdana" w:cs="Verdana"/>
          <w:spacing w:val="-1"/>
          <w:sz w:val="20"/>
          <w:szCs w:val="20"/>
        </w:rPr>
        <w:t>r</w:t>
      </w:r>
      <w:r w:rsidRPr="006145EF">
        <w:rPr>
          <w:rFonts w:eastAsia="Verdana" w:cs="Verdana"/>
          <w:spacing w:val="3"/>
          <w:sz w:val="20"/>
          <w:szCs w:val="20"/>
        </w:rPr>
        <w:t>i</w:t>
      </w:r>
      <w:r w:rsidRPr="006145EF">
        <w:rPr>
          <w:rFonts w:eastAsia="Verdana" w:cs="Verdana"/>
          <w:spacing w:val="1"/>
          <w:sz w:val="20"/>
          <w:szCs w:val="20"/>
        </w:rPr>
        <w:t>d</w:t>
      </w:r>
      <w:r w:rsidRPr="006145EF">
        <w:rPr>
          <w:rFonts w:eastAsia="Verdana" w:cs="Verdana"/>
          <w:sz w:val="20"/>
          <w:szCs w:val="20"/>
        </w:rPr>
        <w:t>ad</w:t>
      </w:r>
      <w:r w:rsidRPr="006145EF">
        <w:rPr>
          <w:rFonts w:eastAsia="Verdana" w:cs="Verdana"/>
          <w:spacing w:val="42"/>
          <w:sz w:val="20"/>
          <w:szCs w:val="20"/>
        </w:rPr>
        <w:t xml:space="preserve"> </w:t>
      </w:r>
      <w:r w:rsidRPr="006145EF">
        <w:rPr>
          <w:rFonts w:eastAsia="Verdana" w:cs="Verdana"/>
          <w:spacing w:val="1"/>
          <w:sz w:val="20"/>
          <w:szCs w:val="20"/>
        </w:rPr>
        <w:t>p</w:t>
      </w:r>
      <w:r w:rsidRPr="006145EF">
        <w:rPr>
          <w:rFonts w:eastAsia="Verdana" w:cs="Verdana"/>
          <w:spacing w:val="-1"/>
          <w:sz w:val="20"/>
          <w:szCs w:val="20"/>
        </w:rPr>
        <w:t>er</w:t>
      </w:r>
      <w:r w:rsidRPr="006145EF">
        <w:rPr>
          <w:rFonts w:eastAsia="Verdana" w:cs="Verdana"/>
          <w:sz w:val="20"/>
          <w:szCs w:val="20"/>
        </w:rPr>
        <w:t>s</w:t>
      </w:r>
      <w:r w:rsidRPr="006145EF">
        <w:rPr>
          <w:rFonts w:eastAsia="Verdana" w:cs="Verdana"/>
          <w:spacing w:val="-2"/>
          <w:sz w:val="20"/>
          <w:szCs w:val="20"/>
        </w:rPr>
        <w:t>o</w:t>
      </w:r>
      <w:r w:rsidRPr="006145EF">
        <w:rPr>
          <w:rFonts w:eastAsia="Verdana" w:cs="Verdana"/>
          <w:spacing w:val="1"/>
          <w:sz w:val="20"/>
          <w:szCs w:val="20"/>
        </w:rPr>
        <w:t>n</w:t>
      </w:r>
      <w:r w:rsidRPr="006145EF">
        <w:rPr>
          <w:rFonts w:eastAsia="Verdana" w:cs="Verdana"/>
          <w:sz w:val="20"/>
          <w:szCs w:val="20"/>
        </w:rPr>
        <w:t>al”, el Tribunal</w:t>
      </w:r>
      <w:r w:rsidRPr="006145EF">
        <w:rPr>
          <w:snapToGrid w:val="0"/>
          <w:sz w:val="20"/>
          <w:szCs w:val="20"/>
        </w:rPr>
        <w:t xml:space="preserve"> ordenó a Perú “brindar gratuitamente a través de sus instituciones de salud tratamiento psicológico y/o psiquiátrico a favor de Luis Antonio Galindo Cárdenas, Irma Díaz de Galindo y Luis </w:t>
      </w:r>
      <w:proofErr w:type="spellStart"/>
      <w:r w:rsidRPr="006145EF">
        <w:rPr>
          <w:snapToGrid w:val="0"/>
          <w:sz w:val="20"/>
          <w:szCs w:val="20"/>
        </w:rPr>
        <w:t>Idelso</w:t>
      </w:r>
      <w:proofErr w:type="spellEnd"/>
      <w:r w:rsidRPr="006145EF">
        <w:rPr>
          <w:snapToGrid w:val="0"/>
          <w:sz w:val="20"/>
          <w:szCs w:val="20"/>
        </w:rPr>
        <w:t xml:space="preserve"> Galindo Díaz si así lo solicitan, en los términos del párrafo [indicado]”. Este mandato se expresó en el duodécimo punto resolutivo. </w:t>
      </w:r>
    </w:p>
    <w:p w:rsidR="007E3DB6" w:rsidRPr="006145EF" w:rsidRDefault="007E3DB6" w:rsidP="007E3DB6">
      <w:pPr>
        <w:pStyle w:val="ListParagraph"/>
        <w:ind w:left="0"/>
        <w:rPr>
          <w:snapToGrid w:val="0"/>
          <w:sz w:val="20"/>
          <w:szCs w:val="20"/>
        </w:rPr>
      </w:pPr>
    </w:p>
    <w:p w:rsidR="007E3DB6" w:rsidRPr="006145EF" w:rsidRDefault="007E3DB6" w:rsidP="005D3491">
      <w:pPr>
        <w:pStyle w:val="ListParagraph"/>
        <w:numPr>
          <w:ilvl w:val="0"/>
          <w:numId w:val="21"/>
        </w:numPr>
        <w:ind w:left="0" w:hanging="4"/>
        <w:contextualSpacing/>
        <w:jc w:val="both"/>
        <w:rPr>
          <w:sz w:val="20"/>
          <w:szCs w:val="20"/>
        </w:rPr>
      </w:pPr>
      <w:r w:rsidRPr="006145EF">
        <w:rPr>
          <w:snapToGrid w:val="0"/>
          <w:sz w:val="20"/>
          <w:szCs w:val="20"/>
        </w:rPr>
        <w:t xml:space="preserve">La Corte </w:t>
      </w:r>
      <w:r w:rsidRPr="006145EF">
        <w:rPr>
          <w:sz w:val="20"/>
          <w:szCs w:val="20"/>
        </w:rPr>
        <w:t xml:space="preserve">expresó los motivos puntuales que la llevaron a concluir la violación a la integridad personal en perjuicio del señor Galindo en los párrafos 244 a 247 de la Sentencia. Esencialmente, consideró: a) sobre la base de los dichos de la víctima, que el señor Galindo sufrió “amedrentamiento, presiones y ‘ablandamiento’” durante su privación de libertad, así como que escuchaba “gritos y disparos”, y que </w:t>
      </w:r>
      <w:r w:rsidRPr="006145EF">
        <w:rPr>
          <w:sz w:val="20"/>
          <w:szCs w:val="20"/>
          <w:lang w:val="es-CR"/>
        </w:rPr>
        <w:t xml:space="preserve">“ingres[aba] a [su] celda una ‘terrorista arrepentida encapuchada’ para que lo sindicara como ‘abogado democrático’”, y </w:t>
      </w:r>
      <w:r w:rsidRPr="006145EF">
        <w:rPr>
          <w:sz w:val="20"/>
          <w:szCs w:val="20"/>
        </w:rPr>
        <w:t>que fue sometido a “presiones, abusos y torturas de carácter psicológico” y b) la “</w:t>
      </w:r>
      <w:r w:rsidRPr="006145EF">
        <w:rPr>
          <w:sz w:val="20"/>
          <w:szCs w:val="20"/>
          <w:lang w:val="es-CR"/>
        </w:rPr>
        <w:t>incertidumbre” que según infirió la Corte tuvo el señor Galindo “sobre la duración que tendría su privación de libertad y lo que podría sucederle”</w:t>
      </w:r>
      <w:r w:rsidRPr="006145EF">
        <w:rPr>
          <w:sz w:val="20"/>
          <w:szCs w:val="20"/>
        </w:rPr>
        <w:t>.</w:t>
      </w:r>
    </w:p>
    <w:p w:rsidR="007E3DB6" w:rsidRPr="006145EF" w:rsidRDefault="007E3DB6" w:rsidP="007E3DB6">
      <w:pPr>
        <w:pStyle w:val="ListParagraph"/>
        <w:ind w:left="0"/>
        <w:rPr>
          <w:snapToGrid w:val="0"/>
          <w:sz w:val="20"/>
          <w:szCs w:val="20"/>
        </w:rPr>
      </w:pPr>
    </w:p>
    <w:p w:rsidR="007E3DB6" w:rsidRPr="006145EF" w:rsidRDefault="007E3DB6" w:rsidP="005D3491">
      <w:pPr>
        <w:pStyle w:val="ListParagraph"/>
        <w:numPr>
          <w:ilvl w:val="0"/>
          <w:numId w:val="21"/>
        </w:numPr>
        <w:ind w:left="0" w:hanging="4"/>
        <w:contextualSpacing/>
        <w:jc w:val="both"/>
        <w:rPr>
          <w:snapToGrid w:val="0"/>
          <w:sz w:val="20"/>
          <w:szCs w:val="20"/>
        </w:rPr>
      </w:pPr>
      <w:r w:rsidRPr="006145EF">
        <w:rPr>
          <w:sz w:val="20"/>
          <w:szCs w:val="20"/>
        </w:rPr>
        <w:t xml:space="preserve">En relación con los hechos aludidos por el señor Galindo (indicados en el punto a) del párrafo anterior), como pautas a considerar respecto de su acreditación y su apreciación, la Corte consideró que los mismos “debido a su naturaleza, se caracterizan </w:t>
      </w:r>
      <w:r w:rsidRPr="006145EF">
        <w:rPr>
          <w:sz w:val="20"/>
          <w:szCs w:val="20"/>
        </w:rPr>
        <w:lastRenderedPageBreak/>
        <w:t>por una limitación en los medios de prueba”, y “deben apreciarse en el marco de la presión y temor que supone una privación ilegal y arbitraria de la libertad dentro de la lucha contra el terrorismo, en el contexto […de] la época”, “cobra[</w:t>
      </w:r>
      <w:proofErr w:type="spellStart"/>
      <w:r w:rsidRPr="006145EF">
        <w:rPr>
          <w:sz w:val="20"/>
          <w:szCs w:val="20"/>
        </w:rPr>
        <w:t>ndo</w:t>
      </w:r>
      <w:proofErr w:type="spellEnd"/>
      <w:r w:rsidRPr="006145EF">
        <w:rPr>
          <w:sz w:val="20"/>
          <w:szCs w:val="20"/>
        </w:rPr>
        <w:t>] relevancia” que el Presidente Fujimori hiciera declaraciones públicas de las que se infería que el señor Galindo era terrorista.</w:t>
      </w:r>
    </w:p>
    <w:p w:rsidR="007E3DB6" w:rsidRPr="006145EF" w:rsidRDefault="007E3DB6" w:rsidP="007E3DB6">
      <w:pPr>
        <w:pStyle w:val="ListParagraph"/>
        <w:rPr>
          <w:snapToGrid w:val="0"/>
          <w:sz w:val="20"/>
          <w:szCs w:val="20"/>
        </w:rPr>
      </w:pPr>
    </w:p>
    <w:p w:rsidR="007E3DB6" w:rsidRPr="006145EF" w:rsidRDefault="007E3DB6" w:rsidP="005D3491">
      <w:pPr>
        <w:pStyle w:val="ListParagraph"/>
        <w:numPr>
          <w:ilvl w:val="0"/>
          <w:numId w:val="21"/>
        </w:numPr>
        <w:ind w:left="0" w:hanging="4"/>
        <w:contextualSpacing/>
        <w:jc w:val="both"/>
        <w:rPr>
          <w:snapToGrid w:val="0"/>
          <w:sz w:val="20"/>
          <w:szCs w:val="20"/>
        </w:rPr>
      </w:pPr>
      <w:r w:rsidRPr="006145EF">
        <w:rPr>
          <w:snapToGrid w:val="0"/>
          <w:sz w:val="20"/>
          <w:szCs w:val="20"/>
        </w:rPr>
        <w:t>En otras palabras, si bien la Corte aludió al contexto de la época en la que se produjo la privación de la libertad y a las declaraciones del Presidente Fujimori, lo hizo solo a fin de “apreciar” los señalamientos del señor Galindo de que, según él afirmó, en el curso de su privación de libertad escuchaba en algunos momentos “gritos y disparos”, que ingresaba a su celda una “terrorista arrepentida encapuchada” y que sufrió “amedrentamiento, presiones y ‘ablandamiento’”. Estas circunstancias, así como la antes mencionada “incertidumbre” que habría tenido el señor Galindo en relación con su privación de libertad fueron, entonces, las determinantes de la decisión del Tribunal.</w:t>
      </w:r>
    </w:p>
    <w:p w:rsidR="007E3DB6" w:rsidRPr="006145EF" w:rsidRDefault="007E3DB6" w:rsidP="007E3DB6">
      <w:pPr>
        <w:pStyle w:val="ListParagraph"/>
        <w:ind w:left="0"/>
        <w:rPr>
          <w:snapToGrid w:val="0"/>
          <w:sz w:val="20"/>
          <w:szCs w:val="20"/>
        </w:rPr>
      </w:pPr>
    </w:p>
    <w:p w:rsidR="007E3DB6" w:rsidRPr="006145EF" w:rsidRDefault="007E3DB6" w:rsidP="005D3491">
      <w:pPr>
        <w:pStyle w:val="ListParagraph"/>
        <w:numPr>
          <w:ilvl w:val="0"/>
          <w:numId w:val="21"/>
        </w:numPr>
        <w:ind w:left="0" w:hanging="4"/>
        <w:contextualSpacing/>
        <w:jc w:val="both"/>
        <w:rPr>
          <w:snapToGrid w:val="0"/>
          <w:sz w:val="20"/>
          <w:szCs w:val="20"/>
        </w:rPr>
      </w:pPr>
      <w:r w:rsidRPr="006145EF">
        <w:rPr>
          <w:snapToGrid w:val="0"/>
          <w:sz w:val="20"/>
          <w:szCs w:val="20"/>
        </w:rPr>
        <w:t xml:space="preserve">En cuanto a las circunstancias indicadas y su prueba, cabe recordar que si bien la </w:t>
      </w:r>
      <w:r w:rsidRPr="006145EF">
        <w:rPr>
          <w:rFonts w:eastAsia="Batang"/>
          <w:spacing w:val="-2"/>
          <w:sz w:val="20"/>
          <w:szCs w:val="20"/>
        </w:rPr>
        <w:t xml:space="preserve">Corte “ha señalado que </w:t>
      </w:r>
      <w:r w:rsidRPr="006145EF">
        <w:rPr>
          <w:rFonts w:eastAsia="Batang"/>
          <w:iCs/>
          <w:spacing w:val="-2"/>
          <w:sz w:val="20"/>
          <w:szCs w:val="20"/>
        </w:rPr>
        <w:t xml:space="preserve">para un tribunal internacional los criterios de valoración de la prueba son menos rígidos que en los sistemas legales internos y </w:t>
      </w:r>
      <w:r w:rsidRPr="006145EF">
        <w:rPr>
          <w:rFonts w:eastAsia="Batang"/>
          <w:spacing w:val="-2"/>
          <w:sz w:val="20"/>
          <w:szCs w:val="20"/>
        </w:rPr>
        <w:t>ha sostenido que puede evaluar libremente las pruebas”</w:t>
      </w:r>
      <w:r w:rsidRPr="006145EF">
        <w:rPr>
          <w:rFonts w:eastAsia="Batang"/>
          <w:spacing w:val="-2"/>
          <w:sz w:val="20"/>
          <w:szCs w:val="20"/>
          <w:vertAlign w:val="superscript"/>
        </w:rPr>
        <w:footnoteReference w:id="255"/>
      </w:r>
      <w:r w:rsidRPr="006145EF">
        <w:rPr>
          <w:rFonts w:eastAsia="Batang"/>
          <w:spacing w:val="-2"/>
          <w:sz w:val="20"/>
          <w:szCs w:val="20"/>
        </w:rPr>
        <w:t>, también ha expresado que este Tribunal “debe aplicar una valoración de la prueba que tenga en cuenta la gravedad de la atribución de responsabilidad internacional a un Estado y que, sin perjuicio de ello, sea capaz de crear la convicción de la verdad de los hechos alegados</w:t>
      </w:r>
      <w:r w:rsidRPr="006145EF">
        <w:rPr>
          <w:rFonts w:eastAsia="Batang"/>
          <w:spacing w:val="-2"/>
          <w:sz w:val="20"/>
          <w:szCs w:val="20"/>
          <w:vertAlign w:val="superscript"/>
        </w:rPr>
        <w:footnoteReference w:id="256"/>
      </w:r>
      <w:r w:rsidRPr="006145EF">
        <w:rPr>
          <w:rFonts w:eastAsia="Batang"/>
          <w:spacing w:val="-2"/>
          <w:sz w:val="20"/>
          <w:szCs w:val="20"/>
        </w:rPr>
        <w:t xml:space="preserve">. Quien suscribe considera, por los motivos que se exponen seguidamente, que aun en el marco de una evaluación libre y flexible de la prueba, las consideraciones esbozadas en la Sentencia por la Corte no son suficientes para generar la convicción requerida para atribuir responsabilidad al Estado respecto de menoscabos a la integridad personal en el presente caso. </w:t>
      </w:r>
    </w:p>
    <w:p w:rsidR="007E3DB6" w:rsidRPr="006145EF" w:rsidRDefault="007E3DB6" w:rsidP="007E3DB6">
      <w:pPr>
        <w:pStyle w:val="ListParagraph"/>
        <w:rPr>
          <w:snapToGrid w:val="0"/>
          <w:sz w:val="20"/>
          <w:szCs w:val="20"/>
        </w:rPr>
      </w:pPr>
    </w:p>
    <w:p w:rsidR="007E3DB6" w:rsidRPr="006145EF" w:rsidRDefault="007E3DB6" w:rsidP="005D3491">
      <w:pPr>
        <w:pStyle w:val="ListParagraph"/>
        <w:numPr>
          <w:ilvl w:val="0"/>
          <w:numId w:val="21"/>
        </w:numPr>
        <w:ind w:left="0" w:hanging="4"/>
        <w:contextualSpacing/>
        <w:jc w:val="both"/>
        <w:rPr>
          <w:snapToGrid w:val="0"/>
          <w:sz w:val="20"/>
          <w:szCs w:val="20"/>
        </w:rPr>
      </w:pPr>
      <w:r w:rsidRPr="006145EF">
        <w:rPr>
          <w:snapToGrid w:val="0"/>
          <w:sz w:val="20"/>
          <w:szCs w:val="20"/>
        </w:rPr>
        <w:t xml:space="preserve">En primer lugar, aun cuando pudiera concluirse que puede darse por acreditado el sentimiento de “incertidumbre” que habría tenido el señor Galindo, que es una inferencia del Tribunal, de ello no se desprende que él, por ese solo motivo, haya padecido un sufrimiento intenso, al grado de afectar su integridad personal. En ese sentido, tal estado de “incertidumbre” y sus efectos deben apreciarse a la luz de circunstancias del caso. El señor Galindo estuvo sometido a un procedimiento incoado en virtud de la Ley de Arrepentimiento; es decir, normado legalmente. Además, su privación de libertad no se desarrolló de modo tal que implicara un estado de incertidumbre sobre lo le estaba ocurriendo: cómo surge del párrafo 127 de la Sentencia, el señor Galindo recibió visitas cotidianas de sus familiares, y también fue visitado por el </w:t>
      </w:r>
      <w:r w:rsidRPr="006145EF">
        <w:rPr>
          <w:sz w:val="20"/>
          <w:szCs w:val="20"/>
          <w:lang w:val="es-CR"/>
        </w:rPr>
        <w:t>Fiscal de la Nación y el Fiscal Provincial de la Primera Fiscalía Provincial de Huánuco, así como por delegados del Comité Internacional de la Cruz Roja</w:t>
      </w:r>
      <w:r w:rsidRPr="006145EF">
        <w:rPr>
          <w:snapToGrid w:val="0"/>
          <w:sz w:val="20"/>
          <w:szCs w:val="20"/>
        </w:rPr>
        <w:t xml:space="preserve">. Por otra parte, en el párrafo 128 consta que el señor Galindo estando privado de su libertad pudo enviar una misiva, es decir, comunicarse con personas que se encontraban en el exterior del recinto en el que él se encontraba alojado. En estas condiciones, no parece razonable concluir que la “incertidumbre” que pudo tener el señor Galindo pueda tenerse como una situación que conllevó un menoscabo a su integridad personal. </w:t>
      </w:r>
    </w:p>
    <w:p w:rsidR="007E3DB6" w:rsidRPr="006145EF" w:rsidRDefault="007E3DB6" w:rsidP="007E3DB6">
      <w:pPr>
        <w:pStyle w:val="ListParagraph"/>
        <w:ind w:left="0"/>
        <w:rPr>
          <w:snapToGrid w:val="0"/>
          <w:sz w:val="20"/>
          <w:szCs w:val="20"/>
        </w:rPr>
      </w:pPr>
    </w:p>
    <w:p w:rsidR="007E3DB6" w:rsidRPr="006145EF" w:rsidRDefault="007E3DB6" w:rsidP="005D3491">
      <w:pPr>
        <w:pStyle w:val="ListParagraph"/>
        <w:numPr>
          <w:ilvl w:val="0"/>
          <w:numId w:val="21"/>
        </w:numPr>
        <w:ind w:left="0" w:hanging="4"/>
        <w:contextualSpacing/>
        <w:jc w:val="both"/>
        <w:rPr>
          <w:snapToGrid w:val="0"/>
          <w:sz w:val="20"/>
          <w:szCs w:val="20"/>
        </w:rPr>
      </w:pPr>
      <w:r w:rsidRPr="006145EF">
        <w:rPr>
          <w:snapToGrid w:val="0"/>
          <w:sz w:val="20"/>
          <w:szCs w:val="20"/>
        </w:rPr>
        <w:t xml:space="preserve">Sobre los otros factores considerados como causa de la violación a la integridad personal del señor Galindo, debe señalarse que los mismos surgen de declaraciones de la propia víctima, adolecen de vaguedad e incluso resultan contradictorios con otras declaraciones del señor Galindo. </w:t>
      </w:r>
    </w:p>
    <w:p w:rsidR="007E3DB6" w:rsidRPr="006145EF" w:rsidRDefault="007E3DB6" w:rsidP="007E3DB6">
      <w:pPr>
        <w:pStyle w:val="ListParagraph"/>
        <w:rPr>
          <w:snapToGrid w:val="0"/>
          <w:sz w:val="20"/>
          <w:szCs w:val="20"/>
        </w:rPr>
      </w:pPr>
    </w:p>
    <w:p w:rsidR="007E3DB6" w:rsidRPr="006145EF" w:rsidRDefault="007E3DB6" w:rsidP="005D3491">
      <w:pPr>
        <w:pStyle w:val="ListParagraph"/>
        <w:numPr>
          <w:ilvl w:val="0"/>
          <w:numId w:val="21"/>
        </w:numPr>
        <w:ind w:left="0" w:hanging="4"/>
        <w:contextualSpacing/>
        <w:jc w:val="both"/>
        <w:rPr>
          <w:snapToGrid w:val="0"/>
          <w:sz w:val="20"/>
          <w:szCs w:val="20"/>
        </w:rPr>
      </w:pPr>
      <w:r w:rsidRPr="006145EF">
        <w:rPr>
          <w:snapToGrid w:val="0"/>
          <w:sz w:val="20"/>
          <w:szCs w:val="20"/>
        </w:rPr>
        <w:t>En cuanto a lo primero, en el párrafo 92 de la Sentencia, la Corte remitió a su “</w:t>
      </w:r>
      <w:r w:rsidRPr="006145EF">
        <w:rPr>
          <w:rFonts w:eastAsia="Batang" w:cs="Verdana"/>
          <w:spacing w:val="-2"/>
          <w:sz w:val="20"/>
          <w:szCs w:val="20"/>
          <w:lang w:eastAsia="es-CR"/>
        </w:rPr>
        <w:t>jurisprudencia constante respecto de la prueba y su apreciación” en lo atinente al modo de</w:t>
      </w:r>
      <w:r w:rsidRPr="006145EF">
        <w:rPr>
          <w:snapToGrid w:val="0"/>
          <w:sz w:val="20"/>
          <w:szCs w:val="20"/>
        </w:rPr>
        <w:t xml:space="preserve"> “valorar” las pruebas, lo que incluye la declaración de las presuntas víctimas. Al respecto, la Corte ha señalado en otros casos que “</w:t>
      </w:r>
      <w:r w:rsidRPr="006145EF">
        <w:rPr>
          <w:sz w:val="20"/>
          <w:szCs w:val="20"/>
        </w:rPr>
        <w:t>las declaraciones rendidas por las presuntas víctimas serán valoradas dentro del conjunto de las pruebas del proceso en la medida en que puede proporcionar mayor información sobre las supuestas violaciones y sus consecuencias”</w:t>
      </w:r>
      <w:r w:rsidRPr="006145EF">
        <w:rPr>
          <w:rStyle w:val="FootnoteReference"/>
          <w:sz w:val="20"/>
          <w:szCs w:val="20"/>
        </w:rPr>
        <w:footnoteReference w:id="257"/>
      </w:r>
      <w:r w:rsidRPr="006145EF">
        <w:rPr>
          <w:sz w:val="20"/>
          <w:szCs w:val="20"/>
        </w:rPr>
        <w:t>. Es cierto que las circunstancias particulares de cada caso pueden dar lugar a que las declaraciones de las presuntas víctimas cobren distinta relevancia</w:t>
      </w:r>
      <w:r w:rsidRPr="006145EF">
        <w:rPr>
          <w:rStyle w:val="FootnoteReference"/>
          <w:sz w:val="20"/>
          <w:szCs w:val="20"/>
        </w:rPr>
        <w:footnoteReference w:id="258"/>
      </w:r>
      <w:r w:rsidRPr="006145EF">
        <w:rPr>
          <w:sz w:val="20"/>
          <w:szCs w:val="20"/>
        </w:rPr>
        <w:t xml:space="preserve">. No obstante, en el caso no resulta suficiente para ello la alusión a la “limitación en los medios de prueba”. Este elemento, por sí mismo, no subsana la vaguedad de las referencias efectuadas por el señor Galindo, ni su carácter contradictorio. </w:t>
      </w:r>
    </w:p>
    <w:p w:rsidR="007E3DB6" w:rsidRPr="006145EF" w:rsidRDefault="007E3DB6" w:rsidP="007E3DB6">
      <w:pPr>
        <w:pStyle w:val="ListParagraph"/>
        <w:rPr>
          <w:sz w:val="20"/>
          <w:szCs w:val="20"/>
        </w:rPr>
      </w:pPr>
    </w:p>
    <w:p w:rsidR="007E3DB6" w:rsidRPr="006145EF" w:rsidRDefault="007E3DB6" w:rsidP="005D3491">
      <w:pPr>
        <w:pStyle w:val="ListParagraph"/>
        <w:numPr>
          <w:ilvl w:val="0"/>
          <w:numId w:val="21"/>
        </w:numPr>
        <w:ind w:left="0" w:hanging="4"/>
        <w:contextualSpacing/>
        <w:jc w:val="both"/>
        <w:rPr>
          <w:snapToGrid w:val="0"/>
          <w:sz w:val="20"/>
          <w:szCs w:val="20"/>
        </w:rPr>
      </w:pPr>
      <w:r w:rsidRPr="006145EF">
        <w:rPr>
          <w:sz w:val="20"/>
          <w:szCs w:val="20"/>
        </w:rPr>
        <w:t xml:space="preserve">Respecto a la vaguedad mencionada, el señor Galindo manifestó sufrió “amedrentamiento, presiones y ‘ablandamiento’”, así como “abusos y torturas de carácter psicológico”, pero no describió en qué consistió concretamente cada uno de esos tratamientos que refirió, o alguno de ellos. En todo caso, no ha quedado claro si el señor Galindo afirmó que los tratamientos que adujo se produjeron mediante los “gritos y disparos” que dijo escuchar y por el ingreso a su celda de una “terrorista arrepentida encapuchada”, o por otros medios. En cuanto al carácter contradictorio de las declaraciones del señor Galindo, consta que él manifestó </w:t>
      </w:r>
      <w:r w:rsidRPr="006145EF">
        <w:rPr>
          <w:snapToGrid w:val="0"/>
          <w:sz w:val="20"/>
          <w:szCs w:val="20"/>
        </w:rPr>
        <w:t xml:space="preserve">al señor Fiscal General de la Nación que el “maltrato” que estaba teniendo era el “propio del encierro”, cuestión que la propia Corte advierte en el párrafo 241 de la Sentencia, al examinar los argumentos sobre el derecho a la integridad personal. Entonces, de las distintas declaraciones de la víctima no surge con claridad si durante su privación de libertad tuvo padecimientos “propio del encierro” o si sufrió un maltrato adicional y, en su caso, en qué consistió el mismo. </w:t>
      </w:r>
    </w:p>
    <w:p w:rsidR="007E3DB6" w:rsidRPr="006145EF" w:rsidRDefault="007E3DB6" w:rsidP="007E3DB6">
      <w:pPr>
        <w:pStyle w:val="ListParagraph"/>
        <w:ind w:left="0"/>
        <w:rPr>
          <w:snapToGrid w:val="0"/>
          <w:sz w:val="20"/>
          <w:szCs w:val="20"/>
        </w:rPr>
      </w:pPr>
    </w:p>
    <w:p w:rsidR="007E3DB6" w:rsidRPr="006145EF" w:rsidRDefault="007E3DB6" w:rsidP="005D3491">
      <w:pPr>
        <w:pStyle w:val="ListParagraph"/>
        <w:numPr>
          <w:ilvl w:val="0"/>
          <w:numId w:val="21"/>
        </w:numPr>
        <w:ind w:left="0" w:hanging="4"/>
        <w:contextualSpacing/>
        <w:jc w:val="both"/>
        <w:rPr>
          <w:snapToGrid w:val="0"/>
          <w:sz w:val="20"/>
          <w:szCs w:val="20"/>
        </w:rPr>
      </w:pPr>
      <w:r w:rsidRPr="006145EF">
        <w:rPr>
          <w:snapToGrid w:val="0"/>
          <w:sz w:val="20"/>
          <w:szCs w:val="20"/>
        </w:rPr>
        <w:t>Adicionalmente, cabe mencionar que la “limitación de los medios de prueba” afirmada por la Corte no exime a las presuntas víctimas ni a sus representantes de la carga de ofrecer a este Tribunal argumentos y elementos de convicción suficientemente desarrollados En ese sentido, no basta afirmaciones genéricas que no brinden elementos detallados. Ello cobra relevancia en casos como el presente pues en tanto que la privación de la libertad no conlleva necesariamente una infracción a la integridad personal</w:t>
      </w:r>
      <w:r w:rsidRPr="006145EF">
        <w:rPr>
          <w:rStyle w:val="FootnoteReference"/>
          <w:snapToGrid w:val="0"/>
          <w:sz w:val="20"/>
          <w:szCs w:val="20"/>
        </w:rPr>
        <w:footnoteReference w:id="259"/>
      </w:r>
      <w:r w:rsidRPr="006145EF">
        <w:rPr>
          <w:snapToGrid w:val="0"/>
          <w:sz w:val="20"/>
          <w:szCs w:val="20"/>
        </w:rPr>
        <w:t xml:space="preserve">, resulta necesario que ésta última sea suficientemente explicada y acreditada </w:t>
      </w:r>
      <w:r w:rsidRPr="006145EF">
        <w:rPr>
          <w:snapToGrid w:val="0"/>
          <w:sz w:val="20"/>
          <w:szCs w:val="20"/>
        </w:rPr>
        <w:lastRenderedPageBreak/>
        <w:t xml:space="preserve">Por lo tanto, no puede afirmarse que toda privación de la libertad conlleve necesariamente una infracción de la integridad personal. Al respecto, puede citarse como ejemplo lo sucedido en el trámite del caso </w:t>
      </w:r>
      <w:r w:rsidRPr="006145EF">
        <w:rPr>
          <w:i/>
          <w:snapToGrid w:val="0"/>
          <w:sz w:val="20"/>
          <w:szCs w:val="20"/>
        </w:rPr>
        <w:t xml:space="preserve">Cabrera García y Montiel Flores vs. México, </w:t>
      </w:r>
      <w:r w:rsidRPr="006145EF">
        <w:rPr>
          <w:snapToGrid w:val="0"/>
          <w:sz w:val="20"/>
          <w:szCs w:val="20"/>
        </w:rPr>
        <w:t xml:space="preserve">en el que se alegó que las víctimas habían sido sometidas a torturas, y en el que se ofreció y produjo prueba pericial específicamente dirigida a determinar la naturaleza de los vejámenes, con explicación de la metodología seguida para ello, así como aquella </w:t>
      </w:r>
      <w:r w:rsidRPr="006145EF">
        <w:rPr>
          <w:sz w:val="20"/>
          <w:szCs w:val="20"/>
        </w:rPr>
        <w:t>aceptada internacionalmente que se debe seguir para la determinación de la tortura</w:t>
      </w:r>
      <w:r w:rsidRPr="006145EF">
        <w:rPr>
          <w:rStyle w:val="FootnoteReference"/>
          <w:snapToGrid w:val="0"/>
          <w:sz w:val="20"/>
          <w:szCs w:val="20"/>
        </w:rPr>
        <w:footnoteReference w:id="260"/>
      </w:r>
      <w:r w:rsidRPr="006145EF">
        <w:rPr>
          <w:sz w:val="20"/>
          <w:szCs w:val="20"/>
        </w:rPr>
        <w:t xml:space="preserve">.En igual sentido, en el caso </w:t>
      </w:r>
      <w:r w:rsidRPr="006145EF">
        <w:rPr>
          <w:i/>
          <w:sz w:val="20"/>
          <w:szCs w:val="20"/>
        </w:rPr>
        <w:t>J. vs. Perú</w:t>
      </w:r>
      <w:r w:rsidRPr="006145EF">
        <w:rPr>
          <w:sz w:val="20"/>
          <w:szCs w:val="20"/>
        </w:rPr>
        <w:t>, el Tribunal</w:t>
      </w:r>
      <w:r w:rsidRPr="006145EF">
        <w:rPr>
          <w:snapToGrid w:val="0"/>
          <w:sz w:val="20"/>
          <w:szCs w:val="20"/>
        </w:rPr>
        <w:t xml:space="preserve"> dio por probada la tortura que sufrió la víctima ya que pudo valorar no solo su declaración sino también el contexto en el que ocurrieron los hechos, el examen médico legal, y declaraciones de otras personas</w:t>
      </w:r>
      <w:r w:rsidRPr="006145EF">
        <w:rPr>
          <w:rStyle w:val="FootnoteReference"/>
          <w:snapToGrid w:val="0"/>
          <w:sz w:val="20"/>
          <w:szCs w:val="20"/>
        </w:rPr>
        <w:footnoteReference w:id="261"/>
      </w:r>
      <w:r w:rsidRPr="006145EF">
        <w:rPr>
          <w:snapToGrid w:val="0"/>
          <w:sz w:val="20"/>
          <w:szCs w:val="20"/>
        </w:rPr>
        <w:t>. En el presente caso no ocurre algo similar los precedentes que he nombrado. Por el contrario, no es posible observar más que vagas afirmaciones de la víctima sobre la supuesta tortura de la que fue víctima.</w:t>
      </w:r>
    </w:p>
    <w:p w:rsidR="007E3DB6" w:rsidRPr="006145EF" w:rsidRDefault="007E3DB6" w:rsidP="007E3DB6">
      <w:pPr>
        <w:pStyle w:val="ListParagraph"/>
        <w:rPr>
          <w:sz w:val="20"/>
          <w:szCs w:val="20"/>
        </w:rPr>
      </w:pPr>
    </w:p>
    <w:p w:rsidR="007E3DB6" w:rsidRPr="006145EF" w:rsidRDefault="007E3DB6" w:rsidP="005D3491">
      <w:pPr>
        <w:pStyle w:val="ListParagraph"/>
        <w:numPr>
          <w:ilvl w:val="0"/>
          <w:numId w:val="21"/>
        </w:numPr>
        <w:ind w:left="0" w:hanging="4"/>
        <w:contextualSpacing/>
        <w:jc w:val="both"/>
        <w:rPr>
          <w:snapToGrid w:val="0"/>
          <w:sz w:val="20"/>
          <w:szCs w:val="20"/>
        </w:rPr>
      </w:pPr>
      <w:r w:rsidRPr="006145EF">
        <w:rPr>
          <w:sz w:val="20"/>
          <w:szCs w:val="20"/>
        </w:rPr>
        <w:t>Por último, considero que la insuficiencia de elementos de convicción necesarios ha imposibilitado que la Corte efectúe el examen sobre el alcance de las supuestas afectaciones a la integridad personal que era debido. En efecto, considerándose acreditado que el señor Galindo padeció “amedrentamiento, presiones y ‘ablandamiento’”, lo que hubiera correspondido era examinar el alegato de la Comisión, reseñado en los párrafos 231 y 232 de la Sentencia, sobre que lo sucedido al señor Galindo constituyó un tratamiento cruel, inhumano o degradante. En este sentido, la Corte ha dicho que</w:t>
      </w:r>
      <w:r w:rsidRPr="006145EF">
        <w:rPr>
          <w:rFonts w:eastAsia="Batang"/>
          <w:spacing w:val="-2"/>
          <w:sz w:val="20"/>
          <w:szCs w:val="20"/>
        </w:rPr>
        <w:t xml:space="preserve"> </w:t>
      </w:r>
    </w:p>
    <w:p w:rsidR="007E3DB6" w:rsidRPr="006145EF" w:rsidRDefault="007E3DB6" w:rsidP="007E3DB6">
      <w:pPr>
        <w:pStyle w:val="ListParagraph"/>
        <w:rPr>
          <w:rFonts w:eastAsia="Batang"/>
          <w:spacing w:val="-2"/>
          <w:sz w:val="20"/>
          <w:szCs w:val="20"/>
        </w:rPr>
      </w:pPr>
    </w:p>
    <w:p w:rsidR="007E3DB6" w:rsidRPr="006145EF" w:rsidRDefault="007E3DB6" w:rsidP="007E3DB6">
      <w:pPr>
        <w:pStyle w:val="ListParagraph"/>
        <w:ind w:left="567" w:right="616"/>
        <w:rPr>
          <w:rFonts w:eastAsia="Batang"/>
          <w:spacing w:val="-2"/>
          <w:sz w:val="20"/>
          <w:szCs w:val="20"/>
        </w:rPr>
      </w:pPr>
      <w:proofErr w:type="gramStart"/>
      <w:r w:rsidRPr="006145EF">
        <w:rPr>
          <w:rFonts w:eastAsia="Batang"/>
          <w:spacing w:val="-2"/>
          <w:sz w:val="20"/>
          <w:szCs w:val="20"/>
        </w:rPr>
        <w:t>la</w:t>
      </w:r>
      <w:proofErr w:type="gramEnd"/>
      <w:r w:rsidRPr="006145EF">
        <w:rPr>
          <w:rFonts w:eastAsia="Batang"/>
          <w:spacing w:val="-2"/>
          <w:sz w:val="20"/>
          <w:szCs w:val="20"/>
        </w:rPr>
        <w:t xml:space="preserve"> violación del derecho a la integridad física y psíquica de las personas tiene diversas connotaciones de grado y que abarca desde la tortura hasta otro tipo de vejámenes o tratos crueles, inhumanos o degradantes, cuyas secuelas físicas y psíquicas varían de intensidad según factores endógenos y exógenos de la persona (duración de los tratos, edad, sexo, salud, contexto, vulnerabilidad, entre otros) que deberán ser analizados en cada situación concreta</w:t>
      </w:r>
      <w:r w:rsidRPr="006145EF">
        <w:rPr>
          <w:rFonts w:eastAsia="Batang"/>
          <w:spacing w:val="-2"/>
          <w:sz w:val="20"/>
          <w:szCs w:val="20"/>
          <w:vertAlign w:val="superscript"/>
          <w:lang w:bidi="en-US"/>
        </w:rPr>
        <w:footnoteReference w:id="262"/>
      </w:r>
      <w:r w:rsidRPr="006145EF">
        <w:rPr>
          <w:rFonts w:eastAsia="Batang"/>
          <w:spacing w:val="-2"/>
          <w:sz w:val="20"/>
          <w:szCs w:val="20"/>
        </w:rPr>
        <w:t xml:space="preserve">. </w:t>
      </w:r>
    </w:p>
    <w:p w:rsidR="007E3DB6" w:rsidRPr="006145EF" w:rsidRDefault="007E3DB6" w:rsidP="007E3DB6">
      <w:pPr>
        <w:pStyle w:val="ListParagraph"/>
        <w:ind w:left="0"/>
        <w:rPr>
          <w:rFonts w:eastAsia="Batang"/>
          <w:spacing w:val="-2"/>
          <w:sz w:val="20"/>
          <w:szCs w:val="20"/>
        </w:rPr>
      </w:pPr>
    </w:p>
    <w:p w:rsidR="007E3DB6" w:rsidRPr="006145EF" w:rsidRDefault="007E3DB6" w:rsidP="007E3DB6">
      <w:pPr>
        <w:pStyle w:val="ListParagraph"/>
        <w:ind w:left="0"/>
        <w:rPr>
          <w:snapToGrid w:val="0"/>
          <w:sz w:val="20"/>
          <w:szCs w:val="20"/>
        </w:rPr>
      </w:pPr>
      <w:r w:rsidRPr="006145EF">
        <w:rPr>
          <w:rFonts w:eastAsia="Batang"/>
          <w:spacing w:val="-2"/>
          <w:sz w:val="20"/>
          <w:szCs w:val="20"/>
        </w:rPr>
        <w:t xml:space="preserve">En el caso, este Tribunal no contó con elementos suficientes sobre la naturaleza o el grado de severidad de los sufrimientos que habría padecido el señor Galindo. Eso muestra que tampoco tenía elementos para considerar que hubo una afectación a la integridad personal. De la ausencia de elementos de convicción sobre los hechos y sus características no puede derivarse que tales hechos reciban una u otra calificación jurídica, sino que debe colegirse la imposibilidad de efectuar cualquier tipo de calificación jurídica sobre los mismos. La diferencia entre que una afectación a la integridad personal implique un trato cruel, inhumano o degradante, o que no lo haga, no estriba en la mayor o menor prueba que haya sobre un hecho, sino en la naturaleza del hecho. </w:t>
      </w:r>
    </w:p>
    <w:p w:rsidR="007E3DB6" w:rsidRPr="006145EF" w:rsidRDefault="007E3DB6" w:rsidP="007E3DB6">
      <w:pPr>
        <w:pStyle w:val="ListParagraph"/>
        <w:ind w:left="0"/>
        <w:rPr>
          <w:snapToGrid w:val="0"/>
          <w:sz w:val="20"/>
          <w:szCs w:val="20"/>
        </w:rPr>
      </w:pPr>
    </w:p>
    <w:p w:rsidR="007E3DB6" w:rsidRPr="006145EF" w:rsidRDefault="007E3DB6" w:rsidP="005D3491">
      <w:pPr>
        <w:pStyle w:val="ListParagraph"/>
        <w:numPr>
          <w:ilvl w:val="0"/>
          <w:numId w:val="21"/>
        </w:numPr>
        <w:ind w:left="0" w:hanging="4"/>
        <w:contextualSpacing/>
        <w:jc w:val="both"/>
        <w:rPr>
          <w:snapToGrid w:val="0"/>
          <w:sz w:val="20"/>
          <w:szCs w:val="20"/>
        </w:rPr>
      </w:pPr>
      <w:r w:rsidRPr="006145EF">
        <w:rPr>
          <w:snapToGrid w:val="0"/>
          <w:sz w:val="20"/>
          <w:szCs w:val="20"/>
        </w:rPr>
        <w:lastRenderedPageBreak/>
        <w:t>Aunado a todo lo anterior, en los párrafos 241 a 243 de la Sentencia se evidencia que la Corte advirtió que a) “</w:t>
      </w:r>
      <w:r w:rsidRPr="006145EF">
        <w:rPr>
          <w:sz w:val="20"/>
          <w:szCs w:val="20"/>
        </w:rPr>
        <w:t>no hay evidencia de que la incomunicación inicial que habría sufrido el señor Galindo [le] generase […]sufrimiento”; b</w:t>
      </w:r>
      <w:r w:rsidRPr="006145EF">
        <w:rPr>
          <w:snapToGrid w:val="0"/>
          <w:sz w:val="20"/>
          <w:szCs w:val="20"/>
        </w:rPr>
        <w:t xml:space="preserve">) durante la mayor parte de su privación de libertad, el señor Galindo pudo recibir visitas diarias; c) estando privado de su libertad el señor Galindo manifestó al señor Fiscal General de la Nación que el “maltrato” que estaba teniendo era el “propio del encierro”, y d) “el </w:t>
      </w:r>
      <w:r w:rsidRPr="006145EF">
        <w:rPr>
          <w:sz w:val="20"/>
          <w:szCs w:val="20"/>
        </w:rPr>
        <w:t xml:space="preserve">señor Galindo no se vio afectado en su integridad personal por las condiciones en que permaneció alojado en las instalaciones del cuartel militar de </w:t>
      </w:r>
      <w:proofErr w:type="spellStart"/>
      <w:r w:rsidRPr="006145EF">
        <w:rPr>
          <w:sz w:val="20"/>
          <w:szCs w:val="20"/>
        </w:rPr>
        <w:t>Yanac</w:t>
      </w:r>
      <w:proofErr w:type="spellEnd"/>
      <w:r w:rsidRPr="006145EF">
        <w:rPr>
          <w:sz w:val="20"/>
          <w:szCs w:val="20"/>
        </w:rPr>
        <w:t>”. Estas circunstancias refuerzan la conclusión sobre la imposibilidad de concluir que hubo un menoscabo a la integridad personal.</w:t>
      </w:r>
    </w:p>
    <w:p w:rsidR="007E3DB6" w:rsidRPr="006145EF" w:rsidRDefault="007E3DB6" w:rsidP="007E3DB6">
      <w:pPr>
        <w:pStyle w:val="ListParagraph"/>
        <w:ind w:left="0"/>
        <w:rPr>
          <w:snapToGrid w:val="0"/>
          <w:sz w:val="20"/>
          <w:szCs w:val="20"/>
        </w:rPr>
      </w:pPr>
    </w:p>
    <w:p w:rsidR="007E3DB6" w:rsidRPr="006145EF" w:rsidRDefault="007E3DB6" w:rsidP="007E3DB6">
      <w:pPr>
        <w:pStyle w:val="ListParagraph"/>
        <w:ind w:left="0"/>
        <w:rPr>
          <w:snapToGrid w:val="0"/>
          <w:sz w:val="20"/>
          <w:szCs w:val="20"/>
        </w:rPr>
      </w:pPr>
    </w:p>
    <w:p w:rsidR="007E3DB6" w:rsidRPr="006145EF" w:rsidRDefault="007E3DB6" w:rsidP="005D3491">
      <w:pPr>
        <w:pStyle w:val="ListParagraph"/>
        <w:numPr>
          <w:ilvl w:val="0"/>
          <w:numId w:val="21"/>
        </w:numPr>
        <w:ind w:left="0" w:hanging="4"/>
        <w:contextualSpacing/>
        <w:jc w:val="both"/>
        <w:rPr>
          <w:snapToGrid w:val="0"/>
          <w:sz w:val="20"/>
          <w:szCs w:val="20"/>
        </w:rPr>
      </w:pPr>
      <w:r w:rsidRPr="006145EF">
        <w:rPr>
          <w:snapToGrid w:val="0"/>
          <w:sz w:val="20"/>
          <w:szCs w:val="20"/>
        </w:rPr>
        <w:t>En conclusión,</w:t>
      </w:r>
      <w:r w:rsidRPr="006145EF">
        <w:rPr>
          <w:sz w:val="20"/>
          <w:szCs w:val="20"/>
        </w:rPr>
        <w:t xml:space="preserve"> si bien la prueba en derecho internacional es menos rígida que en el derecho interno, esto no supone que se pueda actuar sin prueba, o con una valoración de la misma poco consistente.</w:t>
      </w:r>
      <w:r w:rsidRPr="006145EF">
        <w:rPr>
          <w:snapToGrid w:val="0"/>
          <w:sz w:val="20"/>
          <w:szCs w:val="20"/>
        </w:rPr>
        <w:t xml:space="preserve"> Por todo lo expuesto, entiendo que no debió declararse la responsabilidad del Estado por la violación al derecho a la integridad personal en perjuicio del señor Galindo.</w:t>
      </w:r>
    </w:p>
    <w:p w:rsidR="007E3DB6" w:rsidRPr="006145EF" w:rsidRDefault="007E3DB6" w:rsidP="007E3DB6">
      <w:pPr>
        <w:pStyle w:val="ListParagraph"/>
        <w:rPr>
          <w:snapToGrid w:val="0"/>
          <w:sz w:val="20"/>
          <w:szCs w:val="20"/>
        </w:rPr>
      </w:pPr>
    </w:p>
    <w:p w:rsidR="007E3DB6" w:rsidRPr="006145EF" w:rsidRDefault="007E3DB6" w:rsidP="007E3DB6">
      <w:pPr>
        <w:pStyle w:val="ListParagraph"/>
        <w:rPr>
          <w:snapToGrid w:val="0"/>
          <w:sz w:val="20"/>
          <w:szCs w:val="20"/>
        </w:rPr>
      </w:pPr>
    </w:p>
    <w:p w:rsidR="007E3DB6" w:rsidRPr="006145EF" w:rsidRDefault="007E3DB6" w:rsidP="005D3491">
      <w:pPr>
        <w:pStyle w:val="ListParagraph"/>
        <w:numPr>
          <w:ilvl w:val="0"/>
          <w:numId w:val="21"/>
        </w:numPr>
        <w:ind w:left="0" w:hanging="4"/>
        <w:contextualSpacing/>
        <w:jc w:val="both"/>
        <w:rPr>
          <w:snapToGrid w:val="0"/>
          <w:sz w:val="20"/>
          <w:szCs w:val="20"/>
        </w:rPr>
      </w:pPr>
      <w:r w:rsidRPr="006145EF">
        <w:rPr>
          <w:snapToGrid w:val="0"/>
          <w:sz w:val="20"/>
          <w:szCs w:val="20"/>
        </w:rPr>
        <w:t>En cuanto a los familiares del señor Galindo, en el párrafo 251 de la Sentencia la Corte concluye que “</w:t>
      </w:r>
      <w:r w:rsidRPr="006145EF">
        <w:rPr>
          <w:sz w:val="20"/>
          <w:szCs w:val="20"/>
          <w:lang w:val="es-MX"/>
        </w:rPr>
        <w:t xml:space="preserve">la privación de libertad del señor Galindo, el hecho de haber sido sindicado públicamente como terrorista arrepentido por el propio Presidente de la República, así como la incertidumbre por la falta de investigación, generaron sufrimiento y angustia a sus familiares”. Sobre ello, en tanto que entiendo que no había base suficiente para determinar la violación a la integridad personal en perjuicio del señor Galindo a partir de lo ocurrido durante su privación de libertad, considero que sería incongruente concluir que a partir de la misma circunstancia se vulneró el derecho a la integridad personal de sus familiares. Del mismo modo, en tanto las declaraciones del Presidente de la República y la falta de investigación no son hechos determinantes de la vulneración de la integridad personal del señor Galindo, no se advierte por qué si lo serían respecto a los familiares de él. Los elementos señalados no resultan suficientes para concluir que los familiares del señor Galindo padecieron sufrimientos </w:t>
      </w:r>
      <w:r w:rsidRPr="006145EF">
        <w:rPr>
          <w:sz w:val="20"/>
          <w:szCs w:val="20"/>
        </w:rPr>
        <w:t>que puedan ser considerados como una infracción a su integridad personal.</w:t>
      </w:r>
      <w:r w:rsidRPr="006145EF">
        <w:rPr>
          <w:sz w:val="20"/>
          <w:szCs w:val="20"/>
          <w:lang w:val="es-MX"/>
        </w:rPr>
        <w:t xml:space="preserve"> </w:t>
      </w:r>
    </w:p>
    <w:p w:rsidR="007E3DB6" w:rsidRPr="006145EF" w:rsidRDefault="007E3DB6" w:rsidP="007E3DB6">
      <w:pPr>
        <w:pStyle w:val="ListParagraph"/>
        <w:rPr>
          <w:sz w:val="20"/>
          <w:szCs w:val="20"/>
        </w:rPr>
      </w:pPr>
    </w:p>
    <w:p w:rsidR="007E3DB6" w:rsidRPr="006145EF" w:rsidRDefault="007E3DB6" w:rsidP="005D3491">
      <w:pPr>
        <w:pStyle w:val="ListParagraph"/>
        <w:numPr>
          <w:ilvl w:val="0"/>
          <w:numId w:val="21"/>
        </w:numPr>
        <w:ind w:left="0" w:hanging="4"/>
        <w:contextualSpacing/>
        <w:jc w:val="both"/>
        <w:rPr>
          <w:snapToGrid w:val="0"/>
          <w:sz w:val="20"/>
          <w:szCs w:val="20"/>
        </w:rPr>
      </w:pPr>
      <w:r w:rsidRPr="006145EF">
        <w:rPr>
          <w:sz w:val="20"/>
          <w:szCs w:val="20"/>
          <w:lang w:val="es-MX"/>
        </w:rPr>
        <w:t xml:space="preserve">Por último, en tanto entiendo que no debió declararse la violación al derecho a la integridad personal, considero que no correspondía ordenar tratamiento psicológico y/o psiquiátrico como medida de reparación. Además, esa medida no había sido solicitada por el representante del señor Galindo y sus familiares y la Corte tampoco contaba con información precisa sobre las secuelas físicas o psiquiátricas de las personas declaradas víctimas que requerirían tratamiento. Por razones de prudencia y rigor, entiendo que aun en caso de acreditarse una violación a la integridad personal las medidas de rehabilitación deben ordenarse a partir de solicitudes concretas, o con base en elementos que permitan apreciar la necesidad de tratamiento médico o de otra índole. </w:t>
      </w:r>
    </w:p>
    <w:p w:rsidR="007E3DB6" w:rsidRPr="006145EF" w:rsidRDefault="007E3DB6" w:rsidP="007E3DB6">
      <w:pPr>
        <w:pStyle w:val="ListParagraph"/>
        <w:rPr>
          <w:snapToGrid w:val="0"/>
          <w:sz w:val="20"/>
          <w:szCs w:val="20"/>
        </w:rPr>
      </w:pPr>
    </w:p>
    <w:p w:rsidR="007E3DB6" w:rsidRPr="006145EF" w:rsidRDefault="007E3DB6" w:rsidP="007E3DB6">
      <w:pPr>
        <w:pStyle w:val="ListParagraph"/>
        <w:rPr>
          <w:snapToGrid w:val="0"/>
          <w:sz w:val="20"/>
          <w:szCs w:val="20"/>
        </w:rPr>
      </w:pPr>
    </w:p>
    <w:p w:rsidR="007E3DB6" w:rsidRPr="006145EF" w:rsidRDefault="007E3DB6" w:rsidP="007E3DB6">
      <w:pPr>
        <w:pStyle w:val="ListParagraph"/>
        <w:rPr>
          <w:snapToGrid w:val="0"/>
          <w:sz w:val="20"/>
          <w:szCs w:val="20"/>
        </w:rPr>
      </w:pPr>
    </w:p>
    <w:p w:rsidR="007E3DB6" w:rsidRPr="006145EF" w:rsidRDefault="007E3DB6" w:rsidP="007E3DB6">
      <w:pPr>
        <w:pStyle w:val="ListParagraph"/>
        <w:rPr>
          <w:snapToGrid w:val="0"/>
          <w:sz w:val="20"/>
          <w:szCs w:val="20"/>
        </w:rPr>
      </w:pPr>
    </w:p>
    <w:p w:rsidR="007E3DB6" w:rsidRPr="006145EF" w:rsidRDefault="007E3DB6" w:rsidP="007E3DB6">
      <w:pPr>
        <w:pStyle w:val="ListParagraph"/>
        <w:tabs>
          <w:tab w:val="left" w:pos="426"/>
          <w:tab w:val="left" w:pos="709"/>
        </w:tabs>
        <w:ind w:left="0"/>
        <w:rPr>
          <w:sz w:val="20"/>
          <w:szCs w:val="20"/>
        </w:rPr>
      </w:pPr>
    </w:p>
    <w:p w:rsidR="007E3DB6" w:rsidRPr="006145EF" w:rsidRDefault="007E3DB6" w:rsidP="005D3491">
      <w:pPr>
        <w:pStyle w:val="ListParagraph"/>
        <w:numPr>
          <w:ilvl w:val="0"/>
          <w:numId w:val="22"/>
        </w:numPr>
        <w:tabs>
          <w:tab w:val="left" w:pos="426"/>
          <w:tab w:val="left" w:pos="709"/>
        </w:tabs>
        <w:contextualSpacing/>
        <w:jc w:val="both"/>
        <w:rPr>
          <w:b/>
          <w:sz w:val="20"/>
          <w:szCs w:val="20"/>
        </w:rPr>
      </w:pPr>
      <w:r w:rsidRPr="006145EF">
        <w:rPr>
          <w:b/>
          <w:bCs/>
          <w:spacing w:val="-2"/>
          <w:sz w:val="20"/>
          <w:szCs w:val="20"/>
        </w:rPr>
        <w:t>Disidencia respecto de la declaración de violación a los derechos a las garantías judiciales y a la protección judicial en relación con la investigación de los hechos (punto resolutivo 5)</w:t>
      </w:r>
    </w:p>
    <w:p w:rsidR="007E3DB6" w:rsidRPr="006145EF" w:rsidRDefault="007E3DB6" w:rsidP="007E3DB6">
      <w:pPr>
        <w:pStyle w:val="ListParagraph"/>
        <w:tabs>
          <w:tab w:val="left" w:pos="426"/>
          <w:tab w:val="left" w:pos="709"/>
        </w:tabs>
        <w:rPr>
          <w:b/>
          <w:sz w:val="20"/>
          <w:szCs w:val="20"/>
        </w:rPr>
      </w:pPr>
    </w:p>
    <w:p w:rsidR="007E3DB6" w:rsidRPr="006145EF" w:rsidRDefault="007E3DB6" w:rsidP="005D3491">
      <w:pPr>
        <w:pStyle w:val="ListParagraph"/>
        <w:numPr>
          <w:ilvl w:val="0"/>
          <w:numId w:val="23"/>
        </w:numPr>
        <w:tabs>
          <w:tab w:val="left" w:pos="-142"/>
          <w:tab w:val="left" w:pos="709"/>
        </w:tabs>
        <w:ind w:left="0" w:firstLine="0"/>
        <w:contextualSpacing/>
        <w:jc w:val="both"/>
        <w:rPr>
          <w:sz w:val="20"/>
          <w:szCs w:val="20"/>
        </w:rPr>
      </w:pPr>
      <w:r w:rsidRPr="006145EF">
        <w:rPr>
          <w:sz w:val="20"/>
          <w:szCs w:val="20"/>
        </w:rPr>
        <w:lastRenderedPageBreak/>
        <w:t xml:space="preserve">Además de lo anterior, considero necesario manifestar las razones por las cuales entiendo que tampoco es necesario declarar la violación de los artículos 8.1 y 25.1 de la Convención, en perjuicio del señor Galindo Cárdenas por la falta de investigación de los hechos de tortura aducidos por la víctima. </w:t>
      </w:r>
    </w:p>
    <w:p w:rsidR="007E3DB6" w:rsidRPr="006145EF" w:rsidRDefault="007E3DB6" w:rsidP="007E3DB6">
      <w:pPr>
        <w:pStyle w:val="ListParagraph"/>
        <w:tabs>
          <w:tab w:val="left" w:pos="-142"/>
          <w:tab w:val="left" w:pos="709"/>
        </w:tabs>
        <w:ind w:left="0"/>
        <w:rPr>
          <w:sz w:val="20"/>
          <w:szCs w:val="20"/>
        </w:rPr>
      </w:pPr>
    </w:p>
    <w:p w:rsidR="007E3DB6" w:rsidRPr="006145EF" w:rsidRDefault="007E3DB6" w:rsidP="005D3491">
      <w:pPr>
        <w:pStyle w:val="ListParagraph"/>
        <w:numPr>
          <w:ilvl w:val="0"/>
          <w:numId w:val="23"/>
        </w:numPr>
        <w:tabs>
          <w:tab w:val="left" w:pos="-142"/>
          <w:tab w:val="left" w:pos="709"/>
        </w:tabs>
        <w:ind w:left="0" w:firstLine="0"/>
        <w:contextualSpacing/>
        <w:jc w:val="both"/>
        <w:rPr>
          <w:sz w:val="20"/>
          <w:szCs w:val="20"/>
        </w:rPr>
      </w:pPr>
      <w:r w:rsidRPr="006145EF">
        <w:rPr>
          <w:sz w:val="20"/>
          <w:szCs w:val="20"/>
        </w:rPr>
        <w:t>Al respecto, en el quinto punto resolutivo, la Corte declaró que “[e]</w:t>
      </w:r>
      <w:r w:rsidRPr="006145EF">
        <w:rPr>
          <w:spacing w:val="-2"/>
          <w:sz w:val="20"/>
          <w:szCs w:val="20"/>
          <w:lang w:val="es-AR"/>
        </w:rPr>
        <w:t>l Estado es responsable por la violación de los derechos a las garantías judiciales y a la protección judicial reconocidos en los artículos 8.1 y 25.1 de la Convención Americana sobre Derechos Humanos, en relación con el artículo 1.1 de la Convención, en perjuicio del señor Luis Antonio Galindo Cárdenas, en los términos de los párrafos 258 a 266 de la […] Sentencia”. En el párrafo 266 se “</w:t>
      </w:r>
      <w:proofErr w:type="spellStart"/>
      <w:proofErr w:type="gramStart"/>
      <w:r w:rsidRPr="006145EF">
        <w:rPr>
          <w:spacing w:val="-2"/>
          <w:sz w:val="20"/>
          <w:szCs w:val="20"/>
        </w:rPr>
        <w:t>conclu</w:t>
      </w:r>
      <w:proofErr w:type="spellEnd"/>
      <w:r w:rsidRPr="006145EF">
        <w:rPr>
          <w:spacing w:val="-2"/>
          <w:sz w:val="20"/>
          <w:szCs w:val="20"/>
        </w:rPr>
        <w:t>[</w:t>
      </w:r>
      <w:proofErr w:type="spellStart"/>
      <w:proofErr w:type="gramEnd"/>
      <w:r w:rsidRPr="006145EF">
        <w:rPr>
          <w:spacing w:val="-2"/>
          <w:sz w:val="20"/>
          <w:szCs w:val="20"/>
        </w:rPr>
        <w:t>yó</w:t>
      </w:r>
      <w:proofErr w:type="spellEnd"/>
      <w:r w:rsidRPr="006145EF">
        <w:rPr>
          <w:spacing w:val="-2"/>
          <w:sz w:val="20"/>
          <w:szCs w:val="20"/>
        </w:rPr>
        <w:t xml:space="preserve">] que el Estado incumplió su deber de iniciar una investigación en forma inmediata sobre la ‘tortura psicológica’ aludida por el señor Galindo en sus presentaciones. En consecuencia, la Corte considera que el Estado violó el derecho a acceder a la justicia, consagrado en los artículos 8.1 y 25.1 de la Convención Americana, en relación con la obligación de respetar </w:t>
      </w:r>
      <w:proofErr w:type="gramStart"/>
      <w:r w:rsidRPr="006145EF">
        <w:rPr>
          <w:spacing w:val="-2"/>
          <w:sz w:val="20"/>
          <w:szCs w:val="20"/>
        </w:rPr>
        <w:t>los derechos establecida en el artículo 1.1 de la Convención, en perjuicio del señor Luis Antonio Galindo Cárdenas</w:t>
      </w:r>
      <w:proofErr w:type="gramEnd"/>
      <w:r w:rsidRPr="006145EF">
        <w:rPr>
          <w:spacing w:val="-2"/>
          <w:sz w:val="20"/>
          <w:szCs w:val="20"/>
        </w:rPr>
        <w:t>.</w:t>
      </w:r>
    </w:p>
    <w:p w:rsidR="007E3DB6" w:rsidRPr="006145EF" w:rsidRDefault="007E3DB6" w:rsidP="007E3DB6">
      <w:pPr>
        <w:pStyle w:val="ListParagraph"/>
        <w:tabs>
          <w:tab w:val="left" w:pos="426"/>
          <w:tab w:val="left" w:pos="709"/>
        </w:tabs>
        <w:ind w:left="0"/>
        <w:rPr>
          <w:sz w:val="20"/>
          <w:szCs w:val="20"/>
        </w:rPr>
      </w:pPr>
    </w:p>
    <w:p w:rsidR="007E3DB6" w:rsidRPr="006145EF" w:rsidRDefault="007E3DB6" w:rsidP="005D3491">
      <w:pPr>
        <w:pStyle w:val="ListParagraph"/>
        <w:numPr>
          <w:ilvl w:val="0"/>
          <w:numId w:val="23"/>
        </w:numPr>
        <w:tabs>
          <w:tab w:val="left" w:pos="426"/>
          <w:tab w:val="left" w:pos="709"/>
        </w:tabs>
        <w:ind w:left="0" w:firstLine="0"/>
        <w:contextualSpacing/>
        <w:jc w:val="both"/>
        <w:rPr>
          <w:sz w:val="20"/>
          <w:szCs w:val="20"/>
        </w:rPr>
      </w:pPr>
      <w:r w:rsidRPr="006145EF">
        <w:rPr>
          <w:sz w:val="20"/>
          <w:szCs w:val="20"/>
        </w:rPr>
        <w:t>Creo prudente indicar que mi disidencia en relación a estos derechos no significa que desconozca la jurisprudencia constante de este Tribunal en relación a la obligación del Estado de investigar y, en su caso, castigar los actos de tortura que ocurren en su territorio. En este sentido la Corte ha dicho</w:t>
      </w:r>
    </w:p>
    <w:p w:rsidR="007E3DB6" w:rsidRPr="006145EF" w:rsidRDefault="007E3DB6" w:rsidP="007E3DB6">
      <w:pPr>
        <w:pStyle w:val="ListParagraph"/>
        <w:tabs>
          <w:tab w:val="left" w:pos="426"/>
          <w:tab w:val="left" w:pos="709"/>
        </w:tabs>
        <w:ind w:left="0"/>
        <w:rPr>
          <w:sz w:val="20"/>
          <w:szCs w:val="20"/>
        </w:rPr>
      </w:pPr>
    </w:p>
    <w:p w:rsidR="007E3DB6" w:rsidRPr="006145EF" w:rsidRDefault="007E3DB6" w:rsidP="007E3DB6">
      <w:pPr>
        <w:pStyle w:val="ListParagraph"/>
        <w:ind w:left="576" w:right="576"/>
        <w:rPr>
          <w:rFonts w:eastAsia="Batang"/>
          <w:sz w:val="20"/>
          <w:szCs w:val="20"/>
        </w:rPr>
      </w:pPr>
      <w:proofErr w:type="gramStart"/>
      <w:r w:rsidRPr="006145EF">
        <w:rPr>
          <w:rFonts w:eastAsia="Batang"/>
          <w:sz w:val="20"/>
          <w:szCs w:val="20"/>
        </w:rPr>
        <w:t>que</w:t>
      </w:r>
      <w:proofErr w:type="gramEnd"/>
      <w:r w:rsidRPr="006145EF">
        <w:rPr>
          <w:rFonts w:eastAsia="Batang"/>
          <w:sz w:val="20"/>
          <w:szCs w:val="20"/>
        </w:rPr>
        <w:t xml:space="preserve"> de la Convención contra la Tortura surgen dos supuestos que accionan el deber estatal de investigar: por un lado, cuando se presente denuncia, y, por el otro, cuando exista razón fundada para creer que se ha cometido un acto de tortura en el ámbito de la jurisdicción del Estado. En estas situaciones, la decisión de iniciar y adelantar una investigación no recae sobre el Estado, es decir, no es una facultad discrecional, sino que el deber de investigar constituye una obligación estatal imperativa que deriva del derecho internacional y no puede desecharse o condicionarse por actos o disposiciones normativas internas de ninguna índole</w:t>
      </w:r>
      <w:r w:rsidRPr="006145EF">
        <w:rPr>
          <w:sz w:val="20"/>
          <w:szCs w:val="20"/>
          <w:vertAlign w:val="superscript"/>
        </w:rPr>
        <w:footnoteReference w:id="263"/>
      </w:r>
      <w:r w:rsidRPr="006145EF">
        <w:rPr>
          <w:rFonts w:eastAsia="Batang"/>
          <w:sz w:val="20"/>
          <w:szCs w:val="20"/>
        </w:rPr>
        <w:t xml:space="preserve">. </w:t>
      </w:r>
      <w:r w:rsidRPr="006145EF">
        <w:rPr>
          <w:sz w:val="20"/>
          <w:szCs w:val="20"/>
          <w:lang w:val="es-CR"/>
        </w:rPr>
        <w:t xml:space="preserve">[…] </w:t>
      </w:r>
      <w:r w:rsidRPr="006145EF">
        <w:rPr>
          <w:rFonts w:eastAsia="Batang"/>
          <w:sz w:val="20"/>
          <w:szCs w:val="20"/>
        </w:rPr>
        <w:t xml:space="preserve"> Además, como ya ha señalado este Tribunal, </w:t>
      </w:r>
      <w:proofErr w:type="spellStart"/>
      <w:r w:rsidRPr="006145EF">
        <w:rPr>
          <w:rFonts w:eastAsia="Batang"/>
          <w:sz w:val="20"/>
          <w:szCs w:val="20"/>
        </w:rPr>
        <w:t>aún</w:t>
      </w:r>
      <w:proofErr w:type="spellEnd"/>
      <w:r w:rsidRPr="006145EF">
        <w:rPr>
          <w:rFonts w:eastAsia="Batang"/>
          <w:sz w:val="20"/>
          <w:szCs w:val="20"/>
        </w:rPr>
        <w:t xml:space="preserve"> cuando los actos de tortura o tratos crueles, inhumanos o degradantes no hayan sido denunciados ante las autoridades competentes por la propia víctima, en todo caso en que existan indicios de su ocurrencia, el Estado deberá iniciar de oficio y de inmediato una investigación imparcial, independiente y minuciosa que permita determinar la naturaleza y el origen de las lesiones advertidas, identificar a los responsables e iniciar su procesamiento</w:t>
      </w:r>
      <w:r w:rsidRPr="006145EF">
        <w:rPr>
          <w:sz w:val="20"/>
          <w:szCs w:val="20"/>
          <w:vertAlign w:val="superscript"/>
        </w:rPr>
        <w:footnoteReference w:id="264"/>
      </w:r>
      <w:r w:rsidRPr="006145EF">
        <w:rPr>
          <w:rFonts w:eastAsia="Batang"/>
          <w:sz w:val="20"/>
          <w:szCs w:val="20"/>
        </w:rPr>
        <w:t xml:space="preserve">. </w:t>
      </w:r>
    </w:p>
    <w:p w:rsidR="007E3DB6" w:rsidRPr="006145EF" w:rsidRDefault="007E3DB6" w:rsidP="007E3DB6">
      <w:pPr>
        <w:pStyle w:val="ListParagraph"/>
        <w:ind w:left="576" w:right="576"/>
        <w:rPr>
          <w:rFonts w:eastAsia="Batang"/>
          <w:sz w:val="20"/>
          <w:szCs w:val="20"/>
        </w:rPr>
      </w:pPr>
    </w:p>
    <w:p w:rsidR="007E3DB6" w:rsidRPr="006145EF" w:rsidRDefault="007E3DB6" w:rsidP="007E3DB6">
      <w:pPr>
        <w:pStyle w:val="ListParagraph"/>
        <w:ind w:left="0" w:right="576"/>
        <w:rPr>
          <w:rFonts w:eastAsia="Batang"/>
          <w:sz w:val="20"/>
          <w:szCs w:val="20"/>
        </w:rPr>
      </w:pPr>
      <w:r w:rsidRPr="006145EF">
        <w:rPr>
          <w:rFonts w:eastAsia="Batang"/>
          <w:sz w:val="20"/>
          <w:szCs w:val="20"/>
        </w:rPr>
        <w:t>Igualmente, la Corte ha indicado que:</w:t>
      </w:r>
    </w:p>
    <w:p w:rsidR="007E3DB6" w:rsidRPr="006145EF" w:rsidRDefault="007E3DB6" w:rsidP="007E3DB6">
      <w:pPr>
        <w:pStyle w:val="ListParagraph"/>
        <w:ind w:left="0" w:right="576"/>
        <w:rPr>
          <w:rFonts w:eastAsia="Batang"/>
          <w:sz w:val="20"/>
          <w:szCs w:val="20"/>
        </w:rPr>
      </w:pPr>
    </w:p>
    <w:p w:rsidR="007E3DB6" w:rsidRPr="006145EF" w:rsidRDefault="007E3DB6" w:rsidP="007E3DB6">
      <w:pPr>
        <w:pStyle w:val="ListParagraph"/>
        <w:ind w:left="576" w:right="576"/>
        <w:rPr>
          <w:rFonts w:eastAsia="Batang"/>
          <w:sz w:val="20"/>
          <w:szCs w:val="20"/>
        </w:rPr>
      </w:pPr>
      <w:r w:rsidRPr="006145EF">
        <w:rPr>
          <w:rFonts w:cs="Arial"/>
          <w:sz w:val="20"/>
          <w:szCs w:val="20"/>
        </w:rPr>
        <w:t xml:space="preserve">De forma particular, de conformidad con el artículo 1.1 de la Convención Americana, la obligación de garantizar los derechos reconocidos en los artículos 5.1 y 5.2 de la Convención Americana implica el deber del Estado de investigar posibles actos de tortura u otros tratos crueles, inhumanos o </w:t>
      </w:r>
      <w:r w:rsidRPr="006145EF">
        <w:rPr>
          <w:rFonts w:cs="Arial"/>
          <w:sz w:val="20"/>
          <w:szCs w:val="20"/>
        </w:rPr>
        <w:lastRenderedPageBreak/>
        <w:t>degradantes</w:t>
      </w:r>
      <w:r w:rsidRPr="006145EF">
        <w:rPr>
          <w:rStyle w:val="FootnoteReference"/>
          <w:rFonts w:cs="Arial"/>
          <w:sz w:val="20"/>
          <w:szCs w:val="20"/>
        </w:rPr>
        <w:footnoteReference w:id="265"/>
      </w:r>
      <w:r w:rsidRPr="006145EF">
        <w:rPr>
          <w:rFonts w:cs="Arial"/>
          <w:sz w:val="20"/>
          <w:szCs w:val="20"/>
        </w:rPr>
        <w:t>. Esta obligación de investigar se ve reforzada por lo dispuesto en los artículos 1, 6 y 8 de la Convención Interamericana para Prevenir y Sancionar la Tortura que obligan al Estado a "toma[r] medidas efectivas para prevenir y sancionar la tortura en el ámbito de su jurisdicción", así como a "prevenir y sancionar [...] otros tratos o penas crueles, inhumanos o degradantes". Además, de acuerdo con lo dispuesto en el artículo 8 de dicha Convención, los Estados partes garantizarán "a toda persona que denuncie haber sido sometida a tortura en el ámbito de su jurisdicción el derecho a que el caso sea examinado imparcialmente. 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w:t>
      </w:r>
      <w:r w:rsidRPr="006145EF">
        <w:rPr>
          <w:rStyle w:val="FootnoteReference"/>
          <w:rFonts w:cs="Arial"/>
          <w:sz w:val="20"/>
          <w:szCs w:val="20"/>
        </w:rPr>
        <w:footnoteReference w:id="266"/>
      </w:r>
      <w:r w:rsidRPr="006145EF">
        <w:rPr>
          <w:rFonts w:cs="Arial"/>
          <w:sz w:val="20"/>
          <w:szCs w:val="20"/>
        </w:rPr>
        <w:t>.</w:t>
      </w:r>
    </w:p>
    <w:p w:rsidR="007E3DB6" w:rsidRPr="006145EF" w:rsidRDefault="007E3DB6" w:rsidP="007E3DB6">
      <w:pPr>
        <w:pStyle w:val="ListParagraph"/>
        <w:tabs>
          <w:tab w:val="left" w:pos="426"/>
          <w:tab w:val="left" w:pos="709"/>
        </w:tabs>
        <w:ind w:left="0"/>
        <w:rPr>
          <w:sz w:val="20"/>
          <w:szCs w:val="20"/>
        </w:rPr>
      </w:pPr>
    </w:p>
    <w:p w:rsidR="007E3DB6" w:rsidRPr="006145EF" w:rsidRDefault="007E3DB6" w:rsidP="005D3491">
      <w:pPr>
        <w:pStyle w:val="ListParagraph"/>
        <w:numPr>
          <w:ilvl w:val="0"/>
          <w:numId w:val="23"/>
        </w:numPr>
        <w:tabs>
          <w:tab w:val="left" w:pos="426"/>
          <w:tab w:val="left" w:pos="709"/>
        </w:tabs>
        <w:ind w:left="0" w:firstLine="0"/>
        <w:contextualSpacing/>
        <w:jc w:val="both"/>
        <w:rPr>
          <w:sz w:val="20"/>
          <w:szCs w:val="20"/>
        </w:rPr>
      </w:pPr>
      <w:r w:rsidRPr="006145EF">
        <w:rPr>
          <w:sz w:val="20"/>
          <w:szCs w:val="20"/>
        </w:rPr>
        <w:t xml:space="preserve">Ahora bien, en el presente caso no se ha declarado la tortura que la víctima ha alegado y ya he manifestado los motivos por los que considero que no había base suficiente para determinar si el señor Galindo Cárdenas había sufrido menoscabos a su integridad personal. En línea con lo anterior, </w:t>
      </w:r>
      <w:r w:rsidRPr="006145EF">
        <w:rPr>
          <w:sz w:val="20"/>
          <w:szCs w:val="20"/>
          <w:lang w:val="es-MX"/>
        </w:rPr>
        <w:t xml:space="preserve">considero que la condena al Estado por faltas en la investigación de un hecho que no se encuentra probado, </w:t>
      </w:r>
      <w:r w:rsidRPr="006145EF">
        <w:rPr>
          <w:sz w:val="20"/>
          <w:szCs w:val="20"/>
        </w:rPr>
        <w:t xml:space="preserve">en los términos que más adelante explico, </w:t>
      </w:r>
      <w:r w:rsidRPr="006145EF">
        <w:rPr>
          <w:sz w:val="20"/>
          <w:szCs w:val="20"/>
          <w:lang w:val="es-MX"/>
        </w:rPr>
        <w:t xml:space="preserve">resulta en cierta medida excesiva. Para arribar a esta conclusión, a su vez, debe tenerse en cuenta lo siguiente. </w:t>
      </w:r>
    </w:p>
    <w:p w:rsidR="007E3DB6" w:rsidRPr="006145EF" w:rsidRDefault="007E3DB6" w:rsidP="007E3DB6">
      <w:pPr>
        <w:pStyle w:val="ListParagraph"/>
        <w:tabs>
          <w:tab w:val="left" w:pos="426"/>
          <w:tab w:val="left" w:pos="709"/>
        </w:tabs>
        <w:ind w:left="0"/>
        <w:rPr>
          <w:sz w:val="20"/>
          <w:szCs w:val="20"/>
        </w:rPr>
      </w:pPr>
    </w:p>
    <w:p w:rsidR="007E3DB6" w:rsidRPr="006145EF" w:rsidRDefault="007E3DB6" w:rsidP="005D3491">
      <w:pPr>
        <w:pStyle w:val="ListParagraph"/>
        <w:numPr>
          <w:ilvl w:val="0"/>
          <w:numId w:val="23"/>
        </w:numPr>
        <w:tabs>
          <w:tab w:val="left" w:pos="426"/>
          <w:tab w:val="left" w:pos="709"/>
        </w:tabs>
        <w:ind w:left="0" w:firstLine="0"/>
        <w:contextualSpacing/>
        <w:jc w:val="both"/>
        <w:rPr>
          <w:sz w:val="20"/>
          <w:szCs w:val="20"/>
        </w:rPr>
      </w:pPr>
      <w:r w:rsidRPr="006145EF">
        <w:rPr>
          <w:sz w:val="20"/>
          <w:szCs w:val="20"/>
          <w:lang w:val="es-MX"/>
        </w:rPr>
        <w:t>Entiendo que el modo en que el Estado tomó conocimiento de la alegada “tortura psicológica” no fue apto para generarle una obligación de investigar ese supuesto hecho. En este sentido, la víctima nunca denunció de manera formal la tortura que dice que sufrió, sino que fue por medio de escritos que no eran una denuncia penal ni habían sido presentadas en el ámbito judicial</w:t>
      </w:r>
      <w:r w:rsidRPr="006145EF">
        <w:rPr>
          <w:rStyle w:val="FootnoteReference"/>
          <w:sz w:val="20"/>
          <w:szCs w:val="20"/>
          <w:lang w:val="es-MX"/>
        </w:rPr>
        <w:footnoteReference w:id="267"/>
      </w:r>
      <w:r w:rsidRPr="006145EF">
        <w:rPr>
          <w:sz w:val="20"/>
          <w:szCs w:val="20"/>
          <w:lang w:val="es-MX"/>
        </w:rPr>
        <w:t xml:space="preserve">. En el presente caso </w:t>
      </w:r>
      <w:r w:rsidRPr="006145EF">
        <w:rPr>
          <w:sz w:val="20"/>
          <w:szCs w:val="20"/>
          <w:lang w:val="es-CR"/>
        </w:rPr>
        <w:t xml:space="preserve">la mera indicación hecha por la víctima de que dice haber sufrido tortura no estuvo acompañada de una descripción más completa o acabada de esos padecimientos que permitiera analizar el contenido de su </w:t>
      </w:r>
      <w:r w:rsidRPr="006145EF">
        <w:rPr>
          <w:sz w:val="20"/>
          <w:szCs w:val="20"/>
          <w:lang w:val="es-CR"/>
        </w:rPr>
        <w:lastRenderedPageBreak/>
        <w:t>afirmación y, por consiguiente, apreciar sus características y tener conocimiento de la probable existencia de un hecho ilícito</w:t>
      </w:r>
      <w:r w:rsidRPr="006145EF">
        <w:rPr>
          <w:rStyle w:val="FootnoteReference"/>
          <w:sz w:val="20"/>
          <w:szCs w:val="20"/>
          <w:lang w:val="es-CR"/>
        </w:rPr>
        <w:footnoteReference w:id="268"/>
      </w:r>
      <w:r w:rsidRPr="006145EF">
        <w:rPr>
          <w:sz w:val="20"/>
          <w:szCs w:val="20"/>
          <w:lang w:val="es-CR"/>
        </w:rPr>
        <w:t>. Esta situación me lleva a concluir que no existe fundamento probatorio para declarar la vulneración a los artículos 8.1 y 25.1 de la Convención Americana, en perjuicio del señor Galindo.</w:t>
      </w:r>
    </w:p>
    <w:p w:rsidR="007E3DB6" w:rsidRPr="006145EF" w:rsidRDefault="007E3DB6" w:rsidP="007E3DB6">
      <w:pPr>
        <w:pStyle w:val="ListParagraph"/>
        <w:tabs>
          <w:tab w:val="left" w:pos="426"/>
          <w:tab w:val="left" w:pos="709"/>
        </w:tabs>
        <w:ind w:left="0"/>
        <w:rPr>
          <w:sz w:val="20"/>
          <w:szCs w:val="20"/>
        </w:rPr>
      </w:pPr>
    </w:p>
    <w:p w:rsidR="007E3DB6" w:rsidRPr="006145EF" w:rsidRDefault="007E3DB6" w:rsidP="005D3491">
      <w:pPr>
        <w:pStyle w:val="ListParagraph"/>
        <w:numPr>
          <w:ilvl w:val="0"/>
          <w:numId w:val="23"/>
        </w:numPr>
        <w:tabs>
          <w:tab w:val="left" w:pos="426"/>
          <w:tab w:val="left" w:pos="709"/>
        </w:tabs>
        <w:ind w:left="0" w:firstLine="0"/>
        <w:contextualSpacing/>
        <w:jc w:val="both"/>
        <w:rPr>
          <w:sz w:val="20"/>
          <w:szCs w:val="20"/>
        </w:rPr>
      </w:pPr>
      <w:r w:rsidRPr="006145EF">
        <w:rPr>
          <w:sz w:val="20"/>
          <w:szCs w:val="20"/>
          <w:lang w:val="es-MX"/>
        </w:rPr>
        <w:t>Sin perjuicio de ello, debe agregarse a dicho argumento que, a pesar de que el señor Galindo no presentó ninguna denuncia formalmente por los hechos que alega haber sufrido, recientemente el Estado comenzó una investigación al respecto</w:t>
      </w:r>
      <w:r w:rsidRPr="006145EF">
        <w:rPr>
          <w:rStyle w:val="FootnoteReference"/>
          <w:sz w:val="20"/>
          <w:szCs w:val="20"/>
          <w:lang w:val="es-MX"/>
        </w:rPr>
        <w:footnoteReference w:id="269"/>
      </w:r>
      <w:r w:rsidRPr="006145EF">
        <w:rPr>
          <w:sz w:val="20"/>
          <w:szCs w:val="20"/>
          <w:lang w:val="es-MX"/>
        </w:rPr>
        <w:t xml:space="preserve">. En consecuencia, la vulneración al plazo razonable por el que se endilga responsabilidad al Estado no resulta adecuada, ya que su accionar fue el correcto y no faltó a su debida diligencia por no haber conocido de manera correcto lo sucedido a la víctima.  </w:t>
      </w:r>
    </w:p>
    <w:p w:rsidR="007E3DB6" w:rsidRPr="006145EF" w:rsidRDefault="007E3DB6" w:rsidP="007E3DB6">
      <w:pPr>
        <w:pStyle w:val="ListParagraph"/>
        <w:rPr>
          <w:sz w:val="20"/>
          <w:szCs w:val="20"/>
          <w:lang w:val="es-MX"/>
        </w:rPr>
      </w:pPr>
    </w:p>
    <w:p w:rsidR="007E3DB6" w:rsidRPr="006145EF" w:rsidRDefault="007E3DB6" w:rsidP="005D3491">
      <w:pPr>
        <w:pStyle w:val="ListParagraph"/>
        <w:numPr>
          <w:ilvl w:val="0"/>
          <w:numId w:val="23"/>
        </w:numPr>
        <w:tabs>
          <w:tab w:val="left" w:pos="426"/>
          <w:tab w:val="left" w:pos="709"/>
        </w:tabs>
        <w:ind w:left="0" w:firstLine="0"/>
        <w:contextualSpacing/>
        <w:jc w:val="both"/>
        <w:rPr>
          <w:sz w:val="20"/>
          <w:szCs w:val="20"/>
        </w:rPr>
      </w:pPr>
      <w:r w:rsidRPr="006145EF">
        <w:rPr>
          <w:sz w:val="20"/>
          <w:szCs w:val="20"/>
          <w:lang w:val="es-MX"/>
        </w:rPr>
        <w:t>Finalmente, considero necesario aclarar que, sin perjuicio de que he votado en disidencia acerca de la violación a los artículos 8 y 25 de la Convención, en virtud de que el Estado ya ha abierto una investigación a fin de determinar lo sucedido al señor Galindo, no encuentro razones para que la misma no continúe. En este sentido, vale resaltar que es una obligación del Estado investigar</w:t>
      </w:r>
      <w:r w:rsidRPr="006145EF">
        <w:rPr>
          <w:spacing w:val="-2"/>
          <w:sz w:val="20"/>
          <w:szCs w:val="20"/>
        </w:rPr>
        <w:t>, y de ser procedente, identificar, juzgar y sancionar a los responsables.</w:t>
      </w:r>
    </w:p>
    <w:p w:rsidR="007E3DB6" w:rsidRPr="006145EF" w:rsidRDefault="007E3DB6" w:rsidP="007E3DB6">
      <w:pPr>
        <w:pStyle w:val="ListParagraph"/>
        <w:tabs>
          <w:tab w:val="left" w:pos="709"/>
        </w:tabs>
        <w:rPr>
          <w:sz w:val="20"/>
          <w:szCs w:val="20"/>
        </w:rPr>
      </w:pPr>
    </w:p>
    <w:p w:rsidR="007E3DB6" w:rsidRPr="006145EF" w:rsidRDefault="007E3DB6" w:rsidP="007E3DB6">
      <w:pPr>
        <w:pStyle w:val="ListParagraph"/>
        <w:ind w:left="0" w:right="96"/>
        <w:rPr>
          <w:sz w:val="20"/>
          <w:szCs w:val="20"/>
          <w:lang w:val="es-CR"/>
        </w:rPr>
      </w:pPr>
    </w:p>
    <w:p w:rsidR="007E3DB6" w:rsidRPr="006145EF" w:rsidRDefault="007E3DB6" w:rsidP="007E3DB6">
      <w:pPr>
        <w:pStyle w:val="NormalWeb"/>
        <w:ind w:left="3600" w:right="96" w:firstLine="720"/>
        <w:jc w:val="center"/>
        <w:rPr>
          <w:rFonts w:eastAsia="Calibri"/>
          <w:color w:val="auto"/>
          <w:sz w:val="20"/>
          <w:szCs w:val="20"/>
          <w:lang w:val="es-CR"/>
        </w:rPr>
      </w:pPr>
    </w:p>
    <w:p w:rsidR="007E3DB6" w:rsidRPr="006145EF" w:rsidRDefault="007E3DB6" w:rsidP="007E3DB6">
      <w:pPr>
        <w:pStyle w:val="NormalWeb"/>
        <w:ind w:left="3600" w:right="96" w:firstLine="720"/>
        <w:jc w:val="center"/>
        <w:rPr>
          <w:rFonts w:eastAsia="Calibri"/>
          <w:color w:val="auto"/>
          <w:sz w:val="20"/>
          <w:szCs w:val="20"/>
          <w:lang w:val="es-CR"/>
        </w:rPr>
      </w:pPr>
      <w:r w:rsidRPr="006145EF">
        <w:rPr>
          <w:rFonts w:eastAsia="Calibri"/>
          <w:color w:val="auto"/>
          <w:sz w:val="20"/>
          <w:szCs w:val="20"/>
          <w:lang w:val="es-CR"/>
        </w:rPr>
        <w:t>Humberto Antonio Sierra Porto</w:t>
      </w:r>
    </w:p>
    <w:p w:rsidR="007E3DB6" w:rsidRPr="006145EF" w:rsidRDefault="007E3DB6" w:rsidP="007E3DB6">
      <w:pPr>
        <w:pStyle w:val="NormalWeb"/>
        <w:ind w:left="3960" w:right="96" w:firstLine="360"/>
        <w:jc w:val="center"/>
        <w:rPr>
          <w:rFonts w:eastAsia="Calibri"/>
          <w:color w:val="auto"/>
          <w:sz w:val="20"/>
          <w:szCs w:val="20"/>
          <w:lang w:val="es-CR"/>
        </w:rPr>
      </w:pPr>
      <w:r w:rsidRPr="006145EF">
        <w:rPr>
          <w:rFonts w:eastAsia="Calibri"/>
          <w:color w:val="auto"/>
          <w:sz w:val="20"/>
          <w:szCs w:val="20"/>
          <w:lang w:val="es-CR"/>
        </w:rPr>
        <w:t>Juez</w:t>
      </w:r>
    </w:p>
    <w:p w:rsidR="007E3DB6" w:rsidRPr="006145EF" w:rsidRDefault="007E3DB6" w:rsidP="007E3DB6">
      <w:pPr>
        <w:rPr>
          <w:szCs w:val="20"/>
          <w:lang w:val="es-CR"/>
        </w:rPr>
      </w:pPr>
    </w:p>
    <w:p w:rsidR="007E3DB6" w:rsidRPr="006145EF" w:rsidRDefault="007E3DB6" w:rsidP="007E3DB6">
      <w:pPr>
        <w:rPr>
          <w:szCs w:val="20"/>
          <w:lang w:val="es-CR"/>
        </w:rPr>
      </w:pPr>
    </w:p>
    <w:p w:rsidR="007E3DB6" w:rsidRPr="006145EF" w:rsidRDefault="007E3DB6" w:rsidP="007E3DB6">
      <w:pPr>
        <w:rPr>
          <w:szCs w:val="20"/>
          <w:lang w:val="es-CR"/>
        </w:rPr>
      </w:pPr>
      <w:r w:rsidRPr="006145EF">
        <w:rPr>
          <w:szCs w:val="20"/>
          <w:lang w:val="es-CR"/>
        </w:rPr>
        <w:t>Pablo Saavedra Alessandri</w:t>
      </w:r>
    </w:p>
    <w:p w:rsidR="007E3DB6" w:rsidRPr="006145EF" w:rsidRDefault="007E3DB6" w:rsidP="007E3DB6">
      <w:pPr>
        <w:rPr>
          <w:szCs w:val="20"/>
          <w:lang w:val="es-MX"/>
        </w:rPr>
      </w:pPr>
      <w:r w:rsidRPr="006145EF">
        <w:rPr>
          <w:szCs w:val="20"/>
          <w:lang w:val="es-CR"/>
        </w:rPr>
        <w:tab/>
        <w:t>Secretario</w:t>
      </w:r>
    </w:p>
    <w:p w:rsidR="007E3DB6" w:rsidRPr="006145EF" w:rsidRDefault="007E3DB6" w:rsidP="005C46C8">
      <w:pPr>
        <w:rPr>
          <w:szCs w:val="20"/>
        </w:rPr>
      </w:pPr>
    </w:p>
    <w:p w:rsidR="007E3DB6" w:rsidRPr="006145EF" w:rsidRDefault="007E3DB6" w:rsidP="005C46C8">
      <w:pPr>
        <w:rPr>
          <w:szCs w:val="20"/>
        </w:rPr>
        <w:sectPr w:rsidR="007E3DB6" w:rsidRPr="006145EF" w:rsidSect="007E3DB6">
          <w:headerReference w:type="default" r:id="rId10"/>
          <w:footnotePr>
            <w:numRestart w:val="eachSect"/>
          </w:footnotePr>
          <w:pgSz w:w="12240" w:h="15840"/>
          <w:pgMar w:top="1418" w:right="1588" w:bottom="1418" w:left="1588" w:header="709" w:footer="709" w:gutter="0"/>
          <w:pgNumType w:start="1"/>
          <w:cols w:space="708"/>
          <w:titlePg/>
          <w:docGrid w:linePitch="360"/>
        </w:sectPr>
      </w:pPr>
    </w:p>
    <w:p w:rsidR="007E3DB6" w:rsidRPr="006145EF" w:rsidRDefault="007E3DB6" w:rsidP="007E3DB6">
      <w:pPr>
        <w:rPr>
          <w:szCs w:val="20"/>
        </w:rPr>
      </w:pPr>
    </w:p>
    <w:p w:rsidR="007E3DB6" w:rsidRPr="006145EF" w:rsidRDefault="007E3DB6" w:rsidP="007E3DB6">
      <w:pPr>
        <w:tabs>
          <w:tab w:val="left" w:pos="567"/>
          <w:tab w:val="left" w:pos="1134"/>
        </w:tabs>
        <w:ind w:right="29"/>
        <w:jc w:val="center"/>
        <w:rPr>
          <w:b/>
          <w:szCs w:val="20"/>
        </w:rPr>
      </w:pPr>
      <w:r w:rsidRPr="006145EF">
        <w:rPr>
          <w:b/>
          <w:snapToGrid w:val="0"/>
          <w:szCs w:val="20"/>
        </w:rPr>
        <w:t>VOTO DISIDENTE DEL JUEZ EDUARDO VIO GROSSI,</w:t>
      </w:r>
      <w:r w:rsidRPr="006145EF">
        <w:rPr>
          <w:b/>
          <w:szCs w:val="20"/>
        </w:rPr>
        <w:t xml:space="preserve"> </w:t>
      </w:r>
    </w:p>
    <w:p w:rsidR="007E3DB6" w:rsidRPr="006145EF" w:rsidRDefault="007E3DB6" w:rsidP="007E3DB6">
      <w:pPr>
        <w:tabs>
          <w:tab w:val="left" w:pos="567"/>
          <w:tab w:val="left" w:pos="1134"/>
        </w:tabs>
        <w:ind w:right="29"/>
        <w:jc w:val="center"/>
        <w:rPr>
          <w:b/>
          <w:snapToGrid w:val="0"/>
          <w:szCs w:val="20"/>
        </w:rPr>
      </w:pPr>
      <w:r w:rsidRPr="006145EF">
        <w:rPr>
          <w:b/>
          <w:snapToGrid w:val="0"/>
          <w:szCs w:val="20"/>
        </w:rPr>
        <w:t xml:space="preserve">CORTE INTERAMERICANA DE DERECHOS HUMANOS, </w:t>
      </w:r>
    </w:p>
    <w:p w:rsidR="007E3DB6" w:rsidRPr="006145EF" w:rsidRDefault="007E3DB6" w:rsidP="007E3DB6">
      <w:pPr>
        <w:tabs>
          <w:tab w:val="left" w:pos="567"/>
          <w:tab w:val="left" w:pos="1134"/>
        </w:tabs>
        <w:ind w:right="29"/>
        <w:jc w:val="center"/>
        <w:rPr>
          <w:b/>
          <w:snapToGrid w:val="0"/>
          <w:szCs w:val="20"/>
        </w:rPr>
      </w:pPr>
      <w:r w:rsidRPr="006145EF">
        <w:rPr>
          <w:b/>
          <w:szCs w:val="20"/>
        </w:rPr>
        <w:t xml:space="preserve">CASO </w:t>
      </w:r>
      <w:r w:rsidRPr="006145EF">
        <w:rPr>
          <w:b/>
          <w:szCs w:val="20"/>
          <w:lang w:val="es-CO"/>
        </w:rPr>
        <w:t xml:space="preserve">GALINDO CÁRDENAS Y OTROS </w:t>
      </w:r>
      <w:r w:rsidRPr="006145EF">
        <w:rPr>
          <w:b/>
          <w:i/>
          <w:szCs w:val="20"/>
          <w:lang w:val="es-CO"/>
        </w:rPr>
        <w:t>VS</w:t>
      </w:r>
      <w:r w:rsidRPr="006145EF">
        <w:rPr>
          <w:b/>
          <w:szCs w:val="20"/>
          <w:lang w:val="es-CO"/>
        </w:rPr>
        <w:t>. PERÚ</w:t>
      </w:r>
      <w:r w:rsidRPr="006145EF">
        <w:rPr>
          <w:b/>
          <w:snapToGrid w:val="0"/>
          <w:szCs w:val="20"/>
        </w:rPr>
        <w:t xml:space="preserve">, </w:t>
      </w:r>
    </w:p>
    <w:p w:rsidR="007E3DB6" w:rsidRPr="006145EF" w:rsidRDefault="007E3DB6" w:rsidP="007E3DB6">
      <w:pPr>
        <w:tabs>
          <w:tab w:val="left" w:pos="567"/>
          <w:tab w:val="left" w:pos="1134"/>
        </w:tabs>
        <w:ind w:right="29"/>
        <w:jc w:val="center"/>
        <w:rPr>
          <w:b/>
          <w:snapToGrid w:val="0"/>
          <w:szCs w:val="20"/>
        </w:rPr>
      </w:pPr>
      <w:r w:rsidRPr="006145EF">
        <w:rPr>
          <w:b/>
          <w:snapToGrid w:val="0"/>
          <w:szCs w:val="20"/>
        </w:rPr>
        <w:t xml:space="preserve">SENTENCIA DE 2 DE OCTUBRE DE 2015 </w:t>
      </w:r>
    </w:p>
    <w:p w:rsidR="007E3DB6" w:rsidRPr="006145EF" w:rsidRDefault="007E3DB6" w:rsidP="007E3DB6">
      <w:pPr>
        <w:tabs>
          <w:tab w:val="left" w:pos="567"/>
          <w:tab w:val="left" w:pos="1134"/>
        </w:tabs>
        <w:ind w:right="29"/>
        <w:jc w:val="center"/>
        <w:rPr>
          <w:b/>
          <w:caps/>
          <w:snapToGrid w:val="0"/>
          <w:szCs w:val="20"/>
        </w:rPr>
      </w:pPr>
      <w:r w:rsidRPr="006145EF">
        <w:rPr>
          <w:b/>
          <w:snapToGrid w:val="0"/>
          <w:szCs w:val="20"/>
        </w:rPr>
        <w:t>(</w:t>
      </w:r>
      <w:r w:rsidRPr="006145EF">
        <w:rPr>
          <w:b/>
          <w:i/>
          <w:snapToGrid w:val="0"/>
          <w:szCs w:val="20"/>
        </w:rPr>
        <w:t>Excepciones Preliminares, Fondo, Reparaciones y Costas)</w:t>
      </w:r>
    </w:p>
    <w:p w:rsidR="007E3DB6" w:rsidRPr="006145EF" w:rsidRDefault="007E3DB6" w:rsidP="007E3DB6">
      <w:pPr>
        <w:tabs>
          <w:tab w:val="left" w:pos="567"/>
          <w:tab w:val="left" w:pos="1134"/>
        </w:tabs>
        <w:ind w:right="29"/>
        <w:jc w:val="center"/>
        <w:rPr>
          <w:b/>
          <w:snapToGrid w:val="0"/>
          <w:szCs w:val="20"/>
        </w:rPr>
      </w:pPr>
    </w:p>
    <w:p w:rsidR="007E3DB6" w:rsidRPr="006145EF" w:rsidRDefault="007E3DB6" w:rsidP="007E3DB6">
      <w:pPr>
        <w:spacing w:after="240"/>
        <w:rPr>
          <w:rFonts w:cs="Calibri"/>
          <w:b/>
          <w:szCs w:val="20"/>
          <w:lang w:val="es-CR"/>
        </w:rPr>
      </w:pPr>
      <w:r w:rsidRPr="006145EF">
        <w:rPr>
          <w:rFonts w:cs="Calibri"/>
          <w:b/>
          <w:szCs w:val="20"/>
          <w:lang w:val="es-CR"/>
        </w:rPr>
        <w:t>INTRODUCCIÓN.</w:t>
      </w:r>
    </w:p>
    <w:p w:rsidR="007E3DB6" w:rsidRPr="006145EF" w:rsidRDefault="007E3DB6" w:rsidP="007E3DB6">
      <w:pPr>
        <w:spacing w:after="240"/>
        <w:rPr>
          <w:rFonts w:cs="Calibri"/>
          <w:szCs w:val="20"/>
          <w:lang w:val="es-CR"/>
        </w:rPr>
      </w:pPr>
      <w:r w:rsidRPr="006145EF">
        <w:rPr>
          <w:rFonts w:cs="Calibri"/>
          <w:szCs w:val="20"/>
          <w:lang w:val="es-CR"/>
        </w:rPr>
        <w:t>Obviamente y como no podría ser de otra manera, se emite el presente voto individual disidente</w:t>
      </w:r>
      <w:r w:rsidRPr="006145EF">
        <w:rPr>
          <w:rStyle w:val="FootnoteReference"/>
          <w:rFonts w:cs="Calibri"/>
          <w:szCs w:val="20"/>
          <w:lang w:val="es-CR"/>
        </w:rPr>
        <w:footnoteReference w:id="270"/>
      </w:r>
      <w:r w:rsidRPr="006145EF">
        <w:rPr>
          <w:rFonts w:cs="Calibri"/>
          <w:szCs w:val="20"/>
          <w:lang w:val="es-CR"/>
        </w:rPr>
        <w:t xml:space="preserve"> a la Sentencia indicada en el título</w:t>
      </w:r>
      <w:r w:rsidRPr="006145EF">
        <w:rPr>
          <w:rStyle w:val="FootnoteReference"/>
          <w:rFonts w:cs="Calibri"/>
          <w:szCs w:val="20"/>
          <w:lang w:val="es-CR"/>
        </w:rPr>
        <w:footnoteReference w:id="271"/>
      </w:r>
      <w:r w:rsidRPr="006145EF">
        <w:rPr>
          <w:rFonts w:cs="Calibri"/>
          <w:szCs w:val="20"/>
          <w:lang w:val="es-CR"/>
        </w:rPr>
        <w:t>, con el mayor respeto y la máxima consideración hacia los demás jueces de la Corte Interamericana de Derechos Humanos y sus opiniones y con la esperanza de contribuir en el desarrollo y consolidación, no solo de dicha institución jurisdiccional interamericana, sino del sistema interamericano de derechos humanos en su conjunto, el que, sin duda, ha alcanzado, en comparación con las otras áreas de la cooperación interamericana, el más alto e intenso nivel de eficiencia y eficacia que podría alcanzar de acuerdo como fue concebido.</w:t>
      </w:r>
    </w:p>
    <w:p w:rsidR="007E3DB6" w:rsidRPr="006145EF" w:rsidRDefault="007E3DB6" w:rsidP="007E3DB6">
      <w:pPr>
        <w:spacing w:after="240"/>
        <w:rPr>
          <w:rFonts w:cs="Calibri"/>
          <w:szCs w:val="20"/>
          <w:lang w:val="es-CR"/>
        </w:rPr>
      </w:pPr>
      <w:r w:rsidRPr="006145EF">
        <w:rPr>
          <w:rFonts w:cs="Calibri"/>
          <w:szCs w:val="20"/>
          <w:lang w:val="es-CR"/>
        </w:rPr>
        <w:t>La razón específica por la que se expide este parecer es que la Sentencia desestimó la excepción preliminar relativa al incumplimiento de la regla del previo agotamiento de los recursos internos, prevista en el artículo 46 de la Convención Americana sobre Derechos Humanos</w:t>
      </w:r>
      <w:r w:rsidRPr="006145EF">
        <w:rPr>
          <w:rStyle w:val="FootnoteReference"/>
          <w:rFonts w:cs="Calibri"/>
          <w:szCs w:val="20"/>
          <w:lang w:val="es-CR"/>
        </w:rPr>
        <w:footnoteReference w:id="272"/>
      </w:r>
      <w:r w:rsidRPr="006145EF">
        <w:rPr>
          <w:rFonts w:cs="Calibri"/>
          <w:szCs w:val="20"/>
          <w:lang w:val="es-CR"/>
        </w:rPr>
        <w:t xml:space="preserve"> e interpuesta por la República del Perú</w:t>
      </w:r>
      <w:r w:rsidRPr="006145EF">
        <w:rPr>
          <w:rStyle w:val="FootnoteReference"/>
          <w:rFonts w:cs="Calibri"/>
          <w:szCs w:val="20"/>
          <w:lang w:val="es-CR"/>
        </w:rPr>
        <w:footnoteReference w:id="273"/>
      </w:r>
      <w:r w:rsidRPr="006145EF">
        <w:rPr>
          <w:rFonts w:cs="Calibri"/>
          <w:szCs w:val="20"/>
          <w:lang w:val="es-CR"/>
        </w:rPr>
        <w:t xml:space="preserve"> en lo atingente a la no interposición, en sede nacional, del recurso de </w:t>
      </w:r>
      <w:r w:rsidRPr="006145EF">
        <w:rPr>
          <w:rFonts w:cs="Calibri"/>
          <w:i/>
          <w:szCs w:val="20"/>
          <w:lang w:val="es-CR"/>
        </w:rPr>
        <w:t>hábeas corpus</w:t>
      </w:r>
      <w:r w:rsidRPr="006145EF">
        <w:rPr>
          <w:rFonts w:cs="Calibri"/>
          <w:szCs w:val="20"/>
          <w:lang w:val="es-CR"/>
        </w:rPr>
        <w:t>. Y al hacer pública esta opinión se ha debido reiterar, con las modificaciones que ha ameritado el caso de autos, lo que, en lo relativo a la citada regla, el suscrito ha señalado en casos similares, concernientes, en su mayoría, al mismo Estado.</w:t>
      </w:r>
      <w:r w:rsidRPr="006145EF">
        <w:rPr>
          <w:rStyle w:val="FootnoteReference"/>
          <w:rFonts w:cs="Calibri"/>
          <w:szCs w:val="20"/>
          <w:lang w:val="es-CR"/>
        </w:rPr>
        <w:footnoteReference w:id="274"/>
      </w:r>
    </w:p>
    <w:p w:rsidR="007E3DB6" w:rsidRPr="006145EF" w:rsidRDefault="007E3DB6" w:rsidP="007E3DB6">
      <w:pPr>
        <w:spacing w:after="240"/>
        <w:rPr>
          <w:rFonts w:cs="Calibri"/>
          <w:szCs w:val="20"/>
          <w:lang w:val="es-CR"/>
        </w:rPr>
      </w:pPr>
      <w:r w:rsidRPr="006145EF">
        <w:rPr>
          <w:rFonts w:cs="Calibri"/>
          <w:szCs w:val="20"/>
          <w:lang w:val="es-CR"/>
        </w:rPr>
        <w:t>Las razones de la referida discrepancia con la Sentencia se explican seguidamente en lo que atañe a las consideraciones preliminares sobre la base de las cuales se formulan tales razones, a la norma convencional aplicable, a los hechos del caso relativos a la citada regla y, finalmente, a la Sentencia, en lo que se refiere a dicha excepción.</w:t>
      </w:r>
    </w:p>
    <w:p w:rsidR="007E3DB6" w:rsidRPr="006145EF" w:rsidRDefault="007E3DB6" w:rsidP="005D3491">
      <w:pPr>
        <w:numPr>
          <w:ilvl w:val="0"/>
          <w:numId w:val="24"/>
        </w:numPr>
        <w:spacing w:after="200" w:line="276" w:lineRule="auto"/>
        <w:rPr>
          <w:b/>
          <w:szCs w:val="20"/>
        </w:rPr>
      </w:pPr>
      <w:r w:rsidRPr="006145EF">
        <w:rPr>
          <w:b/>
          <w:szCs w:val="20"/>
        </w:rPr>
        <w:t>CONSIDERACIONES PRELIMINARES.</w:t>
      </w:r>
    </w:p>
    <w:p w:rsidR="007E3DB6" w:rsidRPr="006145EF" w:rsidRDefault="007E3DB6" w:rsidP="007E3DB6">
      <w:pPr>
        <w:rPr>
          <w:szCs w:val="20"/>
        </w:rPr>
      </w:pPr>
      <w:r w:rsidRPr="006145EF">
        <w:rPr>
          <w:szCs w:val="20"/>
        </w:rPr>
        <w:lastRenderedPageBreak/>
        <w:t xml:space="preserve">Las consideraciones preliminares dicen relación, por una parte, con el sentido y alcance de este voto y por la otra, con aspectos procesales en el marco en que se formula. </w:t>
      </w:r>
    </w:p>
    <w:p w:rsidR="007E3DB6" w:rsidRPr="006145EF" w:rsidRDefault="007E3DB6" w:rsidP="005D3491">
      <w:pPr>
        <w:numPr>
          <w:ilvl w:val="0"/>
          <w:numId w:val="25"/>
        </w:numPr>
        <w:spacing w:after="200" w:line="276" w:lineRule="auto"/>
        <w:rPr>
          <w:szCs w:val="20"/>
        </w:rPr>
      </w:pPr>
      <w:r w:rsidRPr="006145EF">
        <w:rPr>
          <w:b/>
          <w:szCs w:val="20"/>
        </w:rPr>
        <w:t>Sentido y alcance del voto individual</w:t>
      </w:r>
      <w:r w:rsidRPr="006145EF">
        <w:rPr>
          <w:szCs w:val="20"/>
        </w:rPr>
        <w:t xml:space="preserve">. </w:t>
      </w:r>
    </w:p>
    <w:p w:rsidR="007E3DB6" w:rsidRPr="006145EF" w:rsidRDefault="007E3DB6" w:rsidP="007E3DB6">
      <w:pPr>
        <w:spacing w:after="240"/>
        <w:rPr>
          <w:rFonts w:cs="Calibri"/>
          <w:szCs w:val="20"/>
        </w:rPr>
      </w:pPr>
      <w:r w:rsidRPr="006145EF">
        <w:rPr>
          <w:szCs w:val="20"/>
        </w:rPr>
        <w:t>En lo que atañe al primer aspecto, procede indicar que, habida</w:t>
      </w:r>
      <w:r w:rsidRPr="006145EF">
        <w:rPr>
          <w:rFonts w:cs="Calibri"/>
          <w:szCs w:val="20"/>
        </w:rPr>
        <w:t xml:space="preserve"> cuenta a lo dispuesto en el artículo 66.2 del Reglamento de la Corte</w:t>
      </w:r>
      <w:r w:rsidRPr="006145EF">
        <w:rPr>
          <w:rStyle w:val="FootnoteReference"/>
          <w:rFonts w:cs="Calibri"/>
          <w:szCs w:val="20"/>
        </w:rPr>
        <w:footnoteReference w:id="275"/>
      </w:r>
      <w:r w:rsidRPr="006145EF">
        <w:rPr>
          <w:rFonts w:cs="Calibri"/>
          <w:szCs w:val="20"/>
        </w:rPr>
        <w:t>, en el presente voto se da cuenta única y exclusivamente de las razones por las que el suscrito considera que en la Sentencia se debía acoger la excepción preliminar sobre la falta del previo agotamiento de los recursos internos formulada por el Estado y, por ende, que debía abstenerse de pronunciarse sobre el fondo de la causa. Por tanto, el presente voto se refiere, en lo fundamental, al punto resolutivo Nº 1 de la Sentencia.</w:t>
      </w:r>
    </w:p>
    <w:p w:rsidR="007E3DB6" w:rsidRPr="006145EF" w:rsidRDefault="007E3DB6" w:rsidP="007E3DB6">
      <w:pPr>
        <w:spacing w:after="240"/>
        <w:rPr>
          <w:szCs w:val="20"/>
        </w:rPr>
      </w:pPr>
      <w:r w:rsidRPr="006145EF">
        <w:rPr>
          <w:szCs w:val="20"/>
        </w:rPr>
        <w:t>Obviamente y por la misma razón antes referida, no corresponde ponderar, en el presente voto, los actos posteriores a la petición y a la contestación de la misma por parte del Estado, es decir, lo que se alega durante la admisibilidad y más aún, ante la Corte. Y ello en mérito de que de lo que se trata en este documento es señalar las razones jurídicas por las que se discrepa de la Sentencia en lo referente al obligado de cumplir con la regla del previo agotamiento de los recursos internos y el momento que ello debe acaecer. De modo que toda referencia en este voto a los referidos actos posteriores lo es únicamente a los efectos de precisar mejor la tesis que se sustenta y en modo alguno importa entrar en el fondo del caso o una valorización de aquellos.</w:t>
      </w:r>
    </w:p>
    <w:p w:rsidR="007E3DB6" w:rsidRPr="006145EF" w:rsidRDefault="007E3DB6" w:rsidP="007E3DB6">
      <w:pPr>
        <w:spacing w:after="240"/>
        <w:rPr>
          <w:rFonts w:cs="Calibri"/>
          <w:szCs w:val="20"/>
        </w:rPr>
      </w:pPr>
      <w:r w:rsidRPr="006145EF">
        <w:rPr>
          <w:rFonts w:cs="Calibri"/>
          <w:szCs w:val="20"/>
        </w:rPr>
        <w:t>Sin perjuicio de lo anterior, se deja constancia que el suscrito, tal como lo ha hecho en otros casos,</w:t>
      </w:r>
      <w:r w:rsidRPr="006145EF">
        <w:rPr>
          <w:rStyle w:val="FootnoteReference"/>
          <w:rFonts w:cs="Calibri"/>
          <w:szCs w:val="20"/>
          <w:lang w:val="es-CR"/>
        </w:rPr>
        <w:footnoteReference w:id="276"/>
      </w:r>
      <w:r w:rsidRPr="006145EF">
        <w:rPr>
          <w:rFonts w:cs="Calibri"/>
          <w:szCs w:val="20"/>
        </w:rPr>
        <w:t xml:space="preserve"> ha participado tanto en el debate como en la votación que han tenido lugar en la respecto de cada uno de los puntos resolutivos de la Sentencia, pero </w:t>
      </w:r>
      <w:r w:rsidRPr="006145EF">
        <w:rPr>
          <w:rFonts w:cs="Calibri"/>
          <w:szCs w:val="20"/>
          <w:lang w:val="es-CR"/>
        </w:rPr>
        <w:t>sin emitir, empero, voto razonado en relación a cada uno de ellos.</w:t>
      </w:r>
    </w:p>
    <w:p w:rsidR="007E3DB6" w:rsidRPr="006145EF" w:rsidRDefault="007E3DB6" w:rsidP="007E3DB6">
      <w:pPr>
        <w:spacing w:after="240"/>
        <w:rPr>
          <w:rFonts w:cs="Calibri"/>
          <w:szCs w:val="20"/>
          <w:lang w:val="es-CR"/>
        </w:rPr>
      </w:pPr>
      <w:r w:rsidRPr="006145EF">
        <w:rPr>
          <w:rFonts w:cs="Calibri"/>
          <w:szCs w:val="20"/>
          <w:lang w:val="es-CR"/>
        </w:rPr>
        <w:t xml:space="preserve">Y es que, a la luz de lo dispuesto en el Reglamento de la Corte, la obligación de razonar el voto lo es exclusivamente para el evento de que el juez ejerza su derecho a unir tal voto a la sentencia. Por ende, esa obligación no abarca el evento de que el juez resuelva no unir su voto disidente al de la Sentencia. En el caso de autos, por ende, el suscrito ejerce su derecho de unir su voto disidente al de la Sentencia, exclusivamente respecto del aludido punto Nº 1 de la misma. </w:t>
      </w:r>
    </w:p>
    <w:p w:rsidR="007E3DB6" w:rsidRPr="006145EF" w:rsidRDefault="007E3DB6" w:rsidP="007E3DB6">
      <w:pPr>
        <w:spacing w:after="240"/>
        <w:rPr>
          <w:rFonts w:cs="Calibri"/>
          <w:szCs w:val="20"/>
          <w:lang w:val="es-CR"/>
        </w:rPr>
      </w:pPr>
      <w:r w:rsidRPr="006145EF">
        <w:rPr>
          <w:rFonts w:cs="Calibri"/>
          <w:szCs w:val="20"/>
          <w:lang w:val="es-CR"/>
        </w:rPr>
        <w:t>Ahora bien, sin perjuicio de lo señalado, se deja constancia que ha votado negativamente todos los demás puntos resolutivos de la Sentencia, salvo dos, en atención, por una parte, a que el suscrito respetuosamente considera que la negativa de la Corte a acoger la excepción interpuesta por el Estado configura, en sí y desde ya, un pronunciamiento acerca del fondo del caso y por la otra parte, a que estima, en consecuencia, que, de haberlos votado afirmativamente los aludidos puntos resolutivos, habría sido una inconsecuencia con su posición adoptada en cuanto a aceptar la excepción preliminar concerniente al incumplimiento de la regla del previo agotamiento de los recursos internos y que, por ende, no procedía pronunciarse sobre el fondo de la causa.</w:t>
      </w:r>
    </w:p>
    <w:p w:rsidR="007E3DB6" w:rsidRPr="006145EF" w:rsidRDefault="007E3DB6" w:rsidP="007E3DB6">
      <w:pPr>
        <w:spacing w:after="240"/>
        <w:rPr>
          <w:rFonts w:cs="Calibri"/>
          <w:szCs w:val="20"/>
          <w:lang w:val="es-CR"/>
        </w:rPr>
      </w:pPr>
      <w:r w:rsidRPr="006145EF">
        <w:rPr>
          <w:rFonts w:cs="Calibri"/>
          <w:szCs w:val="20"/>
          <w:lang w:val="es-CR"/>
        </w:rPr>
        <w:t>En lo que se refiere a los dos últimos puntos resolutivos de la Sentencia, esto es, los puntos Nos. 14 y 15, que el infrascrito ha votado afirmativamente, ha procedido así en mérito de que ellos dicen relación con aspectos procesales relativos al cumplimiento de la Sentencia, a saber, al informe del Estado sobre el cumplimiento del fallo y a la supervisión correspondiente.</w:t>
      </w:r>
    </w:p>
    <w:p w:rsidR="007E3DB6" w:rsidRPr="006145EF" w:rsidRDefault="007E3DB6" w:rsidP="007E3DB6">
      <w:pPr>
        <w:spacing w:after="240"/>
        <w:rPr>
          <w:rFonts w:cs="Calibri"/>
          <w:szCs w:val="20"/>
          <w:lang w:val="es-CR"/>
        </w:rPr>
      </w:pPr>
      <w:r w:rsidRPr="006145EF">
        <w:rPr>
          <w:rFonts w:cs="Calibri"/>
          <w:szCs w:val="20"/>
          <w:lang w:val="es-CR"/>
        </w:rPr>
        <w:lastRenderedPageBreak/>
        <w:t>Evidentemente, quién suscribe ha obrado en autos de conformidad con los principios de libertad y de independencia que deben imperar en el actuar de un juez, garantizados por la Convención, el Estatuto de la Corte y el Reglamento de la misma, los que no le imponen restricción alguna en cuanto a la razón que estime procedente para votar en conciencia, ni menos aún, al no prohibirle explicitar, si así lo desea, el espíritu que lo anima a proceder como al respecto lo hace.</w:t>
      </w:r>
      <w:r w:rsidRPr="006145EF">
        <w:rPr>
          <w:rStyle w:val="FootnoteReference"/>
          <w:rFonts w:cs="Calibri"/>
          <w:szCs w:val="20"/>
          <w:lang w:val="es-CR"/>
        </w:rPr>
        <w:footnoteReference w:id="277"/>
      </w:r>
      <w:r w:rsidRPr="006145EF">
        <w:rPr>
          <w:rFonts w:cs="Calibri"/>
          <w:szCs w:val="20"/>
          <w:lang w:val="es-CR"/>
        </w:rPr>
        <w:t xml:space="preserve"> </w:t>
      </w:r>
    </w:p>
    <w:p w:rsidR="007E3DB6" w:rsidRPr="006145EF" w:rsidRDefault="007E3DB6" w:rsidP="005D3491">
      <w:pPr>
        <w:numPr>
          <w:ilvl w:val="0"/>
          <w:numId w:val="25"/>
        </w:numPr>
        <w:spacing w:after="240" w:line="276" w:lineRule="auto"/>
        <w:rPr>
          <w:rFonts w:cs="Calibri"/>
          <w:b/>
          <w:szCs w:val="20"/>
          <w:lang w:val="es-CR"/>
        </w:rPr>
      </w:pPr>
      <w:r w:rsidRPr="006145EF">
        <w:rPr>
          <w:rFonts w:cs="Calibri"/>
          <w:b/>
          <w:szCs w:val="20"/>
          <w:lang w:val="es-CR"/>
        </w:rPr>
        <w:t>Aspectos procesales generales en los que se inserta el voto.</w:t>
      </w:r>
    </w:p>
    <w:p w:rsidR="007E3DB6" w:rsidRPr="006145EF" w:rsidRDefault="007E3DB6" w:rsidP="007E3DB6">
      <w:pPr>
        <w:rPr>
          <w:szCs w:val="20"/>
        </w:rPr>
      </w:pPr>
      <w:r w:rsidRPr="006145EF">
        <w:rPr>
          <w:szCs w:val="20"/>
          <w:lang w:val="es-CR"/>
        </w:rPr>
        <w:t>En lo que respecta a los a</w:t>
      </w:r>
      <w:r w:rsidRPr="006145EF">
        <w:rPr>
          <w:rFonts w:cs="Calibri"/>
          <w:szCs w:val="20"/>
          <w:lang w:val="es-CR"/>
        </w:rPr>
        <w:t>spectos procesales generales en los que se formula el voto, ellos son fundamentalmente dos.</w:t>
      </w:r>
      <w:r w:rsidRPr="006145EF">
        <w:rPr>
          <w:szCs w:val="20"/>
          <w:lang w:val="es-CR"/>
        </w:rPr>
        <w:t xml:space="preserve"> </w:t>
      </w:r>
      <w:r w:rsidRPr="006145EF">
        <w:rPr>
          <w:szCs w:val="20"/>
        </w:rPr>
        <w:t>Uno, relativo al rol de la Corte y el otro, acerca de la naturaleza de su propia jurisprudencia.</w:t>
      </w:r>
    </w:p>
    <w:p w:rsidR="007E3DB6" w:rsidRPr="006145EF" w:rsidRDefault="007E3DB6" w:rsidP="005D3491">
      <w:pPr>
        <w:numPr>
          <w:ilvl w:val="0"/>
          <w:numId w:val="26"/>
        </w:numPr>
        <w:spacing w:after="200" w:line="276" w:lineRule="auto"/>
        <w:rPr>
          <w:b/>
          <w:szCs w:val="20"/>
        </w:rPr>
      </w:pPr>
      <w:r w:rsidRPr="006145EF">
        <w:rPr>
          <w:b/>
          <w:szCs w:val="20"/>
        </w:rPr>
        <w:t>Rol de la Corte.</w:t>
      </w:r>
    </w:p>
    <w:p w:rsidR="007E3DB6" w:rsidRPr="006145EF" w:rsidRDefault="007E3DB6" w:rsidP="007E3DB6">
      <w:pPr>
        <w:spacing w:after="240"/>
        <w:rPr>
          <w:rFonts w:cs="Tahoma"/>
          <w:szCs w:val="20"/>
        </w:rPr>
      </w:pPr>
      <w:r w:rsidRPr="006145EF">
        <w:rPr>
          <w:rFonts w:cs="Calibri"/>
          <w:szCs w:val="20"/>
        </w:rPr>
        <w:t>Con respecto al rol de la Corte, cabe recordar que la Convención dispone, luego de señalar las entidades competentes para conocer los asuntos relativos al cumplimiento de los compromisos en ella establecidos</w:t>
      </w:r>
      <w:r w:rsidRPr="006145EF">
        <w:rPr>
          <w:rStyle w:val="FootnoteReference"/>
          <w:rFonts w:cs="Calibri"/>
          <w:szCs w:val="20"/>
        </w:rPr>
        <w:footnoteReference w:id="278"/>
      </w:r>
      <w:r w:rsidRPr="006145EF">
        <w:rPr>
          <w:rFonts w:cs="Calibri"/>
          <w:szCs w:val="20"/>
        </w:rPr>
        <w:t>, que</w:t>
      </w:r>
      <w:r w:rsidRPr="006145EF">
        <w:rPr>
          <w:rFonts w:cs="Calibri"/>
          <w:szCs w:val="20"/>
          <w:lang w:val="es-CR"/>
        </w:rPr>
        <w:t xml:space="preserve"> a la Corte le compete aplicar e interpretar la Convención en los casos que le son sometidos</w:t>
      </w:r>
      <w:r w:rsidRPr="006145EF">
        <w:rPr>
          <w:rStyle w:val="FootnoteReference"/>
          <w:rFonts w:cs="Calibri"/>
          <w:szCs w:val="20"/>
          <w:lang w:val="es-CR"/>
        </w:rPr>
        <w:footnoteReference w:id="279"/>
      </w:r>
      <w:r w:rsidRPr="006145EF">
        <w:rPr>
          <w:rFonts w:cs="Calibri"/>
          <w:szCs w:val="20"/>
          <w:lang w:val="es-CR"/>
        </w:rPr>
        <w:t>, función distinta a la de la Comisión, a la que le corresponde la promoción y defensa de los derechos humanos.</w:t>
      </w:r>
      <w:r w:rsidRPr="006145EF">
        <w:rPr>
          <w:rStyle w:val="FootnoteReference"/>
          <w:rFonts w:cs="Calibri"/>
          <w:szCs w:val="20"/>
          <w:lang w:val="es-CR"/>
        </w:rPr>
        <w:footnoteReference w:id="280"/>
      </w:r>
      <w:r w:rsidRPr="006145EF">
        <w:rPr>
          <w:rFonts w:cs="Calibri"/>
          <w:szCs w:val="20"/>
          <w:lang w:val="es-CR"/>
        </w:rPr>
        <w:t xml:space="preserve"> Así, entonces, mientras el rol</w:t>
      </w:r>
      <w:r w:rsidRPr="006145EF">
        <w:rPr>
          <w:rFonts w:cs="Tahoma"/>
          <w:szCs w:val="20"/>
        </w:rPr>
        <w:t xml:space="preserve"> de la Comisión es más bien diplomático o político, el de la Corte es netamente judicial.</w:t>
      </w:r>
    </w:p>
    <w:p w:rsidR="007E3DB6" w:rsidRPr="006145EF" w:rsidRDefault="007E3DB6" w:rsidP="007E3DB6">
      <w:pPr>
        <w:spacing w:after="240"/>
        <w:rPr>
          <w:rFonts w:cs="Tahoma"/>
          <w:szCs w:val="20"/>
        </w:rPr>
      </w:pPr>
      <w:r w:rsidRPr="006145EF">
        <w:rPr>
          <w:rFonts w:cs="Tahoma"/>
          <w:szCs w:val="20"/>
        </w:rPr>
        <w:t xml:space="preserve">Por lo mismo, procede advertir que la Corte, al ejercer su función, lo debe hacer considerando que debe aplicar e interpretar un tratado, es decir, de acuerdo a las normas de interpretación correspondientes, lo que implica determinar la voluntad de los Estados partes del mismo, empleando simultáneamente y con la misma significación, la </w:t>
      </w:r>
      <w:r w:rsidRPr="006145EF">
        <w:rPr>
          <w:rFonts w:cs="Tahoma"/>
          <w:szCs w:val="20"/>
        </w:rPr>
        <w:lastRenderedPageBreak/>
        <w:t>buena fe, el sentido corriente de sus términos, el contexto de éstos y el objeto y fin del tratado</w:t>
      </w:r>
      <w:r w:rsidRPr="006145EF">
        <w:rPr>
          <w:rStyle w:val="FootnoteReference"/>
          <w:rFonts w:cs="Tahoma"/>
          <w:szCs w:val="20"/>
        </w:rPr>
        <w:footnoteReference w:id="281"/>
      </w:r>
      <w:r w:rsidRPr="006145EF">
        <w:rPr>
          <w:rFonts w:cs="Tahoma"/>
          <w:szCs w:val="20"/>
        </w:rPr>
        <w:t xml:space="preserve">, todo ello a los efectos de efectivamente solucionar el conflicto de que se trate, esto es, según las características o circunstancias que él presente al momento en que es sometido a la Corte. En ese sentido, de lo que se trata no es lo que el intérprete desee, sino de precisar </w:t>
      </w:r>
      <w:proofErr w:type="spellStart"/>
      <w:r w:rsidRPr="006145EF">
        <w:rPr>
          <w:rFonts w:cs="Tahoma"/>
          <w:szCs w:val="20"/>
        </w:rPr>
        <w:t>cual</w:t>
      </w:r>
      <w:proofErr w:type="spellEnd"/>
      <w:r w:rsidRPr="006145EF">
        <w:rPr>
          <w:rFonts w:cs="Tahoma"/>
          <w:szCs w:val="20"/>
        </w:rPr>
        <w:t xml:space="preserve"> es la voluntad de los Estados Partes de la Convención frente a una situación determinada o cual sería si ésta no ha sido del todo prevista en la norma, considerada como algo vivo, realmente útil, adaptable a las siempre cambiantes y nuevas circunstancias sociales, interpretación evolutiva o desarrollo progresivo del Derecho Internacional que se logra aplicando lo previsto en el numeral 3 del artículo 31 de la Convención de Viena sobre el Derecho de los Tratados.</w:t>
      </w:r>
      <w:r w:rsidRPr="006145EF">
        <w:rPr>
          <w:rStyle w:val="FootnoteReference"/>
          <w:rFonts w:cs="Tahoma"/>
          <w:szCs w:val="20"/>
        </w:rPr>
        <w:footnoteReference w:id="282"/>
      </w:r>
    </w:p>
    <w:p w:rsidR="007E3DB6" w:rsidRPr="006145EF" w:rsidRDefault="007E3DB6" w:rsidP="007E3DB6">
      <w:pPr>
        <w:spacing w:after="240"/>
        <w:rPr>
          <w:rFonts w:cs="Calibri"/>
          <w:szCs w:val="20"/>
        </w:rPr>
      </w:pPr>
      <w:r w:rsidRPr="006145EF">
        <w:rPr>
          <w:rFonts w:cs="Tahoma"/>
          <w:szCs w:val="20"/>
        </w:rPr>
        <w:t>Indudablemente que, en tanto institución judicial, la Corte, al cumplir tal misión, “</w:t>
      </w:r>
      <w:r w:rsidRPr="006145EF">
        <w:rPr>
          <w:rFonts w:cs="Calibri"/>
          <w:i/>
          <w:szCs w:val="20"/>
        </w:rPr>
        <w:t>debe guardar un justo equilibrio entre la protección de los derechos humanos, fin último del Sistema, y la seguridad jurídica y equidad procesal que aseguran la estabilidad y confiabilidad de la tutela internacional”.</w:t>
      </w:r>
      <w:r w:rsidRPr="006145EF">
        <w:rPr>
          <w:rStyle w:val="FootnoteReference"/>
          <w:rFonts w:cs="Calibri"/>
          <w:szCs w:val="20"/>
        </w:rPr>
        <w:footnoteReference w:id="283"/>
      </w:r>
      <w:r w:rsidRPr="006145EF">
        <w:rPr>
          <w:rFonts w:cs="Calibri"/>
          <w:szCs w:val="20"/>
          <w:lang w:val="es-CR"/>
        </w:rPr>
        <w:t xml:space="preserve"> Y es por el mismo motivo que </w:t>
      </w:r>
      <w:r w:rsidRPr="006145EF">
        <w:rPr>
          <w:rFonts w:cs="Calibri"/>
          <w:szCs w:val="20"/>
        </w:rPr>
        <w:t>“</w:t>
      </w:r>
      <w:r w:rsidRPr="006145EF">
        <w:rPr>
          <w:rFonts w:cs="Calibri"/>
          <w:i/>
          <w:szCs w:val="20"/>
        </w:rPr>
        <w:t>la tolerancia de</w:t>
      </w:r>
      <w:r w:rsidRPr="006145EF">
        <w:rPr>
          <w:rFonts w:cs="Calibri"/>
          <w:szCs w:val="20"/>
        </w:rPr>
        <w:t xml:space="preserve"> ‘</w:t>
      </w:r>
      <w:r w:rsidRPr="006145EF">
        <w:rPr>
          <w:rFonts w:cs="Calibri"/>
          <w:i/>
          <w:szCs w:val="20"/>
        </w:rPr>
        <w:t xml:space="preserve">infracciones manifiestas a las reglas procedimentales establecidas en la propia Convención </w:t>
      </w:r>
      <w:r w:rsidRPr="006145EF">
        <w:rPr>
          <w:rFonts w:cs="Calibri"/>
          <w:szCs w:val="20"/>
        </w:rPr>
        <w:t>(y se debe agregar, en los Reglamentos de la Corte y de la Comisión)</w:t>
      </w:r>
      <w:r w:rsidRPr="006145EF">
        <w:rPr>
          <w:rFonts w:cs="Calibri"/>
          <w:i/>
          <w:szCs w:val="20"/>
        </w:rPr>
        <w:t>, acarrearía la pérdida de la autoridad y credibilidad indispensables en los órganos encargados de administrar el sistema de protección de derechos humanos</w:t>
      </w:r>
      <w:r w:rsidRPr="006145EF">
        <w:rPr>
          <w:rFonts w:cs="Calibri"/>
          <w:szCs w:val="20"/>
        </w:rPr>
        <w:t>”.</w:t>
      </w:r>
      <w:r w:rsidRPr="006145EF">
        <w:rPr>
          <w:rStyle w:val="FootnoteReference"/>
          <w:rFonts w:cs="Calibri"/>
          <w:szCs w:val="20"/>
        </w:rPr>
        <w:footnoteReference w:id="284"/>
      </w:r>
    </w:p>
    <w:p w:rsidR="007E3DB6" w:rsidRPr="006145EF" w:rsidRDefault="007E3DB6" w:rsidP="007E3DB6">
      <w:pPr>
        <w:spacing w:after="240"/>
        <w:rPr>
          <w:rFonts w:cs="Calibri"/>
          <w:szCs w:val="20"/>
        </w:rPr>
      </w:pPr>
      <w:r w:rsidRPr="006145EF">
        <w:rPr>
          <w:rFonts w:cs="Tahoma"/>
          <w:szCs w:val="20"/>
        </w:rPr>
        <w:t>Por otra parte, no debe omitirse tampoco que la Corte, en ejercicio de su función judicial, no debe invadir ni la función ejecutiva</w:t>
      </w:r>
      <w:r w:rsidRPr="006145EF">
        <w:rPr>
          <w:rStyle w:val="FootnoteReference"/>
          <w:rFonts w:cs="Tahoma"/>
          <w:szCs w:val="20"/>
        </w:rPr>
        <w:footnoteReference w:id="285"/>
      </w:r>
      <w:r w:rsidRPr="006145EF">
        <w:rPr>
          <w:rFonts w:cs="Tahoma"/>
          <w:szCs w:val="20"/>
        </w:rPr>
        <w:t xml:space="preserve"> ni la normativa</w:t>
      </w:r>
      <w:r w:rsidRPr="006145EF">
        <w:rPr>
          <w:rStyle w:val="FootnoteReference"/>
          <w:rFonts w:cs="Tahoma"/>
          <w:szCs w:val="20"/>
        </w:rPr>
        <w:footnoteReference w:id="286"/>
      </w:r>
      <w:r w:rsidRPr="006145EF">
        <w:rPr>
          <w:rFonts w:cs="Tahoma"/>
          <w:szCs w:val="20"/>
        </w:rPr>
        <w:t xml:space="preserve">, ambas reservadas a los </w:t>
      </w:r>
      <w:r w:rsidRPr="006145EF">
        <w:rPr>
          <w:rFonts w:cs="Tahoma"/>
          <w:szCs w:val="20"/>
        </w:rPr>
        <w:lastRenderedPageBreak/>
        <w:t>Estados.</w:t>
      </w:r>
      <w:r w:rsidRPr="006145EF">
        <w:rPr>
          <w:rStyle w:val="FootnoteReference"/>
          <w:rFonts w:cs="Tahoma"/>
          <w:szCs w:val="20"/>
        </w:rPr>
        <w:footnoteReference w:id="287"/>
      </w:r>
      <w:r w:rsidRPr="006145EF">
        <w:rPr>
          <w:rFonts w:cs="Tahoma"/>
          <w:szCs w:val="20"/>
        </w:rPr>
        <w:t xml:space="preserve"> En tal perspectiva, la Corte, en tanto institución de derecho público, solo puede hacer lo que la norma le permite.</w:t>
      </w:r>
    </w:p>
    <w:p w:rsidR="007E3DB6" w:rsidRPr="006145EF" w:rsidRDefault="007E3DB6" w:rsidP="007E3DB6">
      <w:pPr>
        <w:spacing w:after="240"/>
        <w:rPr>
          <w:rFonts w:cs="Calibri"/>
          <w:szCs w:val="20"/>
          <w:lang w:val="es-CR"/>
        </w:rPr>
      </w:pPr>
      <w:r w:rsidRPr="006145EF">
        <w:rPr>
          <w:rFonts w:cs="Calibri"/>
          <w:szCs w:val="20"/>
        </w:rPr>
        <w:t xml:space="preserve">Finalmente, es pertinente resaltar que </w:t>
      </w:r>
      <w:r w:rsidRPr="006145EF">
        <w:rPr>
          <w:rFonts w:cs="Tahoma"/>
          <w:szCs w:val="20"/>
        </w:rPr>
        <w:t>el desempeño de la Corte está, por ende, condicionado, no solo por los principios que deben inspirar a todo tribunal, tales como el de imparcialidad, independencia, objetividad e igualdad procesal de las partes, sino también y fundamentalmente por el imperativo de</w:t>
      </w:r>
      <w:r w:rsidRPr="006145EF">
        <w:rPr>
          <w:rFonts w:cs="Calibri"/>
          <w:szCs w:val="20"/>
        </w:rPr>
        <w:t xml:space="preserve"> </w:t>
      </w:r>
      <w:r w:rsidRPr="006145EF">
        <w:rPr>
          <w:rFonts w:cs="Calibri"/>
          <w:szCs w:val="20"/>
          <w:lang w:val="es-CR"/>
        </w:rPr>
        <w:t xml:space="preserve">proceder con plena conciencia de que, en tanto entidad autónoma e independiente, no tiene autoridad superior que la controle, lo que supone que, haciendo honor a la alta función que se le ha asignado, respete estrictamente los límites de esta última y permanezca y se desarrolle en el ámbito propio de una entidad jurisdiccional. </w:t>
      </w:r>
    </w:p>
    <w:p w:rsidR="007E3DB6" w:rsidRPr="006145EF" w:rsidRDefault="007E3DB6" w:rsidP="005D3491">
      <w:pPr>
        <w:pStyle w:val="NormalWeb"/>
        <w:numPr>
          <w:ilvl w:val="0"/>
          <w:numId w:val="26"/>
        </w:numPr>
        <w:spacing w:before="0" w:beforeAutospacing="0" w:after="240" w:afterAutospacing="0" w:line="276" w:lineRule="auto"/>
        <w:ind w:right="75"/>
        <w:jc w:val="both"/>
        <w:rPr>
          <w:rFonts w:cs="Tahoma"/>
          <w:b/>
          <w:color w:val="auto"/>
          <w:sz w:val="20"/>
          <w:szCs w:val="20"/>
          <w:lang w:val="es-ES"/>
        </w:rPr>
      </w:pPr>
      <w:r w:rsidRPr="006145EF">
        <w:rPr>
          <w:b/>
          <w:color w:val="auto"/>
          <w:sz w:val="20"/>
          <w:szCs w:val="20"/>
          <w:lang w:val="es-ES"/>
        </w:rPr>
        <w:t>Naturaleza de la jurisprudencia de la Corte.</w:t>
      </w:r>
    </w:p>
    <w:p w:rsidR="007E3DB6" w:rsidRPr="006145EF" w:rsidRDefault="007E3DB6" w:rsidP="007E3DB6">
      <w:pPr>
        <w:pStyle w:val="NormalWeb"/>
        <w:spacing w:before="90" w:beforeAutospacing="0" w:after="240" w:afterAutospacing="0" w:line="276" w:lineRule="auto"/>
        <w:ind w:right="75"/>
        <w:jc w:val="both"/>
        <w:rPr>
          <w:color w:val="auto"/>
          <w:sz w:val="20"/>
          <w:szCs w:val="20"/>
          <w:lang w:val="es-ES"/>
        </w:rPr>
      </w:pPr>
      <w:r w:rsidRPr="006145EF">
        <w:rPr>
          <w:color w:val="auto"/>
          <w:sz w:val="20"/>
          <w:szCs w:val="20"/>
          <w:lang w:val="es-ES"/>
        </w:rPr>
        <w:t>Siendo la Corte, entonces, una entidad judicial creada por la Convención para, precisamente, aplicarla e interpretarla en los casos que le sean sometidos a su conocimiento, la fuerza vinculante de sus sentencias está determinada por lo dispuesto en dicho tratado.</w:t>
      </w:r>
    </w:p>
    <w:p w:rsidR="007E3DB6" w:rsidRPr="006145EF" w:rsidRDefault="007E3DB6" w:rsidP="007E3DB6">
      <w:pPr>
        <w:pStyle w:val="NormalWeb"/>
        <w:spacing w:before="0" w:beforeAutospacing="0" w:after="240" w:afterAutospacing="0" w:line="276" w:lineRule="auto"/>
        <w:ind w:right="75"/>
        <w:jc w:val="both"/>
        <w:rPr>
          <w:color w:val="auto"/>
          <w:sz w:val="20"/>
          <w:szCs w:val="20"/>
          <w:lang w:val="es-ES"/>
        </w:rPr>
      </w:pPr>
      <w:r w:rsidRPr="006145EF">
        <w:rPr>
          <w:color w:val="auto"/>
          <w:sz w:val="20"/>
          <w:szCs w:val="20"/>
          <w:lang w:val="es-ES"/>
        </w:rPr>
        <w:t>Y al efecto, lo único que al respecto dispone la Convención es el compromiso de los Estados a cumplir las sentencias que emita la Corte en los casos en que son partes.</w:t>
      </w:r>
      <w:r w:rsidRPr="006145EF">
        <w:rPr>
          <w:rStyle w:val="FootnoteReference"/>
          <w:color w:val="auto"/>
          <w:sz w:val="20"/>
          <w:szCs w:val="20"/>
          <w:lang w:val="es-ES"/>
        </w:rPr>
        <w:footnoteReference w:id="288"/>
      </w:r>
      <w:r w:rsidRPr="006145EF">
        <w:rPr>
          <w:color w:val="auto"/>
          <w:sz w:val="20"/>
          <w:szCs w:val="20"/>
          <w:lang w:val="es-ES"/>
        </w:rPr>
        <w:t xml:space="preserve"> </w:t>
      </w:r>
    </w:p>
    <w:p w:rsidR="007E3DB6" w:rsidRPr="006145EF" w:rsidRDefault="007E3DB6" w:rsidP="007E3DB6">
      <w:pPr>
        <w:pStyle w:val="NormalWeb"/>
        <w:spacing w:before="0" w:beforeAutospacing="0" w:after="120" w:afterAutospacing="0" w:line="276" w:lineRule="auto"/>
        <w:jc w:val="both"/>
        <w:rPr>
          <w:rFonts w:cs="Calibri"/>
          <w:color w:val="auto"/>
          <w:sz w:val="20"/>
          <w:szCs w:val="20"/>
          <w:lang w:val="es-ES"/>
        </w:rPr>
      </w:pPr>
      <w:r w:rsidRPr="006145EF">
        <w:rPr>
          <w:color w:val="auto"/>
          <w:sz w:val="20"/>
          <w:szCs w:val="20"/>
          <w:lang w:val="es-ES"/>
        </w:rPr>
        <w:t xml:space="preserve">Se debe concluir, por tanto, </w:t>
      </w:r>
      <w:r w:rsidRPr="006145EF">
        <w:rPr>
          <w:rFonts w:cs="Calibri"/>
          <w:color w:val="auto"/>
          <w:sz w:val="20"/>
          <w:szCs w:val="20"/>
          <w:lang w:val="es-ES"/>
        </w:rPr>
        <w:t>que la Convención no ha variado en relación a la regla general del Derecho Internacional en cuanto a que las sentencias de la Corte son obligatorias únicamente para tales Estados</w:t>
      </w:r>
      <w:r w:rsidRPr="006145EF">
        <w:rPr>
          <w:rStyle w:val="FootnoteReference"/>
          <w:rFonts w:cs="Calibri"/>
          <w:color w:val="auto"/>
          <w:sz w:val="20"/>
          <w:szCs w:val="20"/>
          <w:lang w:val="es-ES"/>
        </w:rPr>
        <w:footnoteReference w:id="289"/>
      </w:r>
      <w:r w:rsidRPr="006145EF">
        <w:rPr>
          <w:rFonts w:cs="Calibri"/>
          <w:color w:val="auto"/>
          <w:sz w:val="20"/>
          <w:szCs w:val="20"/>
          <w:lang w:val="es-ES"/>
        </w:rPr>
        <w:t xml:space="preserve"> y que es fuente auxiliar del derecho </w:t>
      </w:r>
      <w:r w:rsidRPr="006145EF">
        <w:rPr>
          <w:rFonts w:cs="Calibri"/>
          <w:color w:val="auto"/>
          <w:sz w:val="20"/>
          <w:szCs w:val="20"/>
          <w:lang w:val="es-ES"/>
        </w:rPr>
        <w:lastRenderedPageBreak/>
        <w:t>internacional público, es decir, un “</w:t>
      </w:r>
      <w:r w:rsidRPr="006145EF">
        <w:rPr>
          <w:rFonts w:cs="Calibri"/>
          <w:i/>
          <w:color w:val="auto"/>
          <w:sz w:val="20"/>
          <w:szCs w:val="20"/>
          <w:lang w:val="es-ES"/>
        </w:rPr>
        <w:t>medio auxiliar para la determinación de las reglas de derecho</w:t>
      </w:r>
      <w:r w:rsidRPr="006145EF">
        <w:rPr>
          <w:rFonts w:cs="Calibri"/>
          <w:color w:val="auto"/>
          <w:sz w:val="20"/>
          <w:szCs w:val="20"/>
          <w:lang w:val="es-ES"/>
        </w:rPr>
        <w:t>”.</w:t>
      </w:r>
      <w:r w:rsidRPr="006145EF">
        <w:rPr>
          <w:rStyle w:val="FootnoteReference"/>
          <w:rFonts w:cs="Calibri"/>
          <w:color w:val="auto"/>
          <w:sz w:val="20"/>
          <w:szCs w:val="20"/>
          <w:lang w:val="es-ES"/>
        </w:rPr>
        <w:footnoteReference w:id="290"/>
      </w:r>
    </w:p>
    <w:p w:rsidR="007E3DB6" w:rsidRPr="006145EF" w:rsidRDefault="007E3DB6" w:rsidP="007E3DB6">
      <w:pPr>
        <w:pStyle w:val="NormalWeb"/>
        <w:spacing w:before="0" w:beforeAutospacing="0" w:after="120" w:afterAutospacing="0" w:line="276" w:lineRule="auto"/>
        <w:ind w:right="75"/>
        <w:jc w:val="both"/>
        <w:rPr>
          <w:color w:val="auto"/>
          <w:sz w:val="20"/>
          <w:szCs w:val="20"/>
          <w:lang w:val="es-ES"/>
        </w:rPr>
      </w:pPr>
      <w:r w:rsidRPr="006145EF">
        <w:rPr>
          <w:rFonts w:cs="Calibri"/>
          <w:color w:val="auto"/>
          <w:sz w:val="20"/>
          <w:szCs w:val="20"/>
          <w:lang w:val="es-ES"/>
        </w:rPr>
        <w:t xml:space="preserve">Lo anterior importa, por tanto, por una parte, que la jurisprudencia de la Corte no es una fuente autónoma del Derecho Internacional, es decir, debe necesariamente referirse a la noma convencional pertinente, para aplicarla e interpretarla y, por ende, no basta por sí sola para resolver una controversia y por la otra parte, que ella obviamente no es inmutable, es decir, puede ser cambiada por la propia Corte, </w:t>
      </w:r>
      <w:proofErr w:type="spellStart"/>
      <w:r w:rsidRPr="006145EF">
        <w:rPr>
          <w:rFonts w:cs="Calibri"/>
          <w:color w:val="auto"/>
          <w:sz w:val="20"/>
          <w:szCs w:val="20"/>
          <w:lang w:val="es-ES"/>
        </w:rPr>
        <w:t>aún</w:t>
      </w:r>
      <w:proofErr w:type="spellEnd"/>
      <w:r w:rsidRPr="006145EF">
        <w:rPr>
          <w:rFonts w:cs="Calibri"/>
          <w:color w:val="auto"/>
          <w:sz w:val="20"/>
          <w:szCs w:val="20"/>
          <w:lang w:val="es-ES"/>
        </w:rPr>
        <w:t xml:space="preserve"> cuando sea constante o se encuentre suficiente consolidada y ello especialmente en consideración a las peculiaridades del caso de que se trate y al desarrollo progresivo del Derecho Internacional.</w:t>
      </w:r>
    </w:p>
    <w:p w:rsidR="007E3DB6" w:rsidRPr="006145EF" w:rsidRDefault="007E3DB6" w:rsidP="005D3491">
      <w:pPr>
        <w:numPr>
          <w:ilvl w:val="0"/>
          <w:numId w:val="24"/>
        </w:numPr>
        <w:spacing w:after="240" w:line="276" w:lineRule="auto"/>
        <w:rPr>
          <w:rFonts w:cs="Calibri"/>
          <w:b/>
          <w:szCs w:val="20"/>
          <w:lang w:val="es-CR"/>
        </w:rPr>
      </w:pPr>
      <w:r w:rsidRPr="006145EF">
        <w:rPr>
          <w:rFonts w:cs="Calibri"/>
          <w:b/>
          <w:szCs w:val="20"/>
          <w:lang w:val="es-CR"/>
        </w:rPr>
        <w:t>NORMA CONVENCIONAL CONCERNIENTE A LA REGLA DEL PREVIO AGOTAMIENTO DE LOS RECURSOS INTERNOS.</w:t>
      </w:r>
    </w:p>
    <w:p w:rsidR="007E3DB6" w:rsidRPr="006145EF" w:rsidRDefault="007E3DB6" w:rsidP="007E3DB6">
      <w:pPr>
        <w:spacing w:after="240"/>
        <w:rPr>
          <w:rFonts w:cs="Calibri"/>
          <w:szCs w:val="20"/>
          <w:lang w:val="es-CR"/>
        </w:rPr>
      </w:pPr>
      <w:r w:rsidRPr="006145EF">
        <w:rPr>
          <w:rFonts w:cs="Calibri"/>
          <w:szCs w:val="20"/>
          <w:lang w:val="es-CR"/>
        </w:rPr>
        <w:t>En esta parte del presente escrito, se reiterarán y complementarán, con ciertas modificaciones, algunas observaciones generales antes realizadas</w:t>
      </w:r>
      <w:r w:rsidRPr="006145EF">
        <w:rPr>
          <w:rStyle w:val="FootnoteReference"/>
          <w:rFonts w:cs="Calibri"/>
          <w:szCs w:val="20"/>
          <w:lang w:val="es-CR"/>
        </w:rPr>
        <w:footnoteReference w:id="291"/>
      </w:r>
      <w:r w:rsidRPr="006145EF">
        <w:rPr>
          <w:rFonts w:cs="Calibri"/>
          <w:szCs w:val="20"/>
          <w:lang w:val="es-CR"/>
        </w:rPr>
        <w:t xml:space="preserve"> sobre la regla en comento y el procedimiento que se debe seguir al respecto, esto es, en cuanto a la petición, su estudio y trámite inicial por parte de la Comisión, la respuesta del Estado a ella, su admisibilidad y el pronunciamiento que le corresponde a la Corte, para concluir con las consecuencias que se derivarían de considerar a la regla del previo agotamiento de los recursos internos como requisito de la admisibilidad y no de la petición, todo lo cual conduce a estimar que la citada regla debe ser cumplida por el peticionario en forma previa a la petición o bien ésta debe señalar su improcedencia.</w:t>
      </w:r>
    </w:p>
    <w:p w:rsidR="007E3DB6" w:rsidRPr="006145EF" w:rsidRDefault="007E3DB6" w:rsidP="005D3491">
      <w:pPr>
        <w:numPr>
          <w:ilvl w:val="0"/>
          <w:numId w:val="27"/>
        </w:numPr>
        <w:spacing w:after="240" w:line="276" w:lineRule="auto"/>
        <w:rPr>
          <w:rFonts w:cs="Calibri"/>
          <w:b/>
          <w:szCs w:val="20"/>
          <w:lang w:val="es-CR"/>
        </w:rPr>
      </w:pPr>
      <w:r w:rsidRPr="006145EF">
        <w:rPr>
          <w:rFonts w:cs="Calibri"/>
          <w:b/>
          <w:szCs w:val="20"/>
        </w:rPr>
        <w:t>Observaciones generales.</w:t>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cs="Calibri"/>
          <w:color w:val="auto"/>
          <w:sz w:val="20"/>
          <w:szCs w:val="20"/>
          <w:lang w:val="es-ES"/>
        </w:rPr>
        <w:t xml:space="preserve">El artículo 46 de la Convención consagra la regla del previo agotamiento de los recursos internos al disponer que: </w:t>
      </w:r>
    </w:p>
    <w:p w:rsidR="007E3DB6" w:rsidRPr="006145EF" w:rsidRDefault="007E3DB6" w:rsidP="007E3DB6">
      <w:pPr>
        <w:pStyle w:val="NormalWeb"/>
        <w:spacing w:before="0" w:beforeAutospacing="0" w:after="120" w:afterAutospacing="0" w:line="276" w:lineRule="auto"/>
        <w:ind w:left="567"/>
        <w:jc w:val="both"/>
        <w:rPr>
          <w:rFonts w:cs="Calibri"/>
          <w:i/>
          <w:color w:val="auto"/>
          <w:sz w:val="20"/>
          <w:szCs w:val="20"/>
          <w:lang w:val="es-ES"/>
        </w:rPr>
      </w:pPr>
      <w:r w:rsidRPr="006145EF">
        <w:rPr>
          <w:rFonts w:cs="Calibri"/>
          <w:i/>
          <w:color w:val="auto"/>
          <w:sz w:val="20"/>
          <w:szCs w:val="20"/>
          <w:lang w:val="es-ES"/>
        </w:rPr>
        <w:t xml:space="preserve">“1. Para que una petición o comunicación presentada conforme a los artículos 44 </w:t>
      </w:r>
      <w:proofErr w:type="spellStart"/>
      <w:r w:rsidRPr="006145EF">
        <w:rPr>
          <w:rFonts w:cs="Calibri"/>
          <w:i/>
          <w:color w:val="auto"/>
          <w:sz w:val="20"/>
          <w:szCs w:val="20"/>
          <w:lang w:val="es-ES"/>
        </w:rPr>
        <w:t>ó</w:t>
      </w:r>
      <w:proofErr w:type="spellEnd"/>
      <w:r w:rsidRPr="006145EF">
        <w:rPr>
          <w:rFonts w:cs="Calibri"/>
          <w:i/>
          <w:color w:val="auto"/>
          <w:sz w:val="20"/>
          <w:szCs w:val="20"/>
          <w:lang w:val="es-ES"/>
        </w:rPr>
        <w:t xml:space="preserve"> 45 sea admitida por la Comisión, se requerirá:</w:t>
      </w:r>
    </w:p>
    <w:p w:rsidR="007E3DB6" w:rsidRPr="006145EF" w:rsidRDefault="007E3DB6" w:rsidP="007E3DB6">
      <w:pPr>
        <w:pStyle w:val="NormalWeb"/>
        <w:spacing w:before="0" w:beforeAutospacing="0" w:after="120" w:afterAutospacing="0" w:line="276" w:lineRule="auto"/>
        <w:ind w:left="567"/>
        <w:jc w:val="both"/>
        <w:rPr>
          <w:rFonts w:cs="Calibri"/>
          <w:i/>
          <w:color w:val="auto"/>
          <w:sz w:val="20"/>
          <w:szCs w:val="20"/>
          <w:lang w:val="es-ES"/>
        </w:rPr>
      </w:pPr>
      <w:r w:rsidRPr="006145EF">
        <w:rPr>
          <w:rFonts w:cs="Calibri"/>
          <w:i/>
          <w:color w:val="auto"/>
          <w:sz w:val="20"/>
          <w:szCs w:val="20"/>
          <w:lang w:val="es-ES"/>
        </w:rPr>
        <w:t>a) que se hayan interpuesto y agotado los recursos de jurisdicción interna, conforme a los principios del Derecho Internacional generalmente reconocidos;</w:t>
      </w:r>
    </w:p>
    <w:p w:rsidR="007E3DB6" w:rsidRPr="006145EF" w:rsidRDefault="007E3DB6" w:rsidP="007E3DB6">
      <w:pPr>
        <w:pStyle w:val="NormalWeb"/>
        <w:spacing w:before="0" w:beforeAutospacing="0" w:after="120" w:afterAutospacing="0" w:line="276" w:lineRule="auto"/>
        <w:ind w:left="567"/>
        <w:jc w:val="both"/>
        <w:rPr>
          <w:rFonts w:cs="Calibri"/>
          <w:i/>
          <w:color w:val="auto"/>
          <w:sz w:val="20"/>
          <w:szCs w:val="20"/>
          <w:lang w:val="es-ES"/>
        </w:rPr>
      </w:pPr>
      <w:r w:rsidRPr="006145EF">
        <w:rPr>
          <w:rFonts w:cs="Calibri"/>
          <w:i/>
          <w:color w:val="auto"/>
          <w:sz w:val="20"/>
          <w:szCs w:val="20"/>
          <w:lang w:val="es-ES"/>
        </w:rPr>
        <w:t>b) que sea presentada dentro del plazo de seis meses, a partir de la fecha en que el presunto lesionado en sus derechos haya sido notificado de la decisión definitiva;</w:t>
      </w:r>
    </w:p>
    <w:p w:rsidR="007E3DB6" w:rsidRPr="006145EF" w:rsidRDefault="007E3DB6" w:rsidP="007E3DB6">
      <w:pPr>
        <w:pStyle w:val="NormalWeb"/>
        <w:spacing w:before="0" w:beforeAutospacing="0" w:after="120" w:afterAutospacing="0" w:line="276" w:lineRule="auto"/>
        <w:ind w:left="567"/>
        <w:jc w:val="both"/>
        <w:rPr>
          <w:rFonts w:cs="Calibri"/>
          <w:i/>
          <w:color w:val="auto"/>
          <w:sz w:val="20"/>
          <w:szCs w:val="20"/>
          <w:lang w:val="es-ES"/>
        </w:rPr>
      </w:pPr>
      <w:r w:rsidRPr="006145EF">
        <w:rPr>
          <w:rFonts w:cs="Calibri"/>
          <w:i/>
          <w:color w:val="auto"/>
          <w:sz w:val="20"/>
          <w:szCs w:val="20"/>
          <w:lang w:val="es-ES"/>
        </w:rPr>
        <w:t xml:space="preserve">c) que la materia de la petición o comunicación no esté pendiente de otro procedimiento de arreglo internacional, y </w:t>
      </w:r>
    </w:p>
    <w:p w:rsidR="007E3DB6" w:rsidRPr="006145EF" w:rsidRDefault="007E3DB6" w:rsidP="007E3DB6">
      <w:pPr>
        <w:pStyle w:val="NormalWeb"/>
        <w:spacing w:before="0" w:beforeAutospacing="0" w:after="120" w:afterAutospacing="0" w:line="276" w:lineRule="auto"/>
        <w:ind w:left="567"/>
        <w:jc w:val="both"/>
        <w:rPr>
          <w:rFonts w:cs="Calibri"/>
          <w:i/>
          <w:color w:val="auto"/>
          <w:sz w:val="20"/>
          <w:szCs w:val="20"/>
          <w:lang w:val="es-ES"/>
        </w:rPr>
      </w:pPr>
      <w:r w:rsidRPr="006145EF">
        <w:rPr>
          <w:rFonts w:cs="Calibri"/>
          <w:i/>
          <w:color w:val="auto"/>
          <w:sz w:val="20"/>
          <w:szCs w:val="20"/>
          <w:lang w:val="es-ES"/>
        </w:rPr>
        <w:lastRenderedPageBreak/>
        <w:t>d) que en el caso del artículo 44 la petición contenga el nombre, la nacionalidad, la profesión, el domicilio y la firma de la persona o personas o del representante legal de la entidad que somete la petición.</w:t>
      </w:r>
    </w:p>
    <w:p w:rsidR="007E3DB6" w:rsidRPr="006145EF" w:rsidRDefault="007E3DB6" w:rsidP="007E3DB6">
      <w:pPr>
        <w:pStyle w:val="NormalWeb"/>
        <w:spacing w:before="0" w:beforeAutospacing="0" w:after="120" w:afterAutospacing="0" w:line="276" w:lineRule="auto"/>
        <w:ind w:left="567"/>
        <w:jc w:val="both"/>
        <w:rPr>
          <w:rFonts w:cs="Calibri"/>
          <w:i/>
          <w:color w:val="auto"/>
          <w:sz w:val="20"/>
          <w:szCs w:val="20"/>
          <w:lang w:val="es-ES"/>
        </w:rPr>
      </w:pPr>
      <w:r w:rsidRPr="006145EF">
        <w:rPr>
          <w:rFonts w:cs="Calibri"/>
          <w:i/>
          <w:color w:val="auto"/>
          <w:sz w:val="20"/>
          <w:szCs w:val="20"/>
          <w:lang w:val="es-ES"/>
        </w:rPr>
        <w:t xml:space="preserve">2. Las disposiciones de los incisos 1.a) y 1.b) del presente artículo no se aplicarán cuando: </w:t>
      </w:r>
    </w:p>
    <w:p w:rsidR="007E3DB6" w:rsidRPr="006145EF" w:rsidRDefault="007E3DB6" w:rsidP="007E3DB6">
      <w:pPr>
        <w:pStyle w:val="NormalWeb"/>
        <w:spacing w:before="0" w:beforeAutospacing="0" w:after="120" w:afterAutospacing="0" w:line="276" w:lineRule="auto"/>
        <w:ind w:left="567"/>
        <w:jc w:val="both"/>
        <w:rPr>
          <w:rFonts w:cs="Calibri"/>
          <w:i/>
          <w:color w:val="auto"/>
          <w:sz w:val="20"/>
          <w:szCs w:val="20"/>
          <w:lang w:val="es-ES"/>
        </w:rPr>
      </w:pPr>
      <w:r w:rsidRPr="006145EF">
        <w:rPr>
          <w:rFonts w:cs="Calibri"/>
          <w:i/>
          <w:color w:val="auto"/>
          <w:sz w:val="20"/>
          <w:szCs w:val="20"/>
          <w:lang w:val="es-ES"/>
        </w:rPr>
        <w:t xml:space="preserve">a) no exista en la legislación interna del Estado de que se trata el debido proceso legal para la protección del derecho o derechos que se alega han sido violados; </w:t>
      </w:r>
    </w:p>
    <w:p w:rsidR="007E3DB6" w:rsidRPr="006145EF" w:rsidRDefault="007E3DB6" w:rsidP="007E3DB6">
      <w:pPr>
        <w:pStyle w:val="NormalWeb"/>
        <w:spacing w:before="0" w:beforeAutospacing="0" w:after="120" w:afterAutospacing="0" w:line="276" w:lineRule="auto"/>
        <w:ind w:left="567"/>
        <w:jc w:val="both"/>
        <w:rPr>
          <w:rFonts w:cs="Calibri"/>
          <w:i/>
          <w:color w:val="auto"/>
          <w:sz w:val="20"/>
          <w:szCs w:val="20"/>
          <w:lang w:val="es-ES"/>
        </w:rPr>
      </w:pPr>
      <w:r w:rsidRPr="006145EF">
        <w:rPr>
          <w:rFonts w:cs="Calibri"/>
          <w:i/>
          <w:color w:val="auto"/>
          <w:sz w:val="20"/>
          <w:szCs w:val="20"/>
          <w:lang w:val="es-ES"/>
        </w:rPr>
        <w:t>b) no se haya permitido al presunto lesionado en sus derechos el acceso a los recursos de la jurisdicción interna, o haya sido impedido de agotarlos, y</w:t>
      </w:r>
    </w:p>
    <w:p w:rsidR="007E3DB6" w:rsidRPr="006145EF" w:rsidRDefault="007E3DB6" w:rsidP="007E3DB6">
      <w:pPr>
        <w:pStyle w:val="NormalWeb"/>
        <w:spacing w:before="0" w:beforeAutospacing="0" w:after="240" w:afterAutospacing="0" w:line="276" w:lineRule="auto"/>
        <w:ind w:left="567"/>
        <w:jc w:val="both"/>
        <w:rPr>
          <w:rFonts w:cs="Calibri"/>
          <w:i/>
          <w:color w:val="auto"/>
          <w:sz w:val="20"/>
          <w:szCs w:val="20"/>
          <w:lang w:val="es-ES"/>
        </w:rPr>
      </w:pPr>
      <w:r w:rsidRPr="006145EF">
        <w:rPr>
          <w:rFonts w:cs="Calibri"/>
          <w:i/>
          <w:color w:val="auto"/>
          <w:sz w:val="20"/>
          <w:szCs w:val="20"/>
          <w:lang w:val="es-ES"/>
        </w:rPr>
        <w:t xml:space="preserve">c) </w:t>
      </w:r>
      <w:proofErr w:type="gramStart"/>
      <w:r w:rsidRPr="006145EF">
        <w:rPr>
          <w:rFonts w:cs="Calibri"/>
          <w:i/>
          <w:color w:val="auto"/>
          <w:sz w:val="20"/>
          <w:szCs w:val="20"/>
          <w:lang w:val="es-ES"/>
        </w:rPr>
        <w:t>haya</w:t>
      </w:r>
      <w:proofErr w:type="gramEnd"/>
      <w:r w:rsidRPr="006145EF">
        <w:rPr>
          <w:rFonts w:cs="Calibri"/>
          <w:i/>
          <w:color w:val="auto"/>
          <w:sz w:val="20"/>
          <w:szCs w:val="20"/>
          <w:lang w:val="es-ES"/>
        </w:rPr>
        <w:t xml:space="preserve"> retardo injustificado en la decisión sobre los mencionados recursos.”</w:t>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cs="Calibri"/>
          <w:color w:val="auto"/>
          <w:sz w:val="20"/>
          <w:szCs w:val="20"/>
          <w:lang w:val="es-ES"/>
        </w:rPr>
        <w:t xml:space="preserve">Como primera observación, procede llamar la atención respecto de que esta norma es </w:t>
      </w:r>
      <w:hyperlink r:id="rId11" w:history="1">
        <w:r w:rsidRPr="006145EF">
          <w:rPr>
            <w:rStyle w:val="Hyperlink"/>
            <w:rFonts w:cs="Calibri"/>
            <w:i/>
            <w:color w:val="auto"/>
            <w:sz w:val="20"/>
            <w:szCs w:val="20"/>
            <w:shd w:val="clear" w:color="auto" w:fill="FFFFFF"/>
            <w:lang w:val="es-ES"/>
          </w:rPr>
          <w:t xml:space="preserve">sui </w:t>
        </w:r>
        <w:r w:rsidRPr="006145EF">
          <w:rPr>
            <w:rStyle w:val="Hyperlink"/>
            <w:rFonts w:cs="Calibri"/>
            <w:bCs/>
            <w:i/>
            <w:iCs/>
            <w:color w:val="auto"/>
            <w:sz w:val="20"/>
            <w:szCs w:val="20"/>
            <w:shd w:val="clear" w:color="auto" w:fill="FFFFFF"/>
            <w:lang w:val="es-ES"/>
          </w:rPr>
          <w:t>generis</w:t>
        </w:r>
      </w:hyperlink>
      <w:r w:rsidRPr="006145EF">
        <w:rPr>
          <w:rFonts w:cs="Calibri"/>
          <w:i/>
          <w:color w:val="auto"/>
          <w:sz w:val="20"/>
          <w:szCs w:val="20"/>
          <w:lang w:val="es-ES"/>
        </w:rPr>
        <w:t xml:space="preserve">, </w:t>
      </w:r>
      <w:r w:rsidRPr="006145EF">
        <w:rPr>
          <w:rFonts w:cs="Calibri"/>
          <w:color w:val="auto"/>
          <w:sz w:val="20"/>
          <w:szCs w:val="20"/>
          <w:lang w:val="es-ES"/>
        </w:rPr>
        <w:t>propia o exclusiva de la Convención. Efectivamente, ella no figura, por ejemplo, en los mismos términos en el Convenio para la Protección de los Derechos Humanos y de las Libertades Fundamentales o Convenio Europeo de Derechos Humanos</w:t>
      </w:r>
      <w:r w:rsidRPr="006145EF">
        <w:rPr>
          <w:rStyle w:val="FootnoteReference"/>
          <w:rFonts w:cs="Calibri"/>
          <w:color w:val="auto"/>
          <w:sz w:val="20"/>
          <w:szCs w:val="20"/>
        </w:rPr>
        <w:footnoteReference w:id="292"/>
      </w:r>
      <w:r w:rsidRPr="006145EF">
        <w:rPr>
          <w:rFonts w:cs="Calibri"/>
          <w:color w:val="auto"/>
          <w:sz w:val="20"/>
          <w:szCs w:val="20"/>
          <w:lang w:val="es-ES"/>
        </w:rPr>
        <w:t>, cuyo artículo 35 aborda el requisito del previo agotamiento de los recursos internos en forma más general y, además, no contempla las taxativas excepciones previstas en el artículo 46.2 de la Convención.</w:t>
      </w:r>
      <w:r w:rsidRPr="006145EF">
        <w:rPr>
          <w:rStyle w:val="FootnoteReference"/>
          <w:rFonts w:cs="Calibri"/>
          <w:color w:val="auto"/>
          <w:sz w:val="20"/>
          <w:szCs w:val="20"/>
        </w:rPr>
        <w:footnoteReference w:id="293"/>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cs="Calibri"/>
          <w:color w:val="auto"/>
          <w:sz w:val="20"/>
          <w:szCs w:val="20"/>
          <w:lang w:val="es-ES"/>
        </w:rPr>
        <w:t>Por otra parte, procede igualmente recalcar que el citado requisito está previsto en el mencionado Convenio para ser cumplido previamente al accionar ante el Tribunal Europeo de Derechos Humanos, es decir, un ente judicial, mientras que en el caso de la Convención está concebido para serlo antes de presentar la petición a la Comisión, vale decir, una entidad no judicial. Y ello es relevante en la medida en que esta última tiene la facultad de presentar casos ante la Corte.</w:t>
      </w:r>
      <w:r w:rsidRPr="006145EF">
        <w:rPr>
          <w:rStyle w:val="FootnoteReference"/>
          <w:rFonts w:cs="Calibri"/>
          <w:color w:val="auto"/>
          <w:sz w:val="20"/>
          <w:szCs w:val="20"/>
        </w:rPr>
        <w:footnoteReference w:id="294"/>
      </w:r>
      <w:r w:rsidRPr="006145EF">
        <w:rPr>
          <w:rFonts w:cs="Calibri"/>
          <w:color w:val="auto"/>
          <w:sz w:val="20"/>
          <w:szCs w:val="20"/>
          <w:lang w:val="es-ES"/>
        </w:rPr>
        <w:t xml:space="preserve"> Esto es, la Comisión puede llegar a constituirse ante la Corte en parte acusadora y en esa medida no comparte necesariamente la calidad de imparcialidad que debe caracterizar a una instancia judicial. </w:t>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cs="Calibri"/>
          <w:color w:val="auto"/>
          <w:sz w:val="20"/>
          <w:szCs w:val="20"/>
          <w:lang w:val="es-ES"/>
        </w:rPr>
        <w:t>Ahora bien, como segundo comentario general, cabe llamar la atención sobre la referencia que el artículo 46.1.a) de la Convención hace a la circunstancia de “</w:t>
      </w:r>
      <w:r w:rsidRPr="006145EF">
        <w:rPr>
          <w:rFonts w:cs="Calibri"/>
          <w:i/>
          <w:color w:val="auto"/>
          <w:sz w:val="20"/>
          <w:szCs w:val="20"/>
          <w:lang w:val="es-ES"/>
        </w:rPr>
        <w:t xml:space="preserve">que se </w:t>
      </w:r>
      <w:r w:rsidRPr="006145EF">
        <w:rPr>
          <w:rFonts w:cs="Calibri"/>
          <w:i/>
          <w:color w:val="auto"/>
          <w:sz w:val="20"/>
          <w:szCs w:val="20"/>
          <w:lang w:val="es-ES"/>
        </w:rPr>
        <w:lastRenderedPageBreak/>
        <w:t xml:space="preserve">hayan interpuesto y agotado los recursos de jurisdicción interna, conforme a los principios del Derecho Internacional generalmente reconocidos”. </w:t>
      </w:r>
      <w:r w:rsidRPr="006145EF">
        <w:rPr>
          <w:rFonts w:cs="Calibri"/>
          <w:color w:val="auto"/>
          <w:sz w:val="20"/>
          <w:szCs w:val="20"/>
          <w:lang w:val="es-ES"/>
        </w:rPr>
        <w:t>La alusión a éstos se hace, entonces, para recordar que la regla del previo agotamiento de los recursos internos está establecida por aquellos con anterioridad o, al menos, no solo por tratados, en este caso, la Convención y es por eso que en el tercer preámbulo de ésta se califica como “</w:t>
      </w:r>
      <w:r w:rsidRPr="006145EF">
        <w:rPr>
          <w:rFonts w:cs="Calibri"/>
          <w:i/>
          <w:color w:val="auto"/>
          <w:sz w:val="20"/>
          <w:szCs w:val="20"/>
          <w:lang w:val="es-ES"/>
        </w:rPr>
        <w:t>principios</w:t>
      </w:r>
      <w:r w:rsidRPr="006145EF">
        <w:rPr>
          <w:rFonts w:cs="Calibri"/>
          <w:color w:val="auto"/>
          <w:sz w:val="20"/>
          <w:szCs w:val="20"/>
          <w:lang w:val="es-ES"/>
        </w:rPr>
        <w:t>” lo concerniente al “</w:t>
      </w:r>
      <w:r w:rsidRPr="006145EF">
        <w:rPr>
          <w:rFonts w:cs="Calibri"/>
          <w:i/>
          <w:color w:val="auto"/>
          <w:sz w:val="20"/>
          <w:szCs w:val="20"/>
          <w:lang w:val="es-ES"/>
        </w:rPr>
        <w:t>respeto de los derechos humanos</w:t>
      </w:r>
      <w:r w:rsidRPr="006145EF">
        <w:rPr>
          <w:rFonts w:cs="Calibri"/>
          <w:color w:val="auto"/>
          <w:sz w:val="20"/>
          <w:szCs w:val="20"/>
          <w:lang w:val="es-ES"/>
        </w:rPr>
        <w:t xml:space="preserve"> y a su fundamento en “los </w:t>
      </w:r>
      <w:r w:rsidRPr="006145EF">
        <w:rPr>
          <w:rFonts w:cs="Tahoma"/>
          <w:color w:val="auto"/>
          <w:sz w:val="20"/>
          <w:szCs w:val="20"/>
          <w:lang w:val="es-ES"/>
        </w:rPr>
        <w:t>atributos de la persona humana.”</w:t>
      </w:r>
      <w:r w:rsidRPr="006145EF">
        <w:rPr>
          <w:rStyle w:val="FootnoteReference"/>
          <w:rFonts w:cs="Tahoma"/>
          <w:color w:val="auto"/>
          <w:sz w:val="20"/>
          <w:szCs w:val="20"/>
        </w:rPr>
        <w:footnoteReference w:id="295"/>
      </w:r>
    </w:p>
    <w:p w:rsidR="007E3DB6" w:rsidRPr="006145EF" w:rsidRDefault="007E3DB6" w:rsidP="007E3DB6">
      <w:pPr>
        <w:spacing w:after="240"/>
        <w:rPr>
          <w:rFonts w:cs="Calibri"/>
          <w:szCs w:val="20"/>
        </w:rPr>
      </w:pPr>
      <w:r w:rsidRPr="006145EF">
        <w:rPr>
          <w:szCs w:val="20"/>
        </w:rPr>
        <w:t xml:space="preserve">Como tercera observación, es procedente subrayar </w:t>
      </w:r>
      <w:r w:rsidRPr="006145EF">
        <w:rPr>
          <w:rFonts w:cs="Calibri"/>
          <w:szCs w:val="20"/>
        </w:rPr>
        <w:t xml:space="preserve">que el citado artículo 46.2 de la Convención prevé en forma taxativa los casos en que no se aplica la regla del previo agotamiento de los recursos internos, es decir, las excepciones a la misma, a saber, la inexistencia del debido proceso legal para hacer valer los recursos internos, la imposibilidad de ejercerlos y el retardo en resolverlos. Dichas excepciones deben ser aplicadas e interpretadas, en consecuencia, restrictivamente. La referida norma no contempla, pues, otras excepciones que las señaladas, por lo que no es procedente invocar o aún acoger una excepción a la regla en cuestión no prevista en el mencionado artículo, pues si así lo fuese, ello podría conducir a despojarla de todo sentido o </w:t>
      </w:r>
      <w:r w:rsidRPr="006145EF">
        <w:rPr>
          <w:rFonts w:cs="Calibri"/>
          <w:i/>
          <w:szCs w:val="20"/>
        </w:rPr>
        <w:t>efecto útil</w:t>
      </w:r>
      <w:r w:rsidRPr="006145EF">
        <w:rPr>
          <w:rFonts w:cs="Calibri"/>
          <w:szCs w:val="20"/>
        </w:rPr>
        <w:t xml:space="preserve"> y más aún, dejaría su aplicación a la discreción y tal vez a la arbitrariedad. Todo lo cual no significa que no puedan interponerse otras excepciones preliminares, como por ejemplo, la incompetencia de la Corte.</w:t>
      </w:r>
    </w:p>
    <w:p w:rsidR="007E3DB6" w:rsidRPr="006145EF" w:rsidRDefault="007E3DB6" w:rsidP="007E3DB6">
      <w:pPr>
        <w:spacing w:after="240"/>
        <w:rPr>
          <w:rFonts w:cs="Calibri"/>
          <w:szCs w:val="20"/>
        </w:rPr>
      </w:pPr>
      <w:r w:rsidRPr="006145EF">
        <w:rPr>
          <w:rFonts w:cs="Calibri"/>
          <w:szCs w:val="20"/>
        </w:rPr>
        <w:t>Finalmente, no está demás reiterar que la citada regla ha sido prevista en la Convención como pieza esencial de todo el Sistema Interamericano de Promoción y Protección de los Derechos Humanos, al dar debida cuenta de que, como lo indica en el segundo párrafo del Preámbulo de aquella, la “</w:t>
      </w:r>
      <w:r w:rsidRPr="006145EF">
        <w:rPr>
          <w:rFonts w:cs="Calibri"/>
          <w:i/>
          <w:szCs w:val="20"/>
        </w:rPr>
        <w:t xml:space="preserve">protección </w:t>
      </w:r>
      <w:proofErr w:type="gramStart"/>
      <w:r w:rsidRPr="006145EF">
        <w:rPr>
          <w:rFonts w:cs="Calibri"/>
          <w:i/>
          <w:szCs w:val="20"/>
        </w:rPr>
        <w:t>internacional …</w:t>
      </w:r>
      <w:proofErr w:type="gramEnd"/>
      <w:r w:rsidRPr="006145EF">
        <w:rPr>
          <w:rFonts w:cs="Calibri"/>
          <w:szCs w:val="20"/>
        </w:rPr>
        <w:t>(es)</w:t>
      </w:r>
      <w:r w:rsidRPr="006145EF">
        <w:rPr>
          <w:rFonts w:cs="Calibri"/>
          <w:i/>
          <w:szCs w:val="20"/>
        </w:rPr>
        <w:t xml:space="preserve"> de naturaleza convencional coadyuvante o complementaria de la que ofrece el derecho interno de los Estados americanos”.</w:t>
      </w:r>
      <w:r w:rsidRPr="006145EF">
        <w:rPr>
          <w:rStyle w:val="FootnoteReference"/>
          <w:rFonts w:cs="Calibri"/>
          <w:i/>
          <w:szCs w:val="20"/>
        </w:rPr>
        <w:footnoteReference w:id="296"/>
      </w:r>
      <w:r w:rsidRPr="006145EF">
        <w:rPr>
          <w:rFonts w:cs="Calibri"/>
          <w:szCs w:val="20"/>
        </w:rPr>
        <w:t xml:space="preserve"> </w:t>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cs="Calibri"/>
          <w:color w:val="auto"/>
          <w:sz w:val="20"/>
          <w:szCs w:val="20"/>
          <w:lang w:val="es-ES"/>
        </w:rPr>
        <w:t>El estricto apego a la regla del previo agotamiento de los recursos internos no es, por lo tanto, un mero formalismo o tecnicismo jurídico, sino que su respeto consolida y fortalece el sistema interamericano de derechos humanos, puesto que de esa forma se garantizan los principios de seguridad jurídica, equilibrio procesal y complementariedad que lo sustentan, no dejando margen alguno o, en todo caso, el menor posible, para que, más allá de la explicables discrepancias que los fallos de la Corte pueden provocar, particularmente por parte de quienes los estiman adversos, se puedan percibir que ellos no responden estricta y exclusivamente a consideraciones de Justicia.</w:t>
      </w:r>
    </w:p>
    <w:p w:rsidR="007E3DB6" w:rsidRPr="006145EF" w:rsidRDefault="007E3DB6" w:rsidP="007E3DB6">
      <w:pPr>
        <w:spacing w:after="240"/>
        <w:rPr>
          <w:rFonts w:cs="Calibri"/>
          <w:szCs w:val="20"/>
        </w:rPr>
      </w:pPr>
      <w:r w:rsidRPr="006145EF">
        <w:rPr>
          <w:rFonts w:cs="Calibri"/>
          <w:szCs w:val="20"/>
        </w:rPr>
        <w:t xml:space="preserve">Y ello tiene que ver con la estructura jurídica internacional, que aún se sustenta, en lo fundamental, en el principio de la soberanía, el que, en el caso del Sistema </w:t>
      </w:r>
      <w:r w:rsidRPr="006145EF">
        <w:rPr>
          <w:rFonts w:cs="Calibri"/>
          <w:szCs w:val="20"/>
        </w:rPr>
        <w:lastRenderedPageBreak/>
        <w:t>Interamericano, se encuentra consagrado en los artículos 1.1</w:t>
      </w:r>
      <w:r w:rsidRPr="006145EF">
        <w:rPr>
          <w:rStyle w:val="FootnoteReference"/>
          <w:rFonts w:cs="Calibri"/>
          <w:szCs w:val="20"/>
        </w:rPr>
        <w:footnoteReference w:id="297"/>
      </w:r>
      <w:r w:rsidRPr="006145EF">
        <w:rPr>
          <w:rFonts w:cs="Calibri"/>
          <w:szCs w:val="20"/>
        </w:rPr>
        <w:t xml:space="preserve"> y 3.b)</w:t>
      </w:r>
      <w:r w:rsidRPr="006145EF">
        <w:rPr>
          <w:rStyle w:val="FootnoteReference"/>
          <w:rFonts w:cs="Calibri"/>
          <w:szCs w:val="20"/>
        </w:rPr>
        <w:footnoteReference w:id="298"/>
      </w:r>
      <w:r w:rsidRPr="006145EF">
        <w:rPr>
          <w:rFonts w:cs="Calibri"/>
          <w:szCs w:val="20"/>
        </w:rPr>
        <w:t xml:space="preserve"> de la Carta de la Organización de los Estados Americanos, por lo que las disposiciones convencionales que contemplen restricciones a la soberanía estatal deben ser interpretadas y aplicadas teniendo en cuenta dicha realidad. </w:t>
      </w:r>
    </w:p>
    <w:p w:rsidR="007E3DB6" w:rsidRPr="006145EF" w:rsidRDefault="007E3DB6" w:rsidP="007E3DB6">
      <w:pPr>
        <w:spacing w:after="240"/>
        <w:rPr>
          <w:rFonts w:cs="Calibri"/>
          <w:szCs w:val="20"/>
        </w:rPr>
      </w:pPr>
      <w:r w:rsidRPr="006145EF">
        <w:rPr>
          <w:rFonts w:cs="Calibri"/>
          <w:szCs w:val="20"/>
        </w:rPr>
        <w:t>En tal sentido, la regla del previo agotamiento de los recursos internos es igualmente expresión de la vigencia de la soberanía del Estado y de la necesidad de darle a éste la oportunidad preferente de operar en lo atingente a las presuntas violaciones de los derechos humanos. Y ello adquiere mayor relevancia en la época actual, en que todos los Estados partes de la Convención se rigen por el régimen de Estado Democrático de Derecho, es decir, adhieren a la democracia.</w:t>
      </w:r>
      <w:r w:rsidRPr="006145EF">
        <w:rPr>
          <w:rStyle w:val="FootnoteReference"/>
          <w:rFonts w:cs="Calibri"/>
          <w:szCs w:val="20"/>
        </w:rPr>
        <w:footnoteReference w:id="299"/>
      </w:r>
      <w:r w:rsidRPr="006145EF">
        <w:rPr>
          <w:rFonts w:cs="Calibri"/>
          <w:szCs w:val="20"/>
        </w:rPr>
        <w:t xml:space="preserve"> </w:t>
      </w:r>
    </w:p>
    <w:p w:rsidR="007E3DB6" w:rsidRPr="006145EF" w:rsidRDefault="007E3DB6" w:rsidP="007E3DB6">
      <w:pPr>
        <w:spacing w:after="240"/>
        <w:rPr>
          <w:rFonts w:cs="Calibri"/>
          <w:szCs w:val="20"/>
        </w:rPr>
      </w:pPr>
      <w:r w:rsidRPr="006145EF">
        <w:rPr>
          <w:rFonts w:cs="Calibri"/>
          <w:szCs w:val="20"/>
        </w:rPr>
        <w:t>De lo afirmado se puede deducir desde ya, en consecuencia, que el cumplimiento del requisito previsto en el antes transcrito artículo 46.1.a) de la Convención debe tener lugar antes de que se eleve la petición ante la Comisión.</w:t>
      </w:r>
    </w:p>
    <w:p w:rsidR="007E3DB6" w:rsidRPr="006145EF" w:rsidRDefault="007E3DB6" w:rsidP="005D3491">
      <w:pPr>
        <w:numPr>
          <w:ilvl w:val="0"/>
          <w:numId w:val="27"/>
        </w:numPr>
        <w:spacing w:after="240" w:line="276" w:lineRule="auto"/>
        <w:rPr>
          <w:rFonts w:cs="Calibri"/>
          <w:b/>
          <w:szCs w:val="20"/>
        </w:rPr>
      </w:pPr>
      <w:r w:rsidRPr="006145EF">
        <w:rPr>
          <w:rFonts w:cs="Calibri"/>
          <w:b/>
          <w:szCs w:val="20"/>
        </w:rPr>
        <w:t>La petición.</w:t>
      </w:r>
    </w:p>
    <w:p w:rsidR="007E3DB6" w:rsidRPr="006145EF" w:rsidRDefault="007E3DB6" w:rsidP="007E3DB6">
      <w:pPr>
        <w:spacing w:after="240"/>
        <w:rPr>
          <w:rFonts w:eastAsia="Batang" w:cs="Calibri"/>
          <w:szCs w:val="20"/>
        </w:rPr>
      </w:pPr>
      <w:r w:rsidRPr="006145EF">
        <w:rPr>
          <w:rFonts w:eastAsia="Batang" w:cs="Calibri"/>
          <w:szCs w:val="20"/>
        </w:rPr>
        <w:t>La primera observación que se debe hacer respecto de la petición por la que se da comienzo al procedimiento ante la Comisión y que puede concluir en la Corte, es que</w:t>
      </w:r>
      <w:r w:rsidRPr="006145EF">
        <w:rPr>
          <w:rFonts w:cs="Calibri"/>
          <w:szCs w:val="20"/>
        </w:rPr>
        <w:t xml:space="preserve"> el cumplimiento de la regla del previo agotamiento de los recursos internos constituye fundamentalmente una obligación de la víctima o del peticionario. Es ella o él quién debe cumplir con el requisito del previo agotamiento de los recursos internos, esto es, para que pueda alegar tal infracción ante la instancia jurisdiccional interamericana</w:t>
      </w:r>
      <w:r w:rsidRPr="006145EF">
        <w:rPr>
          <w:rStyle w:val="FootnoteReference"/>
          <w:rFonts w:cs="Calibri"/>
          <w:szCs w:val="20"/>
        </w:rPr>
        <w:footnoteReference w:id="300"/>
      </w:r>
      <w:r w:rsidRPr="006145EF">
        <w:rPr>
          <w:rFonts w:cs="Calibri"/>
          <w:szCs w:val="20"/>
        </w:rPr>
        <w:t xml:space="preserve">, debe hacerlo previamente ante las instancias jurisdiccionales nacionales correspondientes. Ciertamente, que de no procederse así, impediría que se alcance oportuna o prontamente el antes señalado </w:t>
      </w:r>
      <w:r w:rsidRPr="006145EF">
        <w:rPr>
          <w:rFonts w:cs="Calibri"/>
          <w:i/>
          <w:szCs w:val="20"/>
        </w:rPr>
        <w:t>efecto útil</w:t>
      </w:r>
      <w:r w:rsidRPr="006145EF">
        <w:rPr>
          <w:rFonts w:cs="Calibri"/>
          <w:szCs w:val="20"/>
        </w:rPr>
        <w:t>. En esto sentido, se reitera, la citada regla es un requisito que debe cumplir la presunta víctima o el peticionario.</w:t>
      </w:r>
    </w:p>
    <w:p w:rsidR="007E3DB6" w:rsidRPr="006145EF" w:rsidRDefault="007E3DB6" w:rsidP="007E3DB6">
      <w:pPr>
        <w:spacing w:after="120"/>
        <w:rPr>
          <w:rFonts w:eastAsia="Batang" w:cs="Calibri"/>
          <w:szCs w:val="20"/>
        </w:rPr>
      </w:pPr>
      <w:r w:rsidRPr="006145EF">
        <w:rPr>
          <w:rFonts w:eastAsia="Batang" w:cs="Calibri"/>
          <w:szCs w:val="20"/>
        </w:rPr>
        <w:t>Tanto es así que en el Reglamento de la Comisión vigente al momento de los hechos de la causa y la presentación de la petición</w:t>
      </w:r>
      <w:r w:rsidRPr="006145EF">
        <w:rPr>
          <w:rStyle w:val="FootnoteReference"/>
          <w:rFonts w:eastAsia="Batang" w:cs="Calibri"/>
          <w:szCs w:val="20"/>
        </w:rPr>
        <w:footnoteReference w:id="301"/>
      </w:r>
      <w:r w:rsidRPr="006145EF">
        <w:rPr>
          <w:rFonts w:eastAsia="Batang" w:cs="Calibri"/>
          <w:szCs w:val="20"/>
        </w:rPr>
        <w:t>, aprobado por ella misma</w:t>
      </w:r>
      <w:r w:rsidRPr="006145EF">
        <w:rPr>
          <w:rStyle w:val="FootnoteReference"/>
          <w:rFonts w:eastAsia="Batang" w:cs="Calibri"/>
          <w:szCs w:val="20"/>
        </w:rPr>
        <w:footnoteReference w:id="302"/>
      </w:r>
      <w:r w:rsidRPr="006145EF">
        <w:rPr>
          <w:rFonts w:eastAsia="Batang" w:cs="Calibri"/>
          <w:szCs w:val="20"/>
        </w:rPr>
        <w:t xml:space="preserve"> y, por tanto, que refleja la interpretación que ella le ha dado al artículo 46 de la Convención,  dispone, su artículo 29.d establece que la petición debe contener </w:t>
      </w:r>
      <w:r w:rsidRPr="006145EF">
        <w:rPr>
          <w:i/>
          <w:szCs w:val="20"/>
        </w:rPr>
        <w:t>“(u</w:t>
      </w:r>
      <w:proofErr w:type="gramStart"/>
      <w:r w:rsidRPr="006145EF">
        <w:rPr>
          <w:i/>
          <w:szCs w:val="20"/>
        </w:rPr>
        <w:t>)na</w:t>
      </w:r>
      <w:proofErr w:type="gramEnd"/>
      <w:r w:rsidRPr="006145EF">
        <w:rPr>
          <w:i/>
          <w:szCs w:val="20"/>
        </w:rPr>
        <w:t xml:space="preserve"> información sobre la circunstancia de haber hecho uso o no de los recursos de jurisdicción interna o sobre la imposibilidad de hacerlo</w:t>
      </w:r>
      <w:r w:rsidRPr="006145EF">
        <w:rPr>
          <w:szCs w:val="20"/>
        </w:rPr>
        <w:t xml:space="preserve">.” Entonces, es en la petición misma que se debe indicar que se </w:t>
      </w:r>
      <w:r w:rsidRPr="006145EF">
        <w:rPr>
          <w:szCs w:val="20"/>
        </w:rPr>
        <w:lastRenderedPageBreak/>
        <w:t>ha dado cumplimiento a la regla en comento o que ha operado una de las excepciones a la misma.</w:t>
      </w:r>
    </w:p>
    <w:p w:rsidR="007E3DB6" w:rsidRPr="006145EF" w:rsidRDefault="007E3DB6" w:rsidP="007E3DB6">
      <w:pPr>
        <w:rPr>
          <w:szCs w:val="20"/>
        </w:rPr>
      </w:pPr>
      <w:r w:rsidRPr="006145EF">
        <w:rPr>
          <w:rFonts w:cs="Calibri"/>
          <w:szCs w:val="20"/>
        </w:rPr>
        <w:t xml:space="preserve">Obviamente, es por la misma razón que el artículo 34.3 del mismo Reglamento dispone que </w:t>
      </w:r>
      <w:r w:rsidRPr="006145EF">
        <w:rPr>
          <w:i/>
          <w:szCs w:val="20"/>
        </w:rPr>
        <w:t>“(c</w:t>
      </w:r>
      <w:proofErr w:type="gramStart"/>
      <w:r w:rsidRPr="006145EF">
        <w:rPr>
          <w:i/>
          <w:szCs w:val="20"/>
        </w:rPr>
        <w:t>)</w:t>
      </w:r>
      <w:proofErr w:type="spellStart"/>
      <w:r w:rsidRPr="006145EF">
        <w:rPr>
          <w:i/>
          <w:szCs w:val="20"/>
        </w:rPr>
        <w:t>uando</w:t>
      </w:r>
      <w:proofErr w:type="spellEnd"/>
      <w:proofErr w:type="gramEnd"/>
      <w:r w:rsidRPr="006145EF">
        <w:rPr>
          <w:i/>
          <w:szCs w:val="20"/>
        </w:rPr>
        <w:t xml:space="preserve"> el peticionario afirme la imposibilidad de comprobar el requisito señalado de este articulo corresponderá al Gobierno en contra del cual se dirige la petición demostrar a la Comisión que los recursos internos no han sido previamente agotados, a menos que ello se deduzca claramente de los antecedentes contenidos en la petición</w:t>
      </w:r>
      <w:r w:rsidRPr="006145EF">
        <w:rPr>
          <w:szCs w:val="20"/>
        </w:rPr>
        <w:t xml:space="preserve">.” </w:t>
      </w:r>
    </w:p>
    <w:p w:rsidR="007E3DB6" w:rsidRPr="006145EF" w:rsidRDefault="007E3DB6" w:rsidP="007E3DB6">
      <w:pPr>
        <w:spacing w:after="120"/>
        <w:rPr>
          <w:rFonts w:eastAsia="Batang" w:cs="Calibri"/>
          <w:szCs w:val="20"/>
        </w:rPr>
      </w:pPr>
      <w:r w:rsidRPr="006145EF">
        <w:rPr>
          <w:rFonts w:cs="Calibri"/>
          <w:szCs w:val="20"/>
        </w:rPr>
        <w:t xml:space="preserve">Es decir, lo que se está indicando con esa disposición es que las taxativas excepciones a la regla del previo agotamiento de los recursos internos están establecidas en favor de la víctima o del peticionario. Es, por ende, ella o él quién puede alegar o hacer valer algunas de las excepciones a la citada regla, nadie más, tampoco la Comisión y, evidentemente, por lo tanto, eso solo lo puede hacer en la petición misma. </w:t>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eastAsia="Batang" w:cs="Calibri"/>
          <w:color w:val="auto"/>
          <w:sz w:val="20"/>
          <w:szCs w:val="20"/>
          <w:lang w:val="es-ES"/>
        </w:rPr>
        <w:t xml:space="preserve">La segunda observación concerniente a la petición dice relación con la circunstancia de que el </w:t>
      </w:r>
      <w:r w:rsidRPr="006145EF">
        <w:rPr>
          <w:rFonts w:eastAsia="Batang" w:cs="Calibri"/>
          <w:color w:val="auto"/>
          <w:sz w:val="20"/>
          <w:szCs w:val="20"/>
          <w:lang w:val="es-ES_tradnl"/>
        </w:rPr>
        <w:t>aludido artículo 46.1 de la Convención se refiere a ella en tanto</w:t>
      </w:r>
      <w:r w:rsidRPr="006145EF">
        <w:rPr>
          <w:rFonts w:cs="Calibri"/>
          <w:i/>
          <w:color w:val="auto"/>
          <w:sz w:val="20"/>
          <w:szCs w:val="20"/>
          <w:lang w:val="es-ES"/>
        </w:rPr>
        <w:t xml:space="preserve"> “presentada”</w:t>
      </w:r>
      <w:r w:rsidRPr="006145EF">
        <w:rPr>
          <w:rFonts w:cs="Calibri"/>
          <w:color w:val="auto"/>
          <w:sz w:val="20"/>
          <w:szCs w:val="20"/>
          <w:lang w:val="es-ES"/>
        </w:rPr>
        <w:t>, lo que implica, por cierto, que debe ser considerada tal cual fue elevada, y que, si en esa condición cumple con los requisitos que indica dicha disposición, debe ser “</w:t>
      </w:r>
      <w:r w:rsidRPr="006145EF">
        <w:rPr>
          <w:rFonts w:cs="Calibri"/>
          <w:i/>
          <w:color w:val="auto"/>
          <w:sz w:val="20"/>
          <w:szCs w:val="20"/>
          <w:lang w:val="es-ES"/>
        </w:rPr>
        <w:t>admitida</w:t>
      </w:r>
      <w:r w:rsidRPr="006145EF">
        <w:rPr>
          <w:rFonts w:cs="Calibri"/>
          <w:color w:val="auto"/>
          <w:sz w:val="20"/>
          <w:szCs w:val="20"/>
          <w:lang w:val="es-ES"/>
        </w:rPr>
        <w:t>”. Es, por ende, en ese momento, el de su presentación, en el que debe haberse cumplido el requisito concerniente al previo agotamiento de los recursos internos previsto en el artículo 46.1.a) de la Convención y solo si eso acontece, la petición “</w:t>
      </w:r>
      <w:r w:rsidRPr="006145EF">
        <w:rPr>
          <w:rFonts w:cs="Calibri"/>
          <w:i/>
          <w:color w:val="auto"/>
          <w:sz w:val="20"/>
          <w:szCs w:val="20"/>
          <w:lang w:val="es-ES"/>
        </w:rPr>
        <w:t>presentada</w:t>
      </w:r>
      <w:r w:rsidRPr="006145EF">
        <w:rPr>
          <w:rFonts w:cs="Calibri"/>
          <w:color w:val="auto"/>
          <w:sz w:val="20"/>
          <w:szCs w:val="20"/>
          <w:lang w:val="es-ES"/>
        </w:rPr>
        <w:t>” puede ser “</w:t>
      </w:r>
      <w:r w:rsidRPr="006145EF">
        <w:rPr>
          <w:rFonts w:cs="Calibri"/>
          <w:i/>
          <w:color w:val="auto"/>
          <w:sz w:val="20"/>
          <w:szCs w:val="20"/>
          <w:lang w:val="es-ES"/>
        </w:rPr>
        <w:t>admitida</w:t>
      </w:r>
      <w:r w:rsidRPr="006145EF">
        <w:rPr>
          <w:rFonts w:cs="Calibri"/>
          <w:color w:val="auto"/>
          <w:sz w:val="20"/>
          <w:szCs w:val="20"/>
          <w:lang w:val="es-ES"/>
        </w:rPr>
        <w:t>” por la Comisión.</w:t>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cs="Calibri"/>
          <w:color w:val="auto"/>
          <w:sz w:val="20"/>
          <w:szCs w:val="20"/>
          <w:lang w:val="es-ES"/>
        </w:rPr>
        <w:t xml:space="preserve">Igualmente, lo estipulado en el artículo 46.1.b) del texto convencional se fundamenta en el mismo predicamento en tanto dispone que, para que la petición pueda ser admitida, debe haber sido </w:t>
      </w:r>
      <w:r w:rsidRPr="006145EF">
        <w:rPr>
          <w:rFonts w:cs="Calibri"/>
          <w:i/>
          <w:color w:val="auto"/>
          <w:sz w:val="20"/>
          <w:szCs w:val="20"/>
          <w:lang w:val="es-ES"/>
        </w:rPr>
        <w:t>“presentada dentro del plazo de seis meses, a partir de la fecha en que el presunto lesionado en sus derechos haya sido notificado de la decisión definitiva”</w:t>
      </w:r>
      <w:r w:rsidRPr="006145EF">
        <w:rPr>
          <w:rFonts w:cs="Calibri"/>
          <w:color w:val="auto"/>
          <w:sz w:val="20"/>
          <w:szCs w:val="20"/>
          <w:lang w:val="es-ES"/>
        </w:rPr>
        <w:t>, la que, sin duda, se entiende que debe ser la recaída en el último recurso interpuesto, sin que hayan otros susceptibles de ser accionados. Es decir, el plazo indicado para presentar la solicitud se cuenta desde el momento de la notificación de la resolución definitiva de las autoridades o los tribunales nacionales sobre los recursos que se hayan interpuestos ante ellos y que son, por ende, los que pueden haber generado la responsabilidad internacional del Estado, lo que obviamente implica que, al momento de ser aquella “</w:t>
      </w:r>
      <w:r w:rsidRPr="006145EF">
        <w:rPr>
          <w:rFonts w:cs="Calibri"/>
          <w:i/>
          <w:color w:val="auto"/>
          <w:sz w:val="20"/>
          <w:szCs w:val="20"/>
          <w:lang w:val="es-ES"/>
        </w:rPr>
        <w:t>presentada</w:t>
      </w:r>
      <w:r w:rsidRPr="006145EF">
        <w:rPr>
          <w:rFonts w:cs="Calibri"/>
          <w:color w:val="auto"/>
          <w:sz w:val="20"/>
          <w:szCs w:val="20"/>
          <w:lang w:val="es-ES"/>
        </w:rPr>
        <w:t>”, éstos deben haber estado agotados.</w:t>
      </w:r>
    </w:p>
    <w:p w:rsidR="007E3DB6" w:rsidRPr="006145EF" w:rsidRDefault="007E3DB6" w:rsidP="007E3DB6">
      <w:pPr>
        <w:autoSpaceDE w:val="0"/>
        <w:autoSpaceDN w:val="0"/>
        <w:adjustRightInd w:val="0"/>
        <w:spacing w:after="240"/>
        <w:rPr>
          <w:rFonts w:cs="Calibri"/>
          <w:b/>
          <w:bCs/>
          <w:szCs w:val="20"/>
        </w:rPr>
      </w:pPr>
      <w:r w:rsidRPr="006145EF">
        <w:rPr>
          <w:rFonts w:cs="Calibri"/>
          <w:szCs w:val="20"/>
          <w:shd w:val="clear" w:color="auto" w:fill="FFFFFF"/>
        </w:rPr>
        <w:t xml:space="preserve">Por su parte, el artículo 27.1 del Reglamento de la Comisión dispone que se da trámite inicial a las peticiones </w:t>
      </w:r>
      <w:r w:rsidRPr="006145EF">
        <w:rPr>
          <w:rFonts w:cs="Calibri"/>
          <w:szCs w:val="20"/>
        </w:rPr>
        <w:t>“</w:t>
      </w:r>
      <w:r w:rsidRPr="006145EF">
        <w:rPr>
          <w:rFonts w:cs="Calibri"/>
          <w:i/>
          <w:szCs w:val="20"/>
        </w:rPr>
        <w:t>que llenen todos los requisitos establecidos</w:t>
      </w:r>
      <w:r w:rsidRPr="006145EF">
        <w:rPr>
          <w:rFonts w:cs="Calibri"/>
          <w:szCs w:val="20"/>
        </w:rPr>
        <w:t xml:space="preserve">”, las que deben indicar, conforme lo prevé el ya mencionado artículo 20.d, </w:t>
      </w:r>
      <w:r w:rsidRPr="006145EF">
        <w:rPr>
          <w:i/>
          <w:szCs w:val="20"/>
        </w:rPr>
        <w:t>“(u)na información sobre la circunstancia de haber hecho uso o no de los recursos de jurisdicción interna o sobre la imposibilidad de hacerlo</w:t>
      </w:r>
      <w:r w:rsidRPr="006145EF">
        <w:rPr>
          <w:szCs w:val="20"/>
        </w:rPr>
        <w:t>”</w:t>
      </w:r>
      <w:r w:rsidRPr="006145EF">
        <w:rPr>
          <w:rFonts w:cs="Calibri"/>
          <w:szCs w:val="20"/>
          <w:shd w:val="clear" w:color="auto" w:fill="FFFFFF"/>
        </w:rPr>
        <w:t xml:space="preserve"> y si no reúnen tales requisitos y conforme lo establece el artículo 27.2 del mismo texto reglamentario, “</w:t>
      </w:r>
      <w:r w:rsidRPr="006145EF">
        <w:rPr>
          <w:i/>
          <w:szCs w:val="20"/>
        </w:rPr>
        <w:t>la Secretaría de la Comisión podrá solicitar al peticionario o a su representante que los complete”.</w:t>
      </w:r>
    </w:p>
    <w:p w:rsidR="007E3DB6" w:rsidRPr="006145EF" w:rsidRDefault="007E3DB6" w:rsidP="007E3DB6">
      <w:pPr>
        <w:autoSpaceDE w:val="0"/>
        <w:autoSpaceDN w:val="0"/>
        <w:adjustRightInd w:val="0"/>
        <w:spacing w:after="240"/>
        <w:rPr>
          <w:rFonts w:cs="Calibri"/>
          <w:b/>
          <w:bCs/>
          <w:szCs w:val="20"/>
        </w:rPr>
      </w:pPr>
      <w:r w:rsidRPr="006145EF">
        <w:rPr>
          <w:rFonts w:cs="Calibri"/>
          <w:szCs w:val="20"/>
        </w:rPr>
        <w:t>De todo lo indicado se infiere, entonces, que el cumplimiento de la referida regla del previo agotamiento de los recursos internos constituye, en definitiva, un requisito que debe cumplir la petición al momento de ser “</w:t>
      </w:r>
      <w:r w:rsidRPr="006145EF">
        <w:rPr>
          <w:rFonts w:cs="Calibri"/>
          <w:i/>
          <w:szCs w:val="20"/>
        </w:rPr>
        <w:t>presentada</w:t>
      </w:r>
      <w:r w:rsidRPr="006145EF">
        <w:rPr>
          <w:rFonts w:cs="Calibri"/>
          <w:szCs w:val="20"/>
        </w:rPr>
        <w:t xml:space="preserve">”. </w:t>
      </w:r>
    </w:p>
    <w:p w:rsidR="007E3DB6" w:rsidRPr="006145EF" w:rsidRDefault="007E3DB6" w:rsidP="005D3491">
      <w:pPr>
        <w:numPr>
          <w:ilvl w:val="0"/>
          <w:numId w:val="27"/>
        </w:numPr>
        <w:spacing w:after="240" w:line="276" w:lineRule="auto"/>
        <w:rPr>
          <w:rFonts w:cs="Calibri"/>
          <w:szCs w:val="20"/>
        </w:rPr>
      </w:pPr>
      <w:r w:rsidRPr="006145EF">
        <w:rPr>
          <w:rFonts w:cs="Calibri"/>
          <w:b/>
          <w:szCs w:val="20"/>
        </w:rPr>
        <w:t>Estudio y trámite inicial por parte de la Comisión.</w:t>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cs="Calibri"/>
          <w:color w:val="auto"/>
          <w:sz w:val="20"/>
          <w:szCs w:val="20"/>
          <w:lang w:val="es-ES"/>
        </w:rPr>
        <w:t xml:space="preserve">Ahora bien, lo previsto en el artículo 46.1.a) de la Convención está  también concebido como un límite a la actuación de la Comisión y que puede llegar a ser parte en el </w:t>
      </w:r>
      <w:r w:rsidRPr="006145EF">
        <w:rPr>
          <w:rFonts w:cs="Calibri"/>
          <w:color w:val="auto"/>
          <w:sz w:val="20"/>
          <w:szCs w:val="20"/>
          <w:lang w:val="es-ES"/>
        </w:rPr>
        <w:lastRenderedPageBreak/>
        <w:t>consecuente litigio ante la Corte. Esto es, lo que se pretende con dicha norma es evitar que la Comisión actúe antes de que se haya dado debido y oportuno cumplimiento al requisito o regla que establece, esto es, que proceda no obstante que no se hayan agotado previamente los recursos internos, afectando o pudiendo afectar así la igualdad procesal de las partes en el evento de que el caso llegue a ser conocido por la Corte.</w:t>
      </w:r>
    </w:p>
    <w:p w:rsidR="007E3DB6" w:rsidRPr="006145EF" w:rsidRDefault="007E3DB6" w:rsidP="007E3DB6">
      <w:pPr>
        <w:autoSpaceDE w:val="0"/>
        <w:autoSpaceDN w:val="0"/>
        <w:adjustRightInd w:val="0"/>
        <w:spacing w:after="240"/>
        <w:rPr>
          <w:rFonts w:cs="Calibri"/>
          <w:i/>
          <w:szCs w:val="20"/>
        </w:rPr>
      </w:pPr>
      <w:r w:rsidRPr="006145EF">
        <w:rPr>
          <w:rFonts w:cs="Calibri"/>
          <w:szCs w:val="20"/>
        </w:rPr>
        <w:t>Por lo mismo, la regla del previo agotamiento de los recursos conlleva una obligación también para la Comisión. Efectivamente, según lo dispone el artículo</w:t>
      </w:r>
      <w:r w:rsidRPr="006145EF">
        <w:rPr>
          <w:rFonts w:cs="Calibri"/>
          <w:i/>
          <w:szCs w:val="20"/>
        </w:rPr>
        <w:t xml:space="preserve"> </w:t>
      </w:r>
      <w:r w:rsidRPr="006145EF">
        <w:rPr>
          <w:rFonts w:cs="Calibri"/>
          <w:szCs w:val="20"/>
        </w:rPr>
        <w:t>27.1 de su Reglamento, “(</w:t>
      </w:r>
      <w:r w:rsidRPr="006145EF">
        <w:rPr>
          <w:rFonts w:cs="Calibri"/>
          <w:i/>
          <w:szCs w:val="20"/>
        </w:rPr>
        <w:t>l</w:t>
      </w:r>
      <w:proofErr w:type="gramStart"/>
      <w:r w:rsidRPr="006145EF">
        <w:rPr>
          <w:rFonts w:cs="Calibri"/>
          <w:i/>
          <w:szCs w:val="20"/>
        </w:rPr>
        <w:t>)a</w:t>
      </w:r>
      <w:proofErr w:type="gramEnd"/>
      <w:r w:rsidRPr="006145EF">
        <w:rPr>
          <w:rFonts w:cs="Calibri"/>
          <w:i/>
          <w:szCs w:val="20"/>
        </w:rPr>
        <w:t xml:space="preserve"> Secretaría Ejecutiva de la Comisión tendrá la responsabilidad del estudio y tramitación inicial de las peticiones presentadas a la Comisión que llenen todos los requisitos establecidos en el Estatuto y en el presente Reglamento”. </w:t>
      </w:r>
    </w:p>
    <w:p w:rsidR="007E3DB6" w:rsidRPr="006145EF" w:rsidRDefault="007E3DB6" w:rsidP="007E3DB6">
      <w:pPr>
        <w:autoSpaceDE w:val="0"/>
        <w:autoSpaceDN w:val="0"/>
        <w:adjustRightInd w:val="0"/>
        <w:spacing w:after="240"/>
        <w:rPr>
          <w:rFonts w:cs="Calibri"/>
          <w:i/>
          <w:szCs w:val="20"/>
        </w:rPr>
      </w:pPr>
      <w:r w:rsidRPr="006145EF">
        <w:rPr>
          <w:rFonts w:cs="Calibri"/>
          <w:szCs w:val="20"/>
        </w:rPr>
        <w:t>E incluso, la Secretaría Ejecutiva tiene la facultad prevista en el artículo 27.2 del Reglamento, en razón del que “(</w:t>
      </w:r>
      <w:r w:rsidRPr="006145EF">
        <w:rPr>
          <w:rFonts w:cs="Calibri"/>
          <w:i/>
          <w:szCs w:val="20"/>
        </w:rPr>
        <w:t>s</w:t>
      </w:r>
      <w:proofErr w:type="gramStart"/>
      <w:r w:rsidRPr="006145EF">
        <w:rPr>
          <w:rFonts w:cs="Calibri"/>
          <w:i/>
          <w:szCs w:val="20"/>
        </w:rPr>
        <w:t>)i</w:t>
      </w:r>
      <w:proofErr w:type="gramEnd"/>
      <w:r w:rsidRPr="006145EF">
        <w:rPr>
          <w:rFonts w:cs="Calibri"/>
          <w:i/>
          <w:szCs w:val="20"/>
        </w:rPr>
        <w:t xml:space="preserve"> una petición no reúne los requisitos exigidos, …, podrá solicitar al peticionario o su representante que la complete”</w:t>
      </w:r>
      <w:r w:rsidRPr="006145EF">
        <w:rPr>
          <w:rFonts w:cs="Calibri"/>
          <w:szCs w:val="20"/>
        </w:rPr>
        <w:t>.</w:t>
      </w:r>
      <w:r w:rsidRPr="006145EF">
        <w:rPr>
          <w:rFonts w:cs="Calibri"/>
          <w:i/>
          <w:szCs w:val="20"/>
        </w:rPr>
        <w:t xml:space="preserve"> </w:t>
      </w:r>
    </w:p>
    <w:p w:rsidR="007E3DB6" w:rsidRPr="006145EF" w:rsidRDefault="007E3DB6" w:rsidP="007E3DB6">
      <w:pPr>
        <w:autoSpaceDE w:val="0"/>
        <w:autoSpaceDN w:val="0"/>
        <w:adjustRightInd w:val="0"/>
        <w:spacing w:after="240"/>
        <w:rPr>
          <w:rFonts w:cs="Calibri"/>
          <w:bCs/>
          <w:szCs w:val="20"/>
        </w:rPr>
      </w:pPr>
      <w:r w:rsidRPr="006145EF">
        <w:rPr>
          <w:rFonts w:cs="Calibri"/>
          <w:szCs w:val="20"/>
        </w:rPr>
        <w:t>A su vez</w:t>
      </w:r>
      <w:r w:rsidRPr="006145EF">
        <w:rPr>
          <w:rFonts w:cs="Calibri"/>
          <w:i/>
          <w:szCs w:val="20"/>
        </w:rPr>
        <w:t xml:space="preserve">, </w:t>
      </w:r>
      <w:r w:rsidRPr="006145EF">
        <w:rPr>
          <w:rFonts w:cs="Calibri"/>
          <w:szCs w:val="20"/>
        </w:rPr>
        <w:t>el artículo 31.1, c del mencionado Reglamento establece que “</w:t>
      </w:r>
      <w:r w:rsidRPr="006145EF">
        <w:rPr>
          <w:rFonts w:cs="Calibri"/>
          <w:i/>
          <w:szCs w:val="20"/>
        </w:rPr>
        <w:t>(l</w:t>
      </w:r>
      <w:proofErr w:type="gramStart"/>
      <w:r w:rsidRPr="006145EF">
        <w:rPr>
          <w:rFonts w:cs="Calibri"/>
          <w:i/>
          <w:szCs w:val="20"/>
        </w:rPr>
        <w:t>)a</w:t>
      </w:r>
      <w:proofErr w:type="gramEnd"/>
      <w:r w:rsidRPr="006145EF">
        <w:rPr>
          <w:rFonts w:cs="Calibri"/>
          <w:i/>
          <w:szCs w:val="20"/>
        </w:rPr>
        <w:t xml:space="preserve"> Comisión</w:t>
      </w:r>
      <w:r w:rsidRPr="006145EF">
        <w:rPr>
          <w:rFonts w:cs="Calibri"/>
          <w:szCs w:val="20"/>
        </w:rPr>
        <w:t>, “</w:t>
      </w:r>
      <w:r w:rsidRPr="006145EF">
        <w:rPr>
          <w:rFonts w:cs="Calibri"/>
          <w:i/>
          <w:szCs w:val="20"/>
        </w:rPr>
        <w:t>actuando inicialmente por intermedio de su Secretaría Ejecutiva, recibirá y tramitará las peticiones presentadas a la misma, de conformidad con las normas que se señalan a continuación: si acepta, en principio, la admisibilidad, solicitará informaciones al gobierno del Estado aludido, transcribiendo las partes pertinentes de la petición”.</w:t>
      </w:r>
    </w:p>
    <w:p w:rsidR="007E3DB6" w:rsidRPr="006145EF" w:rsidRDefault="007E3DB6" w:rsidP="007E3DB6">
      <w:pPr>
        <w:autoSpaceDE w:val="0"/>
        <w:autoSpaceDN w:val="0"/>
        <w:adjustRightInd w:val="0"/>
        <w:spacing w:after="240"/>
        <w:rPr>
          <w:rFonts w:cs="Calibri"/>
          <w:i/>
          <w:szCs w:val="20"/>
        </w:rPr>
      </w:pPr>
      <w:r w:rsidRPr="006145EF">
        <w:rPr>
          <w:rFonts w:cs="Calibri"/>
          <w:bCs/>
          <w:szCs w:val="20"/>
        </w:rPr>
        <w:t>Las actuación de la Secretaría Ejecutiva de la Comisión actuando, a nombre de ésta, no se limita, en consecuencia y en lo relativo a la petición “</w:t>
      </w:r>
      <w:r w:rsidRPr="006145EF">
        <w:rPr>
          <w:rFonts w:cs="Calibri"/>
          <w:bCs/>
          <w:i/>
          <w:szCs w:val="20"/>
        </w:rPr>
        <w:t>presentada</w:t>
      </w:r>
      <w:r w:rsidRPr="006145EF">
        <w:rPr>
          <w:rFonts w:cs="Calibri"/>
          <w:bCs/>
          <w:szCs w:val="20"/>
        </w:rPr>
        <w:t>”, solo a comprobar</w:t>
      </w:r>
      <w:r w:rsidRPr="006145EF">
        <w:rPr>
          <w:szCs w:val="20"/>
        </w:rPr>
        <w:t xml:space="preserve"> si formalmente ésta incluye o no la información requerida sino que debe efectuar el “</w:t>
      </w:r>
      <w:r w:rsidRPr="006145EF">
        <w:rPr>
          <w:i/>
          <w:szCs w:val="20"/>
        </w:rPr>
        <w:t xml:space="preserve">estudio </w:t>
      </w:r>
      <w:r w:rsidRPr="006145EF">
        <w:rPr>
          <w:szCs w:val="20"/>
        </w:rPr>
        <w:t xml:space="preserve">y </w:t>
      </w:r>
      <w:r w:rsidRPr="006145EF">
        <w:rPr>
          <w:i/>
          <w:szCs w:val="20"/>
        </w:rPr>
        <w:t>tramitación inicial</w:t>
      </w:r>
      <w:r w:rsidRPr="006145EF">
        <w:rPr>
          <w:szCs w:val="20"/>
        </w:rPr>
        <w:t>” de la misma siempre y cuando “</w:t>
      </w:r>
      <w:r w:rsidRPr="006145EF">
        <w:rPr>
          <w:i/>
          <w:szCs w:val="20"/>
        </w:rPr>
        <w:t>llene todos los requisitos establecidos</w:t>
      </w:r>
      <w:r w:rsidRPr="006145EF">
        <w:rPr>
          <w:szCs w:val="20"/>
        </w:rPr>
        <w:t>”, incluyendo, por cierto, el primero de ellos, a saber, “</w:t>
      </w:r>
      <w:r w:rsidRPr="006145EF">
        <w:rPr>
          <w:rFonts w:cs="Calibri"/>
          <w:i/>
          <w:szCs w:val="20"/>
        </w:rPr>
        <w:t xml:space="preserve">que se hayan interpuesto y agotado los recursos de jurisdicción interna, conforme a los principios del Derecho Internacional generalmente reconocidos.” </w:t>
      </w:r>
    </w:p>
    <w:p w:rsidR="007E3DB6" w:rsidRPr="006145EF" w:rsidRDefault="007E3DB6" w:rsidP="007E3DB6">
      <w:pPr>
        <w:autoSpaceDE w:val="0"/>
        <w:autoSpaceDN w:val="0"/>
        <w:adjustRightInd w:val="0"/>
        <w:spacing w:after="240"/>
        <w:rPr>
          <w:rFonts w:cs="Calibri"/>
          <w:bCs/>
          <w:szCs w:val="20"/>
        </w:rPr>
      </w:pPr>
      <w:r w:rsidRPr="006145EF">
        <w:rPr>
          <w:rFonts w:cs="Calibri"/>
          <w:szCs w:val="20"/>
        </w:rPr>
        <w:t xml:space="preserve">En el sentido indicado, la Comisión, actuando a través de su Secretaría Ejecutiva, </w:t>
      </w:r>
      <w:r w:rsidRPr="006145EF">
        <w:rPr>
          <w:rFonts w:cs="Calibri"/>
          <w:bCs/>
          <w:szCs w:val="20"/>
        </w:rPr>
        <w:t>debe realizar un primer control de convencionalidad de la petición, contrastándola con lo dispuesto por la Convención respecto de los requisitos que debe cumplir para ser “</w:t>
      </w:r>
      <w:r w:rsidRPr="006145EF">
        <w:rPr>
          <w:rFonts w:cs="Calibri"/>
          <w:bCs/>
          <w:i/>
          <w:szCs w:val="20"/>
        </w:rPr>
        <w:t>presentada</w:t>
      </w:r>
      <w:r w:rsidRPr="006145EF">
        <w:rPr>
          <w:rFonts w:cs="Calibri"/>
          <w:bCs/>
          <w:szCs w:val="20"/>
        </w:rPr>
        <w:t>”.</w:t>
      </w:r>
    </w:p>
    <w:p w:rsidR="007E3DB6" w:rsidRPr="006145EF" w:rsidRDefault="007E3DB6" w:rsidP="007E3DB6">
      <w:pPr>
        <w:spacing w:after="240"/>
        <w:rPr>
          <w:rFonts w:cs="Calibri"/>
          <w:szCs w:val="20"/>
        </w:rPr>
      </w:pPr>
      <w:r w:rsidRPr="006145EF">
        <w:rPr>
          <w:rFonts w:cs="Calibri"/>
          <w:szCs w:val="20"/>
        </w:rPr>
        <w:t xml:space="preserve">De todo lo anterior, </w:t>
      </w:r>
      <w:r w:rsidRPr="006145EF">
        <w:rPr>
          <w:rFonts w:cs="Calibri"/>
          <w:szCs w:val="20"/>
          <w:shd w:val="clear" w:color="auto" w:fill="FFFFFF"/>
        </w:rPr>
        <w:t>razonablemente se colige que los recursos internos deben haberse agotado antes de la presentación de la petición ante la Comisión, pues de otra manera no se entendería la lógica y necesidad del “</w:t>
      </w:r>
      <w:r w:rsidRPr="006145EF">
        <w:rPr>
          <w:rFonts w:cs="Calibri"/>
          <w:i/>
          <w:szCs w:val="20"/>
          <w:shd w:val="clear" w:color="auto" w:fill="FFFFFF"/>
        </w:rPr>
        <w:t>estudio y tramitación inicial</w:t>
      </w:r>
      <w:r w:rsidRPr="006145EF">
        <w:rPr>
          <w:rFonts w:cs="Calibri"/>
          <w:szCs w:val="20"/>
          <w:shd w:val="clear" w:color="auto" w:fill="FFFFFF"/>
        </w:rPr>
        <w:t xml:space="preserve">” de aquella por parte de la Secretaría Ejecutiva de ésta </w:t>
      </w:r>
      <w:r w:rsidRPr="006145EF">
        <w:rPr>
          <w:rFonts w:cs="Calibri"/>
          <w:szCs w:val="20"/>
        </w:rPr>
        <w:t>ni tampoco</w:t>
      </w:r>
      <w:r w:rsidRPr="006145EF">
        <w:rPr>
          <w:rFonts w:cs="Calibri"/>
          <w:szCs w:val="20"/>
          <w:shd w:val="clear" w:color="auto" w:fill="FFFFFF"/>
        </w:rPr>
        <w:t xml:space="preserve"> la razón por la que se le puede requerir al peticionario que la complete o que señale en ella las gestiones emprendidas para agotar los recursos internos, además de que no tendría sentido el plazo fijado para presentarla.</w:t>
      </w:r>
    </w:p>
    <w:p w:rsidR="007E3DB6" w:rsidRPr="006145EF" w:rsidRDefault="007E3DB6" w:rsidP="007E3DB6">
      <w:pPr>
        <w:autoSpaceDE w:val="0"/>
        <w:autoSpaceDN w:val="0"/>
        <w:adjustRightInd w:val="0"/>
        <w:spacing w:after="240"/>
        <w:rPr>
          <w:rFonts w:cs="Calibri"/>
          <w:i/>
          <w:szCs w:val="20"/>
        </w:rPr>
      </w:pPr>
      <w:r w:rsidRPr="006145EF">
        <w:rPr>
          <w:rFonts w:cs="Calibri"/>
          <w:szCs w:val="20"/>
        </w:rPr>
        <w:t>Por último, teniendo presente que la función de la Comisión consiste en estudiar, requerir que se complete y tramitar la petición, se debe concluir que todo ello debe hacerlo conforme a los términos que esta última ha sido “</w:t>
      </w:r>
      <w:r w:rsidRPr="006145EF">
        <w:rPr>
          <w:rFonts w:cs="Calibri"/>
          <w:i/>
          <w:szCs w:val="20"/>
        </w:rPr>
        <w:t>presentada</w:t>
      </w:r>
      <w:r w:rsidRPr="006145EF">
        <w:rPr>
          <w:rFonts w:cs="Calibri"/>
          <w:szCs w:val="20"/>
        </w:rPr>
        <w:t xml:space="preserve">”. En ese orden de ideas se puede sostener que, así </w:t>
      </w:r>
      <w:r w:rsidRPr="006145EF">
        <w:rPr>
          <w:rFonts w:cs="Calibri"/>
          <w:i/>
          <w:szCs w:val="20"/>
        </w:rPr>
        <w:t>como</w:t>
      </w:r>
      <w:r w:rsidRPr="006145EF">
        <w:rPr>
          <w:rFonts w:cs="Calibri"/>
          <w:i/>
          <w:szCs w:val="20"/>
          <w:lang w:val="es-CO"/>
        </w:rPr>
        <w:t xml:space="preserve"> “</w:t>
      </w:r>
      <w:r w:rsidRPr="006145EF">
        <w:rPr>
          <w:i/>
          <w:szCs w:val="20"/>
        </w:rPr>
        <w:t xml:space="preserve">no es tarea de la Corte, ni de la Comisión, identificar </w:t>
      </w:r>
      <w:r w:rsidRPr="006145EF">
        <w:rPr>
          <w:i/>
          <w:iCs/>
          <w:szCs w:val="20"/>
        </w:rPr>
        <w:t xml:space="preserve">ex </w:t>
      </w:r>
      <w:proofErr w:type="spellStart"/>
      <w:r w:rsidRPr="006145EF">
        <w:rPr>
          <w:i/>
          <w:iCs/>
          <w:szCs w:val="20"/>
        </w:rPr>
        <w:t>officio</w:t>
      </w:r>
      <w:proofErr w:type="spellEnd"/>
      <w:r w:rsidRPr="006145EF">
        <w:rPr>
          <w:i/>
          <w:iCs/>
          <w:szCs w:val="20"/>
        </w:rPr>
        <w:t xml:space="preserve"> </w:t>
      </w:r>
      <w:r w:rsidRPr="006145EF">
        <w:rPr>
          <w:i/>
          <w:szCs w:val="20"/>
        </w:rPr>
        <w:t>cuáles son los recursos internos pendientes de agotamiento</w:t>
      </w:r>
      <w:r w:rsidRPr="006145EF">
        <w:rPr>
          <w:szCs w:val="20"/>
        </w:rPr>
        <w:t>” y “</w:t>
      </w:r>
      <w:r w:rsidRPr="006145EF">
        <w:rPr>
          <w:i/>
          <w:szCs w:val="20"/>
        </w:rPr>
        <w:t>que no compete a los órganos internacionales subsanar la falta de precisión de los alegatos del Estado</w:t>
      </w:r>
      <w:r w:rsidRPr="006145EF">
        <w:rPr>
          <w:rFonts w:cs="Calibri"/>
          <w:i/>
          <w:szCs w:val="20"/>
          <w:lang w:val="es-CO"/>
        </w:rPr>
        <w:t>”</w:t>
      </w:r>
      <w:r w:rsidRPr="006145EF">
        <w:rPr>
          <w:rStyle w:val="FootnoteReference"/>
          <w:rFonts w:cs="Calibri"/>
          <w:i/>
          <w:szCs w:val="20"/>
          <w:lang w:val="es-CO"/>
        </w:rPr>
        <w:footnoteReference w:id="303"/>
      </w:r>
      <w:r w:rsidRPr="006145EF">
        <w:rPr>
          <w:rFonts w:cs="Calibri"/>
          <w:szCs w:val="20"/>
          <w:lang w:val="es-CO"/>
        </w:rPr>
        <w:t xml:space="preserve">, tampoco le corresponde subsanar la petición ni darle un alcance más allá de lo que en </w:t>
      </w:r>
      <w:r w:rsidRPr="006145EF">
        <w:rPr>
          <w:rFonts w:cs="Calibri"/>
          <w:szCs w:val="20"/>
          <w:lang w:val="es-CO"/>
        </w:rPr>
        <w:lastRenderedPageBreak/>
        <w:t xml:space="preserve">ella se expresa y requiere. La Comisión debe atenerse, pues, a lo que se le solicita. Lo más que puede hacer al respecto </w:t>
      </w:r>
      <w:r w:rsidRPr="006145EF">
        <w:rPr>
          <w:rFonts w:cs="Calibri"/>
          <w:i/>
          <w:szCs w:val="20"/>
        </w:rPr>
        <w:t>“(s</w:t>
      </w:r>
      <w:proofErr w:type="gramStart"/>
      <w:r w:rsidRPr="006145EF">
        <w:rPr>
          <w:rFonts w:cs="Calibri"/>
          <w:i/>
          <w:szCs w:val="20"/>
        </w:rPr>
        <w:t>)i</w:t>
      </w:r>
      <w:proofErr w:type="gramEnd"/>
      <w:r w:rsidRPr="006145EF">
        <w:rPr>
          <w:rFonts w:cs="Calibri"/>
          <w:i/>
          <w:szCs w:val="20"/>
        </w:rPr>
        <w:t xml:space="preserve"> una petición no reúne los requisitos exigidos en el presente Reglamento”, </w:t>
      </w:r>
      <w:r w:rsidRPr="006145EF">
        <w:rPr>
          <w:rFonts w:cs="Calibri"/>
          <w:szCs w:val="20"/>
        </w:rPr>
        <w:t>es “</w:t>
      </w:r>
      <w:r w:rsidRPr="006145EF">
        <w:rPr>
          <w:rFonts w:cs="Calibri"/>
          <w:i/>
          <w:szCs w:val="20"/>
        </w:rPr>
        <w:t>solicitar al peticionario o a su representante que los complete.”</w:t>
      </w:r>
    </w:p>
    <w:p w:rsidR="007E3DB6" w:rsidRPr="006145EF" w:rsidRDefault="007E3DB6" w:rsidP="007E3DB6">
      <w:pPr>
        <w:pStyle w:val="NormalWeb"/>
        <w:spacing w:before="0" w:beforeAutospacing="0" w:after="240" w:afterAutospacing="0" w:line="276" w:lineRule="auto"/>
        <w:jc w:val="both"/>
        <w:rPr>
          <w:rFonts w:cs="Calibri"/>
          <w:color w:val="auto"/>
          <w:sz w:val="20"/>
          <w:szCs w:val="20"/>
          <w:shd w:val="clear" w:color="auto" w:fill="FFFFFF"/>
          <w:lang w:val="es-ES"/>
        </w:rPr>
      </w:pPr>
      <w:r w:rsidRPr="006145EF">
        <w:rPr>
          <w:rFonts w:cs="Calibri"/>
          <w:color w:val="auto"/>
          <w:sz w:val="20"/>
          <w:szCs w:val="20"/>
          <w:lang w:val="es-CO"/>
        </w:rPr>
        <w:t xml:space="preserve">Abona la tesis que se sostiene lo establecido por </w:t>
      </w:r>
      <w:r w:rsidRPr="006145EF">
        <w:rPr>
          <w:rFonts w:cs="Calibri"/>
          <w:color w:val="auto"/>
          <w:sz w:val="20"/>
          <w:szCs w:val="20"/>
          <w:shd w:val="clear" w:color="auto" w:fill="FFFFFF"/>
          <w:lang w:val="es-ES"/>
        </w:rPr>
        <w:t>el artículo 35.1 del Reglamento de la Comisión en orden a que ella “</w:t>
      </w:r>
      <w:r w:rsidRPr="006145EF">
        <w:rPr>
          <w:rFonts w:cs="Calibri"/>
          <w:i/>
          <w:color w:val="auto"/>
          <w:sz w:val="20"/>
          <w:szCs w:val="20"/>
          <w:shd w:val="clear" w:color="auto" w:fill="FFFFFF"/>
          <w:lang w:val="es-ES"/>
        </w:rPr>
        <w:t xml:space="preserve">se abstendrá de conocer aquellas peticiones que se presenten después del plazo de seis meses a partir de la fecha en que el presunto lesionado en sus derechos ha sido notificado de la decisión definitiva, en caso de agotamiento de los recursos internos”. </w:t>
      </w:r>
      <w:r w:rsidRPr="006145EF">
        <w:rPr>
          <w:rFonts w:cs="Calibri"/>
          <w:color w:val="auto"/>
          <w:sz w:val="20"/>
          <w:szCs w:val="20"/>
          <w:lang w:val="es-ES"/>
        </w:rPr>
        <w:t xml:space="preserve">Es decir, en dicha alternativa, también la Comisión debe considerar el momento en que tuvo lugar la violación que se alegue, lo que obviamente debe haber acontecido antes de la presentación de la petición. </w:t>
      </w:r>
    </w:p>
    <w:p w:rsidR="007E3DB6" w:rsidRPr="006145EF" w:rsidRDefault="007E3DB6" w:rsidP="007E3DB6">
      <w:pPr>
        <w:autoSpaceDE w:val="0"/>
        <w:autoSpaceDN w:val="0"/>
        <w:adjustRightInd w:val="0"/>
        <w:spacing w:after="240"/>
        <w:rPr>
          <w:rFonts w:cs="Calibri"/>
          <w:i/>
          <w:szCs w:val="20"/>
        </w:rPr>
      </w:pPr>
      <w:r w:rsidRPr="006145EF">
        <w:rPr>
          <w:rFonts w:cs="Calibri"/>
          <w:szCs w:val="20"/>
          <w:lang w:val="es-CO"/>
        </w:rPr>
        <w:t>En suma, por ende, también la función de la Comisión frente a la presentación de la petición confirma que el requisito del previo agotamiento de los recursos internos debe cumplirse antes de dicho acto.</w:t>
      </w:r>
    </w:p>
    <w:p w:rsidR="007E3DB6" w:rsidRPr="006145EF" w:rsidRDefault="007E3DB6" w:rsidP="005D3491">
      <w:pPr>
        <w:numPr>
          <w:ilvl w:val="0"/>
          <w:numId w:val="27"/>
        </w:numPr>
        <w:spacing w:after="240" w:line="276" w:lineRule="auto"/>
        <w:rPr>
          <w:rFonts w:cs="Calibri"/>
          <w:b/>
          <w:szCs w:val="20"/>
        </w:rPr>
      </w:pPr>
      <w:r w:rsidRPr="006145EF">
        <w:rPr>
          <w:rFonts w:cs="Calibri"/>
          <w:b/>
          <w:szCs w:val="20"/>
        </w:rPr>
        <w:t>Respuesta u observaciones del Estado.</w:t>
      </w:r>
    </w:p>
    <w:p w:rsidR="007E3DB6" w:rsidRPr="006145EF" w:rsidRDefault="007E3DB6" w:rsidP="007E3DB6">
      <w:pPr>
        <w:spacing w:after="120"/>
        <w:rPr>
          <w:rFonts w:cs="Calibri"/>
          <w:i/>
          <w:szCs w:val="20"/>
          <w:shd w:val="clear" w:color="auto" w:fill="FFFFFF"/>
        </w:rPr>
      </w:pPr>
      <w:r w:rsidRPr="006145EF">
        <w:rPr>
          <w:rFonts w:cs="Calibri"/>
          <w:bCs/>
          <w:szCs w:val="20"/>
        </w:rPr>
        <w:t>Lo ordenado en el artículo 31.1.c del Reglamento de la Comisión, que indica que</w:t>
      </w:r>
      <w:r w:rsidRPr="006145EF">
        <w:rPr>
          <w:rFonts w:cs="Calibri"/>
          <w:i/>
          <w:szCs w:val="20"/>
        </w:rPr>
        <w:t xml:space="preserve"> “si </w:t>
      </w:r>
      <w:r w:rsidRPr="006145EF">
        <w:rPr>
          <w:rFonts w:cs="Calibri"/>
          <w:szCs w:val="20"/>
        </w:rPr>
        <w:t>(la Secretaría Ejecutiva, actuando a nombre de la Comisión)</w:t>
      </w:r>
      <w:r w:rsidRPr="006145EF">
        <w:rPr>
          <w:rFonts w:cs="Calibri"/>
          <w:i/>
          <w:szCs w:val="20"/>
        </w:rPr>
        <w:t xml:space="preserve"> “acepta, en principio, la admisibilidad, solicitará informaciones al gobierno del Estado aludido, transcribiendo las partes pertinentes de la petición”, </w:t>
      </w:r>
      <w:r w:rsidRPr="006145EF">
        <w:rPr>
          <w:rFonts w:cs="Calibri"/>
          <w:szCs w:val="20"/>
        </w:rPr>
        <w:t>las que indudablemente deben incluir, conforme a lo señalado en el artículo 29.d del señalado Reglamento,</w:t>
      </w:r>
      <w:r w:rsidRPr="006145EF">
        <w:rPr>
          <w:i/>
          <w:szCs w:val="20"/>
        </w:rPr>
        <w:t xml:space="preserve"> “(u)na información sobre la circunstancia de haber hecho uso o no de los recursos de jurisdicción interna o sobre la imposibilidad de hacerlo</w:t>
      </w:r>
      <w:r w:rsidRPr="006145EF">
        <w:rPr>
          <w:szCs w:val="20"/>
        </w:rPr>
        <w:t>”</w:t>
      </w:r>
      <w:r w:rsidRPr="006145EF">
        <w:rPr>
          <w:rFonts w:cs="Calibri"/>
          <w:i/>
          <w:szCs w:val="20"/>
        </w:rPr>
        <w:t>.</w:t>
      </w:r>
    </w:p>
    <w:p w:rsidR="007E3DB6" w:rsidRPr="006145EF" w:rsidRDefault="007E3DB6" w:rsidP="007E3DB6">
      <w:pPr>
        <w:spacing w:after="120"/>
        <w:rPr>
          <w:rFonts w:cs="Calibri"/>
          <w:szCs w:val="20"/>
        </w:rPr>
      </w:pPr>
      <w:r w:rsidRPr="006145EF">
        <w:rPr>
          <w:rFonts w:cs="Calibri"/>
          <w:spacing w:val="-3"/>
          <w:szCs w:val="20"/>
        </w:rPr>
        <w:t xml:space="preserve">Y el artículo 30.3 del Reglamento dispone que </w:t>
      </w:r>
      <w:r w:rsidRPr="006145EF">
        <w:rPr>
          <w:rFonts w:cs="Calibri"/>
          <w:i/>
          <w:spacing w:val="-3"/>
          <w:szCs w:val="20"/>
        </w:rPr>
        <w:t>“(l</w:t>
      </w:r>
      <w:proofErr w:type="gramStart"/>
      <w:r w:rsidRPr="006145EF">
        <w:rPr>
          <w:rFonts w:cs="Calibri"/>
          <w:i/>
          <w:spacing w:val="-3"/>
          <w:szCs w:val="20"/>
        </w:rPr>
        <w:t>)a</w:t>
      </w:r>
      <w:proofErr w:type="gramEnd"/>
      <w:r w:rsidRPr="006145EF">
        <w:rPr>
          <w:rFonts w:cs="Calibri"/>
          <w:i/>
          <w:spacing w:val="-3"/>
          <w:szCs w:val="20"/>
        </w:rPr>
        <w:t xml:space="preserve"> información solicitada debe ser suministrada lo más pronto posible, dentro de 120 días a partir de la fecha del envío de la solicitud</w:t>
      </w:r>
      <w:r w:rsidRPr="006145EF">
        <w:rPr>
          <w:rFonts w:cs="Calibri"/>
          <w:spacing w:val="-3"/>
          <w:szCs w:val="20"/>
        </w:rPr>
        <w:t>”</w:t>
      </w:r>
      <w:r w:rsidRPr="006145EF">
        <w:rPr>
          <w:rFonts w:cs="Calibri"/>
          <w:szCs w:val="20"/>
        </w:rPr>
        <w:t>, respuesta que, por cierto, debe contener, si se quiere interponer, la excepción preliminar por el no agotamiento previo de los recursos internos por parte de la presenta víctima o del peticionario.</w:t>
      </w:r>
    </w:p>
    <w:p w:rsidR="007E3DB6" w:rsidRPr="006145EF" w:rsidRDefault="007E3DB6" w:rsidP="007E3DB6">
      <w:pPr>
        <w:pStyle w:val="ListParagraph1"/>
        <w:spacing w:after="240"/>
        <w:ind w:left="0"/>
        <w:jc w:val="both"/>
        <w:rPr>
          <w:rFonts w:ascii="Verdana" w:hAnsi="Verdana" w:cs="Calibri"/>
          <w:sz w:val="20"/>
          <w:szCs w:val="20"/>
          <w:lang w:val="es-CL"/>
        </w:rPr>
      </w:pPr>
      <w:r w:rsidRPr="006145EF">
        <w:rPr>
          <w:rFonts w:ascii="Verdana" w:hAnsi="Verdana" w:cs="Calibri"/>
          <w:sz w:val="20"/>
          <w:szCs w:val="20"/>
          <w:lang w:val="es-CL"/>
        </w:rPr>
        <w:t xml:space="preserve">Por lo demás, es por la misma razón que el artículo 34.3 del Reglamento de la Comisión estipula que </w:t>
      </w:r>
      <w:r w:rsidRPr="006145EF">
        <w:rPr>
          <w:rFonts w:ascii="Verdana" w:hAnsi="Verdana" w:cs="Calibri"/>
          <w:i/>
          <w:sz w:val="20"/>
          <w:szCs w:val="20"/>
          <w:lang w:val="es-CL"/>
        </w:rPr>
        <w:t>“(c</w:t>
      </w:r>
      <w:proofErr w:type="gramStart"/>
      <w:r w:rsidRPr="006145EF">
        <w:rPr>
          <w:rFonts w:ascii="Verdana" w:hAnsi="Verdana" w:cs="Calibri"/>
          <w:i/>
          <w:sz w:val="20"/>
          <w:szCs w:val="20"/>
          <w:lang w:val="es-CL"/>
        </w:rPr>
        <w:t>)</w:t>
      </w:r>
      <w:proofErr w:type="spellStart"/>
      <w:r w:rsidRPr="006145EF">
        <w:rPr>
          <w:rFonts w:ascii="Verdana" w:hAnsi="Verdana" w:cs="Calibri"/>
          <w:i/>
          <w:sz w:val="20"/>
          <w:szCs w:val="20"/>
          <w:lang w:val="es-CL"/>
        </w:rPr>
        <w:t>uando</w:t>
      </w:r>
      <w:proofErr w:type="spellEnd"/>
      <w:proofErr w:type="gramEnd"/>
      <w:r w:rsidRPr="006145EF">
        <w:rPr>
          <w:rFonts w:ascii="Verdana" w:hAnsi="Verdana" w:cs="Calibri"/>
          <w:i/>
          <w:sz w:val="20"/>
          <w:szCs w:val="20"/>
          <w:lang w:val="es-CL"/>
        </w:rPr>
        <w:t xml:space="preserve"> el peticionario afirme la imposibilidad de comprobar el requisito señalado en este artículo </w:t>
      </w:r>
      <w:r w:rsidRPr="006145EF">
        <w:rPr>
          <w:rFonts w:ascii="Verdana" w:hAnsi="Verdana" w:cs="Calibri"/>
          <w:sz w:val="20"/>
          <w:szCs w:val="20"/>
          <w:lang w:val="es-CL"/>
        </w:rPr>
        <w:t>(el previo agotamiento de los recursos internos)</w:t>
      </w:r>
      <w:r w:rsidRPr="006145EF">
        <w:rPr>
          <w:rFonts w:ascii="Verdana" w:hAnsi="Verdana" w:cs="Calibri"/>
          <w:i/>
          <w:sz w:val="20"/>
          <w:szCs w:val="20"/>
          <w:lang w:val="es-CL"/>
        </w:rPr>
        <w:t xml:space="preserve"> corresponderá al Gobierno en contra del cual se dirige la petición demostrar a la Comisión que los recursos internos no han sido agotados, a menos que ello se deduzca claramente de los antecedentes contenidos en la petición”.</w:t>
      </w:r>
      <w:r w:rsidRPr="006145EF">
        <w:rPr>
          <w:rFonts w:ascii="Verdana" w:hAnsi="Verdana"/>
          <w:sz w:val="20"/>
          <w:szCs w:val="20"/>
          <w:lang w:val="es-CL"/>
        </w:rPr>
        <w:t xml:space="preserve"> </w:t>
      </w:r>
    </w:p>
    <w:p w:rsidR="007E3DB6" w:rsidRPr="006145EF" w:rsidRDefault="007E3DB6" w:rsidP="007E3DB6">
      <w:pPr>
        <w:spacing w:after="240"/>
        <w:rPr>
          <w:rFonts w:cs="Calibri"/>
          <w:szCs w:val="20"/>
          <w:lang w:val="es-CO"/>
        </w:rPr>
      </w:pPr>
      <w:r w:rsidRPr="006145EF">
        <w:rPr>
          <w:rFonts w:cs="Calibri"/>
          <w:szCs w:val="20"/>
          <w:lang w:val="es-CO"/>
        </w:rPr>
        <w:t>En otras palabras, en el evento de que el peticionario alegue, en su petición, estar impedido de acreditar que ha agotado previamente los recursos internos, el Estado puede objetar tal alegación, eventualidad en que debe demostrar que aquellos no se han agotado y siempre y cuando ello no se desprenda nítidamente de “</w:t>
      </w:r>
      <w:r w:rsidRPr="006145EF">
        <w:rPr>
          <w:rFonts w:cs="Calibri"/>
          <w:i/>
          <w:szCs w:val="20"/>
          <w:lang w:val="es-CO"/>
        </w:rPr>
        <w:t>los antecedentes contenidos en la petición</w:t>
      </w:r>
      <w:r w:rsidRPr="006145EF">
        <w:rPr>
          <w:rFonts w:cs="Calibri"/>
          <w:szCs w:val="20"/>
          <w:lang w:val="es-CO"/>
        </w:rPr>
        <w:t xml:space="preserve">”. </w:t>
      </w:r>
      <w:r w:rsidRPr="006145EF">
        <w:rPr>
          <w:rFonts w:cs="Calibri"/>
          <w:szCs w:val="20"/>
        </w:rPr>
        <w:t>Es en relación con esa eventualidad que debe entender lo señalado por la</w:t>
      </w:r>
      <w:r w:rsidRPr="006145EF">
        <w:rPr>
          <w:rFonts w:cs="Calibri"/>
          <w:szCs w:val="20"/>
          <w:lang w:val="es-CR" w:eastAsia="es-MX"/>
        </w:rPr>
        <w:t xml:space="preserve"> Corte en orden a que </w:t>
      </w:r>
      <w:r w:rsidRPr="006145EF">
        <w:rPr>
          <w:rFonts w:cs="Calibri"/>
          <w:i/>
          <w:szCs w:val="20"/>
        </w:rPr>
        <w:t>“</w:t>
      </w:r>
      <w:r w:rsidRPr="006145EF">
        <w:rPr>
          <w:i/>
          <w:szCs w:val="20"/>
          <w:lang w:val="es-CO"/>
        </w:rPr>
        <w:t>(a</w:t>
      </w:r>
      <w:proofErr w:type="gramStart"/>
      <w:r w:rsidRPr="006145EF">
        <w:rPr>
          <w:i/>
          <w:szCs w:val="20"/>
          <w:lang w:val="es-CO"/>
        </w:rPr>
        <w:t>)l</w:t>
      </w:r>
      <w:proofErr w:type="gramEnd"/>
      <w:r w:rsidRPr="006145EF">
        <w:rPr>
          <w:i/>
          <w:szCs w:val="20"/>
          <w:lang w:val="es-CO"/>
        </w:rPr>
        <w:t xml:space="preserve"> alegar la falta de agotamiento de los recursos de la jurisdicción interna </w:t>
      </w:r>
      <w:r w:rsidRPr="006145EF">
        <w:rPr>
          <w:rFonts w:cs="Arial"/>
          <w:i/>
          <w:szCs w:val="20"/>
          <w:lang w:val="es-CO"/>
        </w:rPr>
        <w:t>corresponde al Estado, entonces, señalar cuáles deben agotarse y su efectividad</w:t>
      </w:r>
      <w:r w:rsidRPr="006145EF">
        <w:rPr>
          <w:rFonts w:cs="Calibri"/>
          <w:i/>
          <w:szCs w:val="20"/>
        </w:rPr>
        <w:t>”.</w:t>
      </w:r>
      <w:r w:rsidRPr="006145EF">
        <w:rPr>
          <w:rStyle w:val="FootnoteReference"/>
          <w:rFonts w:cs="Calibri"/>
          <w:i/>
          <w:szCs w:val="20"/>
          <w:lang w:val="es-CO"/>
        </w:rPr>
        <w:footnoteReference w:id="304"/>
      </w:r>
      <w:r w:rsidRPr="006145EF">
        <w:rPr>
          <w:rFonts w:cs="Calibri"/>
          <w:szCs w:val="20"/>
        </w:rPr>
        <w:t xml:space="preserve"> </w:t>
      </w:r>
    </w:p>
    <w:p w:rsidR="007E3DB6" w:rsidRPr="006145EF" w:rsidRDefault="007E3DB6" w:rsidP="007E3DB6">
      <w:pPr>
        <w:spacing w:after="240"/>
        <w:rPr>
          <w:rFonts w:cs="Calibri"/>
          <w:szCs w:val="20"/>
          <w:lang w:val="es-CO"/>
        </w:rPr>
      </w:pPr>
      <w:r w:rsidRPr="006145EF">
        <w:rPr>
          <w:rFonts w:cs="Calibri"/>
          <w:szCs w:val="20"/>
          <w:lang w:val="es-CO"/>
        </w:rPr>
        <w:lastRenderedPageBreak/>
        <w:t>Pero, cabe hacer presente que lógicamente también en el evento, no expresamente considerado en el Reglamento de la Comisión, de que el peticionario indique, en su petición, que ha agotado previamente los recursos internos, es decir, que ha dado cumplimiento a lo ordenado en el artículo 46.1.a) de la Convención, el Estado puede interponer la excepción u objeción de que ello no ha acontecido.</w:t>
      </w:r>
    </w:p>
    <w:p w:rsidR="007E3DB6" w:rsidRPr="006145EF" w:rsidRDefault="007E3DB6" w:rsidP="007E3DB6">
      <w:pPr>
        <w:spacing w:after="240"/>
        <w:rPr>
          <w:rFonts w:cs="Calibri"/>
          <w:szCs w:val="20"/>
          <w:lang w:val="es-CO"/>
        </w:rPr>
      </w:pPr>
      <w:r w:rsidRPr="006145EF">
        <w:rPr>
          <w:rFonts w:cs="Calibri"/>
          <w:szCs w:val="20"/>
          <w:lang w:val="es-CO"/>
        </w:rPr>
        <w:t xml:space="preserve">Así, entonces, resulta evidente que el cumplimiento de la regla del previo agotamiento de los recursos internos o la imposibilidad de cumplirlo, debe señalarse en la petición, puesto que de otra manera, el Estado no podría dar respuesta sobre el particular. Dicho de otra manera, únicamente si en la petición se indica que se ha dado cumplimiento a la regla en comento o que es imposible hacerlo, el Estado puede  </w:t>
      </w:r>
      <w:r w:rsidRPr="006145EF">
        <w:rPr>
          <w:szCs w:val="20"/>
          <w:lang w:val="es-CO"/>
        </w:rPr>
        <w:t xml:space="preserve">alegar su incumplimiento y en tal eventualidad debe demostrar la disponibilidad, adecuación, idoneidad y efectividad de los recursos internos no agotados, todo o cual </w:t>
      </w:r>
      <w:r w:rsidRPr="006145EF">
        <w:rPr>
          <w:rFonts w:cs="Calibri"/>
          <w:szCs w:val="20"/>
          <w:lang w:val="es-CO"/>
        </w:rPr>
        <w:t>demuestra, una vez más, que tal requisito debe haberse cumplido previamente, es decir, antes de formular la petición de cuyas partes pertinentes se da traslado al Estado precisamente para que les dé respuesta.</w:t>
      </w:r>
    </w:p>
    <w:p w:rsidR="007E3DB6" w:rsidRPr="006145EF" w:rsidRDefault="007E3DB6" w:rsidP="007E3DB6">
      <w:pPr>
        <w:spacing w:after="240"/>
        <w:rPr>
          <w:rFonts w:cs="Calibri"/>
          <w:i/>
          <w:szCs w:val="20"/>
        </w:rPr>
      </w:pPr>
      <w:r w:rsidRPr="006145EF">
        <w:rPr>
          <w:rFonts w:cs="Calibri"/>
          <w:szCs w:val="20"/>
          <w:lang w:val="es-ES_tradnl"/>
        </w:rPr>
        <w:t xml:space="preserve">A su vez, lo prescrito </w:t>
      </w:r>
      <w:r w:rsidRPr="006145EF">
        <w:rPr>
          <w:rFonts w:cs="Calibri"/>
          <w:szCs w:val="20"/>
        </w:rPr>
        <w:t xml:space="preserve">artículo 31.7 y 8 del Reglamento de la Comisión apunta en la misma dirección. Efectivamente, dichas disposiciones respectivamente establecen que </w:t>
      </w:r>
      <w:r w:rsidRPr="006145EF">
        <w:rPr>
          <w:rFonts w:cs="Calibri"/>
          <w:i/>
          <w:szCs w:val="20"/>
        </w:rPr>
        <w:t xml:space="preserve">“(l)as partes pertinentes de la respuesta y los documentos suministrados por el Gobierno será comunicadas al peticionario o a su representante, invitándole a presentar sus observaciones y las pruebas en contrario que disponga, en el plazo de 30 días” </w:t>
      </w:r>
      <w:r w:rsidRPr="006145EF">
        <w:rPr>
          <w:rFonts w:cs="Calibri"/>
          <w:szCs w:val="20"/>
        </w:rPr>
        <w:t>y que “</w:t>
      </w:r>
      <w:r w:rsidRPr="006145EF">
        <w:rPr>
          <w:rFonts w:cs="Calibri"/>
          <w:i/>
          <w:szCs w:val="20"/>
        </w:rPr>
        <w:t>(d) de recibirse  la información o los documentos solicitados se transmitirán las partes pertinentes al Gobierno, facultándosele a presentar sus observaciones finales en el plazo de 30 días</w:t>
      </w:r>
      <w:r w:rsidRPr="006145EF">
        <w:rPr>
          <w:rFonts w:cs="Calibri"/>
          <w:szCs w:val="20"/>
        </w:rPr>
        <w:t>.”</w:t>
      </w:r>
    </w:p>
    <w:p w:rsidR="007E3DB6" w:rsidRPr="006145EF" w:rsidRDefault="007E3DB6" w:rsidP="007E3DB6">
      <w:pPr>
        <w:spacing w:after="240"/>
        <w:rPr>
          <w:rFonts w:cs="Calibri"/>
          <w:i/>
          <w:szCs w:val="20"/>
        </w:rPr>
      </w:pPr>
      <w:r w:rsidRPr="006145EF">
        <w:rPr>
          <w:rFonts w:cs="Calibri"/>
          <w:szCs w:val="20"/>
        </w:rPr>
        <w:t>Es indiscutible, en consecuencia, que la citada respuesta estatal lógica y necesariamente lo debe ser respecto de la petición “</w:t>
      </w:r>
      <w:r w:rsidRPr="006145EF">
        <w:rPr>
          <w:rFonts w:cs="Calibri"/>
          <w:i/>
          <w:szCs w:val="20"/>
        </w:rPr>
        <w:t>presentada”</w:t>
      </w:r>
      <w:r w:rsidRPr="006145EF">
        <w:rPr>
          <w:rFonts w:cs="Calibri"/>
          <w:szCs w:val="20"/>
        </w:rPr>
        <w:t xml:space="preserve"> ante la Comisión y que es en ese instante y no después, cuando se traba la </w:t>
      </w:r>
      <w:proofErr w:type="spellStart"/>
      <w:r w:rsidRPr="006145EF">
        <w:rPr>
          <w:rFonts w:cs="Calibri"/>
          <w:i/>
          <w:szCs w:val="20"/>
        </w:rPr>
        <w:t>litis</w:t>
      </w:r>
      <w:proofErr w:type="spellEnd"/>
      <w:r w:rsidRPr="006145EF">
        <w:rPr>
          <w:rFonts w:cs="Calibri"/>
          <w:szCs w:val="20"/>
        </w:rPr>
        <w:t xml:space="preserve"> o el contradictorio en lo atingente al agotamiento de los recursos internos. </w:t>
      </w:r>
    </w:p>
    <w:p w:rsidR="007E3DB6" w:rsidRPr="006145EF" w:rsidRDefault="007E3DB6" w:rsidP="007E3DB6">
      <w:pPr>
        <w:spacing w:after="240"/>
        <w:rPr>
          <w:rFonts w:cs="Calibri"/>
          <w:szCs w:val="20"/>
        </w:rPr>
      </w:pPr>
      <w:r w:rsidRPr="006145EF">
        <w:rPr>
          <w:rFonts w:cs="Calibri"/>
          <w:szCs w:val="20"/>
        </w:rPr>
        <w:t>Y, por lo mismo, es a ese momento en que los recursos internos deben haberse agotados o bien haberse indicado la imposibilidad de que lo sean. Sostener que esos recursos podrían agotarse después de “</w:t>
      </w:r>
      <w:r w:rsidRPr="006145EF">
        <w:rPr>
          <w:rFonts w:cs="Calibri"/>
          <w:i/>
          <w:szCs w:val="20"/>
        </w:rPr>
        <w:t>presentada</w:t>
      </w:r>
      <w:r w:rsidRPr="006145EF">
        <w:rPr>
          <w:rFonts w:cs="Calibri"/>
          <w:szCs w:val="20"/>
        </w:rPr>
        <w:t>” la petición y, consecuentemente, de su notificación al Estado, afectaría el indispensable equilibrio procesal y dejaría a aquél en la indefensión, ya que no podría interponer en tiempo y forma la pertinente excepción preliminar.</w:t>
      </w:r>
    </w:p>
    <w:p w:rsidR="007E3DB6" w:rsidRPr="006145EF" w:rsidRDefault="007E3DB6" w:rsidP="007E3DB6">
      <w:pPr>
        <w:pStyle w:val="ListParagraph1"/>
        <w:spacing w:after="240"/>
        <w:ind w:left="0"/>
        <w:jc w:val="both"/>
        <w:rPr>
          <w:rFonts w:ascii="Verdana" w:hAnsi="Verdana" w:cs="Calibri"/>
          <w:sz w:val="20"/>
          <w:szCs w:val="20"/>
          <w:lang w:val="es-CL"/>
        </w:rPr>
      </w:pPr>
      <w:r w:rsidRPr="006145EF">
        <w:rPr>
          <w:rFonts w:ascii="Verdana" w:hAnsi="Verdana" w:cs="Calibri"/>
          <w:sz w:val="20"/>
          <w:szCs w:val="20"/>
          <w:lang w:val="es-CL"/>
        </w:rPr>
        <w:t xml:space="preserve">Es en ese marco que debe entenderse lo </w:t>
      </w:r>
      <w:r w:rsidRPr="006145EF">
        <w:rPr>
          <w:rFonts w:ascii="Verdana" w:hAnsi="Verdana" w:cs="Calibri"/>
          <w:i/>
          <w:sz w:val="20"/>
          <w:szCs w:val="20"/>
          <w:lang w:val="es-CL"/>
        </w:rPr>
        <w:t xml:space="preserve">“sostenido de manera consistente </w:t>
      </w:r>
      <w:r w:rsidRPr="006145EF">
        <w:rPr>
          <w:rFonts w:ascii="Verdana" w:hAnsi="Verdana" w:cs="Calibri"/>
          <w:sz w:val="20"/>
          <w:szCs w:val="20"/>
          <w:lang w:val="es-CL"/>
        </w:rPr>
        <w:t>(por la Corte en orden a)</w:t>
      </w:r>
      <w:r w:rsidRPr="006145EF">
        <w:rPr>
          <w:rFonts w:ascii="Verdana" w:hAnsi="Verdana" w:cs="Calibri"/>
          <w:i/>
          <w:sz w:val="20"/>
          <w:szCs w:val="20"/>
          <w:lang w:val="es-CL"/>
        </w:rPr>
        <w:t xml:space="preserve"> que una objeción al ejercicio de la jurisdicción de la Corte basada en la supuesta falta de agotamiento de los recursos internos debe ser presentada en el momento procesal oportuno</w:t>
      </w:r>
      <w:r w:rsidRPr="006145EF">
        <w:rPr>
          <w:rFonts w:ascii="Verdana" w:hAnsi="Verdana" w:cs="Calibri"/>
          <w:sz w:val="20"/>
          <w:szCs w:val="20"/>
          <w:lang w:val="es-CL"/>
        </w:rPr>
        <w:t xml:space="preserve">, </w:t>
      </w:r>
      <w:r w:rsidRPr="006145EF">
        <w:rPr>
          <w:rFonts w:ascii="Verdana" w:hAnsi="Verdana" w:cs="Calibri"/>
          <w:i/>
          <w:sz w:val="20"/>
          <w:szCs w:val="20"/>
          <w:lang w:val="es-CL"/>
        </w:rPr>
        <w:t>esto es, durante la admisibilidad del procedimiento ante la Comisión.</w:t>
      </w:r>
      <w:r w:rsidRPr="006145EF">
        <w:rPr>
          <w:rFonts w:ascii="Verdana" w:hAnsi="Verdana" w:cs="Calibri"/>
          <w:sz w:val="20"/>
          <w:szCs w:val="20"/>
          <w:lang w:val="es-CL"/>
        </w:rPr>
        <w:t>”</w:t>
      </w:r>
      <w:r w:rsidRPr="006145EF">
        <w:rPr>
          <w:rStyle w:val="FootnoteReference"/>
          <w:rFonts w:ascii="Verdana" w:hAnsi="Verdana" w:cs="Calibri"/>
          <w:sz w:val="20"/>
          <w:szCs w:val="20"/>
          <w:lang w:val="es-CL"/>
        </w:rPr>
        <w:footnoteReference w:id="305"/>
      </w:r>
    </w:p>
    <w:p w:rsidR="007E3DB6" w:rsidRPr="006145EF" w:rsidRDefault="007E3DB6" w:rsidP="007E3DB6">
      <w:pPr>
        <w:pStyle w:val="PrrafodeSentencia"/>
        <w:rPr>
          <w:i w:val="0"/>
          <w:iCs/>
          <w:lang w:val="es-CO"/>
        </w:rPr>
      </w:pPr>
      <w:r w:rsidRPr="006145EF">
        <w:rPr>
          <w:lang w:val="es-CL"/>
        </w:rPr>
        <w:t xml:space="preserve">Es, pues en dicho contexto que se inserta lo expresado </w:t>
      </w:r>
      <w:r w:rsidRPr="006145EF">
        <w:t xml:space="preserve">en la Sentencia en cuanto a que </w:t>
      </w:r>
      <w:r w:rsidRPr="006145EF">
        <w:rPr>
          <w:i w:val="0"/>
        </w:rPr>
        <w:t>“(l</w:t>
      </w:r>
      <w:proofErr w:type="gramStart"/>
      <w:r w:rsidRPr="006145EF">
        <w:rPr>
          <w:i w:val="0"/>
        </w:rPr>
        <w:t>)a</w:t>
      </w:r>
      <w:proofErr w:type="gramEnd"/>
      <w:r w:rsidRPr="006145EF">
        <w:rPr>
          <w:i w:val="0"/>
        </w:rPr>
        <w:t xml:space="preserve"> Corte recuerda que la regla del previo agotamiento de los recursos internos está concebida en interés del Estado, pues busca dispensarlo de responder ante un órgano internacional por actos que se le imputen, antes de haber tenido la ocasión de remediarlos con sus propios medios</w:t>
      </w:r>
      <w:r w:rsidRPr="006145EF">
        <w:rPr>
          <w:i w:val="0"/>
          <w:iCs/>
          <w:lang w:val="es-CO"/>
        </w:rPr>
        <w:t>”.</w:t>
      </w:r>
      <w:r w:rsidRPr="006145EF">
        <w:rPr>
          <w:rStyle w:val="FootnoteReference"/>
          <w:i w:val="0"/>
          <w:iCs/>
          <w:lang w:val="es-CO"/>
        </w:rPr>
        <w:footnoteReference w:id="306"/>
      </w:r>
    </w:p>
    <w:p w:rsidR="007E3DB6" w:rsidRPr="006145EF" w:rsidRDefault="007E3DB6" w:rsidP="007E3DB6">
      <w:pPr>
        <w:spacing w:after="240"/>
        <w:rPr>
          <w:rFonts w:cs="Calibri"/>
          <w:szCs w:val="20"/>
        </w:rPr>
      </w:pPr>
      <w:r w:rsidRPr="006145EF">
        <w:rPr>
          <w:rFonts w:cs="Calibri"/>
          <w:szCs w:val="20"/>
        </w:rPr>
        <w:lastRenderedPageBreak/>
        <w:t>La señalada regla sería, asimismo, por lo tanto, un mecanismo para incentivar al Estado para que cumpla sus obligaciones en materia de derechos humanos sin esperar que el sistema interamericano eventualmente le ordene, luego de un proceso, lo mismo. La aludida regla pretende, en definitiva, que se le proporcione al Estado la posibilidad de disponer cuanto antes la efectiva vigencia y respeto de los derechos humanos violados, que es el objeto y fin de la Convención</w:t>
      </w:r>
      <w:r w:rsidRPr="006145EF">
        <w:rPr>
          <w:rStyle w:val="FootnoteReference"/>
          <w:rFonts w:cs="Calibri"/>
          <w:szCs w:val="20"/>
        </w:rPr>
        <w:footnoteReference w:id="307"/>
      </w:r>
      <w:r w:rsidRPr="006145EF">
        <w:rPr>
          <w:rFonts w:cs="Calibri"/>
          <w:szCs w:val="20"/>
        </w:rPr>
        <w:t xml:space="preserve"> y, por ende, lo que en definitiva interesa que ocurra lo más pronto posible, haciendo innecesaria la intervención de la jurisdicción interamericana.  </w:t>
      </w:r>
    </w:p>
    <w:p w:rsidR="007E3DB6" w:rsidRPr="006145EF" w:rsidRDefault="007E3DB6" w:rsidP="007E3DB6">
      <w:pPr>
        <w:spacing w:after="240"/>
        <w:rPr>
          <w:rFonts w:cs="Calibri"/>
          <w:szCs w:val="20"/>
        </w:rPr>
      </w:pPr>
      <w:r w:rsidRPr="006145EF">
        <w:rPr>
          <w:rFonts w:cs="Calibri"/>
          <w:szCs w:val="20"/>
        </w:rPr>
        <w:t xml:space="preserve">El </w:t>
      </w:r>
      <w:r w:rsidRPr="006145EF">
        <w:rPr>
          <w:rFonts w:cs="Calibri"/>
          <w:i/>
          <w:szCs w:val="20"/>
        </w:rPr>
        <w:t>efecto útil</w:t>
      </w:r>
      <w:r w:rsidRPr="006145EF">
        <w:rPr>
          <w:rFonts w:cs="Calibri"/>
          <w:szCs w:val="20"/>
        </w:rPr>
        <w:t xml:space="preserve"> es, entonces, que el Estado restablezca lo antes posible el respeto de los derechos humanos y, por tal motivo, se podría sostener que dicha regla está establecida también y principalmente en beneficio de la víctima de la violación de derechos humanos.</w:t>
      </w:r>
      <w:r w:rsidRPr="006145EF">
        <w:rPr>
          <w:rStyle w:val="FootnoteReference"/>
          <w:rFonts w:cs="Calibri"/>
          <w:szCs w:val="20"/>
        </w:rPr>
        <w:footnoteReference w:id="308"/>
      </w:r>
    </w:p>
    <w:p w:rsidR="007E3DB6" w:rsidRPr="006145EF" w:rsidRDefault="007E3DB6" w:rsidP="007E3DB6">
      <w:pPr>
        <w:spacing w:after="120"/>
        <w:rPr>
          <w:rFonts w:cs="Calibri"/>
          <w:szCs w:val="20"/>
        </w:rPr>
      </w:pPr>
      <w:r w:rsidRPr="006145EF">
        <w:rPr>
          <w:rFonts w:cs="Calibri"/>
          <w:szCs w:val="20"/>
        </w:rPr>
        <w:t>Esto es, la referida importa que, en aquellas situaciones en que ya se ha alegado en el respectivo ámbito de la jurisdicción interna que el Estado no ha cumplido con los compromisos que contrajo en cuanto a respetar y garantizar el libre y pleno ejercicio de los derechos humanos, es posible reclamar la intervención de la instancia jurisdiccional internacional y no antes, para que, si procede, le ordene cumplir con las obligaciones internacionales que ha violado, dé garantía de que no volverá a violarlas y repare todas las consecuencias de tales violaciones.</w:t>
      </w:r>
      <w:r w:rsidRPr="006145EF">
        <w:rPr>
          <w:rStyle w:val="FootnoteReference"/>
          <w:rFonts w:cs="Calibri"/>
          <w:szCs w:val="20"/>
        </w:rPr>
        <w:footnoteReference w:id="309"/>
      </w:r>
      <w:r w:rsidRPr="006145EF">
        <w:rPr>
          <w:rFonts w:cs="Calibri"/>
          <w:szCs w:val="20"/>
        </w:rPr>
        <w:t xml:space="preserve"> </w:t>
      </w:r>
    </w:p>
    <w:p w:rsidR="007E3DB6" w:rsidRPr="006145EF" w:rsidRDefault="007E3DB6" w:rsidP="005D3491">
      <w:pPr>
        <w:pStyle w:val="ListParagraph1"/>
        <w:numPr>
          <w:ilvl w:val="0"/>
          <w:numId w:val="27"/>
        </w:numPr>
        <w:spacing w:after="240"/>
        <w:jc w:val="both"/>
        <w:rPr>
          <w:rFonts w:ascii="Verdana" w:hAnsi="Verdana" w:cs="Calibri"/>
          <w:b/>
          <w:sz w:val="20"/>
          <w:szCs w:val="20"/>
          <w:lang w:val="es-CR"/>
        </w:rPr>
      </w:pPr>
      <w:r w:rsidRPr="006145EF">
        <w:rPr>
          <w:rFonts w:ascii="Verdana" w:hAnsi="Verdana" w:cs="Calibri"/>
          <w:b/>
          <w:sz w:val="20"/>
          <w:szCs w:val="20"/>
          <w:lang w:val="es-CR"/>
        </w:rPr>
        <w:t>Admisibilidad de la petición.</w:t>
      </w:r>
    </w:p>
    <w:p w:rsidR="007E3DB6" w:rsidRPr="006145EF" w:rsidRDefault="007E3DB6" w:rsidP="007E3DB6">
      <w:pPr>
        <w:spacing w:after="240"/>
        <w:rPr>
          <w:i/>
          <w:szCs w:val="20"/>
        </w:rPr>
      </w:pPr>
      <w:r w:rsidRPr="006145EF">
        <w:rPr>
          <w:rFonts w:cs="Calibri"/>
          <w:szCs w:val="20"/>
          <w:lang w:val="es-CR"/>
        </w:rPr>
        <w:t xml:space="preserve">En lo que atañe a la admisibilidad, el artículo 28 del Reglamento de la Comisión dispone que </w:t>
      </w:r>
      <w:r w:rsidRPr="006145EF">
        <w:rPr>
          <w:i/>
          <w:szCs w:val="20"/>
        </w:rPr>
        <w:t>“(l</w:t>
      </w:r>
      <w:proofErr w:type="gramStart"/>
      <w:r w:rsidRPr="006145EF">
        <w:rPr>
          <w:i/>
          <w:szCs w:val="20"/>
        </w:rPr>
        <w:t>)a</w:t>
      </w:r>
      <w:proofErr w:type="gramEnd"/>
      <w:r w:rsidRPr="006145EF">
        <w:rPr>
          <w:i/>
          <w:szCs w:val="20"/>
        </w:rPr>
        <w:t xml:space="preserve"> Comisión solamente tomará en consideración las peticiones sobre presuntas violaciones de derechos humanos definidas en la Convención Americana sobre Derechos Humanos, en relación con un Estado Parte, cuando llenen los requisitos establecidos en la misma, en el Estatuto y en este Reglamento</w:t>
      </w:r>
      <w:r w:rsidRPr="006145EF">
        <w:rPr>
          <w:szCs w:val="20"/>
        </w:rPr>
        <w:t xml:space="preserve">.” A su turno, el artículo 30 del mismo cuerpo normativo indica que </w:t>
      </w:r>
      <w:r w:rsidRPr="006145EF">
        <w:rPr>
          <w:i/>
          <w:szCs w:val="20"/>
        </w:rPr>
        <w:t>“(s</w:t>
      </w:r>
      <w:proofErr w:type="gramStart"/>
      <w:r w:rsidRPr="006145EF">
        <w:rPr>
          <w:i/>
          <w:szCs w:val="20"/>
        </w:rPr>
        <w:t>)in</w:t>
      </w:r>
      <w:proofErr w:type="gramEnd"/>
      <w:r w:rsidRPr="006145EF">
        <w:rPr>
          <w:i/>
          <w:szCs w:val="20"/>
        </w:rPr>
        <w:t xml:space="preserve"> perjuicio de lo dispuesto en el Artículo 26 si la Comisión estima que la petición es inadmisible o está incompleta se le notificará al peticionario solicitándole que complete los requisitos omitidos en la petición</w:t>
      </w:r>
      <w:r w:rsidRPr="006145EF">
        <w:rPr>
          <w:szCs w:val="20"/>
        </w:rPr>
        <w:t xml:space="preserve">.” Finalmente, el artículo 32.a de dicho texto reglamentario señala que </w:t>
      </w:r>
      <w:r w:rsidRPr="006145EF">
        <w:rPr>
          <w:rFonts w:cs="Calibri"/>
          <w:i/>
          <w:szCs w:val="20"/>
        </w:rPr>
        <w:t>“(l</w:t>
      </w:r>
      <w:proofErr w:type="gramStart"/>
      <w:r w:rsidRPr="006145EF">
        <w:rPr>
          <w:rFonts w:cs="Calibri"/>
          <w:i/>
          <w:szCs w:val="20"/>
        </w:rPr>
        <w:t>)a</w:t>
      </w:r>
      <w:proofErr w:type="gramEnd"/>
      <w:r w:rsidRPr="006145EF">
        <w:rPr>
          <w:rFonts w:cs="Calibri"/>
          <w:i/>
          <w:szCs w:val="20"/>
        </w:rPr>
        <w:t xml:space="preserve"> Comisión seguirá con el examen del caso decidiendo las siguientes cuestiones:</w:t>
      </w:r>
      <w:r w:rsidRPr="006145EF">
        <w:rPr>
          <w:szCs w:val="20"/>
        </w:rPr>
        <w:t xml:space="preserve"> </w:t>
      </w:r>
      <w:r w:rsidRPr="006145EF">
        <w:rPr>
          <w:i/>
          <w:szCs w:val="20"/>
        </w:rPr>
        <w:t xml:space="preserve">a. El agotamiento de los recursos de la jurisdicción interna, pudiendo determinar las providencias que considere necesarias para aclarar las dudas que subsistan”. </w:t>
      </w:r>
    </w:p>
    <w:p w:rsidR="007E3DB6" w:rsidRPr="006145EF" w:rsidRDefault="007E3DB6" w:rsidP="007E3DB6">
      <w:pPr>
        <w:pStyle w:val="NormalWeb"/>
        <w:spacing w:before="0" w:beforeAutospacing="0" w:after="240" w:afterAutospacing="0" w:line="276" w:lineRule="auto"/>
        <w:jc w:val="both"/>
        <w:rPr>
          <w:rFonts w:cs="Calibri"/>
          <w:i/>
          <w:color w:val="auto"/>
          <w:sz w:val="20"/>
          <w:szCs w:val="20"/>
          <w:lang w:val="es-ES"/>
        </w:rPr>
      </w:pPr>
      <w:r w:rsidRPr="006145EF">
        <w:rPr>
          <w:rFonts w:cs="Calibri"/>
          <w:color w:val="auto"/>
          <w:sz w:val="20"/>
          <w:szCs w:val="20"/>
          <w:lang w:val="es-ES"/>
        </w:rPr>
        <w:t xml:space="preserve">De las transcritas normas se concluye en forma inequívoca que el previo agotamiento de los recursos internos es un requisito indispensable para que la Comisión pueda considerar la petición correspondiente. Y si tal requisito no ha sido cumplido o si no está incluido en forma completa en la petición correspondiente, la Comisión, en el marco de esa consideración, le solicitará al peticionario que complete esta última. Finalmente, luego de ello, decide sobre el cumplimiento de la referida regla del previo agotamiento de </w:t>
      </w:r>
      <w:r w:rsidRPr="006145EF">
        <w:rPr>
          <w:rFonts w:cs="Calibri"/>
          <w:color w:val="auto"/>
          <w:sz w:val="20"/>
          <w:szCs w:val="20"/>
          <w:lang w:val="es-ES"/>
        </w:rPr>
        <w:lastRenderedPageBreak/>
        <w:t>los recursos internos, pudiendo dictar providencias para aclarar las dudas que aún subsistan al respecto. Obviamente, esas dudas no pueden decir relación más que con la circunstancia de que si la pertinente petición cumplió o no, al momento en que se eleva, con el requisito en cuestión, vale decir, aquellas se deben referir a la petición “</w:t>
      </w:r>
      <w:r w:rsidRPr="006145EF">
        <w:rPr>
          <w:rFonts w:cs="Calibri"/>
          <w:i/>
          <w:color w:val="auto"/>
          <w:sz w:val="20"/>
          <w:szCs w:val="20"/>
          <w:lang w:val="es-ES"/>
        </w:rPr>
        <w:t>presentada</w:t>
      </w:r>
      <w:r w:rsidRPr="006145EF">
        <w:rPr>
          <w:rFonts w:cs="Calibri"/>
          <w:color w:val="auto"/>
          <w:sz w:val="20"/>
          <w:szCs w:val="20"/>
          <w:lang w:val="es-ES"/>
        </w:rPr>
        <w:t>”. Tales dudas, por ende, no pueden significar que se cumpla con posterioridad a la petición, con el requisito del previo agotamiento de los recursos internos.</w:t>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cs="Calibri"/>
          <w:color w:val="auto"/>
          <w:sz w:val="20"/>
          <w:szCs w:val="20"/>
          <w:lang w:val="es-ES"/>
        </w:rPr>
        <w:t xml:space="preserve">Vinculado a lo expuesto, es procedente señalar que las normas recién aludidas no disponen que los recursos de la jurisdicción interna necesariamente se deban haber agotado para poder adoptar la decisión sobre la admisibilidad, puesto que tal decisión puede ser la de no admitir la petición en razón de no haberse agotado tales recursos. </w:t>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cs="Calibri"/>
          <w:color w:val="auto"/>
          <w:sz w:val="20"/>
          <w:szCs w:val="20"/>
          <w:lang w:val="es-ES"/>
        </w:rPr>
        <w:t xml:space="preserve">De ello se colige, entonces, que si bien resulta lógico que la excepción preliminar del no agotamiento previo de los recursos internos deba presentarse por parte del Estado durante el procedimiento de admisibilidad de la petición, que cubre desde el momento en que se recibe la petición y se le da trámite por parte de la Comisión, a través de su Secretaría Ejecutiva, hasta el momento en que aquella se pronuncia sobre su admisibilidad, ello no implica, empero, que deba ser en este último momento, es decir, al término del indicado procedimiento, en el que se deba haber cumplido dicho requisito. </w:t>
      </w:r>
    </w:p>
    <w:p w:rsidR="007E3DB6" w:rsidRPr="006145EF" w:rsidRDefault="007E3DB6" w:rsidP="007E3DB6">
      <w:pPr>
        <w:pStyle w:val="NormalWeb"/>
        <w:spacing w:before="0" w:beforeAutospacing="0" w:after="240" w:afterAutospacing="0" w:line="276" w:lineRule="auto"/>
        <w:jc w:val="both"/>
        <w:rPr>
          <w:color w:val="auto"/>
          <w:sz w:val="20"/>
          <w:szCs w:val="20"/>
          <w:lang w:val="es-ES"/>
        </w:rPr>
      </w:pPr>
      <w:r w:rsidRPr="006145EF">
        <w:rPr>
          <w:rFonts w:cs="Calibri"/>
          <w:color w:val="auto"/>
          <w:sz w:val="20"/>
          <w:szCs w:val="20"/>
          <w:lang w:val="es-ES"/>
        </w:rPr>
        <w:t>Ello resulta evidente si se considera que el artículo</w:t>
      </w:r>
      <w:r w:rsidRPr="006145EF">
        <w:rPr>
          <w:color w:val="auto"/>
          <w:sz w:val="20"/>
          <w:szCs w:val="20"/>
          <w:lang w:val="es-ES"/>
        </w:rPr>
        <w:t xml:space="preserve"> 38.a del Reglamento de la Comisión establece que </w:t>
      </w:r>
      <w:r w:rsidRPr="006145EF">
        <w:rPr>
          <w:i/>
          <w:color w:val="auto"/>
          <w:sz w:val="20"/>
          <w:szCs w:val="20"/>
          <w:lang w:val="es-ES"/>
        </w:rPr>
        <w:t>“(l</w:t>
      </w:r>
      <w:proofErr w:type="gramStart"/>
      <w:r w:rsidRPr="006145EF">
        <w:rPr>
          <w:i/>
          <w:color w:val="auto"/>
          <w:sz w:val="20"/>
          <w:szCs w:val="20"/>
          <w:lang w:val="es-ES"/>
        </w:rPr>
        <w:t>)a</w:t>
      </w:r>
      <w:proofErr w:type="gramEnd"/>
      <w:r w:rsidRPr="006145EF">
        <w:rPr>
          <w:i/>
          <w:color w:val="auto"/>
          <w:sz w:val="20"/>
          <w:szCs w:val="20"/>
          <w:lang w:val="es-ES"/>
        </w:rPr>
        <w:t xml:space="preserve"> Comisión declarara inadmisible la petición cuando: Falte alguno de los requisitos establecidos en el artículo 29 de este Reglamento</w:t>
      </w:r>
      <w:r w:rsidRPr="006145EF">
        <w:rPr>
          <w:color w:val="auto"/>
          <w:sz w:val="20"/>
          <w:szCs w:val="20"/>
          <w:lang w:val="es-ES"/>
        </w:rPr>
        <w:t>” y en este último se incluye la “</w:t>
      </w:r>
      <w:r w:rsidRPr="006145EF">
        <w:rPr>
          <w:i/>
          <w:color w:val="auto"/>
          <w:sz w:val="20"/>
          <w:szCs w:val="20"/>
          <w:lang w:val="es-ES"/>
        </w:rPr>
        <w:t>información sobre la circunstancia de haber hecho uso o no de los recursos de jurisdicción interna o sobre la imposibilidad de hacerlo</w:t>
      </w:r>
      <w:r w:rsidRPr="006145EF">
        <w:rPr>
          <w:color w:val="auto"/>
          <w:sz w:val="20"/>
          <w:szCs w:val="20"/>
          <w:lang w:val="es-ES"/>
        </w:rPr>
        <w:t>.”</w:t>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cs="Calibri"/>
          <w:color w:val="auto"/>
          <w:sz w:val="20"/>
          <w:szCs w:val="20"/>
          <w:lang w:val="es-ES"/>
        </w:rPr>
        <w:t>Es</w:t>
      </w:r>
      <w:r w:rsidRPr="006145EF">
        <w:rPr>
          <w:rFonts w:cs="Calibri"/>
          <w:color w:val="auto"/>
          <w:sz w:val="20"/>
          <w:szCs w:val="20"/>
          <w:lang w:val="es-CR"/>
        </w:rPr>
        <w:t xml:space="preserve">, pues, </w:t>
      </w:r>
      <w:r w:rsidRPr="006145EF">
        <w:rPr>
          <w:rFonts w:cs="Calibri"/>
          <w:color w:val="auto"/>
          <w:sz w:val="20"/>
          <w:szCs w:val="20"/>
          <w:lang w:val="es-ES"/>
        </w:rPr>
        <w:t xml:space="preserve">a todas luces indiscutible que el momento en que la Comisión se pronuncia sobre la admisibilidad de la petición es diferente al de la presentación o complementación de esta última. En síntesis, el Reglamento de la Comisión no dispone que es en el momento en que ésta se pronuncia sobre la admisibilidad de la petición en que deben haberse agotado los recursos internos, sino que, por el contrario, señala que es en ese instante que aquella, si comprueba que el requisito del previo agotamiento de los recursos internos no se ha cumplido o se ha omitido, puede solicitarle al peticionario que lo complete y aún adoptar providencias en vista de aclarar dudas que, al respecto, aún subsistan.  </w:t>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cs="Calibri"/>
          <w:color w:val="auto"/>
          <w:sz w:val="20"/>
          <w:szCs w:val="20"/>
          <w:lang w:val="es-ES"/>
        </w:rPr>
        <w:t>En suma, para poder decidir si admite o no la petición, la Comisión realiza un segundo control de convencionalidad de la misma, confrontándola con lo dispuesto en la Convención en lo atinente a los requisitos que lógicamente pudo y debe haber cumplido únicamente cuando ella tuvo lugar, vale decir, cuando fue “</w:t>
      </w:r>
      <w:r w:rsidRPr="006145EF">
        <w:rPr>
          <w:rFonts w:cs="Calibri"/>
          <w:i/>
          <w:color w:val="auto"/>
          <w:sz w:val="20"/>
          <w:szCs w:val="20"/>
          <w:lang w:val="es-ES"/>
        </w:rPr>
        <w:t>presentada</w:t>
      </w:r>
      <w:r w:rsidRPr="006145EF">
        <w:rPr>
          <w:rFonts w:cs="Calibri"/>
          <w:color w:val="auto"/>
          <w:sz w:val="20"/>
          <w:szCs w:val="20"/>
          <w:lang w:val="es-ES"/>
        </w:rPr>
        <w:t xml:space="preserve">”. </w:t>
      </w:r>
    </w:p>
    <w:p w:rsidR="007E3DB6" w:rsidRPr="006145EF" w:rsidRDefault="007E3DB6" w:rsidP="005D3491">
      <w:pPr>
        <w:numPr>
          <w:ilvl w:val="0"/>
          <w:numId w:val="27"/>
        </w:numPr>
        <w:spacing w:after="240" w:line="276" w:lineRule="auto"/>
        <w:rPr>
          <w:rFonts w:cs="Calibri"/>
          <w:b/>
          <w:szCs w:val="20"/>
        </w:rPr>
      </w:pPr>
      <w:r w:rsidRPr="006145EF">
        <w:rPr>
          <w:rFonts w:cs="Calibri"/>
          <w:b/>
          <w:szCs w:val="20"/>
        </w:rPr>
        <w:t>Pronunciamiento de la Corte.</w:t>
      </w:r>
    </w:p>
    <w:p w:rsidR="007E3DB6" w:rsidRPr="006145EF" w:rsidRDefault="007E3DB6" w:rsidP="007E3DB6">
      <w:pPr>
        <w:spacing w:after="240"/>
        <w:rPr>
          <w:rFonts w:cs="Calibri"/>
          <w:szCs w:val="20"/>
        </w:rPr>
      </w:pPr>
      <w:r w:rsidRPr="006145EF">
        <w:rPr>
          <w:rFonts w:cs="Calibri"/>
          <w:szCs w:val="20"/>
        </w:rPr>
        <w:t xml:space="preserve">Finalmente, sobre la función de la Corte respecto del cumplimiento de los requisitos que debe cumplir la petición, es preciso recordar que, de acuerdo a lo ordenado en el artículo 61.2 de la Convención, </w:t>
      </w:r>
      <w:r w:rsidRPr="006145EF">
        <w:rPr>
          <w:rFonts w:cs="Calibri"/>
          <w:i/>
          <w:szCs w:val="20"/>
        </w:rPr>
        <w:t>“(p</w:t>
      </w:r>
      <w:proofErr w:type="gramStart"/>
      <w:r w:rsidRPr="006145EF">
        <w:rPr>
          <w:rFonts w:cs="Calibri"/>
          <w:i/>
          <w:szCs w:val="20"/>
        </w:rPr>
        <w:t>)ara</w:t>
      </w:r>
      <w:proofErr w:type="gramEnd"/>
      <w:r w:rsidRPr="006145EF">
        <w:rPr>
          <w:rFonts w:cs="Calibri"/>
          <w:i/>
          <w:szCs w:val="20"/>
        </w:rPr>
        <w:t xml:space="preserve"> que la Corte pueda conocer de cualquier caso, es necesario que sean agotados los procedimientos previstos en los artículos 48 a 50</w:t>
      </w:r>
      <w:r w:rsidRPr="006145EF">
        <w:rPr>
          <w:rFonts w:cs="Calibri"/>
          <w:szCs w:val="20"/>
        </w:rPr>
        <w:t>”</w:t>
      </w:r>
      <w:r w:rsidRPr="006145EF">
        <w:rPr>
          <w:rFonts w:cs="Calibri"/>
          <w:i/>
          <w:szCs w:val="20"/>
        </w:rPr>
        <w:t>.</w:t>
      </w:r>
    </w:p>
    <w:p w:rsidR="007E3DB6" w:rsidRPr="006145EF" w:rsidRDefault="007E3DB6" w:rsidP="007E3DB6">
      <w:pPr>
        <w:spacing w:after="240"/>
        <w:rPr>
          <w:rFonts w:cs="Calibri"/>
          <w:i/>
          <w:szCs w:val="20"/>
          <w:lang w:val="es-ES_tradnl"/>
        </w:rPr>
      </w:pPr>
      <w:r w:rsidRPr="006145EF">
        <w:rPr>
          <w:rFonts w:cs="Calibri"/>
          <w:szCs w:val="20"/>
        </w:rPr>
        <w:lastRenderedPageBreak/>
        <w:t>De manera, entonces, que compete a la Corte verificar el debido cumplimiento ante la Comisión del requisito del previo agotamiento de los recursos internos. Como se afirma en la Sentencia, “</w:t>
      </w:r>
      <w:r w:rsidRPr="006145EF">
        <w:rPr>
          <w:rFonts w:cs="Calibri"/>
          <w:i/>
          <w:szCs w:val="20"/>
        </w:rPr>
        <w:t>en asuntos que estén bajo su conocimiento, la Corte tiene la atribución de efectuar un control de legalidad de las actuaciones de la Comisión”</w:t>
      </w:r>
      <w:r w:rsidRPr="006145EF">
        <w:rPr>
          <w:rStyle w:val="FootnoteReference"/>
          <w:rFonts w:cs="Calibri"/>
          <w:i/>
          <w:szCs w:val="20"/>
        </w:rPr>
        <w:footnoteReference w:id="310"/>
      </w:r>
      <w:r w:rsidRPr="006145EF">
        <w:rPr>
          <w:rFonts w:cs="Calibri"/>
          <w:szCs w:val="20"/>
          <w:lang w:val="es-ES_tradnl"/>
        </w:rPr>
        <w:t xml:space="preserve"> o que “</w:t>
      </w:r>
      <w:r w:rsidRPr="006145EF">
        <w:rPr>
          <w:rFonts w:cs="Calibri"/>
          <w:i/>
          <w:szCs w:val="20"/>
          <w:lang w:val="es-ES_tradnl"/>
        </w:rPr>
        <w:t>tiene la facultad de revisar si se han cumplido, por parte de la Comisión, las disposiciones convencionales, estatutarias y reglamentarias”.</w:t>
      </w:r>
      <w:r w:rsidRPr="006145EF">
        <w:rPr>
          <w:rStyle w:val="FootnoteReference"/>
          <w:rFonts w:cs="Calibri"/>
          <w:i/>
          <w:szCs w:val="20"/>
        </w:rPr>
        <w:footnoteReference w:id="311"/>
      </w:r>
    </w:p>
    <w:p w:rsidR="007E3DB6" w:rsidRPr="006145EF" w:rsidRDefault="007E3DB6" w:rsidP="007E3DB6">
      <w:pPr>
        <w:spacing w:after="240"/>
        <w:rPr>
          <w:rFonts w:cs="Calibri"/>
          <w:szCs w:val="20"/>
          <w:lang w:val="es-ES_tradnl"/>
        </w:rPr>
      </w:pPr>
      <w:r w:rsidRPr="006145EF">
        <w:rPr>
          <w:rFonts w:cs="Calibri"/>
          <w:szCs w:val="20"/>
          <w:lang w:val="es-ES_tradnl"/>
        </w:rPr>
        <w:t xml:space="preserve">Y no podría ser de otra manera, dado que si no fuese así, se le reconocería a la Comisión la más amplia facultad para decidir, de manera exclusiva y excluyente, sobre la admisión o rechazo de una petición, lo que, evidentemente, le restaría competencia a la Corte puesto que, en tal hipótesis, no le quedaría, en esta materia, más alternativa que ser solo una instancia de confirmación o constatación, ni siquiera de ratificación, de lo actuado por aquella, lo que, sin duda alguna, no se compadecería con la letra y el espíritu de los dispuesto en el transcrito artículo 61.2 de la Convención. </w:t>
      </w:r>
    </w:p>
    <w:p w:rsidR="007E3DB6" w:rsidRPr="006145EF" w:rsidRDefault="007E3DB6" w:rsidP="007E3DB6">
      <w:pPr>
        <w:spacing w:after="240"/>
        <w:rPr>
          <w:rFonts w:cs="Calibri"/>
          <w:szCs w:val="20"/>
          <w:lang w:val="es-ES_tradnl"/>
        </w:rPr>
      </w:pPr>
      <w:r w:rsidRPr="006145EF">
        <w:rPr>
          <w:rFonts w:cs="Calibri"/>
          <w:szCs w:val="20"/>
          <w:lang w:val="es-ES_tradnl"/>
        </w:rPr>
        <w:t>Sobre el particular, no se debe olvidar que la Comisión es la que somete el pertinente caso ante la Corte y, por ende, es parte en el litigio correspondiente, cumpliendo su función de “</w:t>
      </w:r>
      <w:r w:rsidRPr="006145EF">
        <w:rPr>
          <w:rFonts w:cs="Calibri"/>
          <w:i/>
          <w:szCs w:val="20"/>
          <w:lang w:val="es-ES_tradnl"/>
        </w:rPr>
        <w:t>defensa de los derechos humanos</w:t>
      </w:r>
      <w:r w:rsidRPr="006145EF">
        <w:rPr>
          <w:rFonts w:cs="Calibri"/>
          <w:szCs w:val="20"/>
          <w:lang w:val="es-ES_tradnl"/>
        </w:rPr>
        <w:t>”, para lo cual necesaria y legítimamente debe adoptar una de las posturas en disputa en la correspondiente causa y, consecuentemente, debe parcializarse. De allí se desprende que sus propias actuaciones en la tramitación que ante ella se sigue del caso luego sometido a conocimiento de la Corte, pueden ser impugnadas ante esta última, acorde a los principios del contradictorio y de equilibrio procesal entre las partes que deben imperar en las causas judiciales.</w:t>
      </w:r>
    </w:p>
    <w:p w:rsidR="007E3DB6" w:rsidRPr="006145EF" w:rsidRDefault="007E3DB6" w:rsidP="005D3491">
      <w:pPr>
        <w:pStyle w:val="NormalWeb"/>
        <w:numPr>
          <w:ilvl w:val="0"/>
          <w:numId w:val="27"/>
        </w:numPr>
        <w:spacing w:before="0" w:beforeAutospacing="0" w:after="240" w:afterAutospacing="0" w:line="276" w:lineRule="auto"/>
        <w:jc w:val="both"/>
        <w:rPr>
          <w:rFonts w:cs="Calibri"/>
          <w:b/>
          <w:color w:val="auto"/>
          <w:sz w:val="20"/>
          <w:szCs w:val="20"/>
          <w:lang w:val="es-ES"/>
        </w:rPr>
      </w:pPr>
      <w:r w:rsidRPr="006145EF">
        <w:rPr>
          <w:rFonts w:cs="Calibri"/>
          <w:b/>
          <w:color w:val="auto"/>
          <w:sz w:val="20"/>
          <w:szCs w:val="20"/>
          <w:lang w:val="es-ES"/>
        </w:rPr>
        <w:t>Consecuencias jurídicas de considerar a la regla del previo agotamiento de los recursos internos como requisito de la admisibilidad de la petición y no de ésta.</w:t>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cs="Calibri"/>
          <w:color w:val="auto"/>
          <w:sz w:val="20"/>
          <w:szCs w:val="20"/>
          <w:lang w:val="es-ES"/>
        </w:rPr>
        <w:t>En abono a lo sostenido en orden a que la regla del previo agotamiento de los recursos internos debe cumplirse antes de formular la petición ante la Comisión, se puede añadir que, en caso contrario, es decir, si la norma permitiese que lo fuese después, podría ocurrir que, en el evento en que no se ha invocado una de las excepciones a dicha regla o no se ha resuelto sobre ella y al menos durante un tiempo, vale decir, entre el momento en que se eleva la petición y en el que se adopta la resolución sobre su admisibilidad, que en muchas situaciones podría estimarse que resulta extremadamente extenso, un mismo caso fuese tratado en forma simultánea por la jurisdicción interna y la jurisdicción internacional, lo que evidentemente dejaría sin sentido alguno lo indicado en el citado segundo párrafo del Preámbulo y aún a la referida regla. Vale decir, la jurisdicción interamericana no sería, en tal eventualidad, coadyuvante o complementaria de la nacional, sino más bien la sustituiría o, al menos, podría ser empleada como un elemento de presión a su respecto, lo que, sin duda, no es lo buscado por la Convención.</w:t>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cs="Calibri"/>
          <w:color w:val="auto"/>
          <w:sz w:val="20"/>
          <w:szCs w:val="20"/>
          <w:lang w:val="es-ES"/>
        </w:rPr>
        <w:t xml:space="preserve">Además, en esa hipótesis, ello podría constituir un incentivo, que podría ser considerado perverso, a que se eleven presentaciones ante la Comisión </w:t>
      </w:r>
      <w:proofErr w:type="spellStart"/>
      <w:r w:rsidRPr="006145EF">
        <w:rPr>
          <w:rFonts w:cs="Calibri"/>
          <w:color w:val="auto"/>
          <w:sz w:val="20"/>
          <w:szCs w:val="20"/>
          <w:lang w:val="es-ES"/>
        </w:rPr>
        <w:t>aún</w:t>
      </w:r>
      <w:proofErr w:type="spellEnd"/>
      <w:r w:rsidRPr="006145EF">
        <w:rPr>
          <w:rFonts w:cs="Calibri"/>
          <w:color w:val="auto"/>
          <w:sz w:val="20"/>
          <w:szCs w:val="20"/>
          <w:lang w:val="es-ES"/>
        </w:rPr>
        <w:t xml:space="preserve"> cuando no se haya cumplido con el referido requisito, con la esperanza de que ello se pueda lograr en forma previa al pronunciamiento de dicha instancia respecto de su admisibilidad, lo que, por cierto, tampoco pudo haber sido previsto ni perseguido por la Convención. </w:t>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rFonts w:cs="Calibri"/>
          <w:color w:val="auto"/>
          <w:sz w:val="20"/>
          <w:szCs w:val="20"/>
          <w:lang w:val="es-ES"/>
        </w:rPr>
        <w:lastRenderedPageBreak/>
        <w:t>Por otra parte, cabe interrogarse si tendría sentido el “</w:t>
      </w:r>
      <w:r w:rsidRPr="006145EF">
        <w:rPr>
          <w:rFonts w:cs="Calibri"/>
          <w:i/>
          <w:color w:val="auto"/>
          <w:sz w:val="20"/>
          <w:szCs w:val="20"/>
          <w:lang w:val="es-ES"/>
        </w:rPr>
        <w:t>estudio y tramitación inicial</w:t>
      </w:r>
      <w:r w:rsidRPr="006145EF">
        <w:rPr>
          <w:rFonts w:cs="Calibri"/>
          <w:color w:val="auto"/>
          <w:sz w:val="20"/>
          <w:szCs w:val="20"/>
          <w:lang w:val="es-ES"/>
        </w:rPr>
        <w:t xml:space="preserve">” de la petición si no fuese necesario, para presentarla, que se hayan agotado previamente los recursos internos. Efectivamente, si tal requisito fuese exigible solo al momento de decidir sobre la admisibilidad de la petición, procedería preguntarse qué sentido tendría estudiar inicialmente esta última. Y aún más, cuál sería el motivo y el efecto práctico por el que la Convención distingue entre el momento de la presentación de la petición y el de su admisibilidad. En otros términos, si se considerara que el referido requisito o regla debe estar cumplido al momento en que se adopta la decisión sobre la admisibilidad de la petición y no al instante en que ésta se presenta, es lógico interrogarse qué sentido tendría la petición misma. </w:t>
      </w:r>
    </w:p>
    <w:p w:rsidR="007E3DB6" w:rsidRPr="006145EF" w:rsidRDefault="007E3DB6" w:rsidP="007E3DB6">
      <w:pPr>
        <w:spacing w:after="240"/>
        <w:rPr>
          <w:rFonts w:cs="Calibri"/>
          <w:szCs w:val="20"/>
        </w:rPr>
      </w:pPr>
      <w:r w:rsidRPr="006145EF">
        <w:rPr>
          <w:rFonts w:cs="Calibri"/>
          <w:szCs w:val="20"/>
        </w:rPr>
        <w:t xml:space="preserve">También es del caso advertir que de no seguirse el criterio de que el aludido requisito debe cumplirse al momento de la presentación o complemento de la petición y que, en cambio, de adoptarse la tesis de que dicha exigencia está determinada por el instante en que la Comisión se pronuncia sobre la admisibilidad de aquella, se generarían situaciones de abierta injusticia o arbitrariedad en la medida en que la oportunidad para cumplir con el requisito en cuestión en definitiva dependería, no de la víctima o del peticionario, sino de la decisión de la Comisión de resolver sobre la admisibilidad o inadmisibilidad de la petición. </w:t>
      </w:r>
    </w:p>
    <w:p w:rsidR="007E3DB6" w:rsidRPr="006145EF" w:rsidRDefault="007E3DB6" w:rsidP="007E3DB6">
      <w:pPr>
        <w:spacing w:after="240"/>
        <w:rPr>
          <w:rFonts w:cs="Calibri"/>
          <w:szCs w:val="20"/>
        </w:rPr>
      </w:pPr>
      <w:r w:rsidRPr="006145EF">
        <w:rPr>
          <w:rFonts w:cs="Calibri"/>
          <w:szCs w:val="20"/>
        </w:rPr>
        <w:t>Por último, es procedente presumir que, de haber una más ágil tramitación y, por ende, unos más expeditos pronunciamientos de parte de la Comisión con respecto a la admisibilidad de las peticiones “</w:t>
      </w:r>
      <w:r w:rsidRPr="006145EF">
        <w:rPr>
          <w:rFonts w:cs="Calibri"/>
          <w:i/>
          <w:szCs w:val="20"/>
        </w:rPr>
        <w:t>presentadas</w:t>
      </w:r>
      <w:r w:rsidRPr="006145EF">
        <w:rPr>
          <w:rFonts w:cs="Calibri"/>
          <w:szCs w:val="20"/>
        </w:rPr>
        <w:t>”, para lo que muy probablemente requeriría de más recursos y de reglamentación adecuada para el señalado objetivo, seguramente se evitarían retrasos o demoras en la tramitación de un número considerable de casos.</w:t>
      </w:r>
    </w:p>
    <w:p w:rsidR="007E3DB6" w:rsidRPr="006145EF" w:rsidRDefault="007E3DB6" w:rsidP="005D3491">
      <w:pPr>
        <w:numPr>
          <w:ilvl w:val="0"/>
          <w:numId w:val="24"/>
        </w:numPr>
        <w:spacing w:after="240" w:line="276" w:lineRule="auto"/>
        <w:rPr>
          <w:rFonts w:cs="Calibri"/>
          <w:b/>
          <w:szCs w:val="20"/>
        </w:rPr>
      </w:pPr>
      <w:r w:rsidRPr="006145EF">
        <w:rPr>
          <w:rFonts w:cs="Calibri"/>
          <w:b/>
          <w:szCs w:val="20"/>
        </w:rPr>
        <w:t>LOS HECHOS CONCERNIENTES A LA EXCEPCIÓN DE NO AGOTAMIENTO PREVIO DE LOS RECURSOS INTERNOS.</w:t>
      </w:r>
    </w:p>
    <w:p w:rsidR="007E3DB6" w:rsidRPr="006145EF" w:rsidRDefault="007E3DB6" w:rsidP="007E3DB6">
      <w:pPr>
        <w:spacing w:after="240"/>
        <w:rPr>
          <w:rFonts w:cs="Calibri"/>
          <w:szCs w:val="20"/>
        </w:rPr>
      </w:pPr>
      <w:r w:rsidRPr="006145EF">
        <w:rPr>
          <w:rFonts w:cs="Calibri"/>
          <w:szCs w:val="20"/>
        </w:rPr>
        <w:t>Habida cuenta la normativa que se ha hecho mención, se puede señalar que los hechos relevantes relativos a la excepción por incumplimiento de la regla del previo agotamiento de los recursos internos en el caso de autos son los que siguen.</w:t>
      </w:r>
    </w:p>
    <w:p w:rsidR="007E3DB6" w:rsidRPr="006145EF" w:rsidRDefault="007E3DB6" w:rsidP="005D3491">
      <w:pPr>
        <w:numPr>
          <w:ilvl w:val="0"/>
          <w:numId w:val="28"/>
        </w:numPr>
        <w:spacing w:after="240" w:line="276" w:lineRule="auto"/>
        <w:rPr>
          <w:rFonts w:cs="Calibri"/>
          <w:szCs w:val="20"/>
        </w:rPr>
      </w:pPr>
      <w:r w:rsidRPr="006145EF">
        <w:rPr>
          <w:rFonts w:cs="Calibri"/>
          <w:b/>
          <w:szCs w:val="20"/>
        </w:rPr>
        <w:t>Los expuestos en la petición.</w:t>
      </w:r>
      <w:r w:rsidRPr="006145EF">
        <w:rPr>
          <w:rFonts w:cs="Calibri"/>
          <w:szCs w:val="20"/>
        </w:rPr>
        <w:t xml:space="preserve"> </w:t>
      </w:r>
    </w:p>
    <w:p w:rsidR="007E3DB6" w:rsidRPr="006145EF" w:rsidRDefault="007E3DB6" w:rsidP="007E3DB6">
      <w:pPr>
        <w:spacing w:after="240"/>
        <w:rPr>
          <w:szCs w:val="20"/>
          <w:highlight w:val="yellow"/>
        </w:rPr>
      </w:pPr>
      <w:r w:rsidRPr="006145EF">
        <w:rPr>
          <w:rFonts w:cs="Calibri"/>
          <w:szCs w:val="20"/>
        </w:rPr>
        <w:t xml:space="preserve">La petición fue recibida en la Comisión el </w:t>
      </w:r>
      <w:r w:rsidRPr="006145EF">
        <w:rPr>
          <w:szCs w:val="20"/>
          <w:lang w:val="es-CR"/>
        </w:rPr>
        <w:t>3 de enero de 1996.</w:t>
      </w:r>
      <w:r w:rsidRPr="006145EF">
        <w:rPr>
          <w:rStyle w:val="FootnoteReference"/>
          <w:szCs w:val="20"/>
          <w:lang w:val="es-CR"/>
        </w:rPr>
        <w:footnoteReference w:id="312"/>
      </w:r>
      <w:r w:rsidRPr="006145EF">
        <w:rPr>
          <w:szCs w:val="20"/>
          <w:lang w:val="es-CR"/>
        </w:rPr>
        <w:t xml:space="preserve"> En el escrito anexo a ella, se señalan las </w:t>
      </w:r>
      <w:r w:rsidRPr="006145EF">
        <w:rPr>
          <w:szCs w:val="20"/>
        </w:rPr>
        <w:t>“</w:t>
      </w:r>
      <w:r w:rsidRPr="006145EF">
        <w:rPr>
          <w:i/>
          <w:szCs w:val="20"/>
        </w:rPr>
        <w:t>gestiones y denuncias</w:t>
      </w:r>
      <w:r w:rsidRPr="006145EF">
        <w:rPr>
          <w:szCs w:val="20"/>
        </w:rPr>
        <w:t xml:space="preserve">” realizadas ante diversas autoridades respecto de su detención, como sustento de lo sostenido en cuanto a que </w:t>
      </w:r>
    </w:p>
    <w:p w:rsidR="007E3DB6" w:rsidRPr="006145EF" w:rsidRDefault="007E3DB6" w:rsidP="007E3DB6">
      <w:pPr>
        <w:spacing w:after="240"/>
        <w:ind w:left="567"/>
        <w:rPr>
          <w:szCs w:val="20"/>
        </w:rPr>
      </w:pPr>
      <w:r w:rsidRPr="006145EF">
        <w:rPr>
          <w:szCs w:val="20"/>
        </w:rPr>
        <w:t>”</w:t>
      </w:r>
      <w:proofErr w:type="gramStart"/>
      <w:r w:rsidRPr="006145EF">
        <w:rPr>
          <w:i/>
          <w:szCs w:val="20"/>
        </w:rPr>
        <w:t>habiéndose</w:t>
      </w:r>
      <w:proofErr w:type="gramEnd"/>
      <w:r w:rsidRPr="006145EF">
        <w:rPr>
          <w:i/>
          <w:szCs w:val="20"/>
        </w:rPr>
        <w:t xml:space="preserve"> agotado todo trámite y/o denuncia ante las diversas instancias políticas, militares y judiciales del Perú</w:t>
      </w:r>
      <w:r w:rsidRPr="006145EF">
        <w:rPr>
          <w:szCs w:val="20"/>
        </w:rPr>
        <w:t xml:space="preserve">, (sus) </w:t>
      </w:r>
      <w:r w:rsidRPr="006145EF">
        <w:rPr>
          <w:i/>
          <w:szCs w:val="20"/>
        </w:rPr>
        <w:t>requerimientos no</w:t>
      </w:r>
      <w:r w:rsidRPr="006145EF">
        <w:rPr>
          <w:szCs w:val="20"/>
        </w:rPr>
        <w:t xml:space="preserve"> (fueron) </w:t>
      </w:r>
      <w:r w:rsidRPr="006145EF">
        <w:rPr>
          <w:i/>
          <w:szCs w:val="20"/>
        </w:rPr>
        <w:t>escuchados</w:t>
      </w:r>
      <w:r w:rsidRPr="006145EF">
        <w:rPr>
          <w:szCs w:val="20"/>
        </w:rPr>
        <w:t>”.</w:t>
      </w:r>
      <w:r w:rsidRPr="006145EF">
        <w:rPr>
          <w:rStyle w:val="FootnoteReference"/>
          <w:szCs w:val="20"/>
        </w:rPr>
        <w:footnoteReference w:id="313"/>
      </w:r>
      <w:r w:rsidRPr="006145EF">
        <w:rPr>
          <w:szCs w:val="20"/>
        </w:rPr>
        <w:t xml:space="preserve">  </w:t>
      </w:r>
    </w:p>
    <w:p w:rsidR="007E3DB6" w:rsidRPr="006145EF" w:rsidRDefault="007E3DB6" w:rsidP="007E3DB6">
      <w:pPr>
        <w:spacing w:after="240"/>
        <w:rPr>
          <w:szCs w:val="20"/>
        </w:rPr>
      </w:pPr>
      <w:r w:rsidRPr="006145EF">
        <w:rPr>
          <w:szCs w:val="20"/>
        </w:rPr>
        <w:t xml:space="preserve">Tales gestiones fueron, según dicho documento, ante la Fiscalía Provincial y Superior Penal de Huánuco, Ministro del Interior, Comisión de Derechos Humanos y Pacificación del Congreso Constituyente Democrático, Fiscalía de la Nación, Ministro de Defensa e Inspector General del Ejército y Comisión de Derechos Humanos y Pacificación del Congreso de la República. </w:t>
      </w:r>
    </w:p>
    <w:p w:rsidR="007E3DB6" w:rsidRPr="006145EF" w:rsidRDefault="007E3DB6" w:rsidP="007E3DB6">
      <w:pPr>
        <w:spacing w:after="240"/>
        <w:rPr>
          <w:szCs w:val="20"/>
        </w:rPr>
      </w:pPr>
      <w:r w:rsidRPr="006145EF">
        <w:rPr>
          <w:szCs w:val="20"/>
        </w:rPr>
        <w:lastRenderedPageBreak/>
        <w:t>Y en lo referente específicamente al recurso de hábeas corpus, en el mismo documento se indica que el peticionario</w:t>
      </w:r>
    </w:p>
    <w:p w:rsidR="007E3DB6" w:rsidRPr="006145EF" w:rsidRDefault="007E3DB6" w:rsidP="007E3DB6">
      <w:pPr>
        <w:spacing w:after="240"/>
        <w:ind w:left="567"/>
        <w:rPr>
          <w:szCs w:val="20"/>
          <w:lang w:val="es-MX" w:eastAsia="es-MX"/>
        </w:rPr>
      </w:pPr>
      <w:r w:rsidRPr="006145EF">
        <w:rPr>
          <w:szCs w:val="20"/>
          <w:lang w:val="es-CR" w:eastAsia="es-MX"/>
        </w:rPr>
        <w:t>“</w:t>
      </w:r>
      <w:r w:rsidRPr="006145EF">
        <w:rPr>
          <w:i/>
          <w:szCs w:val="20"/>
          <w:lang w:val="es-MX" w:eastAsia="es-MX"/>
        </w:rPr>
        <w:t xml:space="preserve">no </w:t>
      </w:r>
      <w:proofErr w:type="spellStart"/>
      <w:r w:rsidRPr="006145EF">
        <w:rPr>
          <w:i/>
          <w:szCs w:val="20"/>
          <w:lang w:val="es-MX" w:eastAsia="es-MX"/>
        </w:rPr>
        <w:t>interpus</w:t>
      </w:r>
      <w:proofErr w:type="spellEnd"/>
      <w:r w:rsidRPr="006145EF">
        <w:rPr>
          <w:i/>
          <w:szCs w:val="20"/>
          <w:lang w:val="es-MX" w:eastAsia="es-MX"/>
        </w:rPr>
        <w:t xml:space="preserve">[o] la acción de Hábeas Corpus, durante [su] reclusión por espacio de 31 días, esto debido a la falta de garantías en administración de justicia ante la avasallamiento y control del Comando Político Militar </w:t>
      </w:r>
      <w:proofErr w:type="spellStart"/>
      <w:r w:rsidRPr="006145EF">
        <w:rPr>
          <w:i/>
          <w:szCs w:val="20"/>
          <w:lang w:val="es-MX" w:eastAsia="es-MX"/>
        </w:rPr>
        <w:t>jefaturado</w:t>
      </w:r>
      <w:proofErr w:type="spellEnd"/>
      <w:r w:rsidRPr="006145EF">
        <w:rPr>
          <w:i/>
          <w:szCs w:val="20"/>
          <w:lang w:val="es-MX" w:eastAsia="es-MX"/>
        </w:rPr>
        <w:t xml:space="preserve"> por el Coronel Negrón a los órganos y fiscalización de la ciudad de Huánuco (Poder Judicial y Ministerio Público) [</w:t>
      </w:r>
      <w:proofErr w:type="gramStart"/>
      <w:r w:rsidRPr="006145EF">
        <w:rPr>
          <w:i/>
          <w:szCs w:val="20"/>
          <w:lang w:val="es-MX" w:eastAsia="es-MX"/>
        </w:rPr>
        <w:t>… .]</w:t>
      </w:r>
      <w:proofErr w:type="gramEnd"/>
      <w:r w:rsidRPr="006145EF">
        <w:rPr>
          <w:i/>
          <w:szCs w:val="20"/>
          <w:lang w:val="es-MX" w:eastAsia="es-MX"/>
        </w:rPr>
        <w:t xml:space="preserve"> En un marco y clima de acoso, amenaza y sometimiento a quienes administran justicia, era lógico que la ciudadanía se encontrará totalmente desprotegida y en el caso particular del recurrente exigir una acción de garantías en esas circunstancias, sobre todo con la intervención del Presidente de la República, [su] pretensión iba a caer en saco roto; es por ello que no se interpuso la acción de garantía correspondiente</w:t>
      </w:r>
      <w:r w:rsidRPr="006145EF">
        <w:rPr>
          <w:szCs w:val="20"/>
          <w:lang w:val="es-MX" w:eastAsia="es-MX"/>
        </w:rPr>
        <w:t>.”</w:t>
      </w:r>
      <w:r w:rsidRPr="006145EF">
        <w:rPr>
          <w:rStyle w:val="FootnoteReference"/>
          <w:szCs w:val="20"/>
          <w:lang w:val="es-MX" w:eastAsia="es-MX"/>
        </w:rPr>
        <w:footnoteReference w:id="314"/>
      </w:r>
    </w:p>
    <w:p w:rsidR="007E3DB6" w:rsidRPr="006145EF" w:rsidRDefault="007E3DB6" w:rsidP="007E3DB6">
      <w:pPr>
        <w:spacing w:after="240"/>
        <w:rPr>
          <w:szCs w:val="20"/>
          <w:lang w:val="es-MX" w:eastAsia="es-MX"/>
        </w:rPr>
      </w:pPr>
      <w:r w:rsidRPr="006145EF">
        <w:rPr>
          <w:szCs w:val="20"/>
          <w:lang w:val="es-MX" w:eastAsia="es-MX"/>
        </w:rPr>
        <w:t>Posteriormente, el peticionario fue complementando su petición. Así, en escrito del 20 de junio de 1996, manifestó que</w:t>
      </w:r>
    </w:p>
    <w:p w:rsidR="007E3DB6" w:rsidRPr="006145EF" w:rsidRDefault="007E3DB6" w:rsidP="007E3DB6">
      <w:pPr>
        <w:spacing w:after="240"/>
        <w:ind w:left="567"/>
        <w:rPr>
          <w:i/>
          <w:szCs w:val="20"/>
        </w:rPr>
      </w:pPr>
      <w:r w:rsidRPr="006145EF">
        <w:rPr>
          <w:i/>
          <w:szCs w:val="20"/>
        </w:rPr>
        <w:t xml:space="preserve">“[n]o </w:t>
      </w:r>
      <w:proofErr w:type="spellStart"/>
      <w:r w:rsidRPr="006145EF">
        <w:rPr>
          <w:i/>
          <w:szCs w:val="20"/>
        </w:rPr>
        <w:t>interpus</w:t>
      </w:r>
      <w:proofErr w:type="spellEnd"/>
      <w:r w:rsidRPr="006145EF">
        <w:rPr>
          <w:i/>
          <w:szCs w:val="20"/>
        </w:rPr>
        <w:t>[o] la acción de [h]</w:t>
      </w:r>
      <w:proofErr w:type="spellStart"/>
      <w:r w:rsidRPr="006145EF">
        <w:rPr>
          <w:i/>
          <w:szCs w:val="20"/>
        </w:rPr>
        <w:t>ábeas</w:t>
      </w:r>
      <w:proofErr w:type="spellEnd"/>
      <w:r w:rsidRPr="006145EF">
        <w:rPr>
          <w:i/>
          <w:szCs w:val="20"/>
        </w:rPr>
        <w:t xml:space="preserve"> [c]</w:t>
      </w:r>
      <w:proofErr w:type="spellStart"/>
      <w:r w:rsidRPr="006145EF">
        <w:rPr>
          <w:i/>
          <w:szCs w:val="20"/>
        </w:rPr>
        <w:t>órpus</w:t>
      </w:r>
      <w:proofErr w:type="spellEnd"/>
      <w:r w:rsidRPr="006145EF">
        <w:rPr>
          <w:i/>
          <w:szCs w:val="20"/>
        </w:rPr>
        <w:t>, toda vez que la ciudad de Huánuco [había sido] declarada en estado de emergencia, por l[o] cual estaban suspendidas las más elementales [g]</w:t>
      </w:r>
      <w:proofErr w:type="spellStart"/>
      <w:r w:rsidRPr="006145EF">
        <w:rPr>
          <w:i/>
          <w:szCs w:val="20"/>
        </w:rPr>
        <w:t>arantías</w:t>
      </w:r>
      <w:proofErr w:type="spellEnd"/>
      <w:r w:rsidRPr="006145EF">
        <w:rPr>
          <w:i/>
          <w:szCs w:val="20"/>
        </w:rPr>
        <w:t xml:space="preserve"> constitucionales y conforme lo </w:t>
      </w:r>
      <w:proofErr w:type="spellStart"/>
      <w:r w:rsidRPr="006145EF">
        <w:rPr>
          <w:i/>
          <w:szCs w:val="20"/>
        </w:rPr>
        <w:t>establec</w:t>
      </w:r>
      <w:proofErr w:type="spellEnd"/>
      <w:r w:rsidRPr="006145EF">
        <w:rPr>
          <w:i/>
          <w:szCs w:val="20"/>
        </w:rPr>
        <w:t>[</w:t>
      </w:r>
      <w:proofErr w:type="spellStart"/>
      <w:r w:rsidRPr="006145EF">
        <w:rPr>
          <w:i/>
          <w:szCs w:val="20"/>
        </w:rPr>
        <w:t>ía</w:t>
      </w:r>
      <w:proofErr w:type="spellEnd"/>
      <w:r w:rsidRPr="006145EF">
        <w:rPr>
          <w:i/>
          <w:szCs w:val="20"/>
        </w:rPr>
        <w:t>] la Ley 23506 en su […a]</w:t>
      </w:r>
      <w:proofErr w:type="spellStart"/>
      <w:r w:rsidRPr="006145EF">
        <w:rPr>
          <w:i/>
          <w:szCs w:val="20"/>
        </w:rPr>
        <w:t>rt</w:t>
      </w:r>
      <w:proofErr w:type="spellEnd"/>
      <w:r w:rsidRPr="006145EF">
        <w:rPr>
          <w:i/>
          <w:szCs w:val="20"/>
        </w:rPr>
        <w:t>[</w:t>
      </w:r>
      <w:proofErr w:type="spellStart"/>
      <w:r w:rsidRPr="006145EF">
        <w:rPr>
          <w:i/>
          <w:szCs w:val="20"/>
        </w:rPr>
        <w:t>ículo</w:t>
      </w:r>
      <w:proofErr w:type="spellEnd"/>
      <w:r w:rsidRPr="006145EF">
        <w:rPr>
          <w:i/>
          <w:szCs w:val="20"/>
        </w:rPr>
        <w:t>] 38 – Ley de Hábeas Corpus y Amparo- en concordancia con el [a]</w:t>
      </w:r>
      <w:proofErr w:type="spellStart"/>
      <w:r w:rsidRPr="006145EF">
        <w:rPr>
          <w:i/>
          <w:szCs w:val="20"/>
        </w:rPr>
        <w:t>rt</w:t>
      </w:r>
      <w:proofErr w:type="spellEnd"/>
      <w:r w:rsidRPr="006145EF">
        <w:rPr>
          <w:i/>
          <w:szCs w:val="20"/>
        </w:rPr>
        <w:t>[</w:t>
      </w:r>
      <w:proofErr w:type="spellStart"/>
      <w:r w:rsidRPr="006145EF">
        <w:rPr>
          <w:i/>
          <w:szCs w:val="20"/>
        </w:rPr>
        <w:t>ículo</w:t>
      </w:r>
      <w:proofErr w:type="spellEnd"/>
      <w:r w:rsidRPr="006145EF">
        <w:rPr>
          <w:i/>
          <w:szCs w:val="20"/>
        </w:rPr>
        <w:t>] 137 [i]</w:t>
      </w:r>
      <w:proofErr w:type="spellStart"/>
      <w:r w:rsidRPr="006145EF">
        <w:rPr>
          <w:i/>
          <w:szCs w:val="20"/>
        </w:rPr>
        <w:t>nc</w:t>
      </w:r>
      <w:proofErr w:type="spellEnd"/>
      <w:r w:rsidRPr="006145EF">
        <w:rPr>
          <w:i/>
          <w:szCs w:val="20"/>
        </w:rPr>
        <w:t>[</w:t>
      </w:r>
      <w:proofErr w:type="spellStart"/>
      <w:r w:rsidRPr="006145EF">
        <w:rPr>
          <w:i/>
          <w:szCs w:val="20"/>
        </w:rPr>
        <w:t>iso</w:t>
      </w:r>
      <w:proofErr w:type="spellEnd"/>
      <w:r w:rsidRPr="006145EF">
        <w:rPr>
          <w:i/>
          <w:szCs w:val="20"/>
        </w:rPr>
        <w:t xml:space="preserve">] 1 de la Constitución […] de 1993, […] no </w:t>
      </w:r>
      <w:proofErr w:type="spellStart"/>
      <w:r w:rsidRPr="006145EF">
        <w:rPr>
          <w:i/>
          <w:szCs w:val="20"/>
        </w:rPr>
        <w:t>proced</w:t>
      </w:r>
      <w:proofErr w:type="spellEnd"/>
      <w:r w:rsidRPr="006145EF">
        <w:rPr>
          <w:i/>
          <w:szCs w:val="20"/>
        </w:rPr>
        <w:t>[</w:t>
      </w:r>
      <w:proofErr w:type="spellStart"/>
      <w:r w:rsidRPr="006145EF">
        <w:rPr>
          <w:i/>
          <w:szCs w:val="20"/>
        </w:rPr>
        <w:t>ían</w:t>
      </w:r>
      <w:proofErr w:type="spellEnd"/>
      <w:r w:rsidRPr="006145EF">
        <w:rPr>
          <w:i/>
          <w:szCs w:val="20"/>
        </w:rPr>
        <w:t>] las acciones de [h]</w:t>
      </w:r>
      <w:proofErr w:type="spellStart"/>
      <w:r w:rsidRPr="006145EF">
        <w:rPr>
          <w:i/>
          <w:szCs w:val="20"/>
        </w:rPr>
        <w:t>ábeas</w:t>
      </w:r>
      <w:proofErr w:type="spellEnd"/>
      <w:r w:rsidRPr="006145EF">
        <w:rPr>
          <w:i/>
          <w:szCs w:val="20"/>
        </w:rPr>
        <w:t xml:space="preserve"> [c]</w:t>
      </w:r>
      <w:proofErr w:type="spellStart"/>
      <w:r w:rsidRPr="006145EF">
        <w:rPr>
          <w:i/>
          <w:szCs w:val="20"/>
        </w:rPr>
        <w:t>orpus</w:t>
      </w:r>
      <w:proofErr w:type="spellEnd"/>
      <w:r w:rsidRPr="006145EF">
        <w:rPr>
          <w:i/>
          <w:szCs w:val="20"/>
        </w:rPr>
        <w:t xml:space="preserve"> en zonas declaradas en estado de emergencia.”</w:t>
      </w:r>
      <w:r w:rsidRPr="006145EF">
        <w:rPr>
          <w:rStyle w:val="FootnoteReference"/>
          <w:i/>
          <w:szCs w:val="20"/>
        </w:rPr>
        <w:footnoteReference w:id="315"/>
      </w:r>
    </w:p>
    <w:p w:rsidR="007E3DB6" w:rsidRPr="006145EF" w:rsidRDefault="007E3DB6" w:rsidP="007E3DB6">
      <w:pPr>
        <w:spacing w:after="240"/>
        <w:rPr>
          <w:i/>
          <w:szCs w:val="20"/>
        </w:rPr>
      </w:pPr>
      <w:r w:rsidRPr="006145EF">
        <w:rPr>
          <w:szCs w:val="20"/>
        </w:rPr>
        <w:t>En la misma presentación agregó que</w:t>
      </w:r>
    </w:p>
    <w:p w:rsidR="007E3DB6" w:rsidRPr="006145EF" w:rsidRDefault="007E3DB6" w:rsidP="007E3DB6">
      <w:pPr>
        <w:spacing w:after="240"/>
        <w:ind w:left="567"/>
        <w:rPr>
          <w:b/>
          <w:szCs w:val="20"/>
        </w:rPr>
      </w:pPr>
      <w:r w:rsidRPr="006145EF">
        <w:rPr>
          <w:szCs w:val="20"/>
        </w:rPr>
        <w:t>“</w:t>
      </w:r>
      <w:r w:rsidRPr="006145EF">
        <w:rPr>
          <w:i/>
          <w:szCs w:val="20"/>
        </w:rPr>
        <w:t>debe tenerse presente que la ciudad de Huánuco […] se en[</w:t>
      </w:r>
      <w:proofErr w:type="spellStart"/>
      <w:r w:rsidRPr="006145EF">
        <w:rPr>
          <w:i/>
          <w:szCs w:val="20"/>
        </w:rPr>
        <w:t>contraba</w:t>
      </w:r>
      <w:proofErr w:type="spellEnd"/>
      <w:r w:rsidRPr="006145EF">
        <w:rPr>
          <w:i/>
          <w:szCs w:val="20"/>
        </w:rPr>
        <w:t>] declarada en [e]</w:t>
      </w:r>
      <w:proofErr w:type="spellStart"/>
      <w:r w:rsidRPr="006145EF">
        <w:rPr>
          <w:i/>
          <w:szCs w:val="20"/>
        </w:rPr>
        <w:t>stado</w:t>
      </w:r>
      <w:proofErr w:type="spellEnd"/>
      <w:r w:rsidRPr="006145EF">
        <w:rPr>
          <w:i/>
          <w:szCs w:val="20"/>
        </w:rPr>
        <w:t xml:space="preserve"> de excepción [y]</w:t>
      </w:r>
      <w:r w:rsidRPr="006145EF">
        <w:rPr>
          <w:b/>
          <w:i/>
          <w:szCs w:val="20"/>
        </w:rPr>
        <w:t xml:space="preserve"> </w:t>
      </w:r>
      <w:r w:rsidRPr="006145EF">
        <w:rPr>
          <w:i/>
          <w:szCs w:val="20"/>
        </w:rPr>
        <w:t>esta[</w:t>
      </w:r>
      <w:proofErr w:type="spellStart"/>
      <w:r w:rsidRPr="006145EF">
        <w:rPr>
          <w:i/>
          <w:szCs w:val="20"/>
        </w:rPr>
        <w:t>ba</w:t>
      </w:r>
      <w:proofErr w:type="spellEnd"/>
      <w:r w:rsidRPr="006145EF">
        <w:rPr>
          <w:i/>
          <w:szCs w:val="20"/>
        </w:rPr>
        <w:t>] bajo el control del Comando Político Militar, a cargo del autor de la violación alegada […] máxima autoridad de la zona, existiendo una absoluta inseguridad jurídica, razón por la cual no se amparan las acciones de garantía</w:t>
      </w:r>
      <w:r w:rsidRPr="006145EF">
        <w:rPr>
          <w:szCs w:val="20"/>
        </w:rPr>
        <w:t xml:space="preserve">”. </w:t>
      </w:r>
    </w:p>
    <w:p w:rsidR="007E3DB6" w:rsidRPr="006145EF" w:rsidRDefault="007E3DB6" w:rsidP="007E3DB6">
      <w:pPr>
        <w:spacing w:after="240"/>
        <w:rPr>
          <w:szCs w:val="20"/>
        </w:rPr>
      </w:pPr>
      <w:r w:rsidRPr="006145EF">
        <w:rPr>
          <w:szCs w:val="20"/>
        </w:rPr>
        <w:t>También en dicha oportunidad el peticionario señaló</w:t>
      </w:r>
      <w:r w:rsidRPr="006145EF">
        <w:rPr>
          <w:b/>
          <w:szCs w:val="20"/>
        </w:rPr>
        <w:t xml:space="preserve"> </w:t>
      </w:r>
      <w:r w:rsidRPr="006145EF">
        <w:rPr>
          <w:szCs w:val="20"/>
        </w:rPr>
        <w:t>que, para esa fecha,</w:t>
      </w:r>
    </w:p>
    <w:p w:rsidR="007E3DB6" w:rsidRPr="006145EF" w:rsidRDefault="007E3DB6" w:rsidP="007E3DB6">
      <w:pPr>
        <w:spacing w:after="240"/>
        <w:ind w:left="567"/>
        <w:rPr>
          <w:b/>
          <w:szCs w:val="20"/>
        </w:rPr>
      </w:pPr>
      <w:r w:rsidRPr="006145EF">
        <w:rPr>
          <w:szCs w:val="20"/>
        </w:rPr>
        <w:t>“</w:t>
      </w:r>
      <w:r w:rsidRPr="006145EF">
        <w:rPr>
          <w:i/>
          <w:szCs w:val="20"/>
        </w:rPr>
        <w:t xml:space="preserve">cientos de estos mecanismos de garantía se </w:t>
      </w:r>
      <w:proofErr w:type="gramStart"/>
      <w:r w:rsidRPr="006145EF">
        <w:rPr>
          <w:i/>
          <w:szCs w:val="20"/>
        </w:rPr>
        <w:t>en[</w:t>
      </w:r>
      <w:proofErr w:type="spellStart"/>
      <w:proofErr w:type="gramEnd"/>
      <w:r w:rsidRPr="006145EF">
        <w:rPr>
          <w:i/>
          <w:szCs w:val="20"/>
        </w:rPr>
        <w:t>contraban</w:t>
      </w:r>
      <w:proofErr w:type="spellEnd"/>
      <w:r w:rsidRPr="006145EF">
        <w:rPr>
          <w:i/>
          <w:szCs w:val="20"/>
        </w:rPr>
        <w:t>] todavía pendientes de solución en el Tribunal de Garantías Constitucionales –de reciente creación y función-, los que [habían sido] presentados […] 5 o 6 años [antes]”.</w:t>
      </w:r>
    </w:p>
    <w:p w:rsidR="007E3DB6" w:rsidRPr="006145EF" w:rsidRDefault="007E3DB6" w:rsidP="007E3DB6">
      <w:pPr>
        <w:spacing w:after="240"/>
        <w:rPr>
          <w:szCs w:val="20"/>
        </w:rPr>
      </w:pPr>
      <w:r w:rsidRPr="006145EF">
        <w:rPr>
          <w:szCs w:val="20"/>
        </w:rPr>
        <w:t xml:space="preserve">Y anexó copia del “Formulario [de] denuncias” llenado por él y recibido por APRODEH el 30 de enero de 1994, en </w:t>
      </w:r>
      <w:proofErr w:type="gramStart"/>
      <w:r w:rsidRPr="006145EF">
        <w:rPr>
          <w:szCs w:val="20"/>
        </w:rPr>
        <w:t>el</w:t>
      </w:r>
      <w:proofErr w:type="gramEnd"/>
      <w:r w:rsidRPr="006145EF">
        <w:rPr>
          <w:szCs w:val="20"/>
        </w:rPr>
        <w:t xml:space="preserve"> consigna que</w:t>
      </w:r>
    </w:p>
    <w:p w:rsidR="007E3DB6" w:rsidRPr="006145EF" w:rsidRDefault="007E3DB6" w:rsidP="007E3DB6">
      <w:pPr>
        <w:spacing w:after="240"/>
        <w:ind w:left="567"/>
        <w:rPr>
          <w:b/>
          <w:szCs w:val="20"/>
        </w:rPr>
      </w:pPr>
      <w:r w:rsidRPr="006145EF">
        <w:rPr>
          <w:i/>
          <w:szCs w:val="20"/>
        </w:rPr>
        <w:t>“no se interpuso el recurso de h[á]</w:t>
      </w:r>
      <w:proofErr w:type="spellStart"/>
      <w:r w:rsidRPr="006145EF">
        <w:rPr>
          <w:i/>
          <w:szCs w:val="20"/>
        </w:rPr>
        <w:t>beas</w:t>
      </w:r>
      <w:proofErr w:type="spellEnd"/>
      <w:r w:rsidRPr="006145EF">
        <w:rPr>
          <w:i/>
          <w:szCs w:val="20"/>
        </w:rPr>
        <w:t xml:space="preserve"> corpus por la detención arbitraria, al advertir […] la total inseguridad jurídica para resolver las acciones de garantía”</w:t>
      </w:r>
      <w:r w:rsidRPr="006145EF">
        <w:rPr>
          <w:szCs w:val="20"/>
        </w:rPr>
        <w:t>.</w:t>
      </w:r>
      <w:r w:rsidRPr="006145EF">
        <w:rPr>
          <w:rStyle w:val="FootnoteReference"/>
          <w:szCs w:val="20"/>
        </w:rPr>
        <w:footnoteReference w:id="316"/>
      </w:r>
    </w:p>
    <w:p w:rsidR="007E3DB6" w:rsidRPr="006145EF" w:rsidRDefault="007E3DB6" w:rsidP="007E3DB6">
      <w:pPr>
        <w:spacing w:after="240"/>
        <w:rPr>
          <w:szCs w:val="20"/>
        </w:rPr>
      </w:pPr>
      <w:r w:rsidRPr="006145EF">
        <w:rPr>
          <w:b/>
          <w:szCs w:val="20"/>
        </w:rPr>
        <w:t xml:space="preserve"> </w:t>
      </w:r>
      <w:r w:rsidRPr="006145EF">
        <w:rPr>
          <w:szCs w:val="20"/>
        </w:rPr>
        <w:t>El 19 de agosto de 1997 el señor Galindo manifestó a la Comisión casos, según dijo,</w:t>
      </w:r>
    </w:p>
    <w:p w:rsidR="007E3DB6" w:rsidRPr="006145EF" w:rsidRDefault="007E3DB6" w:rsidP="007E3DB6">
      <w:pPr>
        <w:spacing w:after="240"/>
        <w:ind w:left="567"/>
        <w:rPr>
          <w:b/>
          <w:szCs w:val="20"/>
        </w:rPr>
      </w:pPr>
      <w:r w:rsidRPr="006145EF">
        <w:rPr>
          <w:szCs w:val="20"/>
        </w:rPr>
        <w:t xml:space="preserve"> </w:t>
      </w:r>
      <w:proofErr w:type="gramStart"/>
      <w:r w:rsidRPr="006145EF">
        <w:rPr>
          <w:szCs w:val="20"/>
        </w:rPr>
        <w:t>de</w:t>
      </w:r>
      <w:proofErr w:type="gramEnd"/>
      <w:r w:rsidRPr="006145EF">
        <w:rPr>
          <w:szCs w:val="20"/>
        </w:rPr>
        <w:t xml:space="preserve"> “</w:t>
      </w:r>
      <w:r w:rsidRPr="006145EF">
        <w:rPr>
          <w:i/>
          <w:szCs w:val="20"/>
        </w:rPr>
        <w:t>recursos de garantía [que] fueron declarados fundados pero [que] nunca se cumplieron</w:t>
      </w:r>
      <w:r w:rsidRPr="006145EF">
        <w:rPr>
          <w:szCs w:val="20"/>
        </w:rPr>
        <w:t>”.</w:t>
      </w:r>
    </w:p>
    <w:p w:rsidR="007E3DB6" w:rsidRPr="006145EF" w:rsidRDefault="007E3DB6" w:rsidP="007E3DB6">
      <w:pPr>
        <w:spacing w:after="240"/>
        <w:rPr>
          <w:szCs w:val="20"/>
        </w:rPr>
      </w:pPr>
      <w:r w:rsidRPr="006145EF">
        <w:rPr>
          <w:szCs w:val="20"/>
        </w:rPr>
        <w:lastRenderedPageBreak/>
        <w:t>Como prueba de ello presentó información periodística que daba cuenta de acciones de hábeas corpus que luego del 10 de julio de 1996 fueron “</w:t>
      </w:r>
      <w:proofErr w:type="spellStart"/>
      <w:proofErr w:type="gramStart"/>
      <w:r w:rsidRPr="006145EF">
        <w:rPr>
          <w:i/>
          <w:szCs w:val="20"/>
        </w:rPr>
        <w:t>declar</w:t>
      </w:r>
      <w:proofErr w:type="spellEnd"/>
      <w:r w:rsidRPr="006145EF">
        <w:rPr>
          <w:i/>
          <w:szCs w:val="20"/>
        </w:rPr>
        <w:t>[</w:t>
      </w:r>
      <w:proofErr w:type="spellStart"/>
      <w:proofErr w:type="gramEnd"/>
      <w:r w:rsidRPr="006145EF">
        <w:rPr>
          <w:i/>
          <w:szCs w:val="20"/>
        </w:rPr>
        <w:t>adas</w:t>
      </w:r>
      <w:proofErr w:type="spellEnd"/>
      <w:r w:rsidRPr="006145EF">
        <w:rPr>
          <w:i/>
          <w:szCs w:val="20"/>
        </w:rPr>
        <w:t>] fundadas</w:t>
      </w:r>
      <w:r w:rsidRPr="006145EF">
        <w:rPr>
          <w:szCs w:val="20"/>
        </w:rPr>
        <w:t>”.</w:t>
      </w:r>
    </w:p>
    <w:p w:rsidR="007E3DB6" w:rsidRPr="006145EF" w:rsidRDefault="007E3DB6" w:rsidP="007E3DB6">
      <w:pPr>
        <w:spacing w:after="240"/>
        <w:rPr>
          <w:szCs w:val="20"/>
        </w:rPr>
      </w:pPr>
      <w:r w:rsidRPr="006145EF">
        <w:rPr>
          <w:szCs w:val="20"/>
        </w:rPr>
        <w:t>El 29 de octubre de 1997 el peticionario señaló a la Comisión que por el hecho de declarar fundado un hábeas corpus el Ministerio del Interior había procedido a abrir “</w:t>
      </w:r>
      <w:r w:rsidRPr="006145EF">
        <w:rPr>
          <w:i/>
          <w:szCs w:val="20"/>
        </w:rPr>
        <w:t>instrucción y/o proceso penal por el delito de terrorismo</w:t>
      </w:r>
      <w:r w:rsidRPr="006145EF">
        <w:rPr>
          <w:szCs w:val="20"/>
        </w:rPr>
        <w:t>” contra una jueza.</w:t>
      </w:r>
    </w:p>
    <w:p w:rsidR="007E3DB6" w:rsidRPr="006145EF" w:rsidRDefault="007E3DB6" w:rsidP="007E3DB6">
      <w:pPr>
        <w:pStyle w:val="FootnoteText"/>
        <w:rPr>
          <w:sz w:val="20"/>
        </w:rPr>
      </w:pPr>
      <w:r w:rsidRPr="006145EF">
        <w:rPr>
          <w:sz w:val="20"/>
        </w:rPr>
        <w:t>El 6 de julio de 1998 afirmó “como una muestra reciente” de sus argumentos, “la acción de [</w:t>
      </w:r>
      <w:proofErr w:type="spellStart"/>
      <w:r w:rsidRPr="006145EF">
        <w:rPr>
          <w:sz w:val="20"/>
        </w:rPr>
        <w:t>há</w:t>
      </w:r>
      <w:proofErr w:type="spellEnd"/>
      <w:proofErr w:type="gramStart"/>
      <w:r w:rsidRPr="006145EF">
        <w:rPr>
          <w:sz w:val="20"/>
        </w:rPr>
        <w:t>]</w:t>
      </w:r>
      <w:proofErr w:type="spellStart"/>
      <w:r w:rsidRPr="006145EF">
        <w:rPr>
          <w:sz w:val="20"/>
        </w:rPr>
        <w:t>beas</w:t>
      </w:r>
      <w:proofErr w:type="spellEnd"/>
      <w:proofErr w:type="gramEnd"/>
      <w:r w:rsidRPr="006145EF">
        <w:rPr>
          <w:sz w:val="20"/>
        </w:rPr>
        <w:t xml:space="preserve"> [c]</w:t>
      </w:r>
      <w:proofErr w:type="spellStart"/>
      <w:r w:rsidRPr="006145EF">
        <w:rPr>
          <w:sz w:val="20"/>
        </w:rPr>
        <w:t>orpus</w:t>
      </w:r>
      <w:proofErr w:type="spellEnd"/>
      <w:r w:rsidRPr="006145EF">
        <w:rPr>
          <w:sz w:val="20"/>
        </w:rPr>
        <w:t xml:space="preserve"> interpuesta por el [c]</w:t>
      </w:r>
      <w:proofErr w:type="spellStart"/>
      <w:r w:rsidRPr="006145EF">
        <w:rPr>
          <w:sz w:val="20"/>
        </w:rPr>
        <w:t>iudadano</w:t>
      </w:r>
      <w:proofErr w:type="spellEnd"/>
      <w:r w:rsidRPr="006145EF">
        <w:rPr>
          <w:sz w:val="20"/>
        </w:rPr>
        <w:t xml:space="preserve"> [p]</w:t>
      </w:r>
      <w:proofErr w:type="spellStart"/>
      <w:r w:rsidRPr="006145EF">
        <w:rPr>
          <w:sz w:val="20"/>
        </w:rPr>
        <w:t>eruano</w:t>
      </w:r>
      <w:proofErr w:type="spellEnd"/>
      <w:r w:rsidRPr="006145EF">
        <w:rPr>
          <w:sz w:val="20"/>
        </w:rPr>
        <w:t xml:space="preserve"> </w:t>
      </w:r>
      <w:proofErr w:type="spellStart"/>
      <w:r w:rsidRPr="006145EF">
        <w:rPr>
          <w:sz w:val="20"/>
        </w:rPr>
        <w:t>Cesti</w:t>
      </w:r>
      <w:proofErr w:type="spellEnd"/>
      <w:r w:rsidRPr="006145EF">
        <w:rPr>
          <w:sz w:val="20"/>
        </w:rPr>
        <w:t xml:space="preserve"> Hurtado, tramitada desde ha[</w:t>
      </w:r>
      <w:proofErr w:type="spellStart"/>
      <w:r w:rsidRPr="006145EF">
        <w:rPr>
          <w:sz w:val="20"/>
        </w:rPr>
        <w:t>cía</w:t>
      </w:r>
      <w:proofErr w:type="spellEnd"/>
      <w:r w:rsidRPr="006145EF">
        <w:rPr>
          <w:sz w:val="20"/>
        </w:rPr>
        <w:t>] más de un año [antes de la fecha de la presentación], y […] que todavía [para esa fecha] s[</w:t>
      </w:r>
      <w:proofErr w:type="spellStart"/>
      <w:r w:rsidRPr="006145EF">
        <w:rPr>
          <w:sz w:val="20"/>
        </w:rPr>
        <w:t>eguía</w:t>
      </w:r>
      <w:proofErr w:type="spellEnd"/>
      <w:r w:rsidRPr="006145EF">
        <w:rPr>
          <w:sz w:val="20"/>
        </w:rPr>
        <w:t>] recluido en un [c]</w:t>
      </w:r>
      <w:proofErr w:type="spellStart"/>
      <w:r w:rsidRPr="006145EF">
        <w:rPr>
          <w:sz w:val="20"/>
        </w:rPr>
        <w:t>uartel</w:t>
      </w:r>
      <w:proofErr w:type="spellEnd"/>
      <w:r w:rsidRPr="006145EF">
        <w:rPr>
          <w:sz w:val="20"/>
        </w:rPr>
        <w:t xml:space="preserve"> [m]</w:t>
      </w:r>
      <w:proofErr w:type="spellStart"/>
      <w:r w:rsidRPr="006145EF">
        <w:rPr>
          <w:sz w:val="20"/>
        </w:rPr>
        <w:t>ilitar</w:t>
      </w:r>
      <w:proofErr w:type="spellEnd"/>
      <w:r w:rsidRPr="006145EF">
        <w:rPr>
          <w:sz w:val="20"/>
        </w:rPr>
        <w:t>”.</w:t>
      </w:r>
      <w:r w:rsidRPr="006145EF">
        <w:rPr>
          <w:b/>
          <w:sz w:val="20"/>
        </w:rPr>
        <w:t xml:space="preserve"> </w:t>
      </w:r>
    </w:p>
    <w:p w:rsidR="007E3DB6" w:rsidRPr="006145EF" w:rsidRDefault="007E3DB6" w:rsidP="007E3DB6">
      <w:pPr>
        <w:pStyle w:val="FootnoteText"/>
        <w:rPr>
          <w:sz w:val="20"/>
        </w:rPr>
      </w:pPr>
      <w:r w:rsidRPr="006145EF">
        <w:rPr>
          <w:sz w:val="20"/>
        </w:rPr>
        <w:t>El 14 de septiembre de 1998, el peticionario hizo llegar a la Comisión un recorte periodístico presuntamente de 10 de julio de 1998, en el que se da cuenta de que el entonces Presidente Fujimori “</w:t>
      </w:r>
      <w:r w:rsidRPr="006145EF">
        <w:rPr>
          <w:i/>
          <w:sz w:val="20"/>
        </w:rPr>
        <w:t>dijo ‘ahora hay cada vez menos violaciones a derechos humanos</w:t>
      </w:r>
      <w:r w:rsidRPr="006145EF">
        <w:rPr>
          <w:sz w:val="20"/>
        </w:rPr>
        <w:t>”, lo que, para aquél, constituyó una “</w:t>
      </w:r>
      <w:proofErr w:type="spellStart"/>
      <w:proofErr w:type="gramStart"/>
      <w:r w:rsidRPr="006145EF">
        <w:rPr>
          <w:i/>
          <w:sz w:val="20"/>
        </w:rPr>
        <w:t>admi</w:t>
      </w:r>
      <w:proofErr w:type="spellEnd"/>
      <w:r w:rsidRPr="006145EF">
        <w:rPr>
          <w:i/>
          <w:sz w:val="20"/>
        </w:rPr>
        <w:t>[</w:t>
      </w:r>
      <w:proofErr w:type="spellStart"/>
      <w:proofErr w:type="gramEnd"/>
      <w:r w:rsidRPr="006145EF">
        <w:rPr>
          <w:i/>
          <w:sz w:val="20"/>
        </w:rPr>
        <w:t>sión</w:t>
      </w:r>
      <w:proofErr w:type="spellEnd"/>
      <w:r w:rsidRPr="006145EF">
        <w:rPr>
          <w:i/>
          <w:sz w:val="20"/>
        </w:rPr>
        <w:t>] de que en el Perú, bajo su gobierno se han perpetrado violaciones a los [derechos humanos</w:t>
      </w:r>
      <w:r w:rsidRPr="006145EF">
        <w:rPr>
          <w:sz w:val="20"/>
        </w:rPr>
        <w:t>”].</w:t>
      </w:r>
    </w:p>
    <w:p w:rsidR="007E3DB6" w:rsidRPr="006145EF" w:rsidRDefault="007E3DB6" w:rsidP="007E3DB6">
      <w:pPr>
        <w:pStyle w:val="FootnoteText"/>
        <w:rPr>
          <w:sz w:val="20"/>
        </w:rPr>
      </w:pPr>
      <w:r w:rsidRPr="006145EF">
        <w:rPr>
          <w:i/>
          <w:sz w:val="20"/>
        </w:rPr>
        <w:t>Y en la misma ocasión remitió a la Comisión un recorte de prensa, sin fecha, que indicaba que</w:t>
      </w:r>
      <w:r w:rsidRPr="006145EF">
        <w:rPr>
          <w:sz w:val="20"/>
        </w:rPr>
        <w:t xml:space="preserve"> “[t]res congresistas de los Estados Unidos y la Asociación de Derechos Humanos, </w:t>
      </w:r>
      <w:proofErr w:type="spellStart"/>
      <w:r w:rsidRPr="006145EF">
        <w:rPr>
          <w:sz w:val="20"/>
        </w:rPr>
        <w:t>Wola</w:t>
      </w:r>
      <w:proofErr w:type="spellEnd"/>
      <w:r w:rsidRPr="006145EF">
        <w:rPr>
          <w:sz w:val="20"/>
        </w:rPr>
        <w:t>, exhortaron al presidente Alberto Fujimori y al Congreso Peruano a que hagan cumplir las resoluciones de hábeas corpus”.</w:t>
      </w:r>
      <w:r w:rsidRPr="006145EF">
        <w:rPr>
          <w:rStyle w:val="FootnoteReference"/>
          <w:sz w:val="20"/>
        </w:rPr>
        <w:footnoteReference w:id="317"/>
      </w:r>
    </w:p>
    <w:p w:rsidR="007E3DB6" w:rsidRPr="006145EF" w:rsidRDefault="007E3DB6" w:rsidP="007E3DB6">
      <w:pPr>
        <w:pStyle w:val="NormalWeb"/>
        <w:spacing w:before="0" w:beforeAutospacing="0" w:after="240" w:afterAutospacing="0" w:line="276" w:lineRule="auto"/>
        <w:jc w:val="both"/>
        <w:rPr>
          <w:rFonts w:cs="Calibri"/>
          <w:color w:val="auto"/>
          <w:sz w:val="20"/>
          <w:szCs w:val="20"/>
          <w:lang w:val="es-ES"/>
        </w:rPr>
      </w:pPr>
      <w:r w:rsidRPr="006145EF">
        <w:rPr>
          <w:color w:val="auto"/>
          <w:sz w:val="20"/>
          <w:szCs w:val="20"/>
          <w:lang w:val="es-ES"/>
        </w:rPr>
        <w:t>De la reseña de los hechos concernientes a la petición se puede concluir que, aunque no lo hace expresamente, el peticionario se acoge, en lo que respecta a la no presentación del recurso de hábeas corpus, a lo prescrito en el artículo 46.2.b de la Convención, esto es, al impedimento de ejercer tal recurso</w:t>
      </w:r>
      <w:r w:rsidRPr="006145EF">
        <w:rPr>
          <w:i/>
          <w:color w:val="auto"/>
          <w:sz w:val="20"/>
          <w:szCs w:val="20"/>
          <w:lang w:val="es-ES"/>
        </w:rPr>
        <w:t xml:space="preserve">, </w:t>
      </w:r>
      <w:r w:rsidRPr="006145EF">
        <w:rPr>
          <w:color w:val="auto"/>
          <w:sz w:val="20"/>
          <w:szCs w:val="20"/>
          <w:lang w:val="es-ES"/>
        </w:rPr>
        <w:t>lo que lo habría eximido de cumplir con el requisito de agotar los recursos internos en forma previa a la presentación de la petición.</w:t>
      </w:r>
    </w:p>
    <w:p w:rsidR="007E3DB6" w:rsidRPr="006145EF" w:rsidRDefault="007E3DB6" w:rsidP="005D3491">
      <w:pPr>
        <w:numPr>
          <w:ilvl w:val="0"/>
          <w:numId w:val="28"/>
        </w:numPr>
        <w:autoSpaceDE w:val="0"/>
        <w:autoSpaceDN w:val="0"/>
        <w:adjustRightInd w:val="0"/>
        <w:spacing w:after="240" w:line="276" w:lineRule="auto"/>
        <w:rPr>
          <w:b/>
          <w:szCs w:val="20"/>
        </w:rPr>
      </w:pPr>
      <w:r w:rsidRPr="006145EF">
        <w:rPr>
          <w:b/>
          <w:szCs w:val="20"/>
        </w:rPr>
        <w:t>Estudio y trámite inicial.</w:t>
      </w:r>
    </w:p>
    <w:p w:rsidR="007E3DB6" w:rsidRPr="006145EF" w:rsidRDefault="007E3DB6" w:rsidP="007E3DB6">
      <w:pPr>
        <w:autoSpaceDE w:val="0"/>
        <w:autoSpaceDN w:val="0"/>
        <w:adjustRightInd w:val="0"/>
        <w:spacing w:after="240"/>
        <w:rPr>
          <w:szCs w:val="20"/>
        </w:rPr>
      </w:pPr>
      <w:r w:rsidRPr="006145EF">
        <w:rPr>
          <w:szCs w:val="20"/>
        </w:rPr>
        <w:t>No hay constancia en la Sentencia de alguna decisión de la Secretaría Ejecutiva de la Comisión respecto al estudio y tramitación inicial de la petición, en orden a que se complete, por lo que de ello y de lo acontecido posteriormente en el caso, se desprende que dio lugar a su tramitación sin observaciones.</w:t>
      </w:r>
    </w:p>
    <w:p w:rsidR="007E3DB6" w:rsidRPr="006145EF" w:rsidRDefault="007E3DB6" w:rsidP="005D3491">
      <w:pPr>
        <w:numPr>
          <w:ilvl w:val="0"/>
          <w:numId w:val="28"/>
        </w:numPr>
        <w:spacing w:after="240" w:line="276" w:lineRule="auto"/>
        <w:rPr>
          <w:rFonts w:cs="Calibri"/>
          <w:b/>
          <w:szCs w:val="20"/>
        </w:rPr>
      </w:pPr>
      <w:r w:rsidRPr="006145EF">
        <w:rPr>
          <w:rFonts w:cs="Calibri"/>
          <w:b/>
          <w:szCs w:val="20"/>
        </w:rPr>
        <w:t>Los contenidos en la respuesta u observaciones del Estado.</w:t>
      </w:r>
    </w:p>
    <w:p w:rsidR="007E3DB6" w:rsidRPr="006145EF" w:rsidRDefault="007E3DB6" w:rsidP="007E3DB6">
      <w:pPr>
        <w:spacing w:after="240"/>
        <w:rPr>
          <w:rFonts w:cs="Calibri"/>
          <w:szCs w:val="20"/>
        </w:rPr>
      </w:pPr>
      <w:r w:rsidRPr="006145EF">
        <w:rPr>
          <w:rFonts w:cs="Calibri"/>
          <w:szCs w:val="20"/>
        </w:rPr>
        <w:t xml:space="preserve">En lo que concierne a su respuesta del Estado, a la petición, en el escrito del 6 de mayo de 1996, afirmó que </w:t>
      </w:r>
    </w:p>
    <w:p w:rsidR="007E3DB6" w:rsidRPr="006145EF" w:rsidRDefault="007E3DB6" w:rsidP="007E3DB6">
      <w:pPr>
        <w:spacing w:after="240"/>
        <w:ind w:left="567"/>
        <w:rPr>
          <w:rFonts w:cs="Calibri"/>
          <w:szCs w:val="20"/>
        </w:rPr>
      </w:pPr>
      <w:r w:rsidRPr="006145EF">
        <w:rPr>
          <w:rFonts w:cs="Calibri"/>
          <w:szCs w:val="20"/>
        </w:rPr>
        <w:t>“</w:t>
      </w:r>
      <w:r w:rsidRPr="006145EF">
        <w:rPr>
          <w:rFonts w:cs="Calibri"/>
          <w:i/>
          <w:szCs w:val="20"/>
        </w:rPr>
        <w:t>(el) denunciante no interpuso el recurso de “Hábeas Corpus</w:t>
      </w:r>
      <w:r w:rsidRPr="006145EF">
        <w:rPr>
          <w:rFonts w:cs="Calibri"/>
          <w:szCs w:val="20"/>
        </w:rPr>
        <w:t>”,</w:t>
      </w:r>
    </w:p>
    <w:p w:rsidR="007E3DB6" w:rsidRPr="006145EF" w:rsidRDefault="007E3DB6" w:rsidP="007E3DB6">
      <w:pPr>
        <w:spacing w:after="240"/>
        <w:rPr>
          <w:rFonts w:cs="Calibri"/>
          <w:szCs w:val="20"/>
        </w:rPr>
      </w:pPr>
      <w:r w:rsidRPr="006145EF">
        <w:rPr>
          <w:rFonts w:cs="Calibri"/>
          <w:szCs w:val="20"/>
        </w:rPr>
        <w:t>Y que</w:t>
      </w:r>
    </w:p>
    <w:p w:rsidR="007E3DB6" w:rsidRPr="006145EF" w:rsidRDefault="007E3DB6" w:rsidP="007E3DB6">
      <w:pPr>
        <w:autoSpaceDE w:val="0"/>
        <w:autoSpaceDN w:val="0"/>
        <w:adjustRightInd w:val="0"/>
        <w:spacing w:after="240"/>
        <w:ind w:left="567"/>
        <w:contextualSpacing/>
        <w:rPr>
          <w:szCs w:val="20"/>
        </w:rPr>
      </w:pPr>
      <w:r w:rsidRPr="006145EF">
        <w:rPr>
          <w:i/>
          <w:szCs w:val="20"/>
        </w:rPr>
        <w:t xml:space="preserve">“sistema jurídico nacional </w:t>
      </w:r>
      <w:proofErr w:type="gramStart"/>
      <w:r w:rsidRPr="006145EF">
        <w:rPr>
          <w:i/>
          <w:szCs w:val="20"/>
        </w:rPr>
        <w:t>estable[</w:t>
      </w:r>
      <w:proofErr w:type="spellStart"/>
      <w:proofErr w:type="gramEnd"/>
      <w:r w:rsidRPr="006145EF">
        <w:rPr>
          <w:i/>
          <w:szCs w:val="20"/>
        </w:rPr>
        <w:t>cía</w:t>
      </w:r>
      <w:proofErr w:type="spellEnd"/>
      <w:r w:rsidRPr="006145EF">
        <w:rPr>
          <w:i/>
          <w:szCs w:val="20"/>
        </w:rPr>
        <w:t>] constitucionalmente las acciones de garantía, especialmente el recurso de ‘Hábeas Corpus’ contra los actos u omisiones de cualquier autoridad que lesionen derechos esenciales como los denunciados por el [señor Galindo]. Son características de este recurso: a. Puede ser interpuesto por escrito o en forma verbal. b. Puede interponerlo el agraviado, sus familiares, o cualquier persona sin necesidad de poder y firma de [l]</w:t>
      </w:r>
      <w:proofErr w:type="spellStart"/>
      <w:r w:rsidRPr="006145EF">
        <w:rPr>
          <w:i/>
          <w:szCs w:val="20"/>
        </w:rPr>
        <w:t>etrado</w:t>
      </w:r>
      <w:proofErr w:type="spellEnd"/>
      <w:r w:rsidRPr="006145EF">
        <w:rPr>
          <w:i/>
          <w:szCs w:val="20"/>
        </w:rPr>
        <w:t xml:space="preserve">. c. No requiere formalidad </w:t>
      </w:r>
      <w:proofErr w:type="gramStart"/>
      <w:r w:rsidRPr="006145EF">
        <w:rPr>
          <w:i/>
          <w:szCs w:val="20"/>
        </w:rPr>
        <w:t>alguna[</w:t>
      </w:r>
      <w:proofErr w:type="gramEnd"/>
      <w:r w:rsidRPr="006145EF">
        <w:rPr>
          <w:i/>
          <w:szCs w:val="20"/>
        </w:rPr>
        <w:t xml:space="preserve">.] d. Sobre el Juez recurrido pesa la obligación, bajo responsabilidad penal, de atender la petición sin dilación alguna, constituyéndose al </w:t>
      </w:r>
      <w:r w:rsidRPr="006145EF">
        <w:rPr>
          <w:i/>
          <w:szCs w:val="20"/>
        </w:rPr>
        <w:lastRenderedPageBreak/>
        <w:t>lugar y ordenando la presentación del agraviado. e. El agresor es responsable penalmente si se demuestra el injusto”.</w:t>
      </w:r>
      <w:r w:rsidRPr="006145EF">
        <w:rPr>
          <w:rStyle w:val="FootnoteReference"/>
          <w:i/>
          <w:szCs w:val="20"/>
        </w:rPr>
        <w:footnoteReference w:id="318"/>
      </w:r>
    </w:p>
    <w:p w:rsidR="007E3DB6" w:rsidRPr="006145EF" w:rsidRDefault="007E3DB6" w:rsidP="007E3DB6">
      <w:pPr>
        <w:autoSpaceDE w:val="0"/>
        <w:autoSpaceDN w:val="0"/>
        <w:adjustRightInd w:val="0"/>
        <w:spacing w:after="240"/>
        <w:contextualSpacing/>
        <w:rPr>
          <w:szCs w:val="20"/>
        </w:rPr>
      </w:pPr>
    </w:p>
    <w:p w:rsidR="007E3DB6" w:rsidRPr="006145EF" w:rsidRDefault="007E3DB6" w:rsidP="007E3DB6">
      <w:pPr>
        <w:autoSpaceDE w:val="0"/>
        <w:autoSpaceDN w:val="0"/>
        <w:adjustRightInd w:val="0"/>
        <w:spacing w:after="240"/>
        <w:contextualSpacing/>
        <w:rPr>
          <w:szCs w:val="20"/>
        </w:rPr>
      </w:pPr>
      <w:r w:rsidRPr="006145EF">
        <w:rPr>
          <w:szCs w:val="20"/>
        </w:rPr>
        <w:t xml:space="preserve">Adicionalmente, en escrito del 27 de diciembre de 1996, afirmó que </w:t>
      </w:r>
    </w:p>
    <w:p w:rsidR="007E3DB6" w:rsidRPr="006145EF" w:rsidRDefault="007E3DB6" w:rsidP="007E3DB6">
      <w:pPr>
        <w:autoSpaceDE w:val="0"/>
        <w:autoSpaceDN w:val="0"/>
        <w:adjustRightInd w:val="0"/>
        <w:spacing w:after="240"/>
        <w:contextualSpacing/>
        <w:rPr>
          <w:szCs w:val="20"/>
        </w:rPr>
      </w:pPr>
    </w:p>
    <w:p w:rsidR="007E3DB6" w:rsidRPr="006145EF" w:rsidRDefault="007E3DB6" w:rsidP="007E3DB6">
      <w:pPr>
        <w:autoSpaceDE w:val="0"/>
        <w:autoSpaceDN w:val="0"/>
        <w:adjustRightInd w:val="0"/>
        <w:spacing w:after="240"/>
        <w:ind w:left="567"/>
        <w:contextualSpacing/>
        <w:rPr>
          <w:rFonts w:eastAsia="Times New Roman"/>
          <w:szCs w:val="20"/>
          <w:lang w:val="es-MX" w:eastAsia="es-MX"/>
        </w:rPr>
      </w:pPr>
      <w:r w:rsidRPr="006145EF">
        <w:rPr>
          <w:szCs w:val="20"/>
        </w:rPr>
        <w:t xml:space="preserve"> </w:t>
      </w:r>
      <w:r w:rsidRPr="006145EF">
        <w:rPr>
          <w:rFonts w:eastAsia="Times New Roman"/>
          <w:i/>
          <w:szCs w:val="20"/>
          <w:lang w:val="es-MX" w:eastAsia="es-MX"/>
        </w:rPr>
        <w:t>“el artículo 200.6 de la Constitución […] aprobada en 1993 establece […] que la declaración de cualquier régimen de excepción no suspende el derecho de los particulares a interponer recursos de protección constitucional</w:t>
      </w:r>
      <w:r w:rsidRPr="006145EF">
        <w:rPr>
          <w:rFonts w:eastAsia="Times New Roman"/>
          <w:szCs w:val="20"/>
          <w:lang w:val="es-MX" w:eastAsia="es-MX"/>
        </w:rPr>
        <w:t xml:space="preserve">”. </w:t>
      </w:r>
    </w:p>
    <w:p w:rsidR="007E3DB6" w:rsidRPr="006145EF" w:rsidRDefault="007E3DB6" w:rsidP="007E3DB6">
      <w:pPr>
        <w:autoSpaceDE w:val="0"/>
        <w:autoSpaceDN w:val="0"/>
        <w:adjustRightInd w:val="0"/>
        <w:spacing w:after="240"/>
        <w:contextualSpacing/>
        <w:rPr>
          <w:rFonts w:eastAsia="Times New Roman"/>
          <w:szCs w:val="20"/>
          <w:lang w:val="es-MX" w:eastAsia="es-MX"/>
        </w:rPr>
      </w:pPr>
    </w:p>
    <w:p w:rsidR="007E3DB6" w:rsidRPr="006145EF" w:rsidRDefault="007E3DB6" w:rsidP="007E3DB6">
      <w:pPr>
        <w:autoSpaceDE w:val="0"/>
        <w:autoSpaceDN w:val="0"/>
        <w:adjustRightInd w:val="0"/>
        <w:spacing w:after="240"/>
        <w:contextualSpacing/>
        <w:rPr>
          <w:szCs w:val="20"/>
        </w:rPr>
      </w:pPr>
      <w:r w:rsidRPr="006145EF">
        <w:rPr>
          <w:rFonts w:eastAsia="Times New Roman"/>
          <w:szCs w:val="20"/>
          <w:lang w:val="es-MX" w:eastAsia="es-MX"/>
        </w:rPr>
        <w:t>Y también cuestionó la prueba presentada por el señor Galindo sobre las supuestas amenazas proferidas contra funcionarios judiciales.</w:t>
      </w:r>
    </w:p>
    <w:p w:rsidR="007E3DB6" w:rsidRPr="006145EF" w:rsidRDefault="007E3DB6" w:rsidP="007E3DB6">
      <w:pPr>
        <w:autoSpaceDE w:val="0"/>
        <w:autoSpaceDN w:val="0"/>
        <w:adjustRightInd w:val="0"/>
        <w:spacing w:after="240"/>
        <w:contextualSpacing/>
        <w:rPr>
          <w:i/>
          <w:szCs w:val="20"/>
        </w:rPr>
      </w:pPr>
    </w:p>
    <w:p w:rsidR="007E3DB6" w:rsidRPr="006145EF" w:rsidRDefault="007E3DB6" w:rsidP="007E3DB6">
      <w:pPr>
        <w:autoSpaceDE w:val="0"/>
        <w:autoSpaceDN w:val="0"/>
        <w:adjustRightInd w:val="0"/>
        <w:spacing w:after="240"/>
        <w:contextualSpacing/>
        <w:rPr>
          <w:szCs w:val="20"/>
        </w:rPr>
      </w:pPr>
      <w:r w:rsidRPr="006145EF">
        <w:rPr>
          <w:szCs w:val="20"/>
        </w:rPr>
        <w:t>De esa forma, entonces, el Estado procura cumplir con lo dispuesto por el artículo 34.3 del Reglamento de la Comisión y con la jurisprudencia de la Corte, en cuanto a que, habiendo el peticionario sostenido la imposibilidad de cumplir con la regla del previo agotamiento de los recursos internos en forma previa a la presentación de la petición, “</w:t>
      </w:r>
      <w:r w:rsidRPr="006145EF">
        <w:rPr>
          <w:rFonts w:eastAsia="Times New Roman"/>
          <w:i/>
          <w:szCs w:val="20"/>
          <w:lang w:val="es-MX" w:eastAsia="es-MX"/>
        </w:rPr>
        <w:t>la carga del Estado consiste en rebatir los argumentos esbozados en la petición o comunicación presentada, que de conformidad con normas convencionales, estatutarias y reglamentarias, debe exponer qué recursos se agotaron antes de la presentación o, en su defecto, explicar la procedencia de alguna de las excepciones referida</w:t>
      </w:r>
      <w:r w:rsidRPr="006145EF">
        <w:rPr>
          <w:rFonts w:eastAsia="Times New Roman"/>
          <w:szCs w:val="20"/>
          <w:lang w:val="es-MX" w:eastAsia="es-MX"/>
        </w:rPr>
        <w:t>s</w:t>
      </w:r>
      <w:r w:rsidRPr="006145EF">
        <w:rPr>
          <w:rFonts w:cs="Calibri"/>
          <w:i/>
          <w:szCs w:val="20"/>
        </w:rPr>
        <w:t>”</w:t>
      </w:r>
      <w:r w:rsidRPr="006145EF">
        <w:rPr>
          <w:szCs w:val="20"/>
        </w:rPr>
        <w:t>.</w:t>
      </w:r>
      <w:r w:rsidRPr="006145EF">
        <w:rPr>
          <w:rStyle w:val="FootnoteReference"/>
          <w:szCs w:val="20"/>
        </w:rPr>
        <w:footnoteReference w:id="319"/>
      </w:r>
    </w:p>
    <w:p w:rsidR="007E3DB6" w:rsidRPr="006145EF" w:rsidRDefault="007E3DB6" w:rsidP="007E3DB6">
      <w:pPr>
        <w:autoSpaceDE w:val="0"/>
        <w:autoSpaceDN w:val="0"/>
        <w:adjustRightInd w:val="0"/>
        <w:spacing w:after="240"/>
        <w:contextualSpacing/>
        <w:rPr>
          <w:szCs w:val="20"/>
        </w:rPr>
      </w:pPr>
    </w:p>
    <w:p w:rsidR="007E3DB6" w:rsidRPr="006145EF" w:rsidRDefault="007E3DB6" w:rsidP="007E3DB6">
      <w:pPr>
        <w:autoSpaceDE w:val="0"/>
        <w:autoSpaceDN w:val="0"/>
        <w:adjustRightInd w:val="0"/>
        <w:spacing w:after="240"/>
        <w:contextualSpacing/>
        <w:rPr>
          <w:szCs w:val="20"/>
        </w:rPr>
      </w:pPr>
    </w:p>
    <w:p w:rsidR="007E3DB6" w:rsidRPr="006145EF" w:rsidRDefault="007E3DB6" w:rsidP="005D3491">
      <w:pPr>
        <w:numPr>
          <w:ilvl w:val="0"/>
          <w:numId w:val="28"/>
        </w:numPr>
        <w:autoSpaceDE w:val="0"/>
        <w:autoSpaceDN w:val="0"/>
        <w:adjustRightInd w:val="0"/>
        <w:spacing w:line="276" w:lineRule="auto"/>
        <w:contextualSpacing/>
        <w:rPr>
          <w:rFonts w:cs="Calibri"/>
          <w:b/>
          <w:szCs w:val="20"/>
        </w:rPr>
      </w:pPr>
      <w:r w:rsidRPr="006145EF">
        <w:rPr>
          <w:rFonts w:cs="Calibri"/>
          <w:b/>
          <w:szCs w:val="20"/>
        </w:rPr>
        <w:t>Los referentes al Informe de Admisibilidad.</w:t>
      </w:r>
    </w:p>
    <w:p w:rsidR="007E3DB6" w:rsidRPr="006145EF" w:rsidRDefault="007E3DB6" w:rsidP="007E3DB6">
      <w:pPr>
        <w:autoSpaceDE w:val="0"/>
        <w:autoSpaceDN w:val="0"/>
        <w:adjustRightInd w:val="0"/>
        <w:contextualSpacing/>
        <w:rPr>
          <w:rFonts w:cs="Calibri"/>
          <w:b/>
          <w:szCs w:val="20"/>
        </w:rPr>
      </w:pPr>
    </w:p>
    <w:p w:rsidR="007E3DB6" w:rsidRPr="006145EF" w:rsidRDefault="007E3DB6" w:rsidP="007E3DB6">
      <w:pPr>
        <w:autoSpaceDE w:val="0"/>
        <w:autoSpaceDN w:val="0"/>
        <w:adjustRightInd w:val="0"/>
        <w:spacing w:after="240"/>
        <w:contextualSpacing/>
        <w:rPr>
          <w:rFonts w:cs="Calibri"/>
          <w:szCs w:val="20"/>
        </w:rPr>
      </w:pPr>
      <w:r w:rsidRPr="006145EF">
        <w:rPr>
          <w:rFonts w:cs="Calibri"/>
          <w:szCs w:val="20"/>
        </w:rPr>
        <w:t>En lo atingente al Informe de Admisibilidad, se indica que</w:t>
      </w:r>
    </w:p>
    <w:p w:rsidR="007E3DB6" w:rsidRPr="006145EF" w:rsidRDefault="007E3DB6" w:rsidP="007E3DB6">
      <w:pPr>
        <w:autoSpaceDE w:val="0"/>
        <w:autoSpaceDN w:val="0"/>
        <w:adjustRightInd w:val="0"/>
        <w:spacing w:after="240"/>
        <w:contextualSpacing/>
        <w:rPr>
          <w:rFonts w:cs="Calibri"/>
          <w:szCs w:val="20"/>
        </w:rPr>
      </w:pPr>
    </w:p>
    <w:p w:rsidR="007E3DB6" w:rsidRPr="006145EF" w:rsidRDefault="007E3DB6" w:rsidP="007E3DB6">
      <w:pPr>
        <w:autoSpaceDE w:val="0"/>
        <w:autoSpaceDN w:val="0"/>
        <w:adjustRightInd w:val="0"/>
        <w:spacing w:after="240"/>
        <w:ind w:left="567"/>
        <w:contextualSpacing/>
        <w:rPr>
          <w:szCs w:val="20"/>
        </w:rPr>
      </w:pPr>
      <w:r w:rsidRPr="006145EF">
        <w:rPr>
          <w:i/>
          <w:szCs w:val="20"/>
        </w:rPr>
        <w:t xml:space="preserve">“se pronunció sobre e[l] requisito [de previo agotamiento de los recursos internos] de conformidad con su práctica constante, […] tomando en cuenta la situación […] vigente al momento en que se pronunció sobre la </w:t>
      </w:r>
      <w:proofErr w:type="gramStart"/>
      <w:r w:rsidRPr="006145EF">
        <w:rPr>
          <w:i/>
          <w:szCs w:val="20"/>
        </w:rPr>
        <w:t>admisibilidad[</w:t>
      </w:r>
      <w:proofErr w:type="gramEnd"/>
      <w:r w:rsidRPr="006145EF">
        <w:rPr>
          <w:i/>
          <w:szCs w:val="20"/>
        </w:rPr>
        <w:t>…. En ese] momento […] la investigación penal […] estaba archivada en aplicación de la Ley de Amnistía[</w:t>
      </w:r>
      <w:proofErr w:type="gramStart"/>
      <w:r w:rsidRPr="006145EF">
        <w:rPr>
          <w:i/>
          <w:szCs w:val="20"/>
        </w:rPr>
        <w:t>. …</w:t>
      </w:r>
      <w:proofErr w:type="gramEnd"/>
      <w:r w:rsidRPr="006145EF">
        <w:rPr>
          <w:i/>
          <w:szCs w:val="20"/>
        </w:rPr>
        <w:t>] En consecuencia, […] resultaban aplicables las excepciones […] que están contenidas en los artículos 46.2.a y 46.2.b de la Convención Americana.”</w:t>
      </w:r>
      <w:r w:rsidRPr="006145EF">
        <w:rPr>
          <w:rStyle w:val="FootnoteReference"/>
          <w:i/>
          <w:szCs w:val="20"/>
        </w:rPr>
        <w:footnoteReference w:id="320"/>
      </w:r>
    </w:p>
    <w:p w:rsidR="007E3DB6" w:rsidRPr="006145EF" w:rsidRDefault="007E3DB6" w:rsidP="007E3DB6">
      <w:pPr>
        <w:autoSpaceDE w:val="0"/>
        <w:autoSpaceDN w:val="0"/>
        <w:adjustRightInd w:val="0"/>
        <w:spacing w:after="240"/>
        <w:ind w:left="567"/>
        <w:contextualSpacing/>
        <w:rPr>
          <w:i/>
          <w:szCs w:val="20"/>
        </w:rPr>
      </w:pPr>
      <w:r w:rsidRPr="006145EF">
        <w:rPr>
          <w:i/>
          <w:szCs w:val="20"/>
        </w:rPr>
        <w:t xml:space="preserve"> </w:t>
      </w:r>
    </w:p>
    <w:p w:rsidR="007E3DB6" w:rsidRPr="006145EF" w:rsidRDefault="007E3DB6" w:rsidP="007E3DB6">
      <w:pPr>
        <w:autoSpaceDE w:val="0"/>
        <w:autoSpaceDN w:val="0"/>
        <w:adjustRightInd w:val="0"/>
        <w:spacing w:after="240"/>
        <w:contextualSpacing/>
        <w:rPr>
          <w:szCs w:val="20"/>
        </w:rPr>
      </w:pPr>
      <w:r w:rsidRPr="006145EF">
        <w:rPr>
          <w:szCs w:val="20"/>
        </w:rPr>
        <w:t>Como puede constatarse, el criterio seguido por la Comisión no es el de pronunciarse acerca del cumplimiento del requisito del previo agotamiento de los recursos internos al momento en que la petición es “</w:t>
      </w:r>
      <w:r w:rsidRPr="006145EF">
        <w:rPr>
          <w:i/>
          <w:szCs w:val="20"/>
        </w:rPr>
        <w:t>presentada</w:t>
      </w:r>
      <w:r w:rsidRPr="006145EF">
        <w:rPr>
          <w:szCs w:val="20"/>
        </w:rPr>
        <w:t>” sino al del instante en que ella se pronuncia sobre la admisibilidad.</w:t>
      </w:r>
    </w:p>
    <w:p w:rsidR="007E3DB6" w:rsidRPr="006145EF" w:rsidRDefault="007E3DB6" w:rsidP="007E3DB6">
      <w:pPr>
        <w:autoSpaceDE w:val="0"/>
        <w:autoSpaceDN w:val="0"/>
        <w:adjustRightInd w:val="0"/>
        <w:spacing w:after="240"/>
        <w:contextualSpacing/>
        <w:rPr>
          <w:szCs w:val="20"/>
        </w:rPr>
      </w:pPr>
    </w:p>
    <w:p w:rsidR="007E3DB6" w:rsidRPr="006145EF" w:rsidRDefault="007E3DB6" w:rsidP="007E3DB6">
      <w:pPr>
        <w:autoSpaceDE w:val="0"/>
        <w:autoSpaceDN w:val="0"/>
        <w:adjustRightInd w:val="0"/>
        <w:spacing w:after="240"/>
        <w:contextualSpacing/>
        <w:rPr>
          <w:szCs w:val="20"/>
        </w:rPr>
      </w:pPr>
      <w:r w:rsidRPr="006145EF">
        <w:rPr>
          <w:szCs w:val="20"/>
        </w:rPr>
        <w:t>Y no consta en autos que la Comisión, a través de su Secretaría Ejecutiva, le haya señalado al peticionario la necesidad de completar su petición.</w:t>
      </w:r>
    </w:p>
    <w:p w:rsidR="007E3DB6" w:rsidRPr="006145EF" w:rsidRDefault="007E3DB6" w:rsidP="007E3DB6">
      <w:pPr>
        <w:autoSpaceDE w:val="0"/>
        <w:autoSpaceDN w:val="0"/>
        <w:adjustRightInd w:val="0"/>
        <w:contextualSpacing/>
        <w:rPr>
          <w:rFonts w:cs="Calibri"/>
          <w:b/>
          <w:i/>
          <w:szCs w:val="20"/>
        </w:rPr>
      </w:pPr>
    </w:p>
    <w:p w:rsidR="007E3DB6" w:rsidRPr="006145EF" w:rsidRDefault="007E3DB6" w:rsidP="007E3DB6">
      <w:pPr>
        <w:autoSpaceDE w:val="0"/>
        <w:autoSpaceDN w:val="0"/>
        <w:adjustRightInd w:val="0"/>
        <w:contextualSpacing/>
        <w:rPr>
          <w:rFonts w:cs="Calibri"/>
          <w:b/>
          <w:i/>
          <w:szCs w:val="20"/>
        </w:rPr>
      </w:pPr>
    </w:p>
    <w:p w:rsidR="007E3DB6" w:rsidRPr="006145EF" w:rsidRDefault="007E3DB6" w:rsidP="007E3DB6">
      <w:pPr>
        <w:autoSpaceDE w:val="0"/>
        <w:autoSpaceDN w:val="0"/>
        <w:adjustRightInd w:val="0"/>
        <w:contextualSpacing/>
        <w:rPr>
          <w:rFonts w:cs="Calibri"/>
          <w:b/>
          <w:i/>
          <w:szCs w:val="20"/>
        </w:rPr>
      </w:pPr>
    </w:p>
    <w:p w:rsidR="007E3DB6" w:rsidRPr="006145EF" w:rsidRDefault="007E3DB6" w:rsidP="005D3491">
      <w:pPr>
        <w:numPr>
          <w:ilvl w:val="0"/>
          <w:numId w:val="24"/>
        </w:numPr>
        <w:spacing w:after="240" w:line="276" w:lineRule="auto"/>
        <w:rPr>
          <w:rFonts w:cs="Calibri"/>
          <w:b/>
          <w:szCs w:val="20"/>
        </w:rPr>
      </w:pPr>
      <w:r w:rsidRPr="006145EF">
        <w:rPr>
          <w:rFonts w:cs="Calibri"/>
          <w:b/>
          <w:szCs w:val="20"/>
        </w:rPr>
        <w:t>CONSIDERACIONES SOBRE LA SENTENCIA.</w:t>
      </w:r>
      <w:r w:rsidRPr="006145EF">
        <w:rPr>
          <w:szCs w:val="20"/>
        </w:rPr>
        <w:t xml:space="preserve"> </w:t>
      </w:r>
    </w:p>
    <w:p w:rsidR="007E3DB6" w:rsidRPr="006145EF" w:rsidRDefault="007E3DB6" w:rsidP="007E3DB6">
      <w:pPr>
        <w:pStyle w:val="Estilo1"/>
        <w:numPr>
          <w:ilvl w:val="0"/>
          <w:numId w:val="0"/>
        </w:numPr>
        <w:spacing w:after="240" w:line="276" w:lineRule="auto"/>
        <w:rPr>
          <w:rFonts w:eastAsia="Times New Roman"/>
          <w:lang w:val="es-MX" w:eastAsia="es-MX"/>
        </w:rPr>
      </w:pPr>
      <w:r w:rsidRPr="006145EF">
        <w:rPr>
          <w:rFonts w:eastAsia="Times New Roman"/>
          <w:lang w:val="es-MX" w:eastAsia="es-MX"/>
        </w:rPr>
        <w:t xml:space="preserve">Por su parte, la Sentencia formula varias consideraciones como fundamento para desestimar la excepción preliminar interpuesta por el Estado relacionada con el </w:t>
      </w:r>
      <w:r w:rsidRPr="006145EF">
        <w:rPr>
          <w:rFonts w:eastAsia="Times New Roman"/>
          <w:lang w:val="es-MX" w:eastAsia="es-MX"/>
        </w:rPr>
        <w:lastRenderedPageBreak/>
        <w:t>cumplimiento, en el caso de autos, de la regla del previo cumplimiento de los recursos internos.</w:t>
      </w:r>
      <w:r w:rsidRPr="006145EF">
        <w:rPr>
          <w:rStyle w:val="FootnoteReference"/>
          <w:lang w:val="es-MX" w:eastAsia="es-MX"/>
        </w:rPr>
        <w:footnoteReference w:id="321"/>
      </w:r>
    </w:p>
    <w:p w:rsidR="007E3DB6" w:rsidRPr="006145EF" w:rsidRDefault="007E3DB6" w:rsidP="007E3DB6">
      <w:pPr>
        <w:pStyle w:val="Estilo1"/>
        <w:numPr>
          <w:ilvl w:val="0"/>
          <w:numId w:val="0"/>
        </w:numPr>
        <w:spacing w:after="240" w:line="276" w:lineRule="auto"/>
        <w:rPr>
          <w:rFonts w:eastAsia="Times New Roman"/>
          <w:lang w:val="es-MX" w:eastAsia="es-MX"/>
        </w:rPr>
      </w:pPr>
      <w:r w:rsidRPr="006145EF">
        <w:rPr>
          <w:rFonts w:eastAsia="Times New Roman"/>
          <w:lang w:val="es-MX" w:eastAsia="es-MX"/>
        </w:rPr>
        <w:t>Una dice relación con los argumentos del Estado respecto de la efectividad del recurso de hábeas corpus. Así, la Sentencia indica que aquellos “</w:t>
      </w:r>
      <w:r w:rsidRPr="006145EF">
        <w:rPr>
          <w:rFonts w:eastAsia="Times New Roman"/>
          <w:i/>
          <w:lang w:val="es-MX" w:eastAsia="es-MX"/>
        </w:rPr>
        <w:t>resultan insuficientes para colegir que Perú presentó en forma oportuna información suficiente sobre la efectividad del recurso</w:t>
      </w:r>
      <w:r w:rsidRPr="006145EF">
        <w:rPr>
          <w:rFonts w:eastAsia="Times New Roman"/>
          <w:lang w:val="es-MX" w:eastAsia="es-MX"/>
        </w:rPr>
        <w:t>” de hábeas corpus</w:t>
      </w:r>
      <w:r w:rsidRPr="006145EF">
        <w:rPr>
          <w:rFonts w:eastAsia="Times New Roman"/>
          <w:i/>
          <w:lang w:val="es-MX" w:eastAsia="es-MX"/>
        </w:rPr>
        <w:t xml:space="preserve">. </w:t>
      </w:r>
      <w:r w:rsidRPr="006145EF">
        <w:rPr>
          <w:rFonts w:eastAsia="Times New Roman"/>
          <w:lang w:val="es-MX" w:eastAsia="es-MX"/>
        </w:rPr>
        <w:t>Y ello puesto que “</w:t>
      </w:r>
      <w:r w:rsidRPr="006145EF">
        <w:rPr>
          <w:rFonts w:eastAsia="Times New Roman"/>
          <w:i/>
          <w:lang w:val="es-MX" w:eastAsia="es-MX"/>
        </w:rPr>
        <w:t>el entonces peticionario aludió no solo a problemas normativos, sino también a una situación fáctica en el momento de los hechos</w:t>
      </w:r>
      <w:r w:rsidRPr="006145EF">
        <w:rPr>
          <w:rFonts w:eastAsia="Times New Roman"/>
          <w:lang w:val="es-MX" w:eastAsia="es-MX"/>
        </w:rPr>
        <w:t>”.</w:t>
      </w:r>
      <w:r w:rsidRPr="006145EF">
        <w:rPr>
          <w:rStyle w:val="FootnoteReference"/>
          <w:lang w:val="es-MX" w:eastAsia="es-MX"/>
        </w:rPr>
        <w:footnoteReference w:id="322"/>
      </w:r>
      <w:r w:rsidRPr="006145EF">
        <w:rPr>
          <w:rFonts w:eastAsia="Times New Roman"/>
          <w:lang w:val="es-MX" w:eastAsia="es-MX"/>
        </w:rPr>
        <w:t xml:space="preserve"> </w:t>
      </w:r>
    </w:p>
    <w:p w:rsidR="007E3DB6" w:rsidRPr="006145EF" w:rsidRDefault="007E3DB6" w:rsidP="007E3DB6">
      <w:pPr>
        <w:pStyle w:val="Estilo1"/>
        <w:numPr>
          <w:ilvl w:val="0"/>
          <w:numId w:val="0"/>
        </w:numPr>
        <w:spacing w:after="240" w:line="276" w:lineRule="auto"/>
        <w:rPr>
          <w:rFonts w:eastAsia="Times New Roman"/>
          <w:lang w:val="es-MX" w:eastAsia="es-MX"/>
        </w:rPr>
      </w:pPr>
      <w:r w:rsidRPr="006145EF">
        <w:rPr>
          <w:rFonts w:eastAsia="Times New Roman"/>
          <w:lang w:val="es-MX" w:eastAsia="es-MX"/>
        </w:rPr>
        <w:t>Al respecto, procede recordar que si bien es verdad que en la petición y demás escritos complementarios, se hace referencia a una situación fáctica existente al momento de los hechos del caso en comento, no es menos cierto que dicha alusión lo fue, en lo esencial, “</w:t>
      </w:r>
      <w:r w:rsidRPr="006145EF">
        <w:rPr>
          <w:i/>
          <w:lang w:val="es-MX" w:eastAsia="es-MX"/>
        </w:rPr>
        <w:t xml:space="preserve">a la falta de garantías en administración de justicia” </w:t>
      </w:r>
      <w:r w:rsidRPr="006145EF">
        <w:rPr>
          <w:lang w:val="es-MX" w:eastAsia="es-MX"/>
        </w:rPr>
        <w:t>en razón al control militar de la zona correspondiente a la ciudad de Huánuco y a que “</w:t>
      </w:r>
      <w:r w:rsidRPr="006145EF">
        <w:rPr>
          <w:i/>
        </w:rPr>
        <w:t xml:space="preserve">no </w:t>
      </w:r>
      <w:proofErr w:type="spellStart"/>
      <w:r w:rsidRPr="006145EF">
        <w:rPr>
          <w:i/>
        </w:rPr>
        <w:t>proced</w:t>
      </w:r>
      <w:proofErr w:type="spellEnd"/>
      <w:r w:rsidRPr="006145EF">
        <w:rPr>
          <w:i/>
        </w:rPr>
        <w:t>[</w:t>
      </w:r>
      <w:proofErr w:type="spellStart"/>
      <w:r w:rsidRPr="006145EF">
        <w:rPr>
          <w:i/>
        </w:rPr>
        <w:t>ían</w:t>
      </w:r>
      <w:proofErr w:type="spellEnd"/>
      <w:r w:rsidRPr="006145EF">
        <w:rPr>
          <w:i/>
        </w:rPr>
        <w:t>] las acciones de [h]</w:t>
      </w:r>
      <w:proofErr w:type="spellStart"/>
      <w:r w:rsidRPr="006145EF">
        <w:rPr>
          <w:i/>
        </w:rPr>
        <w:t>ábeas</w:t>
      </w:r>
      <w:proofErr w:type="spellEnd"/>
      <w:r w:rsidRPr="006145EF">
        <w:rPr>
          <w:i/>
        </w:rPr>
        <w:t xml:space="preserve"> [c]</w:t>
      </w:r>
      <w:proofErr w:type="spellStart"/>
      <w:r w:rsidRPr="006145EF">
        <w:rPr>
          <w:i/>
        </w:rPr>
        <w:t>orpus</w:t>
      </w:r>
      <w:proofErr w:type="spellEnd"/>
      <w:r w:rsidRPr="006145EF">
        <w:rPr>
          <w:i/>
        </w:rPr>
        <w:t xml:space="preserve"> en zonas declaradas en estado de emergencia”, </w:t>
      </w:r>
      <w:r w:rsidRPr="006145EF">
        <w:t>como lo estaba la mencionada ciudad</w:t>
      </w:r>
      <w:r w:rsidRPr="006145EF">
        <w:rPr>
          <w:i/>
        </w:rPr>
        <w:t>.</w:t>
      </w:r>
    </w:p>
    <w:p w:rsidR="007E3DB6" w:rsidRPr="006145EF" w:rsidRDefault="007E3DB6" w:rsidP="007E3DB6">
      <w:pPr>
        <w:rPr>
          <w:szCs w:val="20"/>
          <w:lang w:val="es-CL" w:eastAsia="es-MX"/>
        </w:rPr>
      </w:pPr>
      <w:r w:rsidRPr="006145EF">
        <w:rPr>
          <w:szCs w:val="20"/>
          <w:lang w:val="es-CL" w:eastAsia="es-MX"/>
        </w:rPr>
        <w:t>Y es precisamente a esa referencia que hace la petición, tal cual fue “</w:t>
      </w:r>
      <w:r w:rsidRPr="006145EF">
        <w:rPr>
          <w:i/>
          <w:szCs w:val="20"/>
          <w:lang w:val="es-CL" w:eastAsia="es-MX"/>
        </w:rPr>
        <w:t>presentada</w:t>
      </w:r>
      <w:r w:rsidRPr="006145EF">
        <w:rPr>
          <w:szCs w:val="20"/>
          <w:lang w:val="es-CL" w:eastAsia="es-MX"/>
        </w:rPr>
        <w:t>”, que el Estado da respuesta, sosteniendo que,</w:t>
      </w:r>
      <w:r w:rsidRPr="006145EF">
        <w:rPr>
          <w:rFonts w:eastAsia="Times New Roman"/>
          <w:i/>
          <w:szCs w:val="20"/>
          <w:lang w:val="es-MX" w:eastAsia="es-MX"/>
        </w:rPr>
        <w:t xml:space="preserve"> “el artículo 200.6 de la Constitución […] aprobada en 1993 establece […] que la declaración de cualquier régimen de excepción no suspende el derecho de los particulares a interponer recursos de protección constitucional</w:t>
      </w:r>
      <w:r w:rsidRPr="006145EF">
        <w:rPr>
          <w:rFonts w:eastAsia="Times New Roman"/>
          <w:szCs w:val="20"/>
          <w:lang w:val="es-MX" w:eastAsia="es-MX"/>
        </w:rPr>
        <w:t>”</w:t>
      </w:r>
      <w:r w:rsidRPr="006145EF">
        <w:rPr>
          <w:szCs w:val="20"/>
          <w:lang w:val="es-CL" w:eastAsia="es-MX"/>
        </w:rPr>
        <w:t xml:space="preserve">. </w:t>
      </w:r>
    </w:p>
    <w:p w:rsidR="007E3DB6" w:rsidRPr="006145EF" w:rsidRDefault="007E3DB6" w:rsidP="007E3DB6">
      <w:pPr>
        <w:rPr>
          <w:szCs w:val="20"/>
        </w:rPr>
      </w:pPr>
      <w:r w:rsidRPr="006145EF">
        <w:rPr>
          <w:szCs w:val="20"/>
          <w:lang w:val="es-CL" w:eastAsia="es-MX"/>
        </w:rPr>
        <w:t>Pero, además, el Estado señaló detalladamente las características del recurso de hábeas corpus, señalando que</w:t>
      </w:r>
      <w:r w:rsidRPr="006145EF">
        <w:rPr>
          <w:szCs w:val="20"/>
        </w:rPr>
        <w:t xml:space="preserve">: </w:t>
      </w:r>
    </w:p>
    <w:p w:rsidR="007E3DB6" w:rsidRPr="006145EF" w:rsidRDefault="007E3DB6" w:rsidP="007E3DB6">
      <w:pPr>
        <w:ind w:left="567"/>
        <w:rPr>
          <w:szCs w:val="20"/>
        </w:rPr>
      </w:pPr>
      <w:r w:rsidRPr="006145EF">
        <w:rPr>
          <w:szCs w:val="20"/>
        </w:rPr>
        <w:t>“</w:t>
      </w:r>
      <w:r w:rsidRPr="006145EF">
        <w:rPr>
          <w:i/>
          <w:szCs w:val="20"/>
        </w:rPr>
        <w:t>a. Puede ser interpuesto por escrito o en forma verbal. b. Puede interponerlo el agraviado, sus familiares, o cualquier persona sin necesidad de poder y firma de [l]</w:t>
      </w:r>
      <w:proofErr w:type="spellStart"/>
      <w:r w:rsidRPr="006145EF">
        <w:rPr>
          <w:i/>
          <w:szCs w:val="20"/>
        </w:rPr>
        <w:t>etrado</w:t>
      </w:r>
      <w:proofErr w:type="spellEnd"/>
      <w:r w:rsidRPr="006145EF">
        <w:rPr>
          <w:i/>
          <w:szCs w:val="20"/>
        </w:rPr>
        <w:t xml:space="preserve">. c. No requiere formalidad </w:t>
      </w:r>
      <w:proofErr w:type="gramStart"/>
      <w:r w:rsidRPr="006145EF">
        <w:rPr>
          <w:i/>
          <w:szCs w:val="20"/>
        </w:rPr>
        <w:t>alguna[</w:t>
      </w:r>
      <w:proofErr w:type="gramEnd"/>
      <w:r w:rsidRPr="006145EF">
        <w:rPr>
          <w:i/>
          <w:szCs w:val="20"/>
        </w:rPr>
        <w:t>.] d. Sobre el Juez recurrido pesa la obligación, bajo responsabilidad penal, de atender la petición sin dilación alguna, constituyéndose al lugar y ordenando la presentación del agraviado. e. El agresor es responsable penalmente si se demuestra el injusto</w:t>
      </w:r>
      <w:r w:rsidRPr="006145EF">
        <w:rPr>
          <w:szCs w:val="20"/>
        </w:rPr>
        <w:t>”.</w:t>
      </w:r>
      <w:r w:rsidRPr="006145EF">
        <w:rPr>
          <w:rStyle w:val="FootnoteReference"/>
          <w:szCs w:val="20"/>
        </w:rPr>
        <w:footnoteReference w:id="323"/>
      </w:r>
      <w:r w:rsidRPr="006145EF">
        <w:rPr>
          <w:szCs w:val="20"/>
        </w:rPr>
        <w:t xml:space="preserve"> </w:t>
      </w:r>
    </w:p>
    <w:p w:rsidR="007E3DB6" w:rsidRPr="006145EF" w:rsidRDefault="007E3DB6" w:rsidP="007E3DB6">
      <w:pPr>
        <w:rPr>
          <w:szCs w:val="20"/>
          <w:lang w:eastAsia="es-MX"/>
        </w:rPr>
      </w:pPr>
      <w:r w:rsidRPr="006145EF">
        <w:rPr>
          <w:szCs w:val="20"/>
        </w:rPr>
        <w:t>Evidentemente, de esa forma el Estado procuró demostrar la efectividad del recurso de hábeas corpus que, en el caso de terrorismo, podía intentarse desde tan solo desde el mismo año de los hechos de autos.</w:t>
      </w:r>
    </w:p>
    <w:p w:rsidR="007E3DB6" w:rsidRPr="006145EF" w:rsidRDefault="007E3DB6" w:rsidP="007E3DB6">
      <w:pPr>
        <w:rPr>
          <w:szCs w:val="20"/>
        </w:rPr>
      </w:pPr>
      <w:r w:rsidRPr="006145EF">
        <w:rPr>
          <w:szCs w:val="20"/>
        </w:rPr>
        <w:t>Pero, igualmente hay que tener presente que en la Sentencia se afirma que “</w:t>
      </w:r>
      <w:r w:rsidRPr="006145EF">
        <w:rPr>
          <w:i/>
          <w:szCs w:val="20"/>
        </w:rPr>
        <w:t>una vez que el Estado ha señalado en modo oportuno la existencia de un recurso que sería idóneo y aduce que el mismo no fue utilizado</w:t>
      </w:r>
      <w:r w:rsidRPr="006145EF">
        <w:rPr>
          <w:szCs w:val="20"/>
        </w:rPr>
        <w:t>”, como ocurrió en autos, “</w:t>
      </w:r>
      <w:r w:rsidRPr="006145EF">
        <w:rPr>
          <w:i/>
          <w:szCs w:val="20"/>
        </w:rPr>
        <w:t>es una carga del peticionario demostrar que tal recurso sí fue utilizado o, de lo contrario, que resultaba inadecuado o inefectivo</w:t>
      </w:r>
      <w:r w:rsidRPr="006145EF">
        <w:rPr>
          <w:szCs w:val="20"/>
        </w:rPr>
        <w:t>”.</w:t>
      </w:r>
      <w:r w:rsidRPr="006145EF">
        <w:rPr>
          <w:rStyle w:val="FootnoteReference"/>
          <w:szCs w:val="20"/>
        </w:rPr>
        <w:footnoteReference w:id="324"/>
      </w:r>
    </w:p>
    <w:p w:rsidR="007E3DB6" w:rsidRPr="006145EF" w:rsidRDefault="007E3DB6" w:rsidP="007E3DB6">
      <w:pPr>
        <w:rPr>
          <w:szCs w:val="20"/>
        </w:rPr>
      </w:pPr>
      <w:r w:rsidRPr="006145EF">
        <w:rPr>
          <w:szCs w:val="20"/>
        </w:rPr>
        <w:t xml:space="preserve">Pues bien, en la Sentencia únicamente se consignan afirmaciones genéricas, imprecisas y  aún algunas improcedentes del peticionario formuladas para sostener la inefectividad del recurso de hábeas corpus derivada de “la </w:t>
      </w:r>
      <w:r w:rsidRPr="006145EF">
        <w:rPr>
          <w:i/>
          <w:szCs w:val="20"/>
        </w:rPr>
        <w:t>falta de garantías en administración de justicia</w:t>
      </w:r>
      <w:r w:rsidRPr="006145EF">
        <w:rPr>
          <w:szCs w:val="20"/>
        </w:rPr>
        <w:t>”, la amenaza a los jueces o del no funcionamiento “</w:t>
      </w:r>
      <w:r w:rsidRPr="006145EF">
        <w:rPr>
          <w:i/>
          <w:szCs w:val="20"/>
        </w:rPr>
        <w:t>en la práctica</w:t>
      </w:r>
      <w:r w:rsidRPr="006145EF">
        <w:rPr>
          <w:szCs w:val="20"/>
        </w:rPr>
        <w:t>” de las garantías como la prevista en la Constitución. Sin embargo, resulta indiscutible que esas meras afirmaciones no logran o no bastan por sí solas para “</w:t>
      </w:r>
      <w:r w:rsidRPr="006145EF">
        <w:rPr>
          <w:i/>
          <w:szCs w:val="20"/>
        </w:rPr>
        <w:t>demostra</w:t>
      </w:r>
      <w:r w:rsidRPr="006145EF">
        <w:rPr>
          <w:szCs w:val="20"/>
        </w:rPr>
        <w:t xml:space="preserve">r que </w:t>
      </w:r>
      <w:r w:rsidRPr="006145EF">
        <w:rPr>
          <w:i/>
          <w:szCs w:val="20"/>
        </w:rPr>
        <w:t>tal recurso… resultaba inadecuado o inefectivo”</w:t>
      </w:r>
      <w:r w:rsidRPr="006145EF">
        <w:rPr>
          <w:szCs w:val="20"/>
        </w:rPr>
        <w:t>. No constituyen, en realidad, un medio probatorio suficiente para sustentar la inefectividad del recurso en cuestión.</w:t>
      </w:r>
    </w:p>
    <w:p w:rsidR="007E3DB6" w:rsidRPr="006145EF" w:rsidRDefault="007E3DB6" w:rsidP="007E3DB6">
      <w:pPr>
        <w:pStyle w:val="FootnoteText"/>
        <w:rPr>
          <w:sz w:val="20"/>
        </w:rPr>
      </w:pPr>
      <w:r w:rsidRPr="006145EF">
        <w:rPr>
          <w:sz w:val="20"/>
        </w:rPr>
        <w:lastRenderedPageBreak/>
        <w:t>En efecto y tal como se señala en notas de pie de página de la propia Sentencia, el peticionario, para sustentar sus afirmaciones, aludió a un recurso de hábeas corpus rechazado en 1988 y a dos oficios en que se solicitaba información sobre una detención, mencionó a recursos de años anteriores aún no resueltos, presentó documentos de su autoría, acompañó recortes de prensa, citó la apertura de una causa criminal como consecuencia de que la imputada había presentado un recurso de hábeas corpus, señaló que habían recursos fallados favorablemente pero que no se habían cumplido,</w:t>
      </w:r>
      <w:r w:rsidRPr="006145EF">
        <w:rPr>
          <w:rStyle w:val="FootnoteReference"/>
          <w:i/>
          <w:sz w:val="20"/>
        </w:rPr>
        <w:footnoteReference w:id="325"/>
      </w:r>
      <w:r w:rsidRPr="006145EF">
        <w:rPr>
          <w:sz w:val="20"/>
        </w:rPr>
        <w:t xml:space="preserve"> interpretó una declaración del Presidente Fujimori que señalaba la disminución de las violaciones de derechos humanos como un reconocimiento de que éstos acaecían y anexó copia de declaraciones de congresistas estadounidenses que solicitaban a este último cumplir las resoluciones de hábeas corpus.</w:t>
      </w:r>
      <w:r w:rsidRPr="006145EF">
        <w:rPr>
          <w:rStyle w:val="FootnoteReference"/>
          <w:i/>
          <w:sz w:val="20"/>
        </w:rPr>
        <w:footnoteReference w:id="326"/>
      </w:r>
    </w:p>
    <w:p w:rsidR="007E3DB6" w:rsidRPr="006145EF" w:rsidRDefault="007E3DB6" w:rsidP="007E3DB6">
      <w:pPr>
        <w:rPr>
          <w:rFonts w:cs="Verdana"/>
          <w:szCs w:val="20"/>
          <w:lang w:val="es-CR"/>
        </w:rPr>
      </w:pPr>
      <w:r w:rsidRPr="006145EF">
        <w:rPr>
          <w:rFonts w:cs="Verdana"/>
          <w:szCs w:val="20"/>
          <w:lang w:val="es-CR"/>
        </w:rPr>
        <w:t>La única prueba, por lo tanto, que el peticionario efectivamente aportó para sustentar su afirmación genérica alguna y que tal vez por eso la Sentencia la califica a lo que se refiere como “</w:t>
      </w:r>
      <w:r w:rsidRPr="006145EF">
        <w:rPr>
          <w:rFonts w:cs="Verdana"/>
          <w:i/>
          <w:szCs w:val="20"/>
          <w:lang w:val="es-CR"/>
        </w:rPr>
        <w:t>hecho puntual</w:t>
      </w:r>
      <w:r w:rsidRPr="006145EF">
        <w:rPr>
          <w:rFonts w:cs="Verdana"/>
          <w:szCs w:val="20"/>
          <w:lang w:val="es-CR"/>
        </w:rPr>
        <w:t xml:space="preserve">”, fue la concerniente a la </w:t>
      </w:r>
    </w:p>
    <w:p w:rsidR="007E3DB6" w:rsidRPr="006145EF" w:rsidRDefault="007E3DB6" w:rsidP="007E3DB6">
      <w:pPr>
        <w:ind w:left="567"/>
        <w:rPr>
          <w:i/>
          <w:szCs w:val="20"/>
        </w:rPr>
      </w:pPr>
      <w:r w:rsidRPr="006145EF">
        <w:rPr>
          <w:szCs w:val="20"/>
        </w:rPr>
        <w:t>“</w:t>
      </w:r>
      <w:r w:rsidRPr="006145EF">
        <w:rPr>
          <w:i/>
          <w:szCs w:val="20"/>
        </w:rPr>
        <w:t>la falta de garantías en administración de justicia […</w:t>
      </w:r>
      <w:r w:rsidRPr="006145EF">
        <w:rPr>
          <w:szCs w:val="20"/>
        </w:rPr>
        <w:t>que</w:t>
      </w:r>
      <w:r w:rsidRPr="006145EF">
        <w:rPr>
          <w:i/>
          <w:szCs w:val="20"/>
        </w:rPr>
        <w:t xml:space="preserve">] se prueba con la violación de la sede del Poder Judicial (Juzgado Penal) por parte de efectivos militares y [la] detención del Secretario del Juzgado […] sin que medie razón o explicación alguna por este arbitrario hechos y no obstante </w:t>
      </w:r>
      <w:proofErr w:type="spellStart"/>
      <w:r w:rsidRPr="006145EF">
        <w:rPr>
          <w:i/>
          <w:szCs w:val="20"/>
        </w:rPr>
        <w:t>hab</w:t>
      </w:r>
      <w:proofErr w:type="spellEnd"/>
      <w:r w:rsidRPr="006145EF">
        <w:rPr>
          <w:i/>
          <w:szCs w:val="20"/>
        </w:rPr>
        <w:t>[é]</w:t>
      </w:r>
      <w:proofErr w:type="spellStart"/>
      <w:r w:rsidRPr="006145EF">
        <w:rPr>
          <w:i/>
          <w:szCs w:val="20"/>
        </w:rPr>
        <w:t>rsele</w:t>
      </w:r>
      <w:proofErr w:type="spellEnd"/>
      <w:r w:rsidRPr="006145EF">
        <w:rPr>
          <w:i/>
          <w:szCs w:val="20"/>
        </w:rPr>
        <w:t xml:space="preserve">  requerido de manera formal por parte de las altas autoridades judiciales el Comando Político Militar nunca respondió</w:t>
      </w:r>
      <w:r w:rsidRPr="006145EF">
        <w:rPr>
          <w:szCs w:val="20"/>
        </w:rPr>
        <w:t>”.</w:t>
      </w:r>
      <w:r w:rsidRPr="006145EF">
        <w:rPr>
          <w:rStyle w:val="FootnoteReference"/>
          <w:szCs w:val="20"/>
        </w:rPr>
        <w:footnoteReference w:id="327"/>
      </w:r>
    </w:p>
    <w:p w:rsidR="007E3DB6" w:rsidRPr="006145EF" w:rsidRDefault="007E3DB6" w:rsidP="007E3DB6">
      <w:pPr>
        <w:rPr>
          <w:szCs w:val="20"/>
        </w:rPr>
      </w:pPr>
      <w:r w:rsidRPr="006145EF">
        <w:rPr>
          <w:szCs w:val="20"/>
        </w:rPr>
        <w:t xml:space="preserve">Es tal vez por ser la única prueba aportada que el Estado solo responde a ella indicando </w:t>
      </w:r>
      <w:r w:rsidRPr="006145EF">
        <w:rPr>
          <w:szCs w:val="20"/>
          <w:lang w:val="es-MX"/>
        </w:rPr>
        <w:t>que el señor Galindo</w:t>
      </w:r>
    </w:p>
    <w:p w:rsidR="007E3DB6" w:rsidRPr="006145EF" w:rsidRDefault="007E3DB6" w:rsidP="007E3DB6">
      <w:pPr>
        <w:ind w:left="567"/>
        <w:rPr>
          <w:szCs w:val="20"/>
        </w:rPr>
      </w:pPr>
      <w:r w:rsidRPr="006145EF">
        <w:rPr>
          <w:i/>
          <w:szCs w:val="20"/>
          <w:lang w:val="es-MX"/>
        </w:rPr>
        <w:t xml:space="preserve">“[n]o </w:t>
      </w:r>
      <w:proofErr w:type="spellStart"/>
      <w:proofErr w:type="gramStart"/>
      <w:r w:rsidRPr="006145EF">
        <w:rPr>
          <w:i/>
          <w:szCs w:val="20"/>
          <w:lang w:val="es-MX"/>
        </w:rPr>
        <w:t>ha</w:t>
      </w:r>
      <w:proofErr w:type="spellEnd"/>
      <w:r w:rsidRPr="006145EF">
        <w:rPr>
          <w:i/>
          <w:szCs w:val="20"/>
          <w:lang w:val="es-MX"/>
        </w:rPr>
        <w:t>[</w:t>
      </w:r>
      <w:proofErr w:type="spellStart"/>
      <w:proofErr w:type="gramEnd"/>
      <w:r w:rsidRPr="006145EF">
        <w:rPr>
          <w:i/>
          <w:szCs w:val="20"/>
          <w:lang w:val="es-MX"/>
        </w:rPr>
        <w:t>bía</w:t>
      </w:r>
      <w:proofErr w:type="spellEnd"/>
      <w:r w:rsidRPr="006145EF">
        <w:rPr>
          <w:i/>
          <w:szCs w:val="20"/>
          <w:lang w:val="es-MX"/>
        </w:rPr>
        <w:t>] demostrado […] que las circunstancias que rodearon la mencionada detención permitan suponer un caso de violación a los derechos del mencionado secretario</w:t>
      </w:r>
      <w:r w:rsidRPr="006145EF">
        <w:rPr>
          <w:szCs w:val="20"/>
          <w:lang w:val="es-MX"/>
        </w:rPr>
        <w:t>”.</w:t>
      </w:r>
      <w:r w:rsidRPr="006145EF">
        <w:rPr>
          <w:szCs w:val="20"/>
        </w:rPr>
        <w:t xml:space="preserve"> </w:t>
      </w:r>
      <w:r w:rsidRPr="006145EF">
        <w:rPr>
          <w:rStyle w:val="FootnoteReference"/>
          <w:szCs w:val="20"/>
        </w:rPr>
        <w:footnoteReference w:id="328"/>
      </w:r>
    </w:p>
    <w:p w:rsidR="007E3DB6" w:rsidRPr="006145EF" w:rsidRDefault="007E3DB6" w:rsidP="007E3DB6">
      <w:pPr>
        <w:pStyle w:val="Estilo1"/>
        <w:numPr>
          <w:ilvl w:val="0"/>
          <w:numId w:val="0"/>
        </w:numPr>
        <w:spacing w:after="240" w:line="276" w:lineRule="auto"/>
        <w:rPr>
          <w:rFonts w:eastAsia="Times New Roman"/>
          <w:i/>
          <w:lang w:val="es-MX" w:eastAsia="es-MX"/>
        </w:rPr>
      </w:pPr>
      <w:r w:rsidRPr="006145EF">
        <w:rPr>
          <w:rFonts w:eastAsia="Times New Roman"/>
          <w:lang w:val="es-CL" w:eastAsia="es-MX"/>
        </w:rPr>
        <w:t xml:space="preserve">Otra </w:t>
      </w:r>
      <w:r w:rsidRPr="006145EF">
        <w:rPr>
          <w:rFonts w:eastAsia="Times New Roman"/>
          <w:lang w:val="es-MX" w:eastAsia="es-MX"/>
        </w:rPr>
        <w:t>consideración de la Sentencia consiste en que, “</w:t>
      </w:r>
      <w:r w:rsidRPr="006145EF">
        <w:rPr>
          <w:rFonts w:eastAsia="Times New Roman"/>
          <w:i/>
          <w:lang w:val="es-MX" w:eastAsia="es-MX"/>
        </w:rPr>
        <w:t>si bien</w:t>
      </w:r>
      <w:r w:rsidRPr="006145EF">
        <w:rPr>
          <w:rFonts w:eastAsia="Times New Roman"/>
          <w:lang w:val="es-MX" w:eastAsia="es-MX"/>
        </w:rPr>
        <w:t xml:space="preserve"> (el Estado) </w:t>
      </w:r>
      <w:r w:rsidRPr="006145EF">
        <w:rPr>
          <w:rFonts w:eastAsia="Times New Roman"/>
          <w:i/>
          <w:lang w:val="es-MX" w:eastAsia="es-MX"/>
        </w:rPr>
        <w:t>cuestionó un hecho puntual referido por el señor Galindo respecto a supuestas amenazas a funcionarios públicos, no se refirió a los alegatos sobre una situación general de falta de garantías en la administración de justicia”.</w:t>
      </w:r>
      <w:r w:rsidRPr="006145EF">
        <w:rPr>
          <w:rStyle w:val="FootnoteReference"/>
          <w:lang w:val="es-MX" w:eastAsia="es-MX"/>
        </w:rPr>
        <w:footnoteReference w:id="329"/>
      </w:r>
    </w:p>
    <w:p w:rsidR="007E3DB6" w:rsidRPr="006145EF" w:rsidRDefault="007E3DB6" w:rsidP="007E3DB6">
      <w:pPr>
        <w:rPr>
          <w:rFonts w:eastAsia="Times New Roman"/>
          <w:i/>
          <w:szCs w:val="20"/>
          <w:lang w:val="es-MX" w:eastAsia="es-MX"/>
        </w:rPr>
      </w:pPr>
      <w:r w:rsidRPr="006145EF">
        <w:rPr>
          <w:rFonts w:eastAsia="Times New Roman"/>
          <w:szCs w:val="20"/>
          <w:lang w:val="es-MX" w:eastAsia="es-MX"/>
        </w:rPr>
        <w:t xml:space="preserve">Al respecto, procede reiterar que </w:t>
      </w:r>
      <w:r w:rsidRPr="006145EF">
        <w:rPr>
          <w:szCs w:val="20"/>
        </w:rPr>
        <w:t>el Estado afirmó que</w:t>
      </w:r>
      <w:r w:rsidRPr="006145EF">
        <w:rPr>
          <w:rFonts w:eastAsia="Times New Roman"/>
          <w:i/>
          <w:szCs w:val="20"/>
          <w:lang w:val="es-MX" w:eastAsia="es-MX"/>
        </w:rPr>
        <w:t xml:space="preserve"> </w:t>
      </w:r>
    </w:p>
    <w:p w:rsidR="007E3DB6" w:rsidRPr="006145EF" w:rsidRDefault="007E3DB6" w:rsidP="007E3DB6">
      <w:pPr>
        <w:ind w:left="567"/>
        <w:rPr>
          <w:rFonts w:eastAsia="Times New Roman"/>
          <w:szCs w:val="20"/>
          <w:lang w:val="es-MX" w:eastAsia="es-MX"/>
        </w:rPr>
      </w:pPr>
      <w:r w:rsidRPr="006145EF">
        <w:rPr>
          <w:rFonts w:eastAsia="Times New Roman"/>
          <w:i/>
          <w:szCs w:val="20"/>
          <w:lang w:val="es-MX" w:eastAsia="es-MX"/>
        </w:rPr>
        <w:t>“el artículo 200.6 de la Constitución […] aprobada en 1993 establece […] que la declaración de cualquier régimen de excepción no suspende el derecho de los particulares a interponer recursos de protección constitucional”.</w:t>
      </w:r>
      <w:r w:rsidRPr="006145EF">
        <w:rPr>
          <w:rFonts w:eastAsia="Times New Roman"/>
          <w:szCs w:val="20"/>
          <w:lang w:val="es-MX" w:eastAsia="es-MX"/>
        </w:rPr>
        <w:t xml:space="preserve"> </w:t>
      </w:r>
    </w:p>
    <w:p w:rsidR="007E3DB6" w:rsidRPr="006145EF" w:rsidRDefault="007E3DB6" w:rsidP="007E3DB6">
      <w:pPr>
        <w:rPr>
          <w:szCs w:val="20"/>
        </w:rPr>
      </w:pPr>
      <w:r w:rsidRPr="006145EF">
        <w:rPr>
          <w:rFonts w:eastAsia="Times New Roman"/>
          <w:szCs w:val="20"/>
          <w:lang w:val="es-MX" w:eastAsia="es-MX"/>
        </w:rPr>
        <w:t>Ciertamente, dicha afirmación del Estado, de por sí implica el reconocimiento de que se estaba en presencia de un estado de excepción.  Por otra parte, no se debe omitir que el Estado no contradijo, en su respuesta a la petición “</w:t>
      </w:r>
      <w:r w:rsidRPr="006145EF">
        <w:rPr>
          <w:rFonts w:eastAsia="Times New Roman"/>
          <w:i/>
          <w:szCs w:val="20"/>
          <w:lang w:val="es-MX" w:eastAsia="es-MX"/>
        </w:rPr>
        <w:t>presentada</w:t>
      </w:r>
      <w:r w:rsidRPr="006145EF">
        <w:rPr>
          <w:rFonts w:eastAsia="Times New Roman"/>
          <w:szCs w:val="20"/>
          <w:lang w:val="es-MX" w:eastAsia="es-MX"/>
        </w:rPr>
        <w:t>”, a lo sostenido en ésta en cuanto a la vigencia del estado de excepción y del control militar en la ciudad de Huánuco</w:t>
      </w:r>
      <w:r w:rsidRPr="006145EF">
        <w:rPr>
          <w:szCs w:val="20"/>
        </w:rPr>
        <w:t xml:space="preserve">. Por ende, se puede deducir que la citada afirmación del Estado </w:t>
      </w:r>
      <w:r w:rsidRPr="006145EF">
        <w:rPr>
          <w:rFonts w:eastAsia="Times New Roman"/>
          <w:szCs w:val="20"/>
          <w:lang w:val="es-MX" w:eastAsia="es-MX"/>
        </w:rPr>
        <w:t xml:space="preserve">apunta a resaltar que, pese a esa situación general, no había, a su juicio, falta de garantías en la administración de justicia, al menos en lo que se refiere al recurso de hábeas corpus. De esa forma, por lo tanto, se puede entender que el Estado se refirió, aunque indirectamente, a la situación general que se vivía entonces. </w:t>
      </w:r>
    </w:p>
    <w:p w:rsidR="007E3DB6" w:rsidRPr="006145EF" w:rsidRDefault="007E3DB6" w:rsidP="007E3DB6">
      <w:pPr>
        <w:pStyle w:val="Estilo1"/>
        <w:numPr>
          <w:ilvl w:val="0"/>
          <w:numId w:val="0"/>
        </w:numPr>
        <w:spacing w:after="240" w:line="276" w:lineRule="auto"/>
        <w:rPr>
          <w:rFonts w:eastAsia="Times New Roman"/>
          <w:lang w:val="es-MX" w:eastAsia="es-MX"/>
        </w:rPr>
      </w:pPr>
      <w:r w:rsidRPr="006145EF">
        <w:rPr>
          <w:rFonts w:eastAsia="Times New Roman"/>
          <w:lang w:val="es-CL" w:eastAsia="es-MX"/>
        </w:rPr>
        <w:t>Una tercera observación d</w:t>
      </w:r>
      <w:proofErr w:type="spellStart"/>
      <w:r w:rsidRPr="006145EF">
        <w:rPr>
          <w:rFonts w:eastAsia="Times New Roman"/>
          <w:lang w:val="es-MX" w:eastAsia="es-MX"/>
        </w:rPr>
        <w:t>e</w:t>
      </w:r>
      <w:proofErr w:type="spellEnd"/>
      <w:r w:rsidRPr="006145EF">
        <w:rPr>
          <w:rFonts w:eastAsia="Times New Roman"/>
          <w:lang w:val="es-MX" w:eastAsia="es-MX"/>
        </w:rPr>
        <w:t xml:space="preserve"> la Sentencia es que, además de la vigencia del recurso de hábeas corpus, que calificó de “</w:t>
      </w:r>
      <w:r w:rsidRPr="006145EF">
        <w:rPr>
          <w:rFonts w:eastAsia="Times New Roman"/>
          <w:i/>
          <w:lang w:val="es-MX" w:eastAsia="es-MX"/>
        </w:rPr>
        <w:t>formal</w:t>
      </w:r>
      <w:r w:rsidRPr="006145EF">
        <w:rPr>
          <w:rFonts w:eastAsia="Times New Roman"/>
          <w:lang w:val="es-MX" w:eastAsia="es-MX"/>
        </w:rPr>
        <w:t>”, “</w:t>
      </w:r>
      <w:r w:rsidRPr="006145EF">
        <w:rPr>
          <w:rFonts w:eastAsia="Times New Roman"/>
          <w:i/>
          <w:lang w:val="es-MX" w:eastAsia="es-MX"/>
        </w:rPr>
        <w:t xml:space="preserve">también se encontraba vigente un estado de excepción que, como surge de normas de público conocimiento, suspendía el requisito </w:t>
      </w:r>
      <w:r w:rsidRPr="006145EF">
        <w:rPr>
          <w:rFonts w:eastAsia="Times New Roman"/>
          <w:i/>
          <w:lang w:val="es-MX" w:eastAsia="es-MX"/>
        </w:rPr>
        <w:lastRenderedPageBreak/>
        <w:t>constitucional de orden judicial escrita o flagrancia para la detención de personas y disponía el control del orden interno por las Fuerzas Armadas</w:t>
      </w:r>
      <w:r w:rsidRPr="006145EF">
        <w:rPr>
          <w:rFonts w:eastAsia="Times New Roman"/>
          <w:lang w:val="es-MX" w:eastAsia="es-MX"/>
        </w:rPr>
        <w:t xml:space="preserve">”. </w:t>
      </w:r>
    </w:p>
    <w:p w:rsidR="007E3DB6" w:rsidRPr="006145EF" w:rsidRDefault="007E3DB6" w:rsidP="007E3DB6">
      <w:pPr>
        <w:pStyle w:val="Estilo1"/>
        <w:numPr>
          <w:ilvl w:val="0"/>
          <w:numId w:val="0"/>
        </w:numPr>
        <w:spacing w:after="240" w:line="276" w:lineRule="auto"/>
        <w:rPr>
          <w:rFonts w:eastAsia="Times New Roman"/>
          <w:lang w:val="es-MX" w:eastAsia="es-MX"/>
        </w:rPr>
      </w:pPr>
      <w:r w:rsidRPr="006145EF">
        <w:rPr>
          <w:rFonts w:eastAsia="Times New Roman"/>
          <w:lang w:val="es-MX" w:eastAsia="es-MX"/>
        </w:rPr>
        <w:t>Empero, la Sentencia omite indicar que, en mérito de lo señalado en el artículo 200.6 de la Constitución y por la supremacía de esta última, se podría argumentar que aún en el evento de una detención sin orden judicial escrita o flagrancia, procedería el recurso de hábeas corpus.</w:t>
      </w:r>
    </w:p>
    <w:p w:rsidR="007E3DB6" w:rsidRPr="006145EF" w:rsidRDefault="007E3DB6" w:rsidP="007E3DB6">
      <w:pPr>
        <w:pStyle w:val="Estilo1"/>
        <w:numPr>
          <w:ilvl w:val="0"/>
          <w:numId w:val="0"/>
        </w:numPr>
        <w:spacing w:after="240" w:line="276" w:lineRule="auto"/>
        <w:rPr>
          <w:rFonts w:eastAsia="Times New Roman"/>
          <w:lang w:val="es-MX" w:eastAsia="es-MX"/>
        </w:rPr>
      </w:pPr>
      <w:r w:rsidRPr="006145EF">
        <w:rPr>
          <w:rFonts w:eastAsia="Times New Roman"/>
          <w:lang w:val="es-MX" w:eastAsia="es-MX"/>
        </w:rPr>
        <w:t>Una cuarta observación de la Sentencia dice relación con su afirmación en orden a “</w:t>
      </w:r>
      <w:r w:rsidRPr="006145EF">
        <w:rPr>
          <w:rFonts w:eastAsia="Times New Roman"/>
          <w:i/>
          <w:lang w:val="es-MX" w:eastAsia="es-MX"/>
        </w:rPr>
        <w:t xml:space="preserve">que la acción de hábeas corpus debía intentarse respecto a autoridades militares que tenían control de la zona”, </w:t>
      </w:r>
      <w:r w:rsidRPr="006145EF">
        <w:rPr>
          <w:rFonts w:eastAsia="Times New Roman"/>
          <w:lang w:val="es-MX" w:eastAsia="es-MX"/>
        </w:rPr>
        <w:t>concluyendo que</w:t>
      </w:r>
      <w:r w:rsidRPr="006145EF">
        <w:rPr>
          <w:rFonts w:eastAsia="Times New Roman"/>
          <w:i/>
          <w:lang w:val="es-MX" w:eastAsia="es-MX"/>
        </w:rPr>
        <w:t>, [e]n ese marco, de la vigencia normativa del hábeas corpus referida por el Estado no se desprende que el recurso tuviera posibilidad de ser efectivo en el caso</w:t>
      </w:r>
      <w:r w:rsidRPr="006145EF">
        <w:rPr>
          <w:rFonts w:eastAsia="Times New Roman"/>
          <w:lang w:val="es-MX" w:eastAsia="es-MX"/>
        </w:rPr>
        <w:t>”.</w:t>
      </w:r>
      <w:r w:rsidRPr="006145EF">
        <w:rPr>
          <w:rStyle w:val="FootnoteReference"/>
          <w:lang w:val="es-MX" w:eastAsia="es-MX"/>
        </w:rPr>
        <w:footnoteReference w:id="330"/>
      </w:r>
    </w:p>
    <w:p w:rsidR="007E3DB6" w:rsidRPr="006145EF" w:rsidRDefault="007E3DB6" w:rsidP="007E3DB6">
      <w:pPr>
        <w:pStyle w:val="Estilo1"/>
        <w:numPr>
          <w:ilvl w:val="0"/>
          <w:numId w:val="0"/>
        </w:numPr>
        <w:spacing w:after="240" w:line="276" w:lineRule="auto"/>
        <w:rPr>
          <w:rFonts w:eastAsia="Times New Roman"/>
          <w:lang w:val="es-MX" w:eastAsia="es-MX"/>
        </w:rPr>
      </w:pPr>
      <w:r w:rsidRPr="006145EF">
        <w:rPr>
          <w:rFonts w:eastAsia="Times New Roman"/>
          <w:lang w:val="es-MX" w:eastAsia="es-MX"/>
        </w:rPr>
        <w:t xml:space="preserve">Sin embargo, la Sentencia no indica la razón por la que, en ese evento, el recurso de hábeas corpus no sería efectivo, en circunstancia de que el Estado señaló que el mismo procedía en estado de excepción, vale decir, en que las fuerzas armadas controlaban la situación en las regiones sujetas a dicho régimen. </w:t>
      </w:r>
    </w:p>
    <w:p w:rsidR="007E3DB6" w:rsidRPr="006145EF" w:rsidRDefault="007E3DB6" w:rsidP="007E3DB6">
      <w:pPr>
        <w:autoSpaceDE w:val="0"/>
        <w:autoSpaceDN w:val="0"/>
        <w:adjustRightInd w:val="0"/>
        <w:spacing w:after="240"/>
        <w:contextualSpacing/>
        <w:rPr>
          <w:rFonts w:eastAsia="Times New Roman"/>
          <w:szCs w:val="20"/>
          <w:lang w:val="es-MX" w:eastAsia="es-MX"/>
        </w:rPr>
      </w:pPr>
      <w:r w:rsidRPr="006145EF">
        <w:rPr>
          <w:rFonts w:eastAsia="Times New Roman"/>
          <w:szCs w:val="20"/>
          <w:lang w:val="es-MX" w:eastAsia="es-MX"/>
        </w:rPr>
        <w:t>Finalmente, en cuanto a la referencia que la Sentencia hace a la afirmación del peticionario respecto a la “</w:t>
      </w:r>
      <w:r w:rsidRPr="006145EF">
        <w:rPr>
          <w:rFonts w:eastAsia="Times New Roman"/>
          <w:i/>
          <w:szCs w:val="20"/>
          <w:lang w:val="es-MX" w:eastAsia="es-MX"/>
        </w:rPr>
        <w:t>intervención</w:t>
      </w:r>
      <w:r w:rsidRPr="006145EF">
        <w:rPr>
          <w:rFonts w:eastAsia="Times New Roman"/>
          <w:szCs w:val="20"/>
          <w:lang w:val="es-MX" w:eastAsia="es-MX"/>
        </w:rPr>
        <w:t xml:space="preserve">” del Presidente Fujimori en la situación por la que atravesó, no consiga que ella fue, por lo demás, confusa, al confundir este último a quién se refería y tampoco a la incidencia que efectivamente la alusión que aquél hizo de un detenido en Huánuco tuvo específicamente en el caso. </w:t>
      </w:r>
    </w:p>
    <w:p w:rsidR="007E3DB6" w:rsidRPr="006145EF" w:rsidRDefault="007E3DB6" w:rsidP="007E3DB6">
      <w:pPr>
        <w:autoSpaceDE w:val="0"/>
        <w:autoSpaceDN w:val="0"/>
        <w:adjustRightInd w:val="0"/>
        <w:spacing w:after="240"/>
        <w:contextualSpacing/>
        <w:rPr>
          <w:rFonts w:eastAsia="Times New Roman"/>
          <w:szCs w:val="20"/>
          <w:lang w:val="es-MX" w:eastAsia="es-MX"/>
        </w:rPr>
      </w:pPr>
    </w:p>
    <w:p w:rsidR="007E3DB6" w:rsidRPr="006145EF" w:rsidRDefault="007E3DB6" w:rsidP="007E3DB6">
      <w:pPr>
        <w:autoSpaceDE w:val="0"/>
        <w:autoSpaceDN w:val="0"/>
        <w:adjustRightInd w:val="0"/>
        <w:spacing w:after="240"/>
        <w:contextualSpacing/>
        <w:rPr>
          <w:rFonts w:eastAsia="Times New Roman"/>
          <w:szCs w:val="20"/>
          <w:lang w:val="es-MX" w:eastAsia="es-MX"/>
        </w:rPr>
      </w:pPr>
      <w:r w:rsidRPr="006145EF">
        <w:rPr>
          <w:rFonts w:eastAsia="Times New Roman"/>
          <w:szCs w:val="20"/>
          <w:lang w:val="es-MX" w:eastAsia="es-MX"/>
        </w:rPr>
        <w:t xml:space="preserve">Ahora bien, frente a lo sostenido en la Sentencia en lo que se refiere al recurso de hábeas corpus, cabría preguntarse si la sola existencia de una situación general como la vivida en el Estado y su mención o invocación en términos genéricos por parte de los peticionarios, implicaría, </w:t>
      </w:r>
      <w:r w:rsidRPr="006145EF">
        <w:rPr>
          <w:rFonts w:eastAsia="Times New Roman"/>
          <w:i/>
          <w:szCs w:val="20"/>
          <w:lang w:val="es-MX" w:eastAsia="es-MX"/>
        </w:rPr>
        <w:t>per se,</w:t>
      </w:r>
      <w:r w:rsidRPr="006145EF">
        <w:rPr>
          <w:rFonts w:eastAsia="Times New Roman"/>
          <w:szCs w:val="20"/>
          <w:lang w:val="es-MX" w:eastAsia="es-MX"/>
        </w:rPr>
        <w:t xml:space="preserve"> que ellos quedarían, en todos los casos, eximidos de probar el vínculo causal entre la vulneración del derecho que alegan y dicha situación general. En otros términos, procedería interrogarse acerca de si, en razón de la invocación, en términos genéricos, de una situación general de crisis o tensión en el país de que se trate por parte de los peticionarios, siempre debería desestimarse la excepción preliminar estatal por incumplimiento de la regla del previo agotamiento de los recursos internos sustentada en que no procederían las causales que excluyen la aplicación de tal regla. Evidentemente, la respuesta debería ser negativa.</w:t>
      </w:r>
    </w:p>
    <w:p w:rsidR="007E3DB6" w:rsidRPr="006145EF" w:rsidRDefault="007E3DB6" w:rsidP="007E3DB6">
      <w:pPr>
        <w:autoSpaceDE w:val="0"/>
        <w:autoSpaceDN w:val="0"/>
        <w:adjustRightInd w:val="0"/>
        <w:spacing w:after="240"/>
        <w:contextualSpacing/>
        <w:rPr>
          <w:rFonts w:eastAsia="Times New Roman"/>
          <w:szCs w:val="20"/>
          <w:lang w:val="es-MX" w:eastAsia="es-MX"/>
        </w:rPr>
      </w:pPr>
    </w:p>
    <w:p w:rsidR="007E3DB6" w:rsidRPr="006145EF" w:rsidRDefault="007E3DB6" w:rsidP="007E3DB6">
      <w:pPr>
        <w:autoSpaceDE w:val="0"/>
        <w:autoSpaceDN w:val="0"/>
        <w:adjustRightInd w:val="0"/>
        <w:spacing w:after="240"/>
        <w:contextualSpacing/>
        <w:rPr>
          <w:rFonts w:eastAsia="Times New Roman"/>
          <w:szCs w:val="20"/>
          <w:lang w:val="es-MX" w:eastAsia="es-MX"/>
        </w:rPr>
      </w:pPr>
      <w:r w:rsidRPr="006145EF">
        <w:rPr>
          <w:rFonts w:eastAsia="Times New Roman"/>
          <w:szCs w:val="20"/>
          <w:lang w:val="es-MX" w:eastAsia="es-MX"/>
        </w:rPr>
        <w:t xml:space="preserve">En relación al presente caso, procede por último, resaltar el hecho de que la situación general vivida en el país en la época que interesa, no es abordado en la Sentencia en su parte “IV Excepciones Preliminares”, sino en la parte correspondiente al fondo de la causa y, más específicamente, en el apartado A “Contexto” de su Capítulo “ VII Hechos”. Por ende, se podría presumir que la situación general del país no fue expresamente considerada por la Sentencia para desestimar, en lo atingente a la no interposición del recurso de hábeas corpus, la excepción preliminar formulada por el Estado. </w:t>
      </w:r>
    </w:p>
    <w:p w:rsidR="007E3DB6" w:rsidRPr="006145EF" w:rsidRDefault="007E3DB6" w:rsidP="007E3DB6">
      <w:pPr>
        <w:autoSpaceDE w:val="0"/>
        <w:autoSpaceDN w:val="0"/>
        <w:adjustRightInd w:val="0"/>
        <w:spacing w:after="240"/>
        <w:contextualSpacing/>
        <w:rPr>
          <w:rFonts w:eastAsia="Times New Roman"/>
          <w:szCs w:val="20"/>
          <w:lang w:val="es-MX" w:eastAsia="es-MX"/>
        </w:rPr>
      </w:pPr>
    </w:p>
    <w:p w:rsidR="007E3DB6" w:rsidRPr="006145EF" w:rsidRDefault="007E3DB6" w:rsidP="007E3DB6">
      <w:pPr>
        <w:autoSpaceDE w:val="0"/>
        <w:autoSpaceDN w:val="0"/>
        <w:adjustRightInd w:val="0"/>
        <w:spacing w:after="240"/>
        <w:contextualSpacing/>
        <w:rPr>
          <w:rFonts w:eastAsia="Times New Roman"/>
          <w:b/>
          <w:szCs w:val="20"/>
          <w:lang w:val="es-MX" w:eastAsia="es-MX"/>
        </w:rPr>
      </w:pPr>
      <w:r w:rsidRPr="006145EF">
        <w:rPr>
          <w:rFonts w:eastAsia="Times New Roman"/>
          <w:b/>
          <w:szCs w:val="20"/>
          <w:lang w:val="es-MX" w:eastAsia="es-MX"/>
        </w:rPr>
        <w:t>CONCLUSIÓN.</w:t>
      </w:r>
    </w:p>
    <w:p w:rsidR="007E3DB6" w:rsidRPr="006145EF" w:rsidRDefault="007E3DB6" w:rsidP="007E3DB6">
      <w:pPr>
        <w:autoSpaceDE w:val="0"/>
        <w:autoSpaceDN w:val="0"/>
        <w:adjustRightInd w:val="0"/>
        <w:spacing w:after="240"/>
        <w:contextualSpacing/>
        <w:rPr>
          <w:rFonts w:eastAsia="Times New Roman"/>
          <w:szCs w:val="20"/>
          <w:lang w:val="es-MX" w:eastAsia="es-MX"/>
        </w:rPr>
      </w:pPr>
    </w:p>
    <w:p w:rsidR="007E3DB6" w:rsidRPr="006145EF" w:rsidRDefault="007E3DB6" w:rsidP="007E3DB6">
      <w:pPr>
        <w:autoSpaceDE w:val="0"/>
        <w:autoSpaceDN w:val="0"/>
        <w:adjustRightInd w:val="0"/>
        <w:spacing w:after="240"/>
        <w:contextualSpacing/>
        <w:rPr>
          <w:rFonts w:eastAsia="Times New Roman"/>
          <w:szCs w:val="20"/>
          <w:lang w:val="es-MX" w:eastAsia="es-MX"/>
        </w:rPr>
      </w:pPr>
      <w:r w:rsidRPr="006145EF">
        <w:rPr>
          <w:rFonts w:eastAsia="Times New Roman"/>
          <w:szCs w:val="20"/>
          <w:lang w:val="es-MX" w:eastAsia="es-MX"/>
        </w:rPr>
        <w:t xml:space="preserve">En mérito de todo lo expuesto y, en especial, por una parte, que no se desvirtuó en autos la indicación estatal de que Perú contaba, al momento de los hechos, con un </w:t>
      </w:r>
      <w:r w:rsidRPr="006145EF">
        <w:rPr>
          <w:rFonts w:eastAsia="Times New Roman"/>
          <w:szCs w:val="20"/>
          <w:lang w:val="es-MX" w:eastAsia="es-MX"/>
        </w:rPr>
        <w:lastRenderedPageBreak/>
        <w:t>recurso adecuado que potencialmente hubiera permitido hacer cesar las violaciones alegadas en el evento de que se hubiese interpuesto y por la otra parte, que, en todo caso, la falta de absoluta certeza al respecto se deriva de la ausencia de la presentación del hábeas corpus, lo que no es atribuible al Estado, se puede concluir en que no se dio al Estado, en el presente caso, la oportunidad debida de resolver el asunto previamente, es decir, antes de haber recurrido a la instancia internacional</w:t>
      </w:r>
      <w:r w:rsidRPr="006145EF">
        <w:rPr>
          <w:rFonts w:eastAsia="Times New Roman"/>
          <w:i/>
          <w:szCs w:val="20"/>
          <w:lang w:val="es-MX" w:eastAsia="es-MX"/>
        </w:rPr>
        <w:t>.</w:t>
      </w:r>
      <w:r w:rsidRPr="006145EF">
        <w:rPr>
          <w:rFonts w:eastAsia="Times New Roman"/>
          <w:szCs w:val="20"/>
          <w:lang w:val="es-MX" w:eastAsia="es-MX"/>
        </w:rPr>
        <w:t xml:space="preserve">  </w:t>
      </w:r>
    </w:p>
    <w:p w:rsidR="007E3DB6" w:rsidRPr="006145EF" w:rsidRDefault="007E3DB6" w:rsidP="007E3DB6">
      <w:pPr>
        <w:autoSpaceDE w:val="0"/>
        <w:autoSpaceDN w:val="0"/>
        <w:adjustRightInd w:val="0"/>
        <w:spacing w:after="240"/>
        <w:contextualSpacing/>
        <w:rPr>
          <w:rFonts w:eastAsia="Times New Roman"/>
          <w:szCs w:val="20"/>
          <w:lang w:val="es-MX" w:eastAsia="es-MX"/>
        </w:rPr>
      </w:pPr>
    </w:p>
    <w:p w:rsidR="007E3DB6" w:rsidRPr="006145EF" w:rsidRDefault="007E3DB6" w:rsidP="007E3DB6">
      <w:pPr>
        <w:autoSpaceDE w:val="0"/>
        <w:autoSpaceDN w:val="0"/>
        <w:adjustRightInd w:val="0"/>
        <w:spacing w:after="240"/>
        <w:contextualSpacing/>
        <w:rPr>
          <w:rFonts w:eastAsia="Times New Roman"/>
          <w:szCs w:val="20"/>
          <w:lang w:val="es-MX" w:eastAsia="es-MX"/>
        </w:rPr>
      </w:pPr>
      <w:r w:rsidRPr="006145EF">
        <w:rPr>
          <w:rFonts w:eastAsia="Times New Roman"/>
          <w:szCs w:val="20"/>
          <w:lang w:val="es-MX" w:eastAsia="es-MX"/>
        </w:rPr>
        <w:t>Asimismo, se puede derivar de lo señalado en este documento, que de los antecedentes de autos no se puede, a juicio del suscrito, sustentar la plena íntima convicción de que existió un nexo causal entre la situación que vivía el Estado al momento de los hechos del caso en cuestión y la imposibilidad de presentación del recurso de hábeas corpus por parte del peticionario y alegada por él. De allí, pues, el presente voto disidente.</w:t>
      </w:r>
    </w:p>
    <w:p w:rsidR="007E3DB6" w:rsidRPr="006145EF" w:rsidRDefault="007E3DB6" w:rsidP="007E3DB6">
      <w:pPr>
        <w:autoSpaceDE w:val="0"/>
        <w:autoSpaceDN w:val="0"/>
        <w:adjustRightInd w:val="0"/>
        <w:spacing w:after="240"/>
        <w:contextualSpacing/>
        <w:rPr>
          <w:rFonts w:eastAsia="Times New Roman"/>
          <w:szCs w:val="20"/>
          <w:lang w:val="es-MX" w:eastAsia="es-MX"/>
        </w:rPr>
      </w:pPr>
    </w:p>
    <w:p w:rsidR="007E3DB6" w:rsidRPr="006145EF" w:rsidRDefault="007E3DB6" w:rsidP="007E3DB6">
      <w:pPr>
        <w:autoSpaceDE w:val="0"/>
        <w:autoSpaceDN w:val="0"/>
        <w:adjustRightInd w:val="0"/>
        <w:spacing w:after="240"/>
        <w:contextualSpacing/>
        <w:rPr>
          <w:rFonts w:eastAsia="Times New Roman"/>
          <w:szCs w:val="20"/>
          <w:lang w:val="es-MX" w:eastAsia="es-MX"/>
        </w:rPr>
      </w:pPr>
      <w:r w:rsidRPr="006145EF">
        <w:rPr>
          <w:rFonts w:eastAsia="Times New Roman"/>
          <w:szCs w:val="20"/>
          <w:lang w:val="es-MX" w:eastAsia="es-MX"/>
        </w:rPr>
        <w:t>Y junto a todo lo anterior, es menester insistir en que la decisión de que da la Sentencia en cuanto a la excepción por la falta de agotamiento previo de los recursos internos interpuesta por el Estado, no considera que estos últimos deben haberse agotado al momento en que la petición se presenta y no cuando la Comisión se pronuncia sobre la admisibilidad de ella, la que, en el presente caso, tuvo lugar ocho años después, situación anómala que explica en gran medida, pues, el presente voto disidente.</w:t>
      </w:r>
    </w:p>
    <w:p w:rsidR="007E3DB6" w:rsidRPr="006145EF" w:rsidRDefault="007E3DB6" w:rsidP="007E3DB6">
      <w:pPr>
        <w:pStyle w:val="NormalWeb"/>
        <w:spacing w:before="0" w:beforeAutospacing="0" w:after="120" w:afterAutospacing="0" w:line="276" w:lineRule="auto"/>
        <w:jc w:val="both"/>
        <w:rPr>
          <w:rFonts w:cs="Calibri"/>
          <w:color w:val="auto"/>
          <w:sz w:val="20"/>
          <w:szCs w:val="20"/>
          <w:lang w:val="es-ES"/>
        </w:rPr>
      </w:pPr>
      <w:r w:rsidRPr="006145EF">
        <w:rPr>
          <w:color w:val="auto"/>
          <w:sz w:val="20"/>
          <w:szCs w:val="20"/>
          <w:lang w:val="es-MX" w:eastAsia="es-MX"/>
        </w:rPr>
        <w:t>En suma y tal como ha acontecido en otros casos</w:t>
      </w:r>
      <w:r w:rsidRPr="006145EF">
        <w:rPr>
          <w:rStyle w:val="FootnoteReference"/>
          <w:color w:val="auto"/>
          <w:sz w:val="20"/>
          <w:szCs w:val="20"/>
          <w:lang w:val="es-MX" w:eastAsia="es-MX"/>
        </w:rPr>
        <w:footnoteReference w:id="331"/>
      </w:r>
      <w:r w:rsidRPr="006145EF">
        <w:rPr>
          <w:color w:val="auto"/>
          <w:sz w:val="20"/>
          <w:szCs w:val="20"/>
          <w:lang w:val="es-MX" w:eastAsia="es-MX"/>
        </w:rPr>
        <w:t xml:space="preserve">, en la Sentencia, al avalar el criterio seguido por la Comisión y pronunciarse respecto de la excepción preliminar planteada por el Estado, sobre esa base, no ha ponderado adecuadamente lo dispuesto en el artículo 46.1.a) de la Convención, el que dispone que </w:t>
      </w:r>
      <w:r w:rsidRPr="006145EF">
        <w:rPr>
          <w:rFonts w:cs="Calibri"/>
          <w:i/>
          <w:color w:val="auto"/>
          <w:sz w:val="20"/>
          <w:szCs w:val="20"/>
          <w:lang w:val="es-ES"/>
        </w:rPr>
        <w:t xml:space="preserve">“(p)ara que una petición o comunicación presentada conforme a los artículos 44 </w:t>
      </w:r>
      <w:proofErr w:type="spellStart"/>
      <w:r w:rsidRPr="006145EF">
        <w:rPr>
          <w:rFonts w:cs="Calibri"/>
          <w:i/>
          <w:color w:val="auto"/>
          <w:sz w:val="20"/>
          <w:szCs w:val="20"/>
          <w:lang w:val="es-ES"/>
        </w:rPr>
        <w:t>ó</w:t>
      </w:r>
      <w:proofErr w:type="spellEnd"/>
      <w:r w:rsidRPr="006145EF">
        <w:rPr>
          <w:rFonts w:cs="Calibri"/>
          <w:i/>
          <w:color w:val="auto"/>
          <w:sz w:val="20"/>
          <w:szCs w:val="20"/>
          <w:lang w:val="es-ES"/>
        </w:rPr>
        <w:t xml:space="preserve"> 45 sea admitida por la Comisión, se </w:t>
      </w:r>
      <w:proofErr w:type="spellStart"/>
      <w:r w:rsidRPr="006145EF">
        <w:rPr>
          <w:rFonts w:cs="Calibri"/>
          <w:i/>
          <w:color w:val="auto"/>
          <w:sz w:val="20"/>
          <w:szCs w:val="20"/>
          <w:lang w:val="es-ES"/>
        </w:rPr>
        <w:t>requerirá:.que</w:t>
      </w:r>
      <w:proofErr w:type="spellEnd"/>
      <w:r w:rsidRPr="006145EF">
        <w:rPr>
          <w:rFonts w:cs="Calibri"/>
          <w:i/>
          <w:color w:val="auto"/>
          <w:sz w:val="20"/>
          <w:szCs w:val="20"/>
          <w:lang w:val="es-ES"/>
        </w:rPr>
        <w:t xml:space="preserve"> se hayan interpuesto y agotado los recursos de jurisdicción interna, conforme a los principios del Derecho Internacional generalmente reconocidos,” </w:t>
      </w:r>
      <w:r w:rsidRPr="006145EF">
        <w:rPr>
          <w:rFonts w:cs="Calibri"/>
          <w:color w:val="auto"/>
          <w:sz w:val="20"/>
          <w:szCs w:val="20"/>
          <w:lang w:val="es-ES"/>
        </w:rPr>
        <w:t>y del que, por ende, claramente se desprende que la decisión sobre admisibilidad que puede adoptar la Comisión solo puede recaer en la petición tal como ella fue, en su momento, “</w:t>
      </w:r>
      <w:r w:rsidRPr="006145EF">
        <w:rPr>
          <w:rFonts w:cs="Calibri"/>
          <w:i/>
          <w:color w:val="auto"/>
          <w:sz w:val="20"/>
          <w:szCs w:val="20"/>
          <w:lang w:val="es-ES"/>
        </w:rPr>
        <w:t>presentada</w:t>
      </w:r>
      <w:r w:rsidRPr="006145EF">
        <w:rPr>
          <w:rFonts w:cs="Calibri"/>
          <w:color w:val="auto"/>
          <w:sz w:val="20"/>
          <w:szCs w:val="20"/>
          <w:lang w:val="es-ES"/>
        </w:rPr>
        <w:t xml:space="preserve">” y teniendo en cuenta la respectiva respuesta del Estado a la misma y no de acuerdo a la evolución posterior que ha tenido la situación a que se refiere. En otros términos, la Sentencia, al desestimar la referida excepción planteada por el Estado, lo hace bajo la premisa de que los recursos internos deben agotarse o las excepciones a dicha regla deben invocarse en forma previa, no de la presentación de la petición, sino de la decisión de admisibilidad de la Comisión. Y en mérito de lo expuesto en el presente voto, ese criterio no puede ser compartido por el suscrito. </w:t>
      </w:r>
    </w:p>
    <w:p w:rsidR="007E3DB6" w:rsidRPr="006145EF" w:rsidRDefault="007E3DB6" w:rsidP="007E3DB6">
      <w:pPr>
        <w:tabs>
          <w:tab w:val="left" w:pos="720"/>
        </w:tabs>
        <w:ind w:right="-90"/>
        <w:rPr>
          <w:rFonts w:cs="Arial"/>
          <w:b/>
          <w:szCs w:val="20"/>
        </w:rPr>
      </w:pPr>
    </w:p>
    <w:p w:rsidR="007E3DB6" w:rsidRPr="006145EF" w:rsidRDefault="007E3DB6" w:rsidP="007E3DB6">
      <w:pPr>
        <w:tabs>
          <w:tab w:val="left" w:pos="720"/>
        </w:tabs>
        <w:ind w:right="-90"/>
        <w:rPr>
          <w:rFonts w:cs="Arial"/>
          <w:b/>
          <w:szCs w:val="20"/>
        </w:rPr>
      </w:pPr>
    </w:p>
    <w:p w:rsidR="007E3DB6" w:rsidRPr="006145EF" w:rsidRDefault="007E3DB6" w:rsidP="007E3DB6">
      <w:pPr>
        <w:tabs>
          <w:tab w:val="left" w:pos="720"/>
        </w:tabs>
        <w:ind w:right="-90"/>
        <w:rPr>
          <w:rFonts w:cs="Arial"/>
          <w:b/>
          <w:szCs w:val="20"/>
        </w:rPr>
      </w:pPr>
    </w:p>
    <w:p w:rsidR="007E3DB6" w:rsidRPr="006145EF" w:rsidRDefault="007E3DB6" w:rsidP="007E3DB6">
      <w:pPr>
        <w:tabs>
          <w:tab w:val="left" w:pos="720"/>
        </w:tabs>
        <w:ind w:right="-90"/>
        <w:jc w:val="right"/>
        <w:rPr>
          <w:rFonts w:cs="Arial"/>
          <w:szCs w:val="20"/>
        </w:rPr>
      </w:pPr>
      <w:r w:rsidRPr="006145EF">
        <w:rPr>
          <w:rFonts w:cs="Arial"/>
          <w:szCs w:val="20"/>
        </w:rPr>
        <w:t>Eduardo Vio Grossi</w:t>
      </w:r>
    </w:p>
    <w:p w:rsidR="007E3DB6" w:rsidRPr="006145EF" w:rsidRDefault="007E3DB6" w:rsidP="007E3DB6">
      <w:pPr>
        <w:tabs>
          <w:tab w:val="left" w:pos="720"/>
        </w:tabs>
        <w:ind w:left="7788" w:right="-90"/>
        <w:jc w:val="center"/>
        <w:rPr>
          <w:rFonts w:cs="Arial"/>
          <w:szCs w:val="20"/>
        </w:rPr>
      </w:pPr>
      <w:r w:rsidRPr="006145EF">
        <w:rPr>
          <w:rFonts w:cs="Arial"/>
          <w:szCs w:val="20"/>
        </w:rPr>
        <w:t>Juez</w:t>
      </w:r>
    </w:p>
    <w:p w:rsidR="007E3DB6" w:rsidRPr="006145EF" w:rsidRDefault="007E3DB6" w:rsidP="007E3DB6">
      <w:pPr>
        <w:tabs>
          <w:tab w:val="left" w:pos="720"/>
        </w:tabs>
        <w:ind w:right="-90"/>
        <w:jc w:val="right"/>
        <w:rPr>
          <w:rFonts w:cs="Arial"/>
          <w:b/>
          <w:szCs w:val="20"/>
        </w:rPr>
      </w:pPr>
    </w:p>
    <w:p w:rsidR="007E3DB6" w:rsidRPr="006145EF" w:rsidRDefault="007E3DB6" w:rsidP="007E3DB6">
      <w:pPr>
        <w:widowControl w:val="0"/>
        <w:adjustRightInd w:val="0"/>
        <w:rPr>
          <w:rFonts w:eastAsia="Times New Roman" w:cs="Verdana"/>
          <w:spacing w:val="-4"/>
          <w:szCs w:val="20"/>
          <w:lang w:val="es-CR" w:eastAsia="es-CR"/>
        </w:rPr>
      </w:pPr>
    </w:p>
    <w:p w:rsidR="007E3DB6" w:rsidRPr="006145EF" w:rsidRDefault="007E3DB6" w:rsidP="007E3DB6">
      <w:pPr>
        <w:widowControl w:val="0"/>
        <w:adjustRightInd w:val="0"/>
        <w:rPr>
          <w:rFonts w:eastAsia="Times New Roman" w:cs="Verdana"/>
          <w:spacing w:val="-4"/>
          <w:szCs w:val="20"/>
          <w:lang w:val="es-CR" w:eastAsia="es-CR"/>
        </w:rPr>
      </w:pPr>
    </w:p>
    <w:p w:rsidR="007E3DB6" w:rsidRPr="006145EF" w:rsidRDefault="007E3DB6" w:rsidP="007E3DB6">
      <w:pPr>
        <w:widowControl w:val="0"/>
        <w:adjustRightInd w:val="0"/>
        <w:rPr>
          <w:rFonts w:eastAsia="Times New Roman" w:cs="Verdana"/>
          <w:spacing w:val="-4"/>
          <w:szCs w:val="20"/>
          <w:lang w:val="es-CR" w:eastAsia="es-CR"/>
        </w:rPr>
      </w:pPr>
    </w:p>
    <w:p w:rsidR="007E3DB6" w:rsidRPr="006145EF" w:rsidRDefault="007E3DB6" w:rsidP="007E3DB6">
      <w:pPr>
        <w:widowControl w:val="0"/>
        <w:adjustRightInd w:val="0"/>
        <w:rPr>
          <w:rFonts w:eastAsia="Times New Roman" w:cs="Verdana"/>
          <w:spacing w:val="-4"/>
          <w:szCs w:val="20"/>
          <w:lang w:val="es-CR" w:eastAsia="es-CR"/>
        </w:rPr>
      </w:pPr>
    </w:p>
    <w:p w:rsidR="007E3DB6" w:rsidRPr="006145EF" w:rsidRDefault="007E3DB6" w:rsidP="007E3DB6">
      <w:pPr>
        <w:widowControl w:val="0"/>
        <w:adjustRightInd w:val="0"/>
        <w:rPr>
          <w:rFonts w:eastAsia="Times New Roman" w:cs="Verdana"/>
          <w:spacing w:val="-4"/>
          <w:szCs w:val="20"/>
          <w:lang w:val="es-CR" w:eastAsia="es-CR"/>
        </w:rPr>
      </w:pPr>
      <w:r w:rsidRPr="006145EF">
        <w:rPr>
          <w:rFonts w:eastAsia="Times New Roman" w:cs="Verdana"/>
          <w:spacing w:val="-4"/>
          <w:szCs w:val="20"/>
          <w:lang w:val="es-CR" w:eastAsia="es-CR"/>
        </w:rPr>
        <w:t>Pablo Saavedra Alessandri</w:t>
      </w:r>
    </w:p>
    <w:p w:rsidR="007E3DB6" w:rsidRPr="006145EF" w:rsidRDefault="007E3DB6" w:rsidP="007E3DB6">
      <w:pPr>
        <w:widowControl w:val="0"/>
        <w:adjustRightInd w:val="0"/>
        <w:rPr>
          <w:rFonts w:eastAsia="Times New Roman" w:cs="Verdana"/>
          <w:spacing w:val="-4"/>
          <w:szCs w:val="20"/>
          <w:lang w:val="es-CR" w:eastAsia="es-CR"/>
        </w:rPr>
      </w:pPr>
      <w:r w:rsidRPr="006145EF">
        <w:rPr>
          <w:rFonts w:eastAsia="Times New Roman" w:cs="Verdana"/>
          <w:spacing w:val="-4"/>
          <w:szCs w:val="20"/>
          <w:lang w:val="es-CR" w:eastAsia="es-CR"/>
        </w:rPr>
        <w:tab/>
        <w:t>Secretario</w:t>
      </w:r>
    </w:p>
    <w:sectPr w:rsidR="007E3DB6" w:rsidRPr="006145EF" w:rsidSect="007E3DB6">
      <w:footnotePr>
        <w:numRestart w:val="eachSect"/>
      </w:footnotePr>
      <w:pgSz w:w="12240" w:h="15840"/>
      <w:pgMar w:top="1418" w:right="1588" w:bottom="1418" w:left="1588"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925" w:rsidRDefault="00AD4925" w:rsidP="00804D25">
      <w:r>
        <w:separator/>
      </w:r>
    </w:p>
  </w:endnote>
  <w:endnote w:type="continuationSeparator" w:id="0">
    <w:p w:rsidR="00AD4925" w:rsidRDefault="00AD4925" w:rsidP="00804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MS Mincho"/>
    <w:charset w:val="80"/>
    <w:family w:val="auto"/>
    <w:pitch w:val="variable"/>
    <w:sig w:usb0="00000000" w:usb1="7AC7FFFF" w:usb2="00000012" w:usb3="00000000" w:csb0="0002000D" w:csb1="00000000"/>
  </w:font>
  <w:font w:name="Times">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modern"/>
    <w:pitch w:val="fixed"/>
    <w:sig w:usb0="E00002FF" w:usb1="6AC7FDFB" w:usb2="00000012" w:usb3="00000000" w:csb0="0002009F" w:csb1="00000000"/>
  </w:font>
  <w:font w:name="CG Times">
    <w:altName w:val="Times New Roman"/>
    <w:charset w:val="00"/>
    <w:family w:val="roman"/>
    <w:pitch w:val="variable"/>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1"/>
    <w:family w:val="roman"/>
    <w:notTrueType/>
    <w:pitch w:val="variable"/>
  </w:font>
  <w:font w:name="PalatinoLinotype-Roman">
    <w:panose1 w:val="00000000000000000000"/>
    <w:charset w:val="00"/>
    <w:family w:val="auto"/>
    <w:notTrueType/>
    <w:pitch w:val="default"/>
    <w:sig w:usb0="00000003" w:usb1="00000000" w:usb2="00000000" w:usb3="00000000" w:csb0="00000001" w:csb1="00000000"/>
  </w:font>
  <w:font w:name="HiddenHorzOCR">
    <w:altName w:val="Arial Unicode MS"/>
    <w:panose1 w:val="00000000000000000000"/>
    <w:charset w:val="80"/>
    <w:family w:val="auto"/>
    <w:notTrueType/>
    <w:pitch w:val="default"/>
    <w:sig w:usb0="00000001" w:usb1="08070000" w:usb2="00000010" w:usb3="00000000" w:csb0="00020000" w:csb1="00000000"/>
  </w:font>
  <w:font w:name="Verdana-Italic">
    <w:altName w:val="Verdana Italic"/>
    <w:panose1 w:val="00000000000000000000"/>
    <w:charset w:val="4D"/>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925" w:rsidRDefault="00AD4925" w:rsidP="00804D25">
      <w:r>
        <w:separator/>
      </w:r>
    </w:p>
  </w:footnote>
  <w:footnote w:type="continuationSeparator" w:id="0">
    <w:p w:rsidR="00AD4925" w:rsidRDefault="00AD4925" w:rsidP="00804D25">
      <w:r>
        <w:continuationSeparator/>
      </w:r>
    </w:p>
  </w:footnote>
  <w:footnote w:id="1">
    <w:p w:rsidR="00E65148" w:rsidRPr="00FA11AC" w:rsidRDefault="00E65148" w:rsidP="00804D25">
      <w:pPr>
        <w:pStyle w:val="FootnoteText"/>
        <w:rPr>
          <w:szCs w:val="16"/>
        </w:rPr>
      </w:pPr>
      <w:r w:rsidRPr="00D615AB">
        <w:rPr>
          <w:rFonts w:cs="Microsoft Sans Serif"/>
          <w:spacing w:val="-4"/>
          <w:szCs w:val="16"/>
          <w:vertAlign w:val="superscript"/>
          <w:lang w:val="es-PR"/>
        </w:rPr>
        <w:t>*</w:t>
      </w:r>
      <w:r>
        <w:rPr>
          <w:rFonts w:cs="Microsoft Sans Serif"/>
          <w:spacing w:val="-4"/>
          <w:szCs w:val="16"/>
          <w:vertAlign w:val="superscript"/>
          <w:lang w:val="es-PR"/>
        </w:rPr>
        <w:t xml:space="preserve"> </w:t>
      </w:r>
      <w:r>
        <w:rPr>
          <w:rFonts w:cs="Microsoft Sans Serif"/>
          <w:spacing w:val="-4"/>
          <w:szCs w:val="16"/>
          <w:vertAlign w:val="superscript"/>
          <w:lang w:val="es-PR"/>
        </w:rPr>
        <w:tab/>
      </w:r>
      <w:r>
        <w:rPr>
          <w:rFonts w:cs="Microsoft Sans Serif"/>
          <w:spacing w:val="-4"/>
          <w:szCs w:val="16"/>
          <w:lang w:val="es-PR"/>
        </w:rPr>
        <w:t>E</w:t>
      </w:r>
      <w:r w:rsidRPr="00A34F42">
        <w:rPr>
          <w:rFonts w:cs="Microsoft Sans Serif"/>
          <w:spacing w:val="-4"/>
          <w:szCs w:val="16"/>
          <w:lang w:val="es-PR"/>
        </w:rPr>
        <w:t>l Juez Diego García-</w:t>
      </w:r>
      <w:r>
        <w:rPr>
          <w:rFonts w:cs="Microsoft Sans Serif"/>
          <w:spacing w:val="-4"/>
          <w:szCs w:val="16"/>
          <w:lang w:val="es-PR"/>
        </w:rPr>
        <w:t>Sayán, de nacionalidad peruana,</w:t>
      </w:r>
      <w:r w:rsidRPr="005C7A50">
        <w:t xml:space="preserve"> no participó en el conocimiento y deliberación del presente caso, de conformidad con lo dispuesto en el artículo 19.1 del Reglamento de la Corte</w:t>
      </w:r>
      <w:r>
        <w:rPr>
          <w:rFonts w:cs="Microsoft Sans Serif"/>
          <w:spacing w:val="-4"/>
          <w:szCs w:val="16"/>
          <w:lang w:val="es-PR"/>
        </w:rPr>
        <w:t>.</w:t>
      </w:r>
      <w:r w:rsidRPr="00FA11AC">
        <w:rPr>
          <w:szCs w:val="16"/>
        </w:rPr>
        <w:t xml:space="preserve"> </w:t>
      </w:r>
    </w:p>
  </w:footnote>
  <w:footnote w:id="2">
    <w:p w:rsidR="00E65148" w:rsidRPr="0023362E" w:rsidRDefault="00E65148" w:rsidP="00F267EA">
      <w:pPr>
        <w:pStyle w:val="FootnoteText"/>
        <w:rPr>
          <w:szCs w:val="16"/>
          <w:lang w:val="es-CR"/>
        </w:rPr>
      </w:pPr>
      <w:r w:rsidRPr="00EB2C73">
        <w:rPr>
          <w:rStyle w:val="FootnoteReference"/>
        </w:rPr>
        <w:footnoteRef/>
      </w:r>
      <w:r w:rsidRPr="00EB2C73">
        <w:t xml:space="preserve"> </w:t>
      </w:r>
      <w:r>
        <w:tab/>
      </w:r>
      <w:r w:rsidRPr="0023362E">
        <w:rPr>
          <w:szCs w:val="16"/>
          <w:lang w:val="es-CR"/>
        </w:rPr>
        <w:t xml:space="preserve">En el Informe de Fondo No. 57/12 se señaló que “[la] Comisión […] recibió una denuncia de fecha 3 de enero de 1995” </w:t>
      </w:r>
      <w:r>
        <w:rPr>
          <w:szCs w:val="16"/>
          <w:lang w:val="es-CR"/>
        </w:rPr>
        <w:t>(e</w:t>
      </w:r>
      <w:r w:rsidRPr="0023362E">
        <w:rPr>
          <w:szCs w:val="16"/>
          <w:lang w:val="es-CR"/>
        </w:rPr>
        <w:t xml:space="preserve">xpediente de </w:t>
      </w:r>
      <w:r>
        <w:rPr>
          <w:szCs w:val="16"/>
          <w:lang w:val="es-CR"/>
        </w:rPr>
        <w:t>f</w:t>
      </w:r>
      <w:r w:rsidRPr="0023362E">
        <w:rPr>
          <w:szCs w:val="16"/>
          <w:lang w:val="es-CR"/>
        </w:rPr>
        <w:t>ondo</w:t>
      </w:r>
      <w:r>
        <w:rPr>
          <w:szCs w:val="16"/>
          <w:lang w:val="es-CR"/>
        </w:rPr>
        <w:t>,</w:t>
      </w:r>
      <w:r w:rsidRPr="0023362E">
        <w:rPr>
          <w:szCs w:val="16"/>
          <w:lang w:val="es-CR"/>
        </w:rPr>
        <w:t xml:space="preserve"> folio 8). No obstante, en el</w:t>
      </w:r>
      <w:r w:rsidRPr="0023362E">
        <w:rPr>
          <w:b/>
          <w:szCs w:val="16"/>
          <w:lang w:val="es-CR"/>
        </w:rPr>
        <w:t xml:space="preserve"> </w:t>
      </w:r>
      <w:r w:rsidRPr="0023362E">
        <w:rPr>
          <w:szCs w:val="16"/>
          <w:lang w:val="es-CR"/>
        </w:rPr>
        <w:t>Informe de Admisibilidad No. 14/04 se indicó como fecha de la petición el 3 de enero de 1996.</w:t>
      </w:r>
      <w:r w:rsidRPr="0023362E">
        <w:rPr>
          <w:szCs w:val="16"/>
          <w:lang w:val="es-ES"/>
        </w:rPr>
        <w:t xml:space="preserve"> La Comisión explicó en la audiencia pública como en sus aclaraciones presentadas el 20 de febrero de 2015 que el 3 de enero de 1996 fue la fecha efectiva en la que recibió el primer documento por el que el señor Galindo había pretendido presentar su caso, consideró ese día como aquél en que fue presentada la petición inicial. De conformidad a lo aclarado por la Comisión, la Corte entiende que la petición inicial fue p</w:t>
      </w:r>
      <w:r>
        <w:rPr>
          <w:szCs w:val="16"/>
          <w:lang w:val="es-ES"/>
        </w:rPr>
        <w:t>resentada el 3 de enero de 1996.</w:t>
      </w:r>
    </w:p>
  </w:footnote>
  <w:footnote w:id="3">
    <w:p w:rsidR="00E65148" w:rsidRPr="0023362E" w:rsidRDefault="00E65148" w:rsidP="00DD529E">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23362E">
        <w:rPr>
          <w:szCs w:val="16"/>
          <w:lang w:val="es-CR"/>
        </w:rPr>
        <w:t xml:space="preserve">El 1 de abril de 2004 se allega comunicación a la Comisión, en la cual informó que el abogado Richard M. Rocha representará al señor Galindo, ya que en un principio era </w:t>
      </w:r>
      <w:r>
        <w:rPr>
          <w:szCs w:val="16"/>
          <w:lang w:val="es-CR"/>
        </w:rPr>
        <w:t>e</w:t>
      </w:r>
      <w:r w:rsidRPr="0023362E">
        <w:rPr>
          <w:szCs w:val="16"/>
          <w:lang w:val="es-CR"/>
        </w:rPr>
        <w:t xml:space="preserve">l mismo señor Galindo quien asumió su defensa técnica. </w:t>
      </w:r>
    </w:p>
  </w:footnote>
  <w:footnote w:id="4">
    <w:p w:rsidR="00E65148" w:rsidRPr="0023362E" w:rsidRDefault="00E65148" w:rsidP="00F267EA">
      <w:pPr>
        <w:pStyle w:val="FootnoteText"/>
        <w:rPr>
          <w:szCs w:val="16"/>
        </w:rPr>
      </w:pPr>
      <w:r w:rsidRPr="0023362E">
        <w:rPr>
          <w:rStyle w:val="FootnoteReference"/>
          <w:szCs w:val="16"/>
        </w:rPr>
        <w:footnoteRef/>
      </w:r>
      <w:r w:rsidRPr="0023362E">
        <w:rPr>
          <w:szCs w:val="16"/>
        </w:rPr>
        <w:t xml:space="preserve"> </w:t>
      </w:r>
      <w:r w:rsidRPr="0023362E">
        <w:rPr>
          <w:szCs w:val="16"/>
        </w:rPr>
        <w:tab/>
        <w:t>La Comisión declaró admisible la petición presentada por Luis Antonio Galindo Cárdenas respecto de los artículos 5, 7, 9, 8 y 25 de la Convención Americana, en relación con los artí</w:t>
      </w:r>
      <w:r>
        <w:rPr>
          <w:szCs w:val="16"/>
        </w:rPr>
        <w:t>culos 1.1 y 2 de la Convención.</w:t>
      </w:r>
    </w:p>
    <w:p w:rsidR="00E65148" w:rsidRPr="0023362E" w:rsidRDefault="00E65148" w:rsidP="00F267EA">
      <w:pPr>
        <w:pStyle w:val="FootnoteText"/>
        <w:rPr>
          <w:i/>
          <w:szCs w:val="16"/>
        </w:rPr>
      </w:pPr>
    </w:p>
  </w:footnote>
  <w:footnote w:id="5">
    <w:p w:rsidR="00E65148" w:rsidRPr="0023362E" w:rsidRDefault="00E65148" w:rsidP="00804D25">
      <w:pPr>
        <w:pStyle w:val="FootnoteText"/>
        <w:rPr>
          <w:szCs w:val="16"/>
        </w:rPr>
      </w:pPr>
      <w:r w:rsidRPr="0023362E">
        <w:rPr>
          <w:rStyle w:val="FootnoteReference"/>
          <w:szCs w:val="16"/>
        </w:rPr>
        <w:footnoteRef/>
      </w:r>
      <w:r w:rsidRPr="0023362E">
        <w:rPr>
          <w:i/>
          <w:szCs w:val="16"/>
          <w:lang w:val="es-CR"/>
        </w:rPr>
        <w:t xml:space="preserve"> </w:t>
      </w:r>
      <w:r w:rsidRPr="0023362E">
        <w:rPr>
          <w:i/>
          <w:szCs w:val="16"/>
          <w:lang w:val="es-CR"/>
        </w:rPr>
        <w:tab/>
        <w:t xml:space="preserve">Cfr. </w:t>
      </w:r>
      <w:r w:rsidRPr="0023362E">
        <w:rPr>
          <w:rFonts w:cs="Verdana"/>
          <w:i/>
          <w:szCs w:val="16"/>
          <w:lang w:val="es-CR"/>
        </w:rPr>
        <w:t xml:space="preserve">Resolución del Presidente de la Corte </w:t>
      </w:r>
      <w:r w:rsidRPr="0023362E">
        <w:rPr>
          <w:rFonts w:cs="Verdana"/>
          <w:szCs w:val="16"/>
          <w:lang w:val="es-CR"/>
        </w:rPr>
        <w:t xml:space="preserve">de 28 de noviembre de 2014. </w:t>
      </w:r>
      <w:r w:rsidRPr="0023362E">
        <w:rPr>
          <w:szCs w:val="16"/>
        </w:rPr>
        <w:t>Disponible en: http://www.corteidh.or.cr/docs/asuntos/galindo_28_11_14.pdf</w:t>
      </w:r>
    </w:p>
  </w:footnote>
  <w:footnote w:id="6">
    <w:p w:rsidR="00E65148" w:rsidRPr="0023362E" w:rsidRDefault="00E65148" w:rsidP="00804D25">
      <w:pPr>
        <w:rPr>
          <w:sz w:val="16"/>
          <w:szCs w:val="16"/>
        </w:rPr>
      </w:pPr>
      <w:r w:rsidRPr="0023362E">
        <w:rPr>
          <w:rStyle w:val="FootnoteReference"/>
          <w:rFonts w:eastAsia="MS Mincho"/>
          <w:sz w:val="16"/>
          <w:szCs w:val="16"/>
        </w:rPr>
        <w:footnoteRef/>
      </w:r>
      <w:r w:rsidRPr="0023362E">
        <w:rPr>
          <w:sz w:val="16"/>
          <w:szCs w:val="16"/>
        </w:rPr>
        <w:t xml:space="preserve"> </w:t>
      </w:r>
      <w:r w:rsidRPr="0023362E">
        <w:rPr>
          <w:sz w:val="16"/>
          <w:szCs w:val="16"/>
        </w:rPr>
        <w:tab/>
        <w:t>A esta audiencia comparecieron: a) por la Comisión Interamericana:</w:t>
      </w:r>
      <w:r w:rsidRPr="0023362E">
        <w:rPr>
          <w:sz w:val="16"/>
          <w:szCs w:val="16"/>
          <w:lang w:val="es-CO"/>
        </w:rPr>
        <w:t xml:space="preserve"> Silvia Serrano Guzmán y Jorge Humberto Meza Flores, asesores; b) por la representación de las presuntas víctimas</w:t>
      </w:r>
      <w:r w:rsidRPr="0023362E">
        <w:rPr>
          <w:sz w:val="16"/>
          <w:szCs w:val="16"/>
        </w:rPr>
        <w:t>: Richard M</w:t>
      </w:r>
      <w:r w:rsidRPr="0023362E">
        <w:rPr>
          <w:sz w:val="16"/>
          <w:szCs w:val="16"/>
          <w:lang w:val="es-CO"/>
        </w:rPr>
        <w:t xml:space="preserve">. Rocha y </w:t>
      </w:r>
      <w:proofErr w:type="spellStart"/>
      <w:r w:rsidRPr="0023362E">
        <w:rPr>
          <w:sz w:val="16"/>
          <w:szCs w:val="16"/>
          <w:lang w:val="es-CO"/>
        </w:rPr>
        <w:t>Erlin</w:t>
      </w:r>
      <w:proofErr w:type="spellEnd"/>
      <w:r w:rsidRPr="0023362E">
        <w:rPr>
          <w:sz w:val="16"/>
          <w:szCs w:val="16"/>
          <w:lang w:val="es-CO"/>
        </w:rPr>
        <w:t xml:space="preserve"> </w:t>
      </w:r>
      <w:proofErr w:type="spellStart"/>
      <w:r w:rsidRPr="0023362E">
        <w:rPr>
          <w:sz w:val="16"/>
          <w:szCs w:val="16"/>
          <w:lang w:val="es-CO"/>
        </w:rPr>
        <w:t>Monrouzeau</w:t>
      </w:r>
      <w:proofErr w:type="spellEnd"/>
      <w:r w:rsidRPr="0023362E">
        <w:rPr>
          <w:sz w:val="16"/>
          <w:szCs w:val="16"/>
          <w:lang w:val="es-CO"/>
        </w:rPr>
        <w:t xml:space="preserve">, representantes. </w:t>
      </w:r>
      <w:r w:rsidRPr="0023362E">
        <w:rPr>
          <w:sz w:val="16"/>
          <w:szCs w:val="16"/>
        </w:rPr>
        <w:t xml:space="preserve"> La presunta víctima después de su declaración se incorporó como parte de la delegación, </w:t>
      </w:r>
      <w:r w:rsidRPr="0023362E">
        <w:rPr>
          <w:sz w:val="16"/>
          <w:szCs w:val="16"/>
          <w:lang w:val="es-CO"/>
        </w:rPr>
        <w:t xml:space="preserve">y c) por el </w:t>
      </w:r>
      <w:r w:rsidRPr="0023362E">
        <w:rPr>
          <w:sz w:val="16"/>
          <w:szCs w:val="16"/>
        </w:rPr>
        <w:t>Estado: Luis Alberto Huerta Guerrero, Procurador Público Especializado Supranacional, Agente, e Iván Arturo Bazán Chacón y Carlos Miguel Reaño Balarezo, Abogados de la Procuraduría Pública Especializada Supranacional, Agentes al</w:t>
      </w:r>
      <w:r>
        <w:rPr>
          <w:sz w:val="16"/>
          <w:szCs w:val="16"/>
        </w:rPr>
        <w:t xml:space="preserve">ternos. </w:t>
      </w:r>
    </w:p>
  </w:footnote>
  <w:footnote w:id="7">
    <w:p w:rsidR="00E65148" w:rsidRPr="0023362E" w:rsidRDefault="00E65148" w:rsidP="00804D25">
      <w:pPr>
        <w:pStyle w:val="FootnoteText"/>
        <w:rPr>
          <w:szCs w:val="16"/>
        </w:rPr>
      </w:pPr>
      <w:r w:rsidRPr="0023362E">
        <w:rPr>
          <w:rStyle w:val="FootnoteReference"/>
          <w:szCs w:val="16"/>
        </w:rPr>
        <w:footnoteRef/>
      </w:r>
      <w:r w:rsidRPr="0023362E">
        <w:rPr>
          <w:szCs w:val="16"/>
        </w:rPr>
        <w:t xml:space="preserve"> </w:t>
      </w:r>
      <w:r w:rsidRPr="0023362E">
        <w:rPr>
          <w:szCs w:val="16"/>
        </w:rPr>
        <w:tab/>
        <w:t>A saber: por el representante, los documentos denominados “Constancia de Notifi</w:t>
      </w:r>
      <w:r>
        <w:rPr>
          <w:szCs w:val="16"/>
        </w:rPr>
        <w:t>cación” de 8 de junio de 2013 (expediente de f</w:t>
      </w:r>
      <w:r w:rsidRPr="0023362E">
        <w:rPr>
          <w:szCs w:val="16"/>
        </w:rPr>
        <w:t>ondo</w:t>
      </w:r>
      <w:r>
        <w:rPr>
          <w:szCs w:val="16"/>
        </w:rPr>
        <w:t>,</w:t>
      </w:r>
      <w:r w:rsidRPr="0023362E">
        <w:rPr>
          <w:szCs w:val="16"/>
        </w:rPr>
        <w:t xml:space="preserve"> folio 512) y “Acta de Reun</w:t>
      </w:r>
      <w:r>
        <w:rPr>
          <w:szCs w:val="16"/>
        </w:rPr>
        <w:t>ión” de 19 de febrero de 2014 (expediente de f</w:t>
      </w:r>
      <w:r w:rsidRPr="0023362E">
        <w:rPr>
          <w:szCs w:val="16"/>
        </w:rPr>
        <w:t>ondo</w:t>
      </w:r>
      <w:r>
        <w:rPr>
          <w:szCs w:val="16"/>
        </w:rPr>
        <w:t>,</w:t>
      </w:r>
      <w:r w:rsidRPr="0023362E">
        <w:rPr>
          <w:szCs w:val="16"/>
        </w:rPr>
        <w:t xml:space="preserve"> folio 513) y por la presunta víctima el documento denominado “Informe de Verifica</w:t>
      </w:r>
      <w:r>
        <w:rPr>
          <w:szCs w:val="16"/>
        </w:rPr>
        <w:t>ción Nro. 24 –DECOTE-PNP-HCO” (expediente de p</w:t>
      </w:r>
      <w:r w:rsidRPr="0023362E">
        <w:rPr>
          <w:szCs w:val="16"/>
        </w:rPr>
        <w:t>rueba</w:t>
      </w:r>
      <w:r>
        <w:rPr>
          <w:szCs w:val="16"/>
        </w:rPr>
        <w:t>,</w:t>
      </w:r>
      <w:r w:rsidRPr="0023362E">
        <w:rPr>
          <w:szCs w:val="16"/>
        </w:rPr>
        <w:t xml:space="preserve"> folio 988).</w:t>
      </w:r>
      <w:r w:rsidRPr="0023362E">
        <w:rPr>
          <w:b/>
          <w:szCs w:val="16"/>
        </w:rPr>
        <w:t xml:space="preserve"> </w:t>
      </w:r>
      <w:r>
        <w:rPr>
          <w:szCs w:val="16"/>
        </w:rPr>
        <w:t>Además, e</w:t>
      </w:r>
      <w:r w:rsidRPr="0023362E">
        <w:rPr>
          <w:szCs w:val="16"/>
        </w:rPr>
        <w:t xml:space="preserve">l perito acompañó un documento de apoyo a su declaración. </w:t>
      </w:r>
    </w:p>
  </w:footnote>
  <w:footnote w:id="8">
    <w:p w:rsidR="00E65148" w:rsidRPr="0023362E" w:rsidRDefault="00E65148" w:rsidP="00804D25">
      <w:pPr>
        <w:pStyle w:val="FootnoteText"/>
        <w:rPr>
          <w:szCs w:val="16"/>
        </w:rPr>
      </w:pPr>
      <w:r w:rsidRPr="0023362E">
        <w:rPr>
          <w:rStyle w:val="FootnoteReference"/>
          <w:szCs w:val="16"/>
        </w:rPr>
        <w:footnoteRef/>
      </w:r>
      <w:r w:rsidRPr="0023362E">
        <w:rPr>
          <w:szCs w:val="16"/>
        </w:rPr>
        <w:t xml:space="preserve"> </w:t>
      </w:r>
      <w:r w:rsidRPr="0023362E">
        <w:rPr>
          <w:szCs w:val="16"/>
        </w:rPr>
        <w:tab/>
        <w:t>A saber: el 9 de enero de 2015 el affidávit de la testigo María Luisa Galindo Cárdenas</w:t>
      </w:r>
      <w:r>
        <w:rPr>
          <w:szCs w:val="16"/>
        </w:rPr>
        <w:t xml:space="preserve"> (expediente de f</w:t>
      </w:r>
      <w:r w:rsidRPr="0023362E">
        <w:rPr>
          <w:szCs w:val="16"/>
        </w:rPr>
        <w:t>ondo</w:t>
      </w:r>
      <w:r>
        <w:rPr>
          <w:szCs w:val="16"/>
        </w:rPr>
        <w:t>,</w:t>
      </w:r>
      <w:r w:rsidRPr="0023362E">
        <w:rPr>
          <w:szCs w:val="16"/>
        </w:rPr>
        <w:t xml:space="preserve"> folio 740), propuesta por el representante, y el</w:t>
      </w:r>
      <w:r w:rsidRPr="0023362E">
        <w:rPr>
          <w:b/>
          <w:szCs w:val="16"/>
        </w:rPr>
        <w:t xml:space="preserve"> </w:t>
      </w:r>
      <w:r w:rsidRPr="0023362E">
        <w:rPr>
          <w:szCs w:val="16"/>
        </w:rPr>
        <w:t>20 de enero de 2015 el affidávit del perito Federico Andreu-Guzmán</w:t>
      </w:r>
      <w:r>
        <w:rPr>
          <w:szCs w:val="16"/>
        </w:rPr>
        <w:t xml:space="preserve"> (expediente de f</w:t>
      </w:r>
      <w:r w:rsidRPr="0023362E">
        <w:rPr>
          <w:szCs w:val="16"/>
        </w:rPr>
        <w:t>ondo</w:t>
      </w:r>
      <w:r>
        <w:rPr>
          <w:szCs w:val="16"/>
        </w:rPr>
        <w:t>,</w:t>
      </w:r>
      <w:r w:rsidRPr="0023362E">
        <w:rPr>
          <w:szCs w:val="16"/>
        </w:rPr>
        <w:t xml:space="preserve"> folio 789). </w:t>
      </w:r>
      <w:r w:rsidRPr="0023362E">
        <w:rPr>
          <w:b/>
          <w:szCs w:val="16"/>
        </w:rPr>
        <w:t xml:space="preserve"> </w:t>
      </w:r>
    </w:p>
  </w:footnote>
  <w:footnote w:id="9">
    <w:p w:rsidR="00E65148" w:rsidRPr="0023362E" w:rsidRDefault="00E65148" w:rsidP="00FA45FB">
      <w:pPr>
        <w:pStyle w:val="FootnoteText"/>
        <w:rPr>
          <w:szCs w:val="16"/>
        </w:rPr>
      </w:pPr>
      <w:r w:rsidRPr="0023362E">
        <w:rPr>
          <w:rStyle w:val="FootnoteReference"/>
          <w:szCs w:val="16"/>
        </w:rPr>
        <w:footnoteRef/>
      </w:r>
      <w:r w:rsidRPr="0023362E">
        <w:rPr>
          <w:szCs w:val="16"/>
        </w:rPr>
        <w:t xml:space="preserve"> </w:t>
      </w:r>
      <w:r w:rsidRPr="0023362E">
        <w:rPr>
          <w:szCs w:val="16"/>
        </w:rPr>
        <w:tab/>
        <w:t>El Estado en sus alegatos finales escritos señaló que después de enero de 1995, en las fechas que se mencionan seguidamente, el señor Galindo se dirigió a las autoridades: 7 de marzo de 1995 al Inspector General del Ministerio de Defensa; 13 de marzo de 1995 al Ministerio del Interior, y 27 de febrero de 1995 al Ministro de Defensa</w:t>
      </w:r>
      <w:r w:rsidRPr="0023362E">
        <w:rPr>
          <w:szCs w:val="16"/>
          <w:lang w:val="es-MX" w:eastAsia="es-MX"/>
        </w:rPr>
        <w:t>.</w:t>
      </w:r>
    </w:p>
  </w:footnote>
  <w:footnote w:id="10">
    <w:p w:rsidR="00E65148" w:rsidRPr="0023362E" w:rsidRDefault="00E65148" w:rsidP="00FA45FB">
      <w:pPr>
        <w:pStyle w:val="FootnoteText"/>
        <w:rPr>
          <w:szCs w:val="16"/>
        </w:rPr>
      </w:pPr>
      <w:r w:rsidRPr="0023362E">
        <w:rPr>
          <w:rStyle w:val="FootnoteReference"/>
          <w:szCs w:val="16"/>
        </w:rPr>
        <w:footnoteRef/>
      </w:r>
      <w:r w:rsidRPr="0023362E">
        <w:rPr>
          <w:szCs w:val="16"/>
        </w:rPr>
        <w:t xml:space="preserve"> </w:t>
      </w:r>
      <w:r w:rsidRPr="0023362E">
        <w:rPr>
          <w:szCs w:val="16"/>
        </w:rPr>
        <w:tab/>
        <w:t>Indicó que “este criterio ha sido aplicado durante décadas [e] inclusive ha sido la base de la admisibilidad de casos que ya han sido conocidos por la Corte, además la Comisión ha explicado razones de carácter sustantivo para que esta práctica sea así y que resultan justamente de que las peticiones sufren importantes modificaciones desde que son presentadas hasta que la Comisión tiene oportunidad de pronunciarse [en] el [I]</w:t>
      </w:r>
      <w:proofErr w:type="spellStart"/>
      <w:r w:rsidRPr="0023362E">
        <w:rPr>
          <w:szCs w:val="16"/>
        </w:rPr>
        <w:t>nforme</w:t>
      </w:r>
      <w:proofErr w:type="spellEnd"/>
      <w:r w:rsidRPr="0023362E">
        <w:rPr>
          <w:szCs w:val="16"/>
        </w:rPr>
        <w:t xml:space="preserve"> de [A]</w:t>
      </w:r>
      <w:proofErr w:type="spellStart"/>
      <w:r w:rsidRPr="0023362E">
        <w:rPr>
          <w:szCs w:val="16"/>
        </w:rPr>
        <w:t>dmisibilidad</w:t>
      </w:r>
      <w:proofErr w:type="spellEnd"/>
      <w:r w:rsidRPr="0023362E">
        <w:rPr>
          <w:szCs w:val="16"/>
        </w:rPr>
        <w:t xml:space="preserve">”. </w:t>
      </w:r>
    </w:p>
  </w:footnote>
  <w:footnote w:id="11">
    <w:p w:rsidR="00E65148" w:rsidRPr="0023362E" w:rsidRDefault="00E65148" w:rsidP="00FA45FB">
      <w:pPr>
        <w:pStyle w:val="FootnoteText"/>
        <w:rPr>
          <w:szCs w:val="16"/>
        </w:rPr>
      </w:pPr>
      <w:r w:rsidRPr="0023362E">
        <w:rPr>
          <w:szCs w:val="16"/>
          <w:vertAlign w:val="superscript"/>
          <w:lang w:val="es-MX"/>
        </w:rPr>
        <w:footnoteRef/>
      </w:r>
      <w:r w:rsidRPr="0023362E">
        <w:rPr>
          <w:szCs w:val="16"/>
          <w:vertAlign w:val="superscript"/>
          <w:lang w:val="es-MX"/>
        </w:rPr>
        <w:t xml:space="preserve"> </w:t>
      </w:r>
      <w:r w:rsidRPr="0023362E">
        <w:rPr>
          <w:szCs w:val="16"/>
          <w:lang w:val="es-MX"/>
        </w:rPr>
        <w:tab/>
        <w:t xml:space="preserve">La Comisión destacó que “[l]a presentación de […] información sobre la efectividad </w:t>
      </w:r>
      <w:proofErr w:type="gramStart"/>
      <w:r w:rsidRPr="0023362E">
        <w:rPr>
          <w:szCs w:val="16"/>
          <w:lang w:val="es-MX"/>
        </w:rPr>
        <w:t>de[</w:t>
      </w:r>
      <w:proofErr w:type="gramEnd"/>
      <w:r w:rsidRPr="0023362E">
        <w:rPr>
          <w:szCs w:val="16"/>
          <w:lang w:val="es-MX"/>
        </w:rPr>
        <w:t>l…] hábeas corpus en esta etapa [del procedimiento, ante la Corte,] sería totalmente extemporánea. En relación con el recurso de amparo, la Comisión observó que “el Estado no ha logrado controvertir que el señor Galindo no fue notificado de la Resolución que otorgó la exención de la pena, y […] mal podría exigírsele a él el agotamiento de un amparo contra una decisión que ni siquiera conocía</w:t>
      </w:r>
      <w:r w:rsidRPr="0023362E">
        <w:rPr>
          <w:szCs w:val="16"/>
        </w:rPr>
        <w:t xml:space="preserve">”. </w:t>
      </w:r>
    </w:p>
  </w:footnote>
  <w:footnote w:id="12">
    <w:p w:rsidR="00E65148" w:rsidRPr="0023362E" w:rsidRDefault="00E65148" w:rsidP="00FA45FB">
      <w:pPr>
        <w:pStyle w:val="FootnoteText"/>
        <w:rPr>
          <w:szCs w:val="16"/>
        </w:rPr>
      </w:pPr>
      <w:r w:rsidRPr="0023362E">
        <w:rPr>
          <w:rStyle w:val="FootnoteReference"/>
          <w:szCs w:val="16"/>
        </w:rPr>
        <w:footnoteRef/>
      </w:r>
      <w:r w:rsidRPr="0023362E">
        <w:rPr>
          <w:szCs w:val="16"/>
        </w:rPr>
        <w:t xml:space="preserve"> </w:t>
      </w:r>
      <w:r>
        <w:rPr>
          <w:szCs w:val="16"/>
        </w:rPr>
        <w:tab/>
      </w:r>
      <w:r w:rsidRPr="0023362E">
        <w:rPr>
          <w:szCs w:val="16"/>
          <w:lang w:val="es-MX"/>
        </w:rPr>
        <w:t>Al respecto, Perú recordó que en el Informe de Admisibilidad “la Comisión determinó que la petición del 3 de enero de 1996 fue presentada dentro un plazo razonable” sobre la premisa de que “‘la no existencia en la legislación interna del debido proceso legal […] resulta en la inaplicabilidad de los requisitos de agotamiento y de presentación dentro del plazo de seis meses a partir de la fecha de la decisión definitiva’”.</w:t>
      </w:r>
    </w:p>
  </w:footnote>
  <w:footnote w:id="13">
    <w:p w:rsidR="00E65148" w:rsidRPr="0023362E" w:rsidRDefault="00E65148" w:rsidP="00FA45FB">
      <w:pPr>
        <w:pStyle w:val="FootnoteText"/>
        <w:rPr>
          <w:szCs w:val="16"/>
        </w:rPr>
      </w:pPr>
      <w:r w:rsidRPr="0023362E">
        <w:rPr>
          <w:rStyle w:val="FootnoteReference"/>
          <w:szCs w:val="16"/>
        </w:rPr>
        <w:footnoteRef/>
      </w:r>
      <w:r w:rsidRPr="0023362E">
        <w:rPr>
          <w:szCs w:val="16"/>
        </w:rPr>
        <w:t xml:space="preserve"> </w:t>
      </w:r>
      <w:r>
        <w:rPr>
          <w:szCs w:val="16"/>
        </w:rPr>
        <w:tab/>
      </w:r>
      <w:r w:rsidRPr="0023362E">
        <w:rPr>
          <w:szCs w:val="16"/>
          <w:lang w:val="es-MX"/>
        </w:rPr>
        <w:t xml:space="preserve">El artículo 46 del tratado, en lo pertinente, indica: “1. Para que una petición o comunicación […] sea admitida por la Comisión, se requerirá: a) que se hayan interpuesto y agotado los recursos de jurisdicción interna, conforme a los principios del Derecho Internacional generalmente reconocido; b) que sea presentada dentro del plazo de seis meses, a partir de la fecha en que el presunto lesionado en sus derechos haya sido notificado de la decisión </w:t>
      </w:r>
      <w:proofErr w:type="gramStart"/>
      <w:r w:rsidRPr="0023362E">
        <w:rPr>
          <w:szCs w:val="16"/>
          <w:lang w:val="es-MX"/>
        </w:rPr>
        <w:t>definitiva[.</w:t>
      </w:r>
      <w:proofErr w:type="gramEnd"/>
      <w:r w:rsidRPr="0023362E">
        <w:rPr>
          <w:szCs w:val="16"/>
          <w:lang w:val="es-MX"/>
        </w:rPr>
        <w:t xml:space="preserve"> …] 2. Las disposiciones de los incisos 1.a y 1.b […] no se aplicarán cuando: a) no exista en la legislación interna del Estado de que se trata el debido proceso legal para la protección del derecho o derechos que se alega han sido violados; b) no se haya permitido al presunto lesionado en sus derechos el acceso a los recursos de la jurisdicción interna, o haya sido impedido de agotarlos, y c) haya retardo injustificado en la decisión sobre los mencionados recursos”.</w:t>
      </w:r>
    </w:p>
  </w:footnote>
  <w:footnote w:id="14">
    <w:p w:rsidR="00E65148" w:rsidRPr="000905B6" w:rsidRDefault="00E65148">
      <w:pPr>
        <w:pStyle w:val="FootnoteText"/>
      </w:pPr>
      <w:r>
        <w:rPr>
          <w:rStyle w:val="FootnoteReference"/>
        </w:rPr>
        <w:footnoteRef/>
      </w:r>
      <w:r>
        <w:t xml:space="preserve"> </w:t>
      </w:r>
      <w:r>
        <w:tab/>
      </w:r>
      <w:r w:rsidRPr="0023362E">
        <w:rPr>
          <w:i/>
          <w:szCs w:val="16"/>
          <w:lang w:val="es-CR"/>
        </w:rPr>
        <w:t>Cfr</w:t>
      </w:r>
      <w:r w:rsidRPr="0023362E">
        <w:rPr>
          <w:szCs w:val="16"/>
          <w:lang w:val="es-CR"/>
        </w:rPr>
        <w:t xml:space="preserve">. </w:t>
      </w:r>
      <w:r w:rsidRPr="0095000D">
        <w:rPr>
          <w:i/>
          <w:szCs w:val="16"/>
          <w:lang w:val="es-CR"/>
        </w:rPr>
        <w:t>Caso</w:t>
      </w:r>
      <w:r w:rsidRPr="0023362E">
        <w:rPr>
          <w:i/>
          <w:szCs w:val="16"/>
          <w:lang w:val="es-CR"/>
        </w:rPr>
        <w:t xml:space="preserve"> Velásquez Rodríguez Vs. Honduras</w:t>
      </w:r>
      <w:r w:rsidRPr="0023362E">
        <w:rPr>
          <w:szCs w:val="16"/>
          <w:lang w:val="es-CR"/>
        </w:rPr>
        <w:t xml:space="preserve">. </w:t>
      </w:r>
      <w:r w:rsidRPr="0023362E">
        <w:rPr>
          <w:i/>
          <w:szCs w:val="16"/>
          <w:lang w:val="es-CR"/>
        </w:rPr>
        <w:t>Fondo</w:t>
      </w:r>
      <w:r w:rsidRPr="0023362E">
        <w:rPr>
          <w:szCs w:val="16"/>
          <w:lang w:val="es-CR"/>
        </w:rPr>
        <w:t xml:space="preserve">. Sentencia de 29 de julio de 1988. Serie C No. 4, párr. 61, y </w:t>
      </w:r>
      <w:r w:rsidRPr="0095000D">
        <w:rPr>
          <w:bCs/>
          <w:i/>
          <w:szCs w:val="16"/>
          <w:lang w:val="es-CR"/>
        </w:rPr>
        <w:t>Caso</w:t>
      </w:r>
      <w:r w:rsidRPr="0023362E">
        <w:rPr>
          <w:bCs/>
          <w:i/>
          <w:szCs w:val="16"/>
          <w:lang w:val="es-CR"/>
        </w:rPr>
        <w:t xml:space="preserve"> Wong Ho </w:t>
      </w:r>
      <w:proofErr w:type="spellStart"/>
      <w:r w:rsidRPr="0023362E">
        <w:rPr>
          <w:bCs/>
          <w:i/>
          <w:szCs w:val="16"/>
          <w:lang w:val="es-CR"/>
        </w:rPr>
        <w:t>Wing</w:t>
      </w:r>
      <w:proofErr w:type="spellEnd"/>
      <w:r w:rsidRPr="0023362E">
        <w:rPr>
          <w:bCs/>
          <w:i/>
          <w:szCs w:val="16"/>
          <w:lang w:val="es-CR"/>
        </w:rPr>
        <w:t xml:space="preserve"> Vs. Perú</w:t>
      </w:r>
      <w:r w:rsidRPr="0023362E">
        <w:rPr>
          <w:bCs/>
          <w:szCs w:val="16"/>
          <w:lang w:val="es-CR"/>
        </w:rPr>
        <w:t xml:space="preserve">. </w:t>
      </w:r>
      <w:r w:rsidRPr="0023362E">
        <w:rPr>
          <w:bCs/>
          <w:i/>
          <w:szCs w:val="16"/>
          <w:lang w:val="es-CR"/>
        </w:rPr>
        <w:t>Excepción Preliminar, Fondo, Reparaciones y Costas</w:t>
      </w:r>
      <w:r w:rsidRPr="0023362E">
        <w:rPr>
          <w:bCs/>
          <w:szCs w:val="16"/>
          <w:lang w:val="es-CR"/>
        </w:rPr>
        <w:t>. Sentencia de 30 de junio de 2015. Serie C No. 297, párr. 237.</w:t>
      </w:r>
    </w:p>
  </w:footnote>
  <w:footnote w:id="15">
    <w:p w:rsidR="00E65148" w:rsidRPr="000905B6" w:rsidRDefault="00E65148">
      <w:pPr>
        <w:pStyle w:val="FootnoteText"/>
      </w:pPr>
      <w:r>
        <w:rPr>
          <w:rStyle w:val="FootnoteReference"/>
        </w:rPr>
        <w:footnoteRef/>
      </w:r>
      <w:r>
        <w:t xml:space="preserve"> </w:t>
      </w:r>
      <w:r>
        <w:tab/>
      </w:r>
      <w:r w:rsidRPr="0023362E">
        <w:rPr>
          <w:i/>
          <w:szCs w:val="16"/>
          <w:lang w:val="es-CR"/>
        </w:rPr>
        <w:t>Cfr</w:t>
      </w:r>
      <w:r w:rsidRPr="0023362E">
        <w:rPr>
          <w:szCs w:val="16"/>
          <w:lang w:val="es-CR"/>
        </w:rPr>
        <w:t xml:space="preserve">. </w:t>
      </w:r>
      <w:r w:rsidRPr="0095000D">
        <w:rPr>
          <w:i/>
          <w:szCs w:val="16"/>
          <w:lang w:val="es-CR"/>
        </w:rPr>
        <w:t xml:space="preserve">Caso </w:t>
      </w:r>
      <w:r w:rsidRPr="0023362E">
        <w:rPr>
          <w:i/>
          <w:szCs w:val="16"/>
          <w:lang w:val="es-CR"/>
        </w:rPr>
        <w:t>Velásquez Rodríguez Vs. Honduras.</w:t>
      </w:r>
      <w:r w:rsidRPr="0023362E">
        <w:rPr>
          <w:szCs w:val="16"/>
          <w:lang w:val="es-CR"/>
        </w:rPr>
        <w:t xml:space="preserve"> </w:t>
      </w:r>
      <w:r w:rsidRPr="0023362E">
        <w:rPr>
          <w:i/>
          <w:szCs w:val="16"/>
          <w:lang w:val="es-CR"/>
        </w:rPr>
        <w:t>Excepciones Preliminares.</w:t>
      </w:r>
      <w:r w:rsidRPr="0023362E">
        <w:rPr>
          <w:szCs w:val="16"/>
          <w:lang w:val="es-CR"/>
        </w:rPr>
        <w:t xml:space="preserve"> Sentencia de 26</w:t>
      </w:r>
      <w:r>
        <w:rPr>
          <w:szCs w:val="16"/>
          <w:lang w:val="es-CR"/>
        </w:rPr>
        <w:t xml:space="preserve"> de junio de 1987. Serie C No. 1, </w:t>
      </w:r>
      <w:r w:rsidRPr="0023362E">
        <w:rPr>
          <w:szCs w:val="16"/>
          <w:lang w:val="es-CR"/>
        </w:rPr>
        <w:t xml:space="preserve">párr. 88, y </w:t>
      </w:r>
      <w:r w:rsidRPr="0095000D">
        <w:rPr>
          <w:bCs/>
          <w:i/>
          <w:szCs w:val="16"/>
          <w:lang w:val="es-CR"/>
        </w:rPr>
        <w:t>Caso</w:t>
      </w:r>
      <w:r w:rsidRPr="0023362E">
        <w:rPr>
          <w:bCs/>
          <w:i/>
          <w:szCs w:val="16"/>
          <w:lang w:val="es-CR"/>
        </w:rPr>
        <w:t xml:space="preserve"> Gonzales </w:t>
      </w:r>
      <w:proofErr w:type="spellStart"/>
      <w:r w:rsidRPr="0023362E">
        <w:rPr>
          <w:bCs/>
          <w:i/>
          <w:szCs w:val="16"/>
          <w:lang w:val="es-CR"/>
        </w:rPr>
        <w:t>Lluy</w:t>
      </w:r>
      <w:proofErr w:type="spellEnd"/>
      <w:r w:rsidRPr="0023362E">
        <w:rPr>
          <w:bCs/>
          <w:i/>
          <w:szCs w:val="16"/>
          <w:lang w:val="es-CR"/>
        </w:rPr>
        <w:t xml:space="preserve"> Vs. Ecuador. Excepciones Preliminares, Fondo, Reparaciones y Costas. </w:t>
      </w:r>
      <w:r>
        <w:rPr>
          <w:bCs/>
          <w:szCs w:val="16"/>
          <w:lang w:val="es-CR"/>
        </w:rPr>
        <w:t xml:space="preserve">Sentencia de </w:t>
      </w:r>
      <w:r w:rsidRPr="0023362E">
        <w:rPr>
          <w:bCs/>
          <w:szCs w:val="16"/>
          <w:lang w:val="es-CR"/>
        </w:rPr>
        <w:t>1 de septiembre de 2015. Serie C No. 298, párr. 27.</w:t>
      </w:r>
    </w:p>
  </w:footnote>
  <w:footnote w:id="16">
    <w:p w:rsidR="00E65148" w:rsidRPr="000905B6" w:rsidRDefault="00E65148">
      <w:pPr>
        <w:pStyle w:val="FootnoteText"/>
      </w:pPr>
      <w:r>
        <w:rPr>
          <w:rStyle w:val="FootnoteReference"/>
        </w:rPr>
        <w:footnoteRef/>
      </w:r>
      <w:r>
        <w:t xml:space="preserve"> </w:t>
      </w:r>
      <w:r>
        <w:tab/>
      </w:r>
      <w:r w:rsidRPr="0023362E">
        <w:rPr>
          <w:rFonts w:cs="Verdana"/>
          <w:i/>
          <w:szCs w:val="16"/>
          <w:lang w:val="es-CR"/>
        </w:rPr>
        <w:t xml:space="preserve">Cfr. </w:t>
      </w:r>
      <w:r w:rsidRPr="0095000D">
        <w:rPr>
          <w:rFonts w:cs="Verdana"/>
          <w:i/>
          <w:szCs w:val="16"/>
          <w:lang w:val="es-CR"/>
        </w:rPr>
        <w:t>Caso</w:t>
      </w:r>
      <w:r w:rsidRPr="00364F39">
        <w:rPr>
          <w:rFonts w:cs="Verdana"/>
          <w:i/>
          <w:szCs w:val="16"/>
          <w:lang w:val="es-CR"/>
        </w:rPr>
        <w:t xml:space="preserve"> </w:t>
      </w:r>
      <w:r w:rsidRPr="0023362E">
        <w:rPr>
          <w:rFonts w:cs="Verdana"/>
          <w:i/>
          <w:szCs w:val="16"/>
          <w:lang w:val="es-CR"/>
        </w:rPr>
        <w:t xml:space="preserve">Velásquez Rodríguez Vs. Honduras. </w:t>
      </w:r>
      <w:r w:rsidRPr="0023362E">
        <w:rPr>
          <w:rFonts w:cs="Verdana"/>
          <w:bCs/>
          <w:i/>
          <w:szCs w:val="16"/>
          <w:lang w:val="es-CR"/>
        </w:rPr>
        <w:t>Excepciones Preliminares</w:t>
      </w:r>
      <w:r w:rsidRPr="0023362E">
        <w:rPr>
          <w:szCs w:val="16"/>
          <w:lang w:val="es-CR"/>
        </w:rPr>
        <w:t>,</w:t>
      </w:r>
      <w:r w:rsidRPr="0023362E">
        <w:rPr>
          <w:rFonts w:cs="Verdana"/>
          <w:i/>
          <w:szCs w:val="16"/>
          <w:lang w:val="es-CR"/>
        </w:rPr>
        <w:t xml:space="preserve"> </w:t>
      </w:r>
      <w:r w:rsidRPr="0023362E">
        <w:rPr>
          <w:rFonts w:cs="Verdana"/>
          <w:szCs w:val="16"/>
          <w:lang w:val="es-CR"/>
        </w:rPr>
        <w:t xml:space="preserve">párr. 88, y </w:t>
      </w:r>
      <w:r w:rsidRPr="0095000D">
        <w:rPr>
          <w:bCs/>
          <w:i/>
          <w:szCs w:val="16"/>
          <w:lang w:val="es-CR"/>
        </w:rPr>
        <w:t>Caso</w:t>
      </w:r>
      <w:r>
        <w:rPr>
          <w:bCs/>
          <w:i/>
          <w:szCs w:val="16"/>
          <w:lang w:val="es-CR"/>
        </w:rPr>
        <w:t xml:space="preserve"> Gonzales </w:t>
      </w:r>
      <w:proofErr w:type="spellStart"/>
      <w:r>
        <w:rPr>
          <w:bCs/>
          <w:i/>
          <w:szCs w:val="16"/>
          <w:lang w:val="es-CR"/>
        </w:rPr>
        <w:t>Lluy</w:t>
      </w:r>
      <w:proofErr w:type="spellEnd"/>
      <w:r>
        <w:rPr>
          <w:bCs/>
          <w:i/>
          <w:szCs w:val="16"/>
          <w:lang w:val="es-CR"/>
        </w:rPr>
        <w:t xml:space="preserve"> Vs. Ecuador</w:t>
      </w:r>
      <w:r w:rsidRPr="0023362E">
        <w:rPr>
          <w:bCs/>
          <w:szCs w:val="16"/>
          <w:lang w:val="es-CR"/>
        </w:rPr>
        <w:t>, párr. 27.</w:t>
      </w:r>
    </w:p>
  </w:footnote>
  <w:footnote w:id="17">
    <w:p w:rsidR="00E65148" w:rsidRPr="000905B6" w:rsidRDefault="00E65148">
      <w:pPr>
        <w:pStyle w:val="FootnoteText"/>
      </w:pPr>
      <w:r>
        <w:rPr>
          <w:rStyle w:val="FootnoteReference"/>
        </w:rPr>
        <w:footnoteRef/>
      </w:r>
      <w:r>
        <w:t xml:space="preserve"> </w:t>
      </w:r>
      <w:r>
        <w:tab/>
      </w:r>
      <w:r w:rsidRPr="0023362E">
        <w:rPr>
          <w:szCs w:val="16"/>
          <w:lang w:val="es-MX"/>
        </w:rPr>
        <w:t>El artículo 47 de la Convención expresa que debe “</w:t>
      </w:r>
      <w:proofErr w:type="gramStart"/>
      <w:r w:rsidRPr="0023362E">
        <w:rPr>
          <w:szCs w:val="16"/>
          <w:lang w:val="es-MX"/>
        </w:rPr>
        <w:t>declarar[</w:t>
      </w:r>
      <w:proofErr w:type="gramEnd"/>
      <w:r w:rsidRPr="0023362E">
        <w:rPr>
          <w:szCs w:val="16"/>
          <w:lang w:val="es-MX"/>
        </w:rPr>
        <w:t xml:space="preserve">se] inadmisible toda petición o comunicación presentada” cuando, </w:t>
      </w:r>
      <w:r w:rsidRPr="0023362E">
        <w:rPr>
          <w:i/>
          <w:szCs w:val="16"/>
          <w:lang w:val="es-MX"/>
        </w:rPr>
        <w:t xml:space="preserve">inter </w:t>
      </w:r>
      <w:proofErr w:type="spellStart"/>
      <w:r w:rsidRPr="0023362E">
        <w:rPr>
          <w:i/>
          <w:szCs w:val="16"/>
          <w:lang w:val="es-MX"/>
        </w:rPr>
        <w:t>alia</w:t>
      </w:r>
      <w:proofErr w:type="spellEnd"/>
      <w:r w:rsidRPr="0023362E">
        <w:rPr>
          <w:szCs w:val="16"/>
          <w:lang w:val="es-MX"/>
        </w:rPr>
        <w:t xml:space="preserve">, “falte alguno de los requisitos indicados en el artículo 46” del tratado. Esta última norma señala en su primer inciso entre los requisitos “[p]ara que una petición o comunicación presentada […] sea admitida” que “se hayan interpuesto o agotado los recursos de la jurisdicción interna” o que, en su defecto, se presente alguna de las excepciones a tal regla prevista en el segundo inciso del artículo. De la lectura conjunta de ambos artículos se desprende que en la “petición […] presentada” a la Comisión debe formularse una exposición de los recursos que se agotaron o, en su defecto, el alegato sobre la procedencia de alguna de las excepciones referidas. </w:t>
      </w:r>
      <w:r w:rsidRPr="0023362E">
        <w:rPr>
          <w:szCs w:val="16"/>
        </w:rPr>
        <w:t>En el mismo sentido, el artículo 19 del Estatuto de la Comisión indica entre las “atribuciones” de la Comisión Interamericana “diligenciar las peticiones y otras comunicaciones, de conformidad con lo dispuesto en los artículos 44 a 51 de la Convención”. Además, el Reglamento de la Comisión Interamericana vigente al momento en que se presentó la petición inicial del presente caso, señalaba en su artículo 27 que “[l]a Secretaría de la Comisión tendrá la responsabilidad del estudio y tramitación inicial de las peticiones que se presenten a la Comisión y que llenen todos los requisitos establecidos en el Estatuto y el […] Reglamento”. Los artículos 28 y 29 del Reglamento referido indicaban, respectivamente, que “[l]a Comisión solamente tomará en consideración las peticiones […] cuando llenen los requisitos establecidos en [la Convención], en el Estatuto y en este Reglamento”, y que entre los “[r]</w:t>
      </w:r>
      <w:proofErr w:type="spellStart"/>
      <w:r w:rsidRPr="0023362E">
        <w:rPr>
          <w:szCs w:val="16"/>
        </w:rPr>
        <w:t>equisitos</w:t>
      </w:r>
      <w:proofErr w:type="spellEnd"/>
      <w:r w:rsidRPr="0023362E">
        <w:rPr>
          <w:szCs w:val="16"/>
        </w:rPr>
        <w:t>” que las “peticiones dirigidas a la Comisión […] debe[n] contener” se encuentra la “información sobre la circunstancia de haber hecho uso o no de los recursos de la jurisdicción interna o sobre la imposibilidad de hacerlo”, mandato que era conteste con lo establecido en el artículo 34 de ese Reglamento, que establecía que “[p]ara que una petición pueda ser admitida por la Comisión, se requerirá que se hayan interpuesto y agotado los recursos de la jurisdicción interna” o bien que se presenten las excepciones que la misma norma preveía, en términos iguales a los utilizados por el artículo 46 de la Convención en su segundo inciso. El artículo 31 de ese mismo Reglamento, titulado “Tramitación inicial” ordenaba que la Comisión “si acepta, en principio, la admisibilidad de la petición, solicitará informaciones al [G]</w:t>
      </w:r>
      <w:proofErr w:type="spellStart"/>
      <w:r w:rsidRPr="0023362E">
        <w:rPr>
          <w:szCs w:val="16"/>
        </w:rPr>
        <w:t>obierno</w:t>
      </w:r>
      <w:proofErr w:type="spellEnd"/>
      <w:r w:rsidRPr="0023362E">
        <w:rPr>
          <w:szCs w:val="16"/>
        </w:rPr>
        <w:t xml:space="preserve"> del Estado aludido transcribiendo las parte</w:t>
      </w:r>
      <w:r>
        <w:rPr>
          <w:szCs w:val="16"/>
        </w:rPr>
        <w:t xml:space="preserve">s pertinentes de la petición”. </w:t>
      </w:r>
      <w:r w:rsidRPr="0023362E">
        <w:rPr>
          <w:szCs w:val="16"/>
        </w:rPr>
        <w:t>Por otra parte, el Reglamento de la Comisión vigente en 2004, año en que se emitió el Informe de Admisibilidad en el presente caso, señalaba normas equivalente, indicando que entre “la información” que “deberán contener” las “peticiones dirigidas a la Comisión”,</w:t>
      </w:r>
      <w:r w:rsidRPr="0023362E">
        <w:rPr>
          <w:rFonts w:eastAsia="Calibri" w:cs="Univers"/>
          <w:color w:val="000000"/>
          <w:szCs w:val="16"/>
          <w:lang w:val="es-CR"/>
        </w:rPr>
        <w:t xml:space="preserve"> “</w:t>
      </w:r>
      <w:r w:rsidRPr="0023362E">
        <w:rPr>
          <w:szCs w:val="16"/>
          <w:lang w:val="es-CR"/>
        </w:rPr>
        <w:t xml:space="preserve">las gestiones emprendidas para agotar los recursos de la jurisdicción interna o la imposibilidad de hacerlo conforme al artículo 31 del presente Reglamento”, que indicaba excepciones al requisito del previo agotamiento de recursos de la jurisdicción interna en iguales términos que los señalados por el inciso 2 del artículo 46 de la Convención. Además, el artículo 28 de ese </w:t>
      </w:r>
      <w:r>
        <w:rPr>
          <w:szCs w:val="16"/>
          <w:lang w:val="es-CR"/>
        </w:rPr>
        <w:t>R</w:t>
      </w:r>
      <w:r w:rsidRPr="0023362E">
        <w:rPr>
          <w:szCs w:val="16"/>
          <w:lang w:val="es-CR"/>
        </w:rPr>
        <w:t>eglamento señalaba que “[l]a Comisión […] dará trámite a las peticiones que reúnan los requisitos previstos en el artículo 30 del […] Reglamento” y que “[a] tal efecto, transmitirá las partes pertinentes de la petición al Estado en cuestión”. El Reglamento de la Comisión vigente al momento en que se emite la presente Sentencia contiene normas con mandatos equivalentes a los señalados en el Reglamento vigente al momento en que la Comisión emitió el Informe d</w:t>
      </w:r>
      <w:r>
        <w:rPr>
          <w:szCs w:val="16"/>
          <w:lang w:val="es-CR"/>
        </w:rPr>
        <w:t>e Admisibilidad No.</w:t>
      </w:r>
      <w:r w:rsidRPr="0023362E">
        <w:rPr>
          <w:szCs w:val="16"/>
          <w:lang w:val="es-CR"/>
        </w:rPr>
        <w:t xml:space="preserve"> 14/04.</w:t>
      </w:r>
    </w:p>
  </w:footnote>
  <w:footnote w:id="18">
    <w:p w:rsidR="00E65148" w:rsidRPr="000905B6" w:rsidRDefault="00E65148">
      <w:pPr>
        <w:pStyle w:val="FootnoteText"/>
      </w:pPr>
      <w:r>
        <w:rPr>
          <w:rStyle w:val="FootnoteReference"/>
        </w:rPr>
        <w:footnoteRef/>
      </w:r>
      <w:r>
        <w:t xml:space="preserve"> </w:t>
      </w:r>
      <w:r>
        <w:tab/>
      </w:r>
      <w:r w:rsidRPr="0023362E">
        <w:rPr>
          <w:i/>
          <w:szCs w:val="16"/>
        </w:rPr>
        <w:t xml:space="preserve">Cfr. </w:t>
      </w:r>
      <w:r w:rsidRPr="0095000D">
        <w:rPr>
          <w:i/>
          <w:szCs w:val="16"/>
        </w:rPr>
        <w:t>Caso</w:t>
      </w:r>
      <w:r w:rsidRPr="0023362E">
        <w:rPr>
          <w:i/>
          <w:szCs w:val="16"/>
        </w:rPr>
        <w:t xml:space="preserve"> </w:t>
      </w:r>
      <w:proofErr w:type="spellStart"/>
      <w:r w:rsidRPr="0023362E">
        <w:rPr>
          <w:i/>
          <w:szCs w:val="16"/>
        </w:rPr>
        <w:t>Furlan</w:t>
      </w:r>
      <w:proofErr w:type="spellEnd"/>
      <w:r w:rsidRPr="0023362E">
        <w:rPr>
          <w:i/>
          <w:szCs w:val="16"/>
        </w:rPr>
        <w:t xml:space="preserve"> y Familiares Vs. Argentina. Excepciones Preliminares, Fondo, Reparaciones y Costas</w:t>
      </w:r>
      <w:r w:rsidRPr="0023362E">
        <w:rPr>
          <w:szCs w:val="16"/>
        </w:rPr>
        <w:t>. Sentencia de 31 de agosto de 2012 Serie C No. 246, párr. 29, y</w:t>
      </w:r>
      <w:r w:rsidRPr="00476086">
        <w:rPr>
          <w:i/>
          <w:szCs w:val="16"/>
        </w:rPr>
        <w:t xml:space="preserve"> Caso</w:t>
      </w:r>
      <w:r w:rsidRPr="00984AAD">
        <w:rPr>
          <w:i/>
          <w:szCs w:val="16"/>
        </w:rPr>
        <w:t xml:space="preserve"> </w:t>
      </w:r>
      <w:r>
        <w:rPr>
          <w:bCs/>
          <w:i/>
          <w:szCs w:val="16"/>
          <w:lang w:val="es-CR"/>
        </w:rPr>
        <w:t xml:space="preserve">Gonzales </w:t>
      </w:r>
      <w:proofErr w:type="spellStart"/>
      <w:r>
        <w:rPr>
          <w:bCs/>
          <w:i/>
          <w:szCs w:val="16"/>
          <w:lang w:val="es-CR"/>
        </w:rPr>
        <w:t>Lluy</w:t>
      </w:r>
      <w:proofErr w:type="spellEnd"/>
      <w:r>
        <w:rPr>
          <w:bCs/>
          <w:i/>
          <w:szCs w:val="16"/>
          <w:lang w:val="es-CR"/>
        </w:rPr>
        <w:t xml:space="preserve"> Vs. Ecuador</w:t>
      </w:r>
      <w:r w:rsidRPr="0023362E">
        <w:rPr>
          <w:bCs/>
          <w:szCs w:val="16"/>
          <w:lang w:val="es-CR"/>
        </w:rPr>
        <w:t>, párr. 28.</w:t>
      </w:r>
    </w:p>
  </w:footnote>
  <w:footnote w:id="19">
    <w:p w:rsidR="00E65148" w:rsidRPr="0023362E" w:rsidRDefault="00E65148" w:rsidP="00FA45FB">
      <w:pPr>
        <w:rPr>
          <w:sz w:val="16"/>
          <w:szCs w:val="16"/>
          <w:lang w:val="es-CR"/>
        </w:rPr>
      </w:pPr>
      <w:r w:rsidRPr="0023362E">
        <w:rPr>
          <w:rStyle w:val="FootnoteReference"/>
          <w:rFonts w:cs="Times"/>
          <w:sz w:val="16"/>
          <w:szCs w:val="16"/>
        </w:rPr>
        <w:footnoteRef/>
      </w:r>
      <w:r w:rsidRPr="0023362E">
        <w:rPr>
          <w:i/>
          <w:sz w:val="16"/>
          <w:szCs w:val="16"/>
          <w:lang w:val="es-CR"/>
        </w:rPr>
        <w:t xml:space="preserve"> </w:t>
      </w:r>
      <w:r w:rsidRPr="0023362E">
        <w:rPr>
          <w:i/>
          <w:sz w:val="16"/>
          <w:szCs w:val="16"/>
          <w:lang w:val="es-CR"/>
        </w:rPr>
        <w:tab/>
        <w:t>Cfr</w:t>
      </w:r>
      <w:r w:rsidRPr="0023362E">
        <w:rPr>
          <w:sz w:val="16"/>
          <w:szCs w:val="16"/>
          <w:lang w:val="es-CR"/>
        </w:rPr>
        <w:t xml:space="preserve">. </w:t>
      </w:r>
      <w:r w:rsidRPr="00E260A6">
        <w:rPr>
          <w:i/>
          <w:sz w:val="16"/>
          <w:szCs w:val="16"/>
          <w:lang w:val="es-CR"/>
        </w:rPr>
        <w:t>Caso</w:t>
      </w:r>
      <w:r w:rsidRPr="0023362E">
        <w:rPr>
          <w:i/>
          <w:sz w:val="16"/>
          <w:szCs w:val="16"/>
          <w:lang w:val="es-CR"/>
        </w:rPr>
        <w:t xml:space="preserve"> Velásquez Rodríguez Vs. Honduras</w:t>
      </w:r>
      <w:r w:rsidRPr="0023362E">
        <w:rPr>
          <w:sz w:val="16"/>
          <w:szCs w:val="16"/>
          <w:lang w:val="es-CR"/>
        </w:rPr>
        <w:t xml:space="preserve">. </w:t>
      </w:r>
      <w:r w:rsidRPr="0023362E">
        <w:rPr>
          <w:rFonts w:cs="Verdana"/>
          <w:i/>
          <w:sz w:val="16"/>
          <w:szCs w:val="16"/>
          <w:lang w:val="es-CR" w:bidi="en-US"/>
        </w:rPr>
        <w:t>Fondo</w:t>
      </w:r>
      <w:r>
        <w:rPr>
          <w:sz w:val="16"/>
          <w:szCs w:val="16"/>
          <w:lang w:val="es-CR"/>
        </w:rPr>
        <w:t xml:space="preserve">, </w:t>
      </w:r>
      <w:r w:rsidRPr="0023362E">
        <w:rPr>
          <w:sz w:val="16"/>
          <w:szCs w:val="16"/>
          <w:lang w:val="es-CR"/>
        </w:rPr>
        <w:t xml:space="preserve">párr. 63, y </w:t>
      </w:r>
      <w:r w:rsidRPr="005C119F">
        <w:rPr>
          <w:bCs/>
          <w:i/>
          <w:sz w:val="16"/>
          <w:szCs w:val="16"/>
          <w:lang w:val="es-CR"/>
        </w:rPr>
        <w:t>Caso</w:t>
      </w:r>
      <w:r w:rsidRPr="0023362E">
        <w:rPr>
          <w:bCs/>
          <w:i/>
          <w:sz w:val="16"/>
          <w:szCs w:val="16"/>
          <w:lang w:val="es-CR"/>
        </w:rPr>
        <w:t xml:space="preserve"> </w:t>
      </w:r>
      <w:proofErr w:type="spellStart"/>
      <w:r w:rsidRPr="0023362E">
        <w:rPr>
          <w:bCs/>
          <w:i/>
          <w:sz w:val="16"/>
          <w:szCs w:val="16"/>
          <w:lang w:val="es-CR"/>
        </w:rPr>
        <w:t>Granier</w:t>
      </w:r>
      <w:proofErr w:type="spellEnd"/>
      <w:r w:rsidRPr="0023362E">
        <w:rPr>
          <w:bCs/>
          <w:i/>
          <w:sz w:val="16"/>
          <w:szCs w:val="16"/>
          <w:lang w:val="es-CR"/>
        </w:rPr>
        <w:t xml:space="preserve"> y otros (Radio Caracas Televisión) Vs. Venezuela. Excepciones Preliminares, Fondo, Reparaciones y Costas.</w:t>
      </w:r>
      <w:r w:rsidRPr="0023362E">
        <w:rPr>
          <w:bCs/>
          <w:sz w:val="16"/>
          <w:szCs w:val="16"/>
          <w:lang w:val="es-CR"/>
        </w:rPr>
        <w:t xml:space="preserve"> Sentencia de 22 de junio de 2015. Serie C No. 293, párr. 27</w:t>
      </w:r>
      <w:r w:rsidRPr="0023362E">
        <w:rPr>
          <w:sz w:val="16"/>
          <w:szCs w:val="16"/>
          <w:lang w:val="es-CR"/>
        </w:rPr>
        <w:t>.</w:t>
      </w:r>
    </w:p>
  </w:footnote>
  <w:footnote w:id="20">
    <w:p w:rsidR="00E65148" w:rsidRPr="0023362E" w:rsidRDefault="00E65148" w:rsidP="00FA45FB">
      <w:pPr>
        <w:pStyle w:val="FootnoteText"/>
        <w:tabs>
          <w:tab w:val="left" w:pos="720"/>
        </w:tabs>
        <w:rPr>
          <w:szCs w:val="16"/>
        </w:rPr>
      </w:pPr>
      <w:r w:rsidRPr="0023362E">
        <w:rPr>
          <w:rStyle w:val="FootnoteReference"/>
          <w:szCs w:val="16"/>
        </w:rPr>
        <w:footnoteRef/>
      </w:r>
      <w:r w:rsidRPr="0023362E">
        <w:rPr>
          <w:szCs w:val="16"/>
        </w:rPr>
        <w:t xml:space="preserve">  </w:t>
      </w:r>
      <w:r w:rsidRPr="0023362E">
        <w:rPr>
          <w:szCs w:val="16"/>
        </w:rPr>
        <w:tab/>
      </w:r>
      <w:r w:rsidRPr="0023362E">
        <w:rPr>
          <w:i/>
          <w:szCs w:val="16"/>
        </w:rPr>
        <w:t xml:space="preserve">Cfr. </w:t>
      </w:r>
      <w:r w:rsidRPr="00E260A6">
        <w:rPr>
          <w:i/>
          <w:szCs w:val="16"/>
        </w:rPr>
        <w:t>Caso</w:t>
      </w:r>
      <w:r w:rsidRPr="00364F39">
        <w:rPr>
          <w:i/>
          <w:szCs w:val="16"/>
        </w:rPr>
        <w:t xml:space="preserve"> </w:t>
      </w:r>
      <w:r w:rsidRPr="0023362E">
        <w:rPr>
          <w:i/>
          <w:szCs w:val="16"/>
          <w:lang w:val="es-CR"/>
        </w:rPr>
        <w:t>Velásquez Rodríguez Vs. Honduras.</w:t>
      </w:r>
      <w:r w:rsidRPr="0023362E">
        <w:rPr>
          <w:szCs w:val="16"/>
          <w:lang w:val="es-CR"/>
        </w:rPr>
        <w:t xml:space="preserve"> </w:t>
      </w:r>
      <w:r w:rsidRPr="0023362E">
        <w:rPr>
          <w:i/>
          <w:szCs w:val="16"/>
          <w:lang w:val="es-CR"/>
        </w:rPr>
        <w:t>Excepciones Preliminares</w:t>
      </w:r>
      <w:r w:rsidRPr="0023362E">
        <w:rPr>
          <w:szCs w:val="16"/>
          <w:lang w:val="es-CR"/>
        </w:rPr>
        <w:t>, párr. 88</w:t>
      </w:r>
      <w:r w:rsidRPr="0023362E">
        <w:rPr>
          <w:bCs/>
          <w:color w:val="000000"/>
          <w:szCs w:val="16"/>
        </w:rPr>
        <w:t>,</w:t>
      </w:r>
      <w:r w:rsidRPr="0023362E">
        <w:rPr>
          <w:szCs w:val="16"/>
        </w:rPr>
        <w:t xml:space="preserve"> y </w:t>
      </w:r>
      <w:r w:rsidRPr="00E260A6">
        <w:rPr>
          <w:bCs/>
          <w:i/>
          <w:szCs w:val="16"/>
        </w:rPr>
        <w:t>Caso</w:t>
      </w:r>
      <w:r w:rsidRPr="0023362E">
        <w:rPr>
          <w:bCs/>
          <w:i/>
          <w:szCs w:val="16"/>
        </w:rPr>
        <w:t xml:space="preserve"> </w:t>
      </w:r>
      <w:proofErr w:type="spellStart"/>
      <w:r w:rsidRPr="0023362E">
        <w:rPr>
          <w:bCs/>
          <w:i/>
          <w:szCs w:val="16"/>
          <w:lang w:val="es-CR"/>
        </w:rPr>
        <w:t>Granier</w:t>
      </w:r>
      <w:proofErr w:type="spellEnd"/>
      <w:r w:rsidRPr="0023362E">
        <w:rPr>
          <w:bCs/>
          <w:i/>
          <w:szCs w:val="16"/>
          <w:lang w:val="es-CR"/>
        </w:rPr>
        <w:t xml:space="preserve"> y otros (Radio Caracas Televisión) Vs. Venezuela</w:t>
      </w:r>
      <w:r>
        <w:rPr>
          <w:bCs/>
          <w:szCs w:val="16"/>
          <w:lang w:val="es-CR"/>
        </w:rPr>
        <w:t>, párr.</w:t>
      </w:r>
      <w:r w:rsidRPr="0023362E">
        <w:rPr>
          <w:bCs/>
          <w:szCs w:val="16"/>
          <w:lang w:val="es-CR"/>
        </w:rPr>
        <w:t xml:space="preserve"> 29.</w:t>
      </w:r>
      <w:r w:rsidRPr="0023362E">
        <w:rPr>
          <w:rFonts w:cs="Verdana"/>
          <w:szCs w:val="16"/>
          <w:lang w:bidi="en-US"/>
        </w:rPr>
        <w:t xml:space="preserve"> Como surge del párrafo indicado del precedente </w:t>
      </w:r>
      <w:proofErr w:type="spellStart"/>
      <w:r w:rsidRPr="0023362E">
        <w:rPr>
          <w:rFonts w:cs="Verdana"/>
          <w:i/>
          <w:szCs w:val="16"/>
          <w:lang w:bidi="en-US"/>
        </w:rPr>
        <w:t>Granier</w:t>
      </w:r>
      <w:proofErr w:type="spellEnd"/>
      <w:r w:rsidRPr="0023362E">
        <w:rPr>
          <w:rFonts w:cs="Verdana"/>
          <w:i/>
          <w:szCs w:val="16"/>
          <w:lang w:bidi="en-US"/>
        </w:rPr>
        <w:t xml:space="preserve"> y otros</w:t>
      </w:r>
      <w:r w:rsidRPr="0023362E">
        <w:rPr>
          <w:rFonts w:cs="Verdana"/>
          <w:szCs w:val="16"/>
          <w:lang w:bidi="en-US"/>
        </w:rPr>
        <w:t xml:space="preserve"> </w:t>
      </w:r>
      <w:r w:rsidRPr="0023362E">
        <w:rPr>
          <w:bCs/>
          <w:i/>
          <w:szCs w:val="16"/>
          <w:lang w:val="es-CR"/>
        </w:rPr>
        <w:t>(Radio Caracas Televisión) Vs. Venezuela</w:t>
      </w:r>
      <w:r w:rsidRPr="0023362E" w:rsidDel="00195C3B">
        <w:rPr>
          <w:rFonts w:cs="Verdana"/>
          <w:szCs w:val="16"/>
          <w:lang w:bidi="en-US"/>
        </w:rPr>
        <w:t xml:space="preserve"> </w:t>
      </w:r>
      <w:r w:rsidRPr="0023362E">
        <w:rPr>
          <w:rFonts w:cs="Verdana"/>
          <w:szCs w:val="16"/>
          <w:lang w:bidi="en-US"/>
        </w:rPr>
        <w:t xml:space="preserve"> citado, este Tribunal ha explicado que “[n]</w:t>
      </w:r>
      <w:r w:rsidRPr="0023362E">
        <w:rPr>
          <w:rFonts w:cs="Verdana"/>
          <w:szCs w:val="16"/>
          <w:lang w:val="es-CO" w:bidi="en-US"/>
        </w:rPr>
        <w:t xml:space="preserve">o es tarea de la Corte, ni de la Comisión identificar </w:t>
      </w:r>
      <w:r w:rsidRPr="0023362E">
        <w:rPr>
          <w:rFonts w:cs="Verdana"/>
          <w:i/>
          <w:szCs w:val="16"/>
          <w:lang w:val="es-CO" w:bidi="en-US"/>
        </w:rPr>
        <w:t xml:space="preserve">ex </w:t>
      </w:r>
      <w:proofErr w:type="spellStart"/>
      <w:r w:rsidRPr="0023362E">
        <w:rPr>
          <w:rFonts w:cs="Verdana"/>
          <w:i/>
          <w:szCs w:val="16"/>
          <w:lang w:val="es-CO" w:bidi="en-US"/>
        </w:rPr>
        <w:t>officio</w:t>
      </w:r>
      <w:proofErr w:type="spellEnd"/>
      <w:r w:rsidRPr="0023362E">
        <w:rPr>
          <w:rFonts w:cs="Verdana"/>
          <w:szCs w:val="16"/>
          <w:lang w:val="es-CO" w:bidi="en-US"/>
        </w:rPr>
        <w:t xml:space="preserve"> cuáles son los recursos internos pendientes de agotamiento, de modo tal que no compete a los órganos internacionales subsanar la falta de precisión de los alegatos del Estado”.</w:t>
      </w:r>
      <w:r w:rsidRPr="0023362E">
        <w:rPr>
          <w:rFonts w:cs="Verdana"/>
          <w:szCs w:val="16"/>
          <w:lang w:bidi="en-US"/>
        </w:rPr>
        <w:t xml:space="preserve"> </w:t>
      </w:r>
    </w:p>
  </w:footnote>
  <w:footnote w:id="21">
    <w:p w:rsidR="00E65148" w:rsidRPr="0023362E" w:rsidRDefault="00E65148" w:rsidP="00FA45FB">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r>
      <w:r w:rsidRPr="00E260A6">
        <w:rPr>
          <w:i/>
          <w:iCs/>
          <w:spacing w:val="-4"/>
          <w:szCs w:val="16"/>
          <w:lang w:val="es-GT"/>
        </w:rPr>
        <w:t>Caso</w:t>
      </w:r>
      <w:r w:rsidRPr="008D2D9F">
        <w:rPr>
          <w:iCs/>
          <w:spacing w:val="-4"/>
          <w:szCs w:val="16"/>
          <w:lang w:val="es-GT"/>
        </w:rPr>
        <w:t xml:space="preserve"> </w:t>
      </w:r>
      <w:r w:rsidRPr="0023362E">
        <w:rPr>
          <w:i/>
          <w:iCs/>
          <w:spacing w:val="-4"/>
          <w:szCs w:val="16"/>
          <w:lang w:val="es-GT"/>
        </w:rPr>
        <w:t>Velásquez Rodríguez Vs. Honduras</w:t>
      </w:r>
      <w:r w:rsidRPr="0023362E">
        <w:rPr>
          <w:spacing w:val="-4"/>
          <w:szCs w:val="16"/>
          <w:lang w:val="es-GT"/>
        </w:rPr>
        <w:t xml:space="preserve">. </w:t>
      </w:r>
      <w:r w:rsidRPr="0023362E">
        <w:rPr>
          <w:i/>
          <w:iCs/>
          <w:spacing w:val="-4"/>
          <w:szCs w:val="16"/>
          <w:lang w:val="es-GT"/>
        </w:rPr>
        <w:t>Fondo</w:t>
      </w:r>
      <w:r w:rsidRPr="0023362E">
        <w:rPr>
          <w:szCs w:val="16"/>
        </w:rPr>
        <w:t xml:space="preserve">, párr. 64, y </w:t>
      </w:r>
      <w:r w:rsidRPr="003C03F7">
        <w:rPr>
          <w:bCs/>
          <w:i/>
          <w:szCs w:val="16"/>
          <w:lang w:val="es-CR"/>
        </w:rPr>
        <w:t>Caso</w:t>
      </w:r>
      <w:r w:rsidRPr="0023362E">
        <w:rPr>
          <w:bCs/>
          <w:i/>
          <w:szCs w:val="16"/>
          <w:lang w:val="es-CR"/>
        </w:rPr>
        <w:t xml:space="preserve"> </w:t>
      </w:r>
      <w:proofErr w:type="spellStart"/>
      <w:r w:rsidRPr="0023362E">
        <w:rPr>
          <w:bCs/>
          <w:i/>
          <w:szCs w:val="16"/>
          <w:lang w:val="es-CR"/>
        </w:rPr>
        <w:t>Brewer</w:t>
      </w:r>
      <w:proofErr w:type="spellEnd"/>
      <w:r w:rsidRPr="0023362E">
        <w:rPr>
          <w:bCs/>
          <w:i/>
          <w:szCs w:val="16"/>
          <w:lang w:val="es-CR"/>
        </w:rPr>
        <w:t xml:space="preserve"> Carías Vs. Venezuela. Excepciones Preliminares.</w:t>
      </w:r>
      <w:r w:rsidRPr="0023362E">
        <w:rPr>
          <w:bCs/>
          <w:szCs w:val="16"/>
          <w:lang w:val="es-CR"/>
        </w:rPr>
        <w:t xml:space="preserve"> Sentencia de 26 de mayo de 2014. Serie C No. 278, párr. 86.</w:t>
      </w:r>
    </w:p>
  </w:footnote>
  <w:footnote w:id="22">
    <w:p w:rsidR="00E65148" w:rsidRPr="0023362E" w:rsidRDefault="00E65148" w:rsidP="00FA45FB">
      <w:pPr>
        <w:pStyle w:val="FootnoteText"/>
        <w:rPr>
          <w:szCs w:val="16"/>
          <w:lang w:val="es-CR"/>
        </w:rPr>
      </w:pPr>
      <w:r w:rsidRPr="0023362E">
        <w:rPr>
          <w:rStyle w:val="FootnoteReference"/>
          <w:szCs w:val="16"/>
        </w:rPr>
        <w:footnoteRef/>
      </w:r>
      <w:r w:rsidRPr="0023362E">
        <w:rPr>
          <w:szCs w:val="16"/>
        </w:rPr>
        <w:t xml:space="preserve"> </w:t>
      </w:r>
      <w:r w:rsidRPr="0023362E">
        <w:rPr>
          <w:szCs w:val="16"/>
        </w:rPr>
        <w:tab/>
      </w:r>
      <w:r w:rsidRPr="00E260A6">
        <w:rPr>
          <w:bCs/>
          <w:i/>
          <w:szCs w:val="16"/>
          <w:lang w:val="es-CR"/>
        </w:rPr>
        <w:t>Caso</w:t>
      </w:r>
      <w:r w:rsidRPr="0023362E">
        <w:rPr>
          <w:bCs/>
          <w:i/>
          <w:szCs w:val="16"/>
          <w:lang w:val="es-CR"/>
        </w:rPr>
        <w:t xml:space="preserve"> </w:t>
      </w:r>
      <w:proofErr w:type="spellStart"/>
      <w:r w:rsidRPr="0023362E">
        <w:rPr>
          <w:bCs/>
          <w:i/>
          <w:szCs w:val="16"/>
          <w:lang w:val="es-CR"/>
        </w:rPr>
        <w:t>Escher</w:t>
      </w:r>
      <w:proofErr w:type="spellEnd"/>
      <w:r w:rsidRPr="0023362E">
        <w:rPr>
          <w:bCs/>
          <w:i/>
          <w:szCs w:val="16"/>
          <w:lang w:val="es-CR"/>
        </w:rPr>
        <w:t xml:space="preserve"> y otros Vs. Brasil. Excepciones Preliminares, Fondo, Reparaciones y Costas.</w:t>
      </w:r>
      <w:r w:rsidRPr="0023362E">
        <w:rPr>
          <w:bCs/>
          <w:szCs w:val="16"/>
          <w:lang w:val="es-CR"/>
        </w:rPr>
        <w:t xml:space="preserve"> Sentencia de 6 de julio de 2009. Serie C No. 200, párr. 38</w:t>
      </w:r>
      <w:r w:rsidRPr="0023362E">
        <w:rPr>
          <w:szCs w:val="16"/>
          <w:lang w:val="es-CR"/>
        </w:rPr>
        <w:t>.</w:t>
      </w:r>
    </w:p>
  </w:footnote>
  <w:footnote w:id="23">
    <w:p w:rsidR="00E65148" w:rsidRPr="0023362E" w:rsidRDefault="00E65148" w:rsidP="00FA45FB">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E260A6">
        <w:rPr>
          <w:bCs/>
          <w:i/>
          <w:szCs w:val="16"/>
          <w:lang w:val="es-CR"/>
        </w:rPr>
        <w:t>Caso</w:t>
      </w:r>
      <w:r w:rsidRPr="003D4ADB">
        <w:rPr>
          <w:bCs/>
          <w:szCs w:val="16"/>
          <w:lang w:val="es-CR"/>
        </w:rPr>
        <w:t xml:space="preserve"> </w:t>
      </w:r>
      <w:proofErr w:type="spellStart"/>
      <w:r w:rsidRPr="0023362E">
        <w:rPr>
          <w:bCs/>
          <w:i/>
          <w:szCs w:val="16"/>
          <w:lang w:val="es-CR"/>
        </w:rPr>
        <w:t>Escher</w:t>
      </w:r>
      <w:proofErr w:type="spellEnd"/>
      <w:r w:rsidRPr="0023362E">
        <w:rPr>
          <w:bCs/>
          <w:i/>
          <w:szCs w:val="16"/>
          <w:lang w:val="es-CR"/>
        </w:rPr>
        <w:t xml:space="preserve"> y otros Vs. Brasil</w:t>
      </w:r>
      <w:r w:rsidRPr="0023362E">
        <w:rPr>
          <w:bCs/>
          <w:szCs w:val="16"/>
          <w:lang w:val="es-CR"/>
        </w:rPr>
        <w:t>, párr. 38</w:t>
      </w:r>
      <w:r w:rsidRPr="0023362E">
        <w:rPr>
          <w:szCs w:val="16"/>
        </w:rPr>
        <w:t xml:space="preserve">. </w:t>
      </w:r>
    </w:p>
  </w:footnote>
  <w:footnote w:id="24">
    <w:p w:rsidR="00E65148" w:rsidRPr="0023362E" w:rsidRDefault="00E65148" w:rsidP="00FA45FB">
      <w:pPr>
        <w:pStyle w:val="FootnoteText"/>
        <w:rPr>
          <w:szCs w:val="16"/>
          <w:lang w:val="es-CR"/>
        </w:rPr>
      </w:pPr>
      <w:r w:rsidRPr="0023362E">
        <w:rPr>
          <w:rStyle w:val="FootnoteReference"/>
          <w:szCs w:val="16"/>
        </w:rPr>
        <w:footnoteRef/>
      </w:r>
      <w:r w:rsidRPr="0023362E">
        <w:rPr>
          <w:szCs w:val="16"/>
        </w:rPr>
        <w:t xml:space="preserve"> </w:t>
      </w:r>
      <w:r w:rsidRPr="0023362E">
        <w:rPr>
          <w:szCs w:val="16"/>
        </w:rPr>
        <w:tab/>
      </w:r>
      <w:r w:rsidRPr="003C03F7">
        <w:rPr>
          <w:i/>
          <w:iCs/>
          <w:spacing w:val="-4"/>
          <w:szCs w:val="16"/>
          <w:lang w:val="es-GT"/>
        </w:rPr>
        <w:t xml:space="preserve">Caso </w:t>
      </w:r>
      <w:r w:rsidRPr="0023362E">
        <w:rPr>
          <w:i/>
          <w:iCs/>
          <w:spacing w:val="-4"/>
          <w:szCs w:val="16"/>
          <w:lang w:val="es-GT"/>
        </w:rPr>
        <w:t>Velásquez Rodríguez Vs. Honduras</w:t>
      </w:r>
      <w:r w:rsidRPr="0023362E">
        <w:rPr>
          <w:spacing w:val="-4"/>
          <w:szCs w:val="16"/>
          <w:lang w:val="es-GT"/>
        </w:rPr>
        <w:t xml:space="preserve">. </w:t>
      </w:r>
      <w:r w:rsidRPr="0023362E">
        <w:rPr>
          <w:i/>
          <w:iCs/>
          <w:spacing w:val="-4"/>
          <w:szCs w:val="16"/>
          <w:lang w:val="es-GT"/>
        </w:rPr>
        <w:t>Fondo</w:t>
      </w:r>
      <w:r w:rsidRPr="0023362E">
        <w:rPr>
          <w:szCs w:val="16"/>
        </w:rPr>
        <w:t xml:space="preserve">, párr. 66, y </w:t>
      </w:r>
      <w:r w:rsidRPr="00E260A6">
        <w:rPr>
          <w:bCs/>
          <w:i/>
          <w:szCs w:val="16"/>
          <w:lang w:val="es-CR"/>
        </w:rPr>
        <w:t>Caso</w:t>
      </w:r>
      <w:r w:rsidRPr="0023362E">
        <w:rPr>
          <w:bCs/>
          <w:i/>
          <w:szCs w:val="16"/>
          <w:lang w:val="es-CR"/>
        </w:rPr>
        <w:t xml:space="preserve"> </w:t>
      </w:r>
      <w:proofErr w:type="spellStart"/>
      <w:r w:rsidRPr="0023362E">
        <w:rPr>
          <w:bCs/>
          <w:i/>
          <w:szCs w:val="16"/>
          <w:lang w:val="es-CR"/>
        </w:rPr>
        <w:t>Brewer</w:t>
      </w:r>
      <w:proofErr w:type="spellEnd"/>
      <w:r w:rsidRPr="0023362E">
        <w:rPr>
          <w:bCs/>
          <w:i/>
          <w:szCs w:val="16"/>
          <w:lang w:val="es-CR"/>
        </w:rPr>
        <w:t xml:space="preserve"> Carías Vs. Venezuela. Excepciones Preliminares</w:t>
      </w:r>
      <w:r w:rsidRPr="0023362E">
        <w:rPr>
          <w:bCs/>
          <w:szCs w:val="16"/>
          <w:lang w:val="es-CR"/>
        </w:rPr>
        <w:t>, párr. 87.</w:t>
      </w:r>
    </w:p>
  </w:footnote>
  <w:footnote w:id="25">
    <w:p w:rsidR="00E65148" w:rsidRPr="0023362E" w:rsidRDefault="00E65148" w:rsidP="00425148">
      <w:pPr>
        <w:pStyle w:val="FootnoteText"/>
        <w:rPr>
          <w:szCs w:val="16"/>
        </w:rPr>
      </w:pPr>
      <w:r w:rsidRPr="0023362E">
        <w:rPr>
          <w:rStyle w:val="FootnoteReference"/>
          <w:szCs w:val="16"/>
        </w:rPr>
        <w:footnoteRef/>
      </w:r>
      <w:r w:rsidRPr="0023362E">
        <w:rPr>
          <w:szCs w:val="16"/>
        </w:rPr>
        <w:t xml:space="preserve"> </w:t>
      </w:r>
      <w:r w:rsidRPr="0023362E">
        <w:rPr>
          <w:szCs w:val="16"/>
        </w:rPr>
        <w:tab/>
        <w:t xml:space="preserve">El señor Galindo en su </w:t>
      </w:r>
      <w:r>
        <w:rPr>
          <w:szCs w:val="16"/>
        </w:rPr>
        <w:t xml:space="preserve">escrito </w:t>
      </w:r>
      <w:r w:rsidRPr="001E735D">
        <w:rPr>
          <w:szCs w:val="16"/>
        </w:rPr>
        <w:t>de 2</w:t>
      </w:r>
      <w:r w:rsidRPr="0023362E">
        <w:rPr>
          <w:szCs w:val="16"/>
        </w:rPr>
        <w:t xml:space="preserve"> de enero de 1996 afirmó que “la falta de garantías en administración de justicia […] se prueba con la violación de la sede del Poder Judicial (Juzgado Penal) por parte de efectivos militares y [la] detención del Secretario del Juzgado […] sin que medie razón o explicación alguna por este arbitrario hecho y no obstante </w:t>
      </w:r>
      <w:proofErr w:type="spellStart"/>
      <w:r w:rsidRPr="0023362E">
        <w:rPr>
          <w:szCs w:val="16"/>
        </w:rPr>
        <w:t>hab</w:t>
      </w:r>
      <w:proofErr w:type="spellEnd"/>
      <w:r w:rsidRPr="0023362E">
        <w:rPr>
          <w:szCs w:val="16"/>
        </w:rPr>
        <w:t>[é]</w:t>
      </w:r>
      <w:proofErr w:type="spellStart"/>
      <w:r w:rsidRPr="0023362E">
        <w:rPr>
          <w:szCs w:val="16"/>
        </w:rPr>
        <w:t>rsele</w:t>
      </w:r>
      <w:proofErr w:type="spellEnd"/>
      <w:r w:rsidRPr="0023362E">
        <w:rPr>
          <w:szCs w:val="16"/>
        </w:rPr>
        <w:t xml:space="preserve"> requerido de manera formal por parte de las altas autoridades judiciales el Comando Político Militar nunca respondió”. El señor Galindo no indicó en esa ocasión la fecha de ese hecho ni brindó mayor información sobre el mismo que la expuesta, aunque sí lo hizo el 20 de junio de 1996 (</w:t>
      </w:r>
      <w:r w:rsidRPr="0023362E">
        <w:rPr>
          <w:i/>
          <w:szCs w:val="16"/>
        </w:rPr>
        <w:t>infra</w:t>
      </w:r>
      <w:r>
        <w:rPr>
          <w:szCs w:val="16"/>
        </w:rPr>
        <w:t xml:space="preserve"> párr. 47</w:t>
      </w:r>
      <w:r w:rsidRPr="0023362E">
        <w:rPr>
          <w:szCs w:val="16"/>
        </w:rPr>
        <w:t>)</w:t>
      </w:r>
      <w:r>
        <w:rPr>
          <w:szCs w:val="16"/>
        </w:rPr>
        <w:t xml:space="preserve">. </w:t>
      </w:r>
      <w:r w:rsidRPr="0023362E">
        <w:rPr>
          <w:szCs w:val="16"/>
        </w:rPr>
        <w:t xml:space="preserve">Además, en la presentación de 3 de enero de 1996 enunció una serie de “gestiones y denuncias”, sosteniendo que “al no haber tenido acogida [sus] requerimientos […] </w:t>
      </w:r>
      <w:proofErr w:type="spellStart"/>
      <w:proofErr w:type="gramStart"/>
      <w:r w:rsidRPr="0023362E">
        <w:rPr>
          <w:szCs w:val="16"/>
        </w:rPr>
        <w:t>acud</w:t>
      </w:r>
      <w:proofErr w:type="spellEnd"/>
      <w:r w:rsidRPr="0023362E">
        <w:rPr>
          <w:szCs w:val="16"/>
        </w:rPr>
        <w:t>[</w:t>
      </w:r>
      <w:proofErr w:type="spellStart"/>
      <w:proofErr w:type="gramEnd"/>
      <w:r w:rsidRPr="0023362E">
        <w:rPr>
          <w:szCs w:val="16"/>
        </w:rPr>
        <w:t>ió</w:t>
      </w:r>
      <w:proofErr w:type="spellEnd"/>
      <w:r w:rsidRPr="0023362E">
        <w:rPr>
          <w:szCs w:val="16"/>
        </w:rPr>
        <w:t xml:space="preserve">] a las instancias internacionales”. Mencionó que “la sola excepción [a lo anterior fue] la resolución del Consejo Ejecutivo del Poder Judicial, la misma que no ha tenido los efectos legales correspondientes a consecuencia de la dación de la Ley de </w:t>
      </w:r>
      <w:proofErr w:type="gramStart"/>
      <w:r w:rsidRPr="0023362E">
        <w:rPr>
          <w:szCs w:val="16"/>
        </w:rPr>
        <w:t>Amnistía[</w:t>
      </w:r>
      <w:proofErr w:type="gramEnd"/>
      <w:r w:rsidRPr="0023362E">
        <w:rPr>
          <w:szCs w:val="16"/>
        </w:rPr>
        <w:t xml:space="preserve">,…] no existiendo garantías a la tutela jurisdiccional y debido proceso”. Esa Resolución, de acuerdo a lo que expresó el señor Galindo en su petición inicial “solo </w:t>
      </w:r>
      <w:proofErr w:type="gramStart"/>
      <w:r w:rsidRPr="0023362E">
        <w:rPr>
          <w:szCs w:val="16"/>
        </w:rPr>
        <w:t>t[</w:t>
      </w:r>
      <w:proofErr w:type="spellStart"/>
      <w:proofErr w:type="gramEnd"/>
      <w:r w:rsidRPr="0023362E">
        <w:rPr>
          <w:szCs w:val="16"/>
        </w:rPr>
        <w:t>uvo</w:t>
      </w:r>
      <w:proofErr w:type="spellEnd"/>
      <w:r w:rsidRPr="0023362E">
        <w:rPr>
          <w:szCs w:val="16"/>
        </w:rPr>
        <w:t xml:space="preserve">] carácter administrativo y en ella [se] </w:t>
      </w:r>
      <w:proofErr w:type="spellStart"/>
      <w:r w:rsidRPr="0023362E">
        <w:rPr>
          <w:szCs w:val="16"/>
        </w:rPr>
        <w:t>concluy</w:t>
      </w:r>
      <w:proofErr w:type="spellEnd"/>
      <w:r w:rsidRPr="0023362E">
        <w:rPr>
          <w:szCs w:val="16"/>
        </w:rPr>
        <w:t>[</w:t>
      </w:r>
      <w:proofErr w:type="spellStart"/>
      <w:r w:rsidRPr="0023362E">
        <w:rPr>
          <w:szCs w:val="16"/>
        </w:rPr>
        <w:t>ó</w:t>
      </w:r>
      <w:proofErr w:type="spellEnd"/>
      <w:r w:rsidRPr="0023362E">
        <w:rPr>
          <w:szCs w:val="16"/>
        </w:rPr>
        <w:t xml:space="preserve">…] que ante los actos arbitrarios e ilegales [… ] se investigue y se sancione a los funcionarios autores de tales hechos”. En relación con las demás “gestiones y denuncias” el entonces peticionario expresó la realización de actuaciones del modo que sigue: “Ante la Fiscalía Provincial y Superior Penal de Huánuco, solicitando se [le] expidan […] copias certificadas de la investigación. No se atendió. […] Comunicación al Centro de Derechos Humanos de las NN. UU. Por detención arbitraria. […] Solicitud exigiendo garantías personales al Ministro del Interior. […] Solicitud a la Comisión de Derechos Humanos y Pacificación del anterior Congreso Constituyente Democrático del Perú para que se investigaran las graves irregularidades cometidas en la investigación. Archivado. […] Solicitudes dirigidas a la Fiscalía de la Nación exigiendo investigación y emita posterior pronunciamiento sobre las graves irregularidades cometidas en el proceso </w:t>
      </w:r>
      <w:proofErr w:type="spellStart"/>
      <w:r w:rsidRPr="0023362E">
        <w:rPr>
          <w:szCs w:val="16"/>
        </w:rPr>
        <w:t>investigatorio</w:t>
      </w:r>
      <w:proofErr w:type="spellEnd"/>
      <w:r w:rsidRPr="0023362E">
        <w:rPr>
          <w:szCs w:val="16"/>
        </w:rPr>
        <w:t xml:space="preserve"> y que no obstante a [sus] reiteradas exigencias no le </w:t>
      </w:r>
      <w:proofErr w:type="gramStart"/>
      <w:r w:rsidRPr="0023362E">
        <w:rPr>
          <w:szCs w:val="16"/>
        </w:rPr>
        <w:t>d[</w:t>
      </w:r>
      <w:proofErr w:type="spellStart"/>
      <w:proofErr w:type="gramEnd"/>
      <w:r w:rsidRPr="0023362E">
        <w:rPr>
          <w:szCs w:val="16"/>
        </w:rPr>
        <w:t>ieron</w:t>
      </w:r>
      <w:proofErr w:type="spellEnd"/>
      <w:r w:rsidRPr="0023362E">
        <w:rPr>
          <w:szCs w:val="16"/>
        </w:rPr>
        <w:t xml:space="preserve">] el trámite correspondiente. […] Denuncias al Ministro de Defensa e Inspector General del Ejército sobre la inconducta funcional y actos arbitrarios cometidos por [un] Coronel [del] Ejército Peruano [que identificó] quien se desempeñó como Jefe del Comando Político Militar de Huánuco y tuvo directa participación en los hechos violatorios que se dieron en la investigación. Archivado. […] Solicitud a la actual Comisión de Derechos Humanos y Pacificación del Congreso de la República a fin de qué se revise la investigación y cesen los agravios y perjuicios que hasta la [fecha de la presentación de la petición inicial] se </w:t>
      </w:r>
      <w:proofErr w:type="spellStart"/>
      <w:r w:rsidRPr="0023362E">
        <w:rPr>
          <w:szCs w:val="16"/>
        </w:rPr>
        <w:t>comet</w:t>
      </w:r>
      <w:proofErr w:type="spellEnd"/>
      <w:r w:rsidRPr="0023362E">
        <w:rPr>
          <w:szCs w:val="16"/>
        </w:rPr>
        <w:t>[</w:t>
      </w:r>
      <w:proofErr w:type="spellStart"/>
      <w:r w:rsidRPr="0023362E">
        <w:rPr>
          <w:szCs w:val="16"/>
        </w:rPr>
        <w:t>ían</w:t>
      </w:r>
      <w:proofErr w:type="spellEnd"/>
      <w:r w:rsidRPr="0023362E">
        <w:rPr>
          <w:szCs w:val="16"/>
        </w:rPr>
        <w:t>] contra [su] persona, la misma que se en[</w:t>
      </w:r>
      <w:proofErr w:type="spellStart"/>
      <w:r w:rsidRPr="0023362E">
        <w:rPr>
          <w:szCs w:val="16"/>
        </w:rPr>
        <w:t>contraba</w:t>
      </w:r>
      <w:proofErr w:type="spellEnd"/>
      <w:r w:rsidRPr="0023362E">
        <w:rPr>
          <w:szCs w:val="16"/>
        </w:rPr>
        <w:t xml:space="preserve"> en esa fecha] desde el […] 8 de noviembre de</w:t>
      </w:r>
      <w:r>
        <w:rPr>
          <w:szCs w:val="16"/>
        </w:rPr>
        <w:t xml:space="preserve"> </w:t>
      </w:r>
      <w:r w:rsidRPr="0023362E">
        <w:rPr>
          <w:szCs w:val="16"/>
        </w:rPr>
        <w:t xml:space="preserve">[…] [19]95 en el seno de la Comisión, presumiendo que va [a] correr la misma suerte de las demás: caso cerrado”. </w:t>
      </w:r>
    </w:p>
  </w:footnote>
  <w:footnote w:id="26">
    <w:p w:rsidR="00E65148" w:rsidRPr="0023362E" w:rsidRDefault="00E65148" w:rsidP="00FA45FB">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23362E">
        <w:rPr>
          <w:szCs w:val="16"/>
          <w:lang w:val="es-MX"/>
        </w:rPr>
        <w:t>De acuerdo al párrafo 29 del Informe de Admisibilidad, el Estado había señalado que “</w:t>
      </w:r>
      <w:r w:rsidRPr="0023362E">
        <w:rPr>
          <w:szCs w:val="16"/>
          <w:lang w:val="es-CR"/>
        </w:rPr>
        <w:t xml:space="preserve">que el peticionario no interpuso un recurso de </w:t>
      </w:r>
      <w:r w:rsidRPr="0023362E">
        <w:rPr>
          <w:iCs/>
          <w:szCs w:val="16"/>
          <w:lang w:val="es-CR"/>
        </w:rPr>
        <w:t>hábeas corpus</w:t>
      </w:r>
      <w:r w:rsidRPr="0023362E">
        <w:rPr>
          <w:szCs w:val="16"/>
          <w:lang w:val="es-CR"/>
        </w:rPr>
        <w:t xml:space="preserve">, acciones penales contra las autoridades […] un recurso o acción de amparo contra la decisión de la Fiscalía Superior que aprobó su acogimiento a la Ley de Arrepentimiento, o acciones civiles por responsabilidad extra contractual”. </w:t>
      </w:r>
    </w:p>
  </w:footnote>
  <w:footnote w:id="27">
    <w:p w:rsidR="00E65148" w:rsidRPr="0023362E" w:rsidRDefault="00E65148" w:rsidP="00FA45FB">
      <w:pPr>
        <w:pStyle w:val="FootnoteText"/>
        <w:rPr>
          <w:szCs w:val="16"/>
        </w:rPr>
      </w:pPr>
      <w:r w:rsidRPr="0023362E">
        <w:rPr>
          <w:rStyle w:val="FootnoteReference"/>
          <w:szCs w:val="16"/>
        </w:rPr>
        <w:footnoteRef/>
      </w:r>
      <w:r>
        <w:rPr>
          <w:szCs w:val="16"/>
        </w:rPr>
        <w:t xml:space="preserve"> </w:t>
      </w:r>
      <w:r>
        <w:rPr>
          <w:szCs w:val="16"/>
        </w:rPr>
        <w:tab/>
      </w:r>
      <w:r w:rsidRPr="0023362E">
        <w:rPr>
          <w:szCs w:val="16"/>
        </w:rPr>
        <w:t>El Estado, recién en sus alegatos finales escritos y sin ahondar en sus fundamentos, mencionó el recurso de hábeas data de forma meramente tangencial y complementaria de sus argumentos sobre el recurso de amparo “</w:t>
      </w:r>
      <w:r w:rsidRPr="0023362E">
        <w:rPr>
          <w:rFonts w:eastAsia="Calibri"/>
          <w:szCs w:val="16"/>
          <w:lang w:val="es-CR"/>
        </w:rPr>
        <w:t>en cuanto a la presunta aplicación indebida de la Ley de Arrepentimiento”</w:t>
      </w:r>
      <w:r w:rsidRPr="0023362E">
        <w:rPr>
          <w:szCs w:val="16"/>
        </w:rPr>
        <w:t>. Así, en cuanto a la supuesta dificultad o imposibilidad del señor Galindo de presentar un amparo porque “no pudo conocer las actas del expediente que se seguía en su contra”, Perú expresó argumentos indicando que a su entender ello era un impedimento para la protección judicial y, adicionalmente, mencionó la existencia del “</w:t>
      </w:r>
      <w:r w:rsidRPr="0023362E">
        <w:rPr>
          <w:szCs w:val="16"/>
          <w:lang w:val="es-CR"/>
        </w:rPr>
        <w:t xml:space="preserve">proceso de hábeas data, reconocido en la Constitución de 1993, que permite a toda persona acceder a la información pública que se encuentra en poder de las entidades estatales”. </w:t>
      </w:r>
    </w:p>
  </w:footnote>
  <w:footnote w:id="28">
    <w:p w:rsidR="00E65148" w:rsidRPr="0023362E" w:rsidRDefault="00E65148" w:rsidP="00CA521C">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23362E">
        <w:rPr>
          <w:szCs w:val="16"/>
          <w:lang w:val="es-MX"/>
        </w:rPr>
        <w:t xml:space="preserve">En efecto, la Comisión consideró, en el Informe de Admisibilidad, que </w:t>
      </w:r>
      <w:r w:rsidRPr="0023362E">
        <w:rPr>
          <w:szCs w:val="16"/>
          <w:lang w:val="es-CR"/>
        </w:rPr>
        <w:t>situaciones en que se denuncian “actos de detención ilegal y tortura psicológica […], que se traducen en la legislación interna en delitos perseguibles de oficio” deben tomarse en cuenta aquellos recursos relacionados con la investigación y sanción a los responsables por tales hechos.</w:t>
      </w:r>
      <w:r w:rsidRPr="0023362E">
        <w:rPr>
          <w:szCs w:val="16"/>
          <w:lang w:val="es-MX"/>
        </w:rPr>
        <w:t xml:space="preserve"> En ese informe, en el párrafo 42, sólo sobre la base del examen que hizo de lo sucedido en el </w:t>
      </w:r>
      <w:r>
        <w:rPr>
          <w:szCs w:val="16"/>
          <w:lang w:val="es-MX"/>
        </w:rPr>
        <w:t>caso respecto de tales recursos</w:t>
      </w:r>
      <w:r w:rsidRPr="0023362E">
        <w:rPr>
          <w:szCs w:val="16"/>
          <w:lang w:val="es-MX"/>
        </w:rPr>
        <w:t xml:space="preserve"> “</w:t>
      </w:r>
      <w:proofErr w:type="spellStart"/>
      <w:r w:rsidRPr="0023362E">
        <w:rPr>
          <w:szCs w:val="16"/>
          <w:lang w:val="es-CR"/>
        </w:rPr>
        <w:t>desestim</w:t>
      </w:r>
      <w:proofErr w:type="spellEnd"/>
      <w:r w:rsidRPr="0023362E">
        <w:rPr>
          <w:szCs w:val="16"/>
          <w:lang w:val="es-CR"/>
        </w:rPr>
        <w:t>[</w:t>
      </w:r>
      <w:proofErr w:type="spellStart"/>
      <w:r w:rsidRPr="0023362E">
        <w:rPr>
          <w:szCs w:val="16"/>
          <w:lang w:val="es-CR"/>
        </w:rPr>
        <w:t>ó</w:t>
      </w:r>
      <w:proofErr w:type="spellEnd"/>
      <w:r w:rsidRPr="0023362E">
        <w:rPr>
          <w:szCs w:val="16"/>
          <w:lang w:val="es-CR"/>
        </w:rPr>
        <w:t>] la excepción interpuesta por el Estado”, dada la  “</w:t>
      </w:r>
      <w:proofErr w:type="spellStart"/>
      <w:r w:rsidRPr="0023362E">
        <w:rPr>
          <w:szCs w:val="16"/>
          <w:lang w:val="es-CR"/>
        </w:rPr>
        <w:t>priv</w:t>
      </w:r>
      <w:proofErr w:type="spellEnd"/>
      <w:r w:rsidRPr="0023362E">
        <w:rPr>
          <w:szCs w:val="16"/>
          <w:lang w:val="es-CR"/>
        </w:rPr>
        <w:t>[</w:t>
      </w:r>
      <w:proofErr w:type="spellStart"/>
      <w:r w:rsidRPr="0023362E">
        <w:rPr>
          <w:szCs w:val="16"/>
          <w:lang w:val="es-CR"/>
        </w:rPr>
        <w:t>ación</w:t>
      </w:r>
      <w:proofErr w:type="spellEnd"/>
      <w:r w:rsidRPr="0023362E">
        <w:rPr>
          <w:szCs w:val="16"/>
          <w:lang w:val="es-CR"/>
        </w:rPr>
        <w:t xml:space="preserve">] a las presuntas víctimas de acceso a los recursos internos y que estos se volvieron en todo caso inefectivos, configurándose de tal modo las excepciones previstas en el artículo 46(2)(b) y 46(2)(a) de la Convención Americana”. Ello pues, de acuerdo a lo que afirmó en el párrafo 41 del Informe de Admisibilidad, en el ámbito interno “no [se] hizo valer la acción penal respectiva ante los tribunales de justicia. Por el contrario, una resolución de la Fiscalía Suprema de Control Interno del Ministerio Público de 8 de mayo de 1998, que fue notificada al peticionario en el año 2001, dispuso el archivo definitivo de la denuncia en aplicación del artículo 4 de la Ley de Amnistía No. 26479”. Luego de concluir lo anterior, en el párrafo 43 del Informe de Admisibilidad, formuló consideraciones </w:t>
      </w:r>
      <w:r w:rsidRPr="004454B8">
        <w:rPr>
          <w:szCs w:val="16"/>
          <w:lang w:val="es-CR"/>
        </w:rPr>
        <w:t>sobre la “acción de amparo” y la “acción por responsabilidad extra contractual”, considerando que la vía penal “es la idónea para esclarecer los hechos, juzgar a los responsables y establecer las sanciones correspondientes”. De</w:t>
      </w:r>
      <w:r w:rsidRPr="0023362E">
        <w:rPr>
          <w:szCs w:val="16"/>
          <w:lang w:val="es-CR"/>
        </w:rPr>
        <w:t xml:space="preserve"> ello se desprende que las últimas consideraciones indicadas fueron meramente adicionales. Ante la Corte, la Comisión confirmó este entendimiento, efectuando consideraciones sobre otros recursos “de manera subsidiaria” (</w:t>
      </w:r>
      <w:r w:rsidRPr="0023362E">
        <w:rPr>
          <w:i/>
          <w:szCs w:val="16"/>
          <w:lang w:val="es-CR"/>
        </w:rPr>
        <w:t>supra</w:t>
      </w:r>
      <w:r w:rsidRPr="0023362E">
        <w:rPr>
          <w:szCs w:val="16"/>
          <w:lang w:val="es-CR"/>
        </w:rPr>
        <w:t xml:space="preserve"> párr. </w:t>
      </w:r>
      <w:r>
        <w:rPr>
          <w:szCs w:val="16"/>
          <w:lang w:val="es-CR"/>
        </w:rPr>
        <w:t>24</w:t>
      </w:r>
      <w:r w:rsidRPr="0023362E">
        <w:rPr>
          <w:szCs w:val="16"/>
          <w:lang w:val="es-CR"/>
        </w:rPr>
        <w:t xml:space="preserve">).  </w:t>
      </w:r>
    </w:p>
  </w:footnote>
  <w:footnote w:id="29">
    <w:p w:rsidR="00E65148" w:rsidRPr="001C241B" w:rsidRDefault="00E65148" w:rsidP="00E30D94">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1C241B">
        <w:rPr>
          <w:szCs w:val="16"/>
        </w:rPr>
        <w:t xml:space="preserve">De acuerdo a las circunstancias de cada caso, esta consideración sería en principio distinta cuando se trate de recursos cuyo objeto o fin es esencialmente el mismo. </w:t>
      </w:r>
      <w:r w:rsidRPr="008D2D9F">
        <w:rPr>
          <w:szCs w:val="16"/>
          <w:lang w:val="es-CR"/>
        </w:rPr>
        <w:t xml:space="preserve">Al </w:t>
      </w:r>
      <w:r w:rsidRPr="008D2D9F">
        <w:rPr>
          <w:bCs/>
          <w:szCs w:val="16"/>
          <w:lang w:val="es-CR"/>
        </w:rPr>
        <w:t>respecto, cabe</w:t>
      </w:r>
      <w:r w:rsidRPr="008D2D9F">
        <w:rPr>
          <w:szCs w:val="16"/>
          <w:lang w:val="es-CR"/>
        </w:rPr>
        <w:t xml:space="preserve"> señalar que el Tribunal Europeo ha entendido que el examen del requisito de previo agotamiento de recursos de jurisdicción interna debe hacerse en forma flexible, considerando las circunstancias de cada caso y, sin perjuicio de eso, ha indicado también que cuando el uso de un recurso interno tiene esencialmente el mismo objetivo que otro también disponible, no es necesario el agotamiento de ambos para el cumplimiento del previo agotamiento de los recursos de la jurisdicción interna (</w:t>
      </w:r>
      <w:r w:rsidRPr="008D2D9F">
        <w:rPr>
          <w:i/>
          <w:szCs w:val="16"/>
          <w:lang w:val="es-CR"/>
        </w:rPr>
        <w:t>infra</w:t>
      </w:r>
      <w:r w:rsidRPr="008D2D9F">
        <w:rPr>
          <w:szCs w:val="16"/>
          <w:lang w:val="es-CR"/>
        </w:rPr>
        <w:t xml:space="preserve"> nota a pie de página 30)</w:t>
      </w:r>
      <w:r w:rsidRPr="008D2D9F">
        <w:rPr>
          <w:szCs w:val="16"/>
        </w:rPr>
        <w:t>.</w:t>
      </w:r>
    </w:p>
  </w:footnote>
  <w:footnote w:id="30">
    <w:p w:rsidR="00E65148" w:rsidRPr="001C241B" w:rsidRDefault="00E65148" w:rsidP="00FA45FB">
      <w:pPr>
        <w:pStyle w:val="FootnoteText"/>
        <w:rPr>
          <w:szCs w:val="16"/>
          <w:lang w:val="es-ES"/>
        </w:rPr>
      </w:pPr>
      <w:r w:rsidRPr="001C241B">
        <w:rPr>
          <w:rStyle w:val="FootnoteReference"/>
          <w:szCs w:val="16"/>
        </w:rPr>
        <w:footnoteRef/>
      </w:r>
      <w:r w:rsidRPr="001C241B">
        <w:rPr>
          <w:szCs w:val="16"/>
        </w:rPr>
        <w:t xml:space="preserve"> </w:t>
      </w:r>
      <w:r w:rsidRPr="001C241B">
        <w:rPr>
          <w:szCs w:val="16"/>
        </w:rPr>
        <w:tab/>
      </w:r>
      <w:r w:rsidRPr="001C241B">
        <w:rPr>
          <w:bCs/>
          <w:i/>
          <w:szCs w:val="16"/>
          <w:lang w:val="es-CR"/>
        </w:rPr>
        <w:t xml:space="preserve">Caso </w:t>
      </w:r>
      <w:proofErr w:type="spellStart"/>
      <w:r w:rsidRPr="001C241B">
        <w:rPr>
          <w:bCs/>
          <w:i/>
          <w:szCs w:val="16"/>
          <w:lang w:val="es-CR"/>
        </w:rPr>
        <w:t>Escher</w:t>
      </w:r>
      <w:proofErr w:type="spellEnd"/>
      <w:r w:rsidRPr="001C241B">
        <w:rPr>
          <w:bCs/>
          <w:i/>
          <w:szCs w:val="16"/>
          <w:lang w:val="es-CR"/>
        </w:rPr>
        <w:t xml:space="preserve"> y otros Vs. Brasil. Excepciones Preliminares, Fondo, Reparaciones y Costas.</w:t>
      </w:r>
      <w:r w:rsidRPr="001C241B">
        <w:rPr>
          <w:bCs/>
          <w:szCs w:val="16"/>
          <w:lang w:val="es-CR"/>
        </w:rPr>
        <w:t xml:space="preserve"> Sentencia de 6 de julio de 2009. Serie C No. 200, párr. </w:t>
      </w:r>
      <w:r w:rsidRPr="001C241B">
        <w:rPr>
          <w:szCs w:val="16"/>
        </w:rPr>
        <w:t xml:space="preserve">42. En el mismo sentido, </w:t>
      </w:r>
      <w:r w:rsidRPr="00850FDB">
        <w:rPr>
          <w:bCs/>
          <w:i/>
          <w:szCs w:val="16"/>
          <w:lang w:val="es-CR"/>
        </w:rPr>
        <w:t>Caso</w:t>
      </w:r>
      <w:r w:rsidRPr="001C241B">
        <w:rPr>
          <w:bCs/>
          <w:i/>
          <w:szCs w:val="16"/>
          <w:lang w:val="es-CR"/>
        </w:rPr>
        <w:t xml:space="preserve"> Garibaldi Vs. Brasil. Excepciones Preliminares, Fondo, Reparaciones y Costas.</w:t>
      </w:r>
      <w:r w:rsidRPr="001C241B">
        <w:rPr>
          <w:bCs/>
          <w:szCs w:val="16"/>
          <w:lang w:val="es-CR"/>
        </w:rPr>
        <w:t xml:space="preserve"> Sentencia de 23 de septiembre de 2009. </w:t>
      </w:r>
      <w:r w:rsidRPr="001C241B">
        <w:rPr>
          <w:bCs/>
          <w:szCs w:val="16"/>
          <w:lang w:val="es-ES"/>
        </w:rPr>
        <w:t>Serie C No. 203</w:t>
      </w:r>
      <w:r w:rsidRPr="001C241B">
        <w:rPr>
          <w:szCs w:val="16"/>
          <w:lang w:val="es-ES"/>
        </w:rPr>
        <w:t xml:space="preserve">, párr. 49. </w:t>
      </w:r>
    </w:p>
  </w:footnote>
  <w:footnote w:id="31">
    <w:p w:rsidR="00E65148" w:rsidRPr="00364F39" w:rsidRDefault="00E65148" w:rsidP="00F12EFA">
      <w:pPr>
        <w:pStyle w:val="FootnoteText"/>
        <w:rPr>
          <w:szCs w:val="16"/>
        </w:rPr>
      </w:pPr>
      <w:r w:rsidRPr="001C241B">
        <w:rPr>
          <w:rStyle w:val="FootnoteReference"/>
          <w:szCs w:val="16"/>
        </w:rPr>
        <w:footnoteRef/>
      </w:r>
      <w:r w:rsidRPr="001C241B">
        <w:rPr>
          <w:szCs w:val="16"/>
          <w:lang w:val="es-CR"/>
        </w:rPr>
        <w:t xml:space="preserve"> </w:t>
      </w:r>
      <w:r w:rsidRPr="001C241B">
        <w:rPr>
          <w:szCs w:val="16"/>
          <w:lang w:val="es-CR"/>
        </w:rPr>
        <w:tab/>
        <w:t>En el mismo sentido se ha pronunciado el Tribunal Europeo de Derechos Humanos:</w:t>
      </w:r>
      <w:r w:rsidRPr="008D2D9F">
        <w:rPr>
          <w:szCs w:val="16"/>
        </w:rPr>
        <w:t xml:space="preserve"> “El Tribunal reitera que la condición de agotamiento de las vía[s] de recurso[s] internas contenida en el artículo 35 § 1 del Convenio se basa en la hipótesis de que el ordenamiento interno ofrezca un recurso efectivo en cuanto a la violación alegada. Le corresponde al Gobierno demostrar que, en el momento de los hechos, existían recursos efectivos y disponibles tanto en la teoría como en la práctica, es decir, accesibles y capaces de ofrecer al demandante unas perspectivas razonables de reparación de sus quejas (ver </w:t>
      </w:r>
      <w:r w:rsidRPr="008D2D9F">
        <w:rPr>
          <w:i/>
          <w:szCs w:val="16"/>
        </w:rPr>
        <w:t>V. c. Reino Unido</w:t>
      </w:r>
      <w:r w:rsidRPr="008D2D9F">
        <w:rPr>
          <w:szCs w:val="16"/>
        </w:rPr>
        <w:t xml:space="preserve"> [GS], no. 24888/94, § 57, TEDH 1999-IX). El Tribunal señala que debe aplicar la regla del agotamiento de los recursos internos, teniendo en cuenta debidamente del contexto: el mecanismo de protección de los derechos humanos que los Estados contratantes han convenido instaurar. Así, el Tribunal ha reconocido que el artículo 35 § 1 debe ser aplicado con una cierta flexibilidad y sin excesivo formalismo. También admite que la regla de agotamiento no es absoluta, ni susceptible de ser aplicada automáticamente; es esencial tener en cuenta las circunstancias de cada caso individual. Esto significa que el Tribunal debe tener en cuenta, de manera realista, no solamente los recursos previstos en teoría dentro del sistema jurídico del Estado contratante afectado, sino también el contexto dentro del cual se sitúan así como la situación personal del demandante. Es necesario, por tanto, examinar en todas las circunstancias del caso, si el demandante hizo todo lo que podría esperarse razonablemente de él para agotar la vía de los recursos internos (ver </w:t>
      </w:r>
      <w:proofErr w:type="spellStart"/>
      <w:r w:rsidRPr="008D2D9F">
        <w:rPr>
          <w:i/>
          <w:szCs w:val="16"/>
        </w:rPr>
        <w:t>lhan</w:t>
      </w:r>
      <w:proofErr w:type="spellEnd"/>
      <w:r w:rsidRPr="008D2D9F">
        <w:rPr>
          <w:i/>
          <w:szCs w:val="16"/>
        </w:rPr>
        <w:t xml:space="preserve"> c. Turquía</w:t>
      </w:r>
      <w:r w:rsidRPr="008D2D9F">
        <w:rPr>
          <w:szCs w:val="16"/>
        </w:rPr>
        <w:t xml:space="preserve"> [GC], nº 22277/93, § 59, TEDH 2000-VII). Se recuerda también que el demandante debe haber hecho un uso normal de los recursos internos probablemente eficaces y suficientes y que, cuando un recurso ha sido utilizado, el uso de otro recurso que tenga esencialmente el mismo objetivo, no es exigido (ver </w:t>
      </w:r>
      <w:r w:rsidRPr="008D2D9F">
        <w:rPr>
          <w:i/>
          <w:szCs w:val="16"/>
        </w:rPr>
        <w:t xml:space="preserve">Riad y </w:t>
      </w:r>
      <w:proofErr w:type="spellStart"/>
      <w:r w:rsidRPr="008D2D9F">
        <w:rPr>
          <w:i/>
          <w:szCs w:val="16"/>
        </w:rPr>
        <w:t>Idiab</w:t>
      </w:r>
      <w:proofErr w:type="spellEnd"/>
      <w:r w:rsidRPr="008D2D9F">
        <w:rPr>
          <w:i/>
          <w:szCs w:val="16"/>
        </w:rPr>
        <w:t xml:space="preserve"> c. Bélgica</w:t>
      </w:r>
      <w:r w:rsidRPr="008D2D9F">
        <w:rPr>
          <w:szCs w:val="16"/>
        </w:rPr>
        <w:t>, nos. 29787/03 y 29810/03, § 84, TEDH 2008-...)”</w:t>
      </w:r>
      <w:r>
        <w:rPr>
          <w:szCs w:val="16"/>
        </w:rPr>
        <w:t>.</w:t>
      </w:r>
      <w:r w:rsidRPr="008D2D9F">
        <w:rPr>
          <w:szCs w:val="16"/>
        </w:rPr>
        <w:t xml:space="preserve"> TEDH, Gran Sala.</w:t>
      </w:r>
      <w:r w:rsidRPr="008D2D9F">
        <w:rPr>
          <w:szCs w:val="16"/>
          <w:u w:val="single"/>
        </w:rPr>
        <w:t xml:space="preserve"> </w:t>
      </w:r>
      <w:proofErr w:type="spellStart"/>
      <w:r w:rsidRPr="005C119F">
        <w:rPr>
          <w:i/>
          <w:szCs w:val="16"/>
        </w:rPr>
        <w:t>Kozacioğlu</w:t>
      </w:r>
      <w:proofErr w:type="spellEnd"/>
      <w:r w:rsidRPr="005C119F">
        <w:rPr>
          <w:i/>
          <w:szCs w:val="16"/>
        </w:rPr>
        <w:t xml:space="preserve"> c. Turquía.</w:t>
      </w:r>
      <w:r w:rsidRPr="005C119F">
        <w:rPr>
          <w:szCs w:val="16"/>
        </w:rPr>
        <w:t xml:space="preserve"> </w:t>
      </w:r>
      <w:r w:rsidRPr="003364AB">
        <w:rPr>
          <w:szCs w:val="16"/>
        </w:rPr>
        <w:t>No. 2334/03. Sentencia de 19 de febrero de 2009, párr. 37.</w:t>
      </w:r>
    </w:p>
  </w:footnote>
  <w:footnote w:id="32">
    <w:p w:rsidR="00E65148" w:rsidRPr="0023362E" w:rsidRDefault="00E65148" w:rsidP="00FA45FB">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23362E">
        <w:rPr>
          <w:szCs w:val="16"/>
          <w:lang w:val="es-MX"/>
        </w:rPr>
        <w:t xml:space="preserve">Así, en cuanto a la “acción de amparo”, el Estado indicó que “su característica esencial es la </w:t>
      </w:r>
      <w:proofErr w:type="spellStart"/>
      <w:r w:rsidRPr="0023362E">
        <w:rPr>
          <w:szCs w:val="16"/>
          <w:lang w:val="es-MX"/>
        </w:rPr>
        <w:t>sumariedad</w:t>
      </w:r>
      <w:proofErr w:type="spellEnd"/>
      <w:r w:rsidRPr="0023362E">
        <w:rPr>
          <w:szCs w:val="16"/>
          <w:lang w:val="es-MX"/>
        </w:rPr>
        <w:t xml:space="preserve"> del procedimiento” y que “[r]</w:t>
      </w:r>
      <w:proofErr w:type="spellStart"/>
      <w:r w:rsidRPr="0023362E">
        <w:rPr>
          <w:szCs w:val="16"/>
          <w:lang w:val="es-MX"/>
        </w:rPr>
        <w:t>odean</w:t>
      </w:r>
      <w:proofErr w:type="spellEnd"/>
      <w:r w:rsidRPr="0023362E">
        <w:rPr>
          <w:szCs w:val="16"/>
          <w:lang w:val="es-MX"/>
        </w:rPr>
        <w:t xml:space="preserve"> a esta acción las [m]</w:t>
      </w:r>
      <w:proofErr w:type="spellStart"/>
      <w:r w:rsidRPr="0023362E">
        <w:rPr>
          <w:szCs w:val="16"/>
          <w:lang w:val="es-MX"/>
        </w:rPr>
        <w:t>edidas</w:t>
      </w:r>
      <w:proofErr w:type="spellEnd"/>
      <w:r w:rsidRPr="0023362E">
        <w:rPr>
          <w:szCs w:val="16"/>
          <w:lang w:val="es-MX"/>
        </w:rPr>
        <w:t xml:space="preserve"> [c]</w:t>
      </w:r>
      <w:proofErr w:type="spellStart"/>
      <w:r w:rsidRPr="0023362E">
        <w:rPr>
          <w:szCs w:val="16"/>
          <w:lang w:val="es-MX"/>
        </w:rPr>
        <w:t>autelares</w:t>
      </w:r>
      <w:proofErr w:type="spellEnd"/>
      <w:r w:rsidRPr="0023362E">
        <w:rPr>
          <w:szCs w:val="16"/>
          <w:lang w:val="es-MX"/>
        </w:rPr>
        <w:t xml:space="preserve"> que no exigen mayor requisito que la simple apariencia del derecho”. El Estado, más allá de destacar la “</w:t>
      </w:r>
      <w:proofErr w:type="spellStart"/>
      <w:r w:rsidRPr="0023362E">
        <w:rPr>
          <w:szCs w:val="16"/>
          <w:lang w:val="es-MX"/>
        </w:rPr>
        <w:t>sumariedad</w:t>
      </w:r>
      <w:proofErr w:type="spellEnd"/>
      <w:r w:rsidRPr="0023362E">
        <w:rPr>
          <w:szCs w:val="16"/>
          <w:lang w:val="es-MX"/>
        </w:rPr>
        <w:t>”, no detalló otros aspectos del proceso ni la naturaleza o posibles efectos de la decisión que se adoptara en el mismo. Respecto a las “leyes penales” sólo señaló que las mismas “con carácter preventivo y sancionador tipifica[n] y anexa[n] una pena a los hechos de que trata el presente caso”, sin mencionar cuáles serían los tipos penales pertinentes, ni las características de los procesos penales, de los que solo afirmó que “</w:t>
      </w:r>
      <w:proofErr w:type="spellStart"/>
      <w:proofErr w:type="gramStart"/>
      <w:r w:rsidRPr="0023362E">
        <w:rPr>
          <w:szCs w:val="16"/>
          <w:lang w:val="es-MX"/>
        </w:rPr>
        <w:t>prev</w:t>
      </w:r>
      <w:proofErr w:type="spellEnd"/>
      <w:r w:rsidRPr="0023362E">
        <w:rPr>
          <w:szCs w:val="16"/>
          <w:lang w:val="es-MX"/>
        </w:rPr>
        <w:t>[</w:t>
      </w:r>
      <w:proofErr w:type="spellStart"/>
      <w:proofErr w:type="gramEnd"/>
      <w:r w:rsidRPr="0023362E">
        <w:rPr>
          <w:szCs w:val="16"/>
          <w:lang w:val="es-MX"/>
        </w:rPr>
        <w:t>én</w:t>
      </w:r>
      <w:proofErr w:type="spellEnd"/>
      <w:r w:rsidRPr="0023362E">
        <w:rPr>
          <w:szCs w:val="16"/>
          <w:lang w:val="es-MX"/>
        </w:rPr>
        <w:t>] minuciosamente los trámites para acceder a una efectiva tutela jurisdiccional”. Respecto al posible “resarcimiento económico” indicó que “existe un cuerpo normativo civil que deposita la responsabilidad en el agresor a título de dolo o culpa, con carga probatoria invertida”, sin brindar mayores detalles sobre el procedimiento por el que podría obtenerse tal resarcimiento ni sobre el alcance del mismo.</w:t>
      </w:r>
      <w:r w:rsidRPr="0023362E">
        <w:rPr>
          <w:b/>
          <w:szCs w:val="16"/>
          <w:lang w:val="es-MX"/>
        </w:rPr>
        <w:t xml:space="preserve"> </w:t>
      </w:r>
    </w:p>
  </w:footnote>
  <w:footnote w:id="33">
    <w:p w:rsidR="00E65148" w:rsidRPr="0023362E" w:rsidRDefault="00E65148" w:rsidP="00FA45FB">
      <w:pPr>
        <w:pStyle w:val="FootnoteText"/>
        <w:rPr>
          <w:szCs w:val="16"/>
        </w:rPr>
      </w:pPr>
      <w:r w:rsidRPr="0023362E">
        <w:rPr>
          <w:rStyle w:val="FootnoteReference"/>
          <w:szCs w:val="16"/>
        </w:rPr>
        <w:footnoteRef/>
      </w:r>
      <w:r w:rsidRPr="0023362E">
        <w:rPr>
          <w:szCs w:val="16"/>
        </w:rPr>
        <w:t xml:space="preserve"> </w:t>
      </w:r>
      <w:r w:rsidRPr="0023362E">
        <w:rPr>
          <w:szCs w:val="16"/>
        </w:rPr>
        <w:tab/>
        <w:t xml:space="preserve">Perú indicó que el “sistema jurídico nacional </w:t>
      </w:r>
      <w:proofErr w:type="gramStart"/>
      <w:r w:rsidRPr="0023362E">
        <w:rPr>
          <w:szCs w:val="16"/>
        </w:rPr>
        <w:t>estable[</w:t>
      </w:r>
      <w:proofErr w:type="spellStart"/>
      <w:proofErr w:type="gramEnd"/>
      <w:r w:rsidRPr="0023362E">
        <w:rPr>
          <w:szCs w:val="16"/>
        </w:rPr>
        <w:t>cía</w:t>
      </w:r>
      <w:proofErr w:type="spellEnd"/>
      <w:r w:rsidRPr="0023362E">
        <w:rPr>
          <w:szCs w:val="16"/>
        </w:rPr>
        <w:t>] constitucionalmente las acciones de garantía, especialmente el recurso de ‘Hábeas Corpus’ contra los actos u omisiones de cualquier autoridad que lesionen derechos esenciales como los denunciados por el [señor Galindo]. Son características de este recurso: a. Puede ser interpuesto por escrito o en forma verbal. b. Puede interponerlo el agraviado, sus familiares, o cualquier persona sin necesidad de poder y firma de [l]</w:t>
      </w:r>
      <w:proofErr w:type="spellStart"/>
      <w:r w:rsidRPr="0023362E">
        <w:rPr>
          <w:szCs w:val="16"/>
        </w:rPr>
        <w:t>etrado</w:t>
      </w:r>
      <w:proofErr w:type="spellEnd"/>
      <w:r w:rsidRPr="0023362E">
        <w:rPr>
          <w:szCs w:val="16"/>
        </w:rPr>
        <w:t xml:space="preserve">. c. No requiere formalidad </w:t>
      </w:r>
      <w:proofErr w:type="gramStart"/>
      <w:r w:rsidRPr="0023362E">
        <w:rPr>
          <w:szCs w:val="16"/>
        </w:rPr>
        <w:t>alguna[</w:t>
      </w:r>
      <w:proofErr w:type="gramEnd"/>
      <w:r w:rsidRPr="0023362E">
        <w:rPr>
          <w:szCs w:val="16"/>
        </w:rPr>
        <w:t xml:space="preserve">.] d. Sobre el Juez recurrido pesa la obligación, bajo responsabilidad penal, de atender la petición sin dilación alguna, constituyéndose al lugar y ordenando la presentación del agraviado. e. El agresor es responsable penalmente si se demuestra el injusto”. </w:t>
      </w:r>
    </w:p>
  </w:footnote>
  <w:footnote w:id="34">
    <w:p w:rsidR="00E65148" w:rsidRPr="0023362E" w:rsidRDefault="00E65148" w:rsidP="00FA45FB">
      <w:pPr>
        <w:tabs>
          <w:tab w:val="left" w:pos="567"/>
          <w:tab w:val="left" w:pos="720"/>
        </w:tabs>
        <w:rPr>
          <w:sz w:val="16"/>
          <w:szCs w:val="16"/>
        </w:rPr>
      </w:pPr>
      <w:r w:rsidRPr="0023362E">
        <w:rPr>
          <w:rStyle w:val="FootnoteReference"/>
          <w:sz w:val="16"/>
          <w:szCs w:val="16"/>
        </w:rPr>
        <w:footnoteRef/>
      </w:r>
      <w:r w:rsidRPr="0023362E">
        <w:rPr>
          <w:sz w:val="16"/>
          <w:szCs w:val="16"/>
        </w:rPr>
        <w:t xml:space="preserve"> </w:t>
      </w:r>
      <w:r w:rsidRPr="0023362E">
        <w:rPr>
          <w:sz w:val="16"/>
          <w:szCs w:val="16"/>
        </w:rPr>
        <w:tab/>
      </w:r>
      <w:r w:rsidRPr="0023362E">
        <w:rPr>
          <w:i/>
          <w:sz w:val="16"/>
          <w:szCs w:val="16"/>
          <w:lang w:val="es-ES_tradnl"/>
        </w:rPr>
        <w:t>Cfr.</w:t>
      </w:r>
      <w:r w:rsidRPr="0023362E">
        <w:rPr>
          <w:bCs/>
          <w:i/>
          <w:color w:val="000000"/>
          <w:sz w:val="16"/>
          <w:szCs w:val="16"/>
          <w:lang w:val="es-CR"/>
        </w:rPr>
        <w:t xml:space="preserve"> El Hábeas Corpus Bajo Suspensión de Garantías (arts. 27.2, 25.1 y 7.6 Convención Americana sobre Derechos Humanos)</w:t>
      </w:r>
      <w:r w:rsidRPr="0023362E">
        <w:rPr>
          <w:bCs/>
          <w:color w:val="000000"/>
          <w:sz w:val="16"/>
          <w:szCs w:val="16"/>
          <w:lang w:val="es-CR"/>
        </w:rPr>
        <w:t>. Opinión Consultiva OC-8/87, del 30 de enero de 1987.</w:t>
      </w:r>
      <w:r w:rsidRPr="0023362E">
        <w:rPr>
          <w:color w:val="000000"/>
          <w:sz w:val="16"/>
          <w:szCs w:val="16"/>
          <w:lang w:val="es-CR"/>
        </w:rPr>
        <w:t xml:space="preserve"> Serie A No. 8, </w:t>
      </w:r>
      <w:proofErr w:type="spellStart"/>
      <w:r w:rsidRPr="0023362E">
        <w:rPr>
          <w:color w:val="000000"/>
          <w:sz w:val="16"/>
          <w:szCs w:val="16"/>
          <w:lang w:val="es-CR"/>
        </w:rPr>
        <w:t>párrs</w:t>
      </w:r>
      <w:proofErr w:type="spellEnd"/>
      <w:r w:rsidRPr="0023362E">
        <w:rPr>
          <w:color w:val="000000"/>
          <w:sz w:val="16"/>
          <w:szCs w:val="16"/>
          <w:lang w:val="es-CR"/>
        </w:rPr>
        <w:t xml:space="preserve">. 33 y 35, y </w:t>
      </w:r>
      <w:r w:rsidRPr="005C119F">
        <w:rPr>
          <w:bCs/>
          <w:i/>
          <w:color w:val="000000"/>
          <w:sz w:val="16"/>
          <w:szCs w:val="16"/>
          <w:lang w:val="es-CR"/>
        </w:rPr>
        <w:t>Caso</w:t>
      </w:r>
      <w:r w:rsidRPr="0023362E">
        <w:rPr>
          <w:bCs/>
          <w:i/>
          <w:color w:val="000000"/>
          <w:sz w:val="16"/>
          <w:szCs w:val="16"/>
          <w:lang w:val="es-CR"/>
        </w:rPr>
        <w:t xml:space="preserve"> </w:t>
      </w:r>
      <w:proofErr w:type="spellStart"/>
      <w:r w:rsidRPr="0023362E">
        <w:rPr>
          <w:bCs/>
          <w:i/>
          <w:color w:val="000000"/>
          <w:sz w:val="16"/>
          <w:szCs w:val="16"/>
          <w:lang w:val="es-CR"/>
        </w:rPr>
        <w:t>Rochac</w:t>
      </w:r>
      <w:proofErr w:type="spellEnd"/>
      <w:r w:rsidRPr="0023362E">
        <w:rPr>
          <w:bCs/>
          <w:i/>
          <w:color w:val="000000"/>
          <w:sz w:val="16"/>
          <w:szCs w:val="16"/>
          <w:lang w:val="es-CR"/>
        </w:rPr>
        <w:t xml:space="preserve"> Hernández y otros Vs. El Salvador</w:t>
      </w:r>
      <w:r w:rsidRPr="0023362E">
        <w:rPr>
          <w:bCs/>
          <w:color w:val="000000"/>
          <w:sz w:val="16"/>
          <w:szCs w:val="16"/>
          <w:lang w:val="es-CR"/>
        </w:rPr>
        <w:t xml:space="preserve">. </w:t>
      </w:r>
      <w:r w:rsidRPr="0023362E">
        <w:rPr>
          <w:bCs/>
          <w:i/>
          <w:color w:val="000000"/>
          <w:sz w:val="16"/>
          <w:szCs w:val="16"/>
          <w:lang w:val="es-CR"/>
        </w:rPr>
        <w:t>Fondo, Reparaciones y Costas</w:t>
      </w:r>
      <w:r w:rsidRPr="0023362E">
        <w:rPr>
          <w:bCs/>
          <w:color w:val="000000"/>
          <w:sz w:val="16"/>
          <w:szCs w:val="16"/>
          <w:lang w:val="es-CR"/>
        </w:rPr>
        <w:t>. Sentencia de 14 de octubre de 2014. Serie C No. 285</w:t>
      </w:r>
      <w:r w:rsidRPr="0023362E">
        <w:rPr>
          <w:color w:val="000000"/>
          <w:sz w:val="16"/>
          <w:szCs w:val="16"/>
          <w:lang w:val="es-CR"/>
        </w:rPr>
        <w:t>, párr. 162.</w:t>
      </w:r>
    </w:p>
  </w:footnote>
  <w:footnote w:id="35">
    <w:p w:rsidR="00E65148" w:rsidRPr="0023362E" w:rsidRDefault="00E65148" w:rsidP="00FA45FB">
      <w:pPr>
        <w:tabs>
          <w:tab w:val="left" w:pos="567"/>
          <w:tab w:val="left" w:pos="720"/>
        </w:tabs>
        <w:rPr>
          <w:i/>
          <w:sz w:val="16"/>
          <w:szCs w:val="16"/>
          <w:lang w:val="es-ES_tradnl"/>
        </w:rPr>
      </w:pPr>
      <w:r w:rsidRPr="0023362E">
        <w:rPr>
          <w:rStyle w:val="FootnoteReference"/>
          <w:sz w:val="16"/>
          <w:szCs w:val="16"/>
        </w:rPr>
        <w:footnoteRef/>
      </w:r>
      <w:r w:rsidRPr="0023362E">
        <w:rPr>
          <w:sz w:val="16"/>
          <w:szCs w:val="16"/>
        </w:rPr>
        <w:t xml:space="preserve"> </w:t>
      </w:r>
      <w:r w:rsidRPr="0023362E">
        <w:rPr>
          <w:sz w:val="16"/>
          <w:szCs w:val="16"/>
        </w:rPr>
        <w:tab/>
      </w:r>
      <w:r w:rsidRPr="0023362E">
        <w:rPr>
          <w:i/>
          <w:sz w:val="16"/>
          <w:szCs w:val="16"/>
          <w:lang w:val="es-ES_tradnl"/>
        </w:rPr>
        <w:t>Cfr</w:t>
      </w:r>
      <w:r w:rsidRPr="00364F39">
        <w:rPr>
          <w:i/>
          <w:sz w:val="16"/>
          <w:szCs w:val="16"/>
          <w:lang w:val="es-ES_tradnl"/>
        </w:rPr>
        <w:t xml:space="preserve">. </w:t>
      </w:r>
      <w:r w:rsidRPr="005C119F">
        <w:rPr>
          <w:i/>
          <w:sz w:val="16"/>
          <w:szCs w:val="16"/>
          <w:lang w:val="es-CR"/>
        </w:rPr>
        <w:t>Caso</w:t>
      </w:r>
      <w:r w:rsidRPr="0023362E">
        <w:rPr>
          <w:i/>
          <w:sz w:val="16"/>
          <w:szCs w:val="16"/>
          <w:lang w:val="es-CR"/>
        </w:rPr>
        <w:t xml:space="preserve"> Velásquez Rodríguez Vs. Honduras</w:t>
      </w:r>
      <w:r w:rsidRPr="0023362E">
        <w:rPr>
          <w:sz w:val="16"/>
          <w:szCs w:val="16"/>
          <w:lang w:val="es-CR"/>
        </w:rPr>
        <w:t xml:space="preserve">. </w:t>
      </w:r>
      <w:r w:rsidRPr="0023362E">
        <w:rPr>
          <w:rFonts w:cs="Verdana"/>
          <w:i/>
          <w:sz w:val="16"/>
          <w:szCs w:val="16"/>
          <w:lang w:val="es-CR" w:bidi="en-US"/>
        </w:rPr>
        <w:t>Fondo</w:t>
      </w:r>
      <w:r w:rsidRPr="0023362E">
        <w:rPr>
          <w:sz w:val="16"/>
          <w:szCs w:val="16"/>
          <w:lang w:val="es-CR"/>
        </w:rPr>
        <w:t xml:space="preserve">, párr. 63, y </w:t>
      </w:r>
      <w:r w:rsidRPr="005C119F">
        <w:rPr>
          <w:bCs/>
          <w:i/>
          <w:color w:val="000000"/>
          <w:sz w:val="16"/>
          <w:szCs w:val="16"/>
          <w:lang w:val="es-CR"/>
        </w:rPr>
        <w:t>Caso</w:t>
      </w:r>
      <w:r w:rsidRPr="0023362E">
        <w:rPr>
          <w:bCs/>
          <w:i/>
          <w:color w:val="000000"/>
          <w:sz w:val="16"/>
          <w:szCs w:val="16"/>
          <w:lang w:val="es-CR"/>
        </w:rPr>
        <w:t xml:space="preserve"> </w:t>
      </w:r>
      <w:proofErr w:type="spellStart"/>
      <w:r w:rsidRPr="0023362E">
        <w:rPr>
          <w:bCs/>
          <w:i/>
          <w:color w:val="000000"/>
          <w:sz w:val="16"/>
          <w:szCs w:val="16"/>
          <w:lang w:val="es-CR"/>
        </w:rPr>
        <w:t>Rochac</w:t>
      </w:r>
      <w:proofErr w:type="spellEnd"/>
      <w:r w:rsidRPr="0023362E">
        <w:rPr>
          <w:bCs/>
          <w:i/>
          <w:color w:val="000000"/>
          <w:sz w:val="16"/>
          <w:szCs w:val="16"/>
          <w:lang w:val="es-CR"/>
        </w:rPr>
        <w:t xml:space="preserve"> Hernández y otros Vs. El Salvador</w:t>
      </w:r>
      <w:r w:rsidRPr="0023362E">
        <w:rPr>
          <w:color w:val="000000"/>
          <w:sz w:val="16"/>
          <w:szCs w:val="16"/>
          <w:lang w:val="es-CR"/>
        </w:rPr>
        <w:t>, párr. 162.</w:t>
      </w:r>
    </w:p>
  </w:footnote>
  <w:footnote w:id="36">
    <w:p w:rsidR="00E65148" w:rsidRPr="0023362E" w:rsidRDefault="00E65148" w:rsidP="00FA45FB">
      <w:pPr>
        <w:pStyle w:val="ListParagraph"/>
        <w:tabs>
          <w:tab w:val="left" w:pos="0"/>
        </w:tabs>
        <w:ind w:left="27"/>
        <w:jc w:val="both"/>
        <w:rPr>
          <w:sz w:val="16"/>
          <w:szCs w:val="16"/>
        </w:rPr>
      </w:pPr>
      <w:r w:rsidRPr="0023362E">
        <w:rPr>
          <w:rStyle w:val="FootnoteReference"/>
          <w:sz w:val="16"/>
          <w:szCs w:val="16"/>
        </w:rPr>
        <w:footnoteRef/>
      </w:r>
      <w:r>
        <w:rPr>
          <w:bCs/>
          <w:i/>
          <w:sz w:val="16"/>
          <w:szCs w:val="16"/>
          <w:lang w:val="es-CR"/>
        </w:rPr>
        <w:t xml:space="preserve"> </w:t>
      </w:r>
      <w:r>
        <w:rPr>
          <w:bCs/>
          <w:i/>
          <w:sz w:val="16"/>
          <w:szCs w:val="16"/>
          <w:lang w:val="es-CR"/>
        </w:rPr>
        <w:tab/>
      </w:r>
      <w:r w:rsidRPr="005C119F">
        <w:rPr>
          <w:bCs/>
          <w:i/>
          <w:sz w:val="16"/>
          <w:szCs w:val="16"/>
          <w:lang w:val="es-CR"/>
        </w:rPr>
        <w:t>Caso</w:t>
      </w:r>
      <w:r w:rsidRPr="0023362E">
        <w:rPr>
          <w:bCs/>
          <w:i/>
          <w:sz w:val="16"/>
          <w:szCs w:val="16"/>
          <w:lang w:val="es-CR"/>
        </w:rPr>
        <w:t xml:space="preserve"> Caballero Delgado y Santana Vs. Colombia. Excepciones Preliminares</w:t>
      </w:r>
      <w:r w:rsidRPr="0023362E">
        <w:rPr>
          <w:bCs/>
          <w:sz w:val="16"/>
          <w:szCs w:val="16"/>
          <w:lang w:val="es-CR"/>
        </w:rPr>
        <w:t>. Sentencia de 21 de enero de 1994. Serie C No. 17</w:t>
      </w:r>
      <w:r w:rsidRPr="0023362E">
        <w:rPr>
          <w:sz w:val="16"/>
          <w:szCs w:val="16"/>
          <w:lang w:val="es-CR"/>
        </w:rPr>
        <w:t xml:space="preserve">, párr. 64. El texto entrecomillado dentro de la transcripción corresponde a los siguientes antecedentes: </w:t>
      </w:r>
      <w:r w:rsidRPr="00867DC1">
        <w:rPr>
          <w:rFonts w:eastAsia="Calibri" w:cs="Verdana"/>
          <w:bCs/>
          <w:i/>
          <w:iCs/>
          <w:sz w:val="16"/>
          <w:szCs w:val="16"/>
          <w:lang w:val="es-CR"/>
        </w:rPr>
        <w:t>Caso</w:t>
      </w:r>
      <w:r w:rsidRPr="0023362E">
        <w:rPr>
          <w:rFonts w:eastAsia="Calibri" w:cs="Verdana"/>
          <w:bCs/>
          <w:i/>
          <w:iCs/>
          <w:sz w:val="16"/>
          <w:szCs w:val="16"/>
          <w:lang w:val="es-CR"/>
        </w:rPr>
        <w:t xml:space="preserve"> Velásquez Rodríguez Vs. Honduras. Fondo</w:t>
      </w:r>
      <w:r w:rsidRPr="0023362E">
        <w:rPr>
          <w:rFonts w:eastAsia="Calibri" w:cs="Verdana"/>
          <w:bCs/>
          <w:iCs/>
          <w:sz w:val="16"/>
          <w:szCs w:val="16"/>
          <w:lang w:val="es-CR"/>
        </w:rPr>
        <w:t>,</w:t>
      </w:r>
      <w:r w:rsidRPr="0023362E">
        <w:rPr>
          <w:rFonts w:eastAsia="Calibri" w:cs="Verdana"/>
          <w:bCs/>
          <w:sz w:val="16"/>
          <w:szCs w:val="16"/>
          <w:lang w:val="es-CR"/>
        </w:rPr>
        <w:t xml:space="preserve"> párr. 65; </w:t>
      </w:r>
      <w:r w:rsidRPr="005C119F">
        <w:rPr>
          <w:rFonts w:eastAsia="Calibri" w:cs="Verdana"/>
          <w:bCs/>
          <w:i/>
          <w:sz w:val="16"/>
          <w:szCs w:val="16"/>
          <w:lang w:val="es-CR"/>
        </w:rPr>
        <w:t>Caso</w:t>
      </w:r>
      <w:r w:rsidRPr="0023362E">
        <w:rPr>
          <w:rFonts w:eastAsia="Calibri" w:cs="Verdana"/>
          <w:bCs/>
          <w:i/>
          <w:sz w:val="16"/>
          <w:szCs w:val="16"/>
          <w:lang w:val="es-CR"/>
        </w:rPr>
        <w:t xml:space="preserve"> Godínez Cruz Vs. Honduras. Fondo.</w:t>
      </w:r>
      <w:r w:rsidRPr="0023362E">
        <w:rPr>
          <w:rFonts w:eastAsia="Calibri" w:cs="Verdana"/>
          <w:bCs/>
          <w:sz w:val="16"/>
          <w:szCs w:val="16"/>
          <w:lang w:val="es-CR"/>
        </w:rPr>
        <w:t xml:space="preserve"> Sentencia de 20 de enero de 1989. Serie C No. 5, párr. 68, y</w:t>
      </w:r>
      <w:r w:rsidRPr="0023362E">
        <w:rPr>
          <w:bCs/>
          <w:sz w:val="16"/>
          <w:szCs w:val="16"/>
          <w:lang w:val="es-CR"/>
        </w:rPr>
        <w:t xml:space="preserve"> </w:t>
      </w:r>
      <w:r w:rsidRPr="005C119F">
        <w:rPr>
          <w:rFonts w:eastAsia="Calibri" w:cs="Verdana"/>
          <w:bCs/>
          <w:i/>
          <w:sz w:val="16"/>
          <w:szCs w:val="16"/>
          <w:lang w:val="es-CR"/>
        </w:rPr>
        <w:t>Caso</w:t>
      </w:r>
      <w:r w:rsidRPr="0023362E">
        <w:rPr>
          <w:rFonts w:eastAsia="Calibri" w:cs="Verdana"/>
          <w:bCs/>
          <w:i/>
          <w:sz w:val="16"/>
          <w:szCs w:val="16"/>
          <w:lang w:val="es-CR"/>
        </w:rPr>
        <w:t xml:space="preserve"> </w:t>
      </w:r>
      <w:proofErr w:type="spellStart"/>
      <w:r w:rsidRPr="0023362E">
        <w:rPr>
          <w:rFonts w:eastAsia="Calibri" w:cs="Verdana"/>
          <w:bCs/>
          <w:i/>
          <w:sz w:val="16"/>
          <w:szCs w:val="16"/>
          <w:lang w:val="es-CR"/>
        </w:rPr>
        <w:t>Fairén</w:t>
      </w:r>
      <w:proofErr w:type="spellEnd"/>
      <w:r w:rsidRPr="0023362E">
        <w:rPr>
          <w:rFonts w:eastAsia="Calibri" w:cs="Verdana"/>
          <w:bCs/>
          <w:i/>
          <w:sz w:val="16"/>
          <w:szCs w:val="16"/>
          <w:lang w:val="es-CR"/>
        </w:rPr>
        <w:t xml:space="preserve"> </w:t>
      </w:r>
      <w:proofErr w:type="spellStart"/>
      <w:r w:rsidRPr="0023362E">
        <w:rPr>
          <w:rFonts w:eastAsia="Calibri" w:cs="Verdana"/>
          <w:bCs/>
          <w:i/>
          <w:sz w:val="16"/>
          <w:szCs w:val="16"/>
          <w:lang w:val="es-CR"/>
        </w:rPr>
        <w:t>Garbi</w:t>
      </w:r>
      <w:proofErr w:type="spellEnd"/>
      <w:r w:rsidRPr="0023362E">
        <w:rPr>
          <w:rFonts w:eastAsia="Calibri" w:cs="Verdana"/>
          <w:bCs/>
          <w:i/>
          <w:sz w:val="16"/>
          <w:szCs w:val="16"/>
          <w:lang w:val="es-CR"/>
        </w:rPr>
        <w:t xml:space="preserve"> y Solís Corrales Vs. Honduras. Fondo</w:t>
      </w:r>
      <w:r w:rsidRPr="0023362E">
        <w:rPr>
          <w:rFonts w:eastAsia="Calibri" w:cs="Verdana"/>
          <w:bCs/>
          <w:sz w:val="16"/>
          <w:szCs w:val="16"/>
          <w:lang w:val="es-CR"/>
        </w:rPr>
        <w:t>. Sentencia de 15 de marzo d</w:t>
      </w:r>
      <w:r>
        <w:rPr>
          <w:rFonts w:eastAsia="Calibri" w:cs="Verdana"/>
          <w:bCs/>
          <w:sz w:val="16"/>
          <w:szCs w:val="16"/>
          <w:lang w:val="es-CR"/>
        </w:rPr>
        <w:t>e 1989. Serie C No. 6, párr. 90</w:t>
      </w:r>
      <w:r w:rsidRPr="0023362E">
        <w:rPr>
          <w:rFonts w:eastAsia="Calibri" w:cs="Verdana"/>
          <w:sz w:val="16"/>
          <w:szCs w:val="16"/>
          <w:lang w:val="es-CR"/>
        </w:rPr>
        <w:t xml:space="preserve">. En su Sentencia sobre el caso </w:t>
      </w:r>
      <w:r w:rsidRPr="0023362E">
        <w:rPr>
          <w:rFonts w:eastAsia="Calibri" w:cs="Verdana"/>
          <w:i/>
          <w:sz w:val="16"/>
          <w:szCs w:val="16"/>
          <w:lang w:val="es-CR"/>
        </w:rPr>
        <w:t>Caballero Delgado y Santana</w:t>
      </w:r>
      <w:r w:rsidRPr="0023362E">
        <w:rPr>
          <w:rFonts w:eastAsia="Calibri" w:cs="Verdana"/>
          <w:sz w:val="16"/>
          <w:szCs w:val="16"/>
          <w:lang w:val="es-CR"/>
        </w:rPr>
        <w:t>, la Corte consideró que “[c]</w:t>
      </w:r>
      <w:proofErr w:type="spellStart"/>
      <w:r w:rsidRPr="0023362E">
        <w:rPr>
          <w:rFonts w:eastAsia="Calibri" w:cs="Verdana"/>
          <w:sz w:val="16"/>
          <w:szCs w:val="16"/>
          <w:lang w:val="es-CR"/>
        </w:rPr>
        <w:t>omo</w:t>
      </w:r>
      <w:proofErr w:type="spellEnd"/>
      <w:r w:rsidRPr="0023362E">
        <w:rPr>
          <w:rFonts w:eastAsia="Calibri" w:cs="Verdana"/>
          <w:sz w:val="16"/>
          <w:szCs w:val="16"/>
          <w:lang w:val="es-CR"/>
        </w:rPr>
        <w:t xml:space="preserve"> el procedimiento ante la Comisión se [había] </w:t>
      </w:r>
      <w:proofErr w:type="spellStart"/>
      <w:proofErr w:type="gramStart"/>
      <w:r w:rsidRPr="0023362E">
        <w:rPr>
          <w:rFonts w:eastAsia="Calibri" w:cs="Verdana"/>
          <w:sz w:val="16"/>
          <w:szCs w:val="16"/>
          <w:lang w:val="es-CR"/>
        </w:rPr>
        <w:t>inici</w:t>
      </w:r>
      <w:proofErr w:type="spellEnd"/>
      <w:r w:rsidRPr="0023362E">
        <w:rPr>
          <w:rFonts w:eastAsia="Calibri" w:cs="Verdana"/>
          <w:sz w:val="16"/>
          <w:szCs w:val="16"/>
          <w:lang w:val="es-CR"/>
        </w:rPr>
        <w:t>[</w:t>
      </w:r>
      <w:proofErr w:type="spellStart"/>
      <w:proofErr w:type="gramEnd"/>
      <w:r w:rsidRPr="0023362E">
        <w:rPr>
          <w:rFonts w:eastAsia="Calibri" w:cs="Verdana"/>
          <w:sz w:val="16"/>
          <w:szCs w:val="16"/>
          <w:lang w:val="es-CR"/>
        </w:rPr>
        <w:t>ado</w:t>
      </w:r>
      <w:proofErr w:type="spellEnd"/>
      <w:r w:rsidRPr="0023362E">
        <w:rPr>
          <w:rFonts w:eastAsia="Calibri" w:cs="Verdana"/>
          <w:sz w:val="16"/>
          <w:szCs w:val="16"/>
          <w:lang w:val="es-CR"/>
        </w:rPr>
        <w:t>…] con posterioridad a la interposición y resolución del recurso de hábeas corpus con resultados negativos, […] los denunciantes cumplieron con lo dispuesto por el artículo 46.1.a) de la Convención, pues agotaron el recurso interno adecuado y efectivo para asuntos de desaparición forzada de personas. Todas las demás instancias internas son materia del fondo del asunto, ya que están relacionadas con la conducta que ha observado Colombia para cumplir con sus obligaciones de protección de los derechos consagrad</w:t>
      </w:r>
      <w:r>
        <w:rPr>
          <w:rFonts w:eastAsia="Calibri" w:cs="Verdana"/>
          <w:sz w:val="16"/>
          <w:szCs w:val="16"/>
          <w:lang w:val="es-CR"/>
        </w:rPr>
        <w:t>os por la Convención”</w:t>
      </w:r>
      <w:r w:rsidRPr="0023362E">
        <w:rPr>
          <w:rFonts w:eastAsia="Calibri" w:cs="Verdana"/>
          <w:sz w:val="16"/>
          <w:szCs w:val="16"/>
          <w:lang w:val="es-CR"/>
        </w:rPr>
        <w:t xml:space="preserve">. Surge de los párrafos anteriores de la Sentencia, en particular de los párrafos 56 a 61, que las “demás instancias internas” aludidas eran aquellas vinculadas a la investigación de los hechos. Es decir que, en esa oportunidad, la Corte entendió que pese a la ausencia de conclusión de la investigación de los hechos, el agotamiento del hábeas corpus resultaba suficiente a efectos de la admisibilidad, pues era el “recurso interno adecuado y efectivo”.  Si bien se trataba de un caso de desaparición forzada de personas, la Corte considera que tal razonamiento por principio puede aplicarse a casos en que las violaciones a derechos humanos alegadas se relacionen directamente con la privación de la libertad personal, sin dejar de considerar las circunstancias de los diversos casos particulares. </w:t>
      </w:r>
    </w:p>
  </w:footnote>
  <w:footnote w:id="37">
    <w:p w:rsidR="00E65148" w:rsidRPr="0023362E" w:rsidRDefault="00E65148" w:rsidP="00FA45FB">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5C119F">
        <w:rPr>
          <w:bCs/>
          <w:i/>
          <w:szCs w:val="16"/>
          <w:lang w:val="es-CR"/>
        </w:rPr>
        <w:t>Caso</w:t>
      </w:r>
      <w:r w:rsidRPr="0023362E">
        <w:rPr>
          <w:bCs/>
          <w:i/>
          <w:szCs w:val="16"/>
          <w:lang w:val="es-CR"/>
        </w:rPr>
        <w:t xml:space="preserve"> Castillo Páez Vs. Perú. Fondo.</w:t>
      </w:r>
      <w:r w:rsidRPr="0023362E">
        <w:rPr>
          <w:bCs/>
          <w:szCs w:val="16"/>
          <w:lang w:val="es-CR"/>
        </w:rPr>
        <w:t xml:space="preserve"> Sentencia de 3 de noviembre de 1997. Serie C No. 34</w:t>
      </w:r>
      <w:r w:rsidRPr="0023362E">
        <w:rPr>
          <w:rFonts w:eastAsia="Calibri" w:cs="Verdana"/>
          <w:szCs w:val="16"/>
          <w:lang w:val="es-CR"/>
        </w:rPr>
        <w:t>, párr. 83, y</w:t>
      </w:r>
      <w:r w:rsidRPr="0023362E">
        <w:rPr>
          <w:rFonts w:eastAsia="Calibri" w:cs="Verdana"/>
          <w:i/>
          <w:szCs w:val="16"/>
          <w:lang w:val="es-CR"/>
        </w:rPr>
        <w:t xml:space="preserve"> </w:t>
      </w:r>
      <w:r w:rsidRPr="005C119F">
        <w:rPr>
          <w:rFonts w:eastAsia="Calibri" w:cs="Verdana"/>
          <w:i/>
          <w:szCs w:val="16"/>
          <w:lang w:val="es-CR"/>
        </w:rPr>
        <w:t>Caso</w:t>
      </w:r>
      <w:r w:rsidRPr="0023362E">
        <w:rPr>
          <w:rFonts w:eastAsia="Calibri" w:cs="Verdana"/>
          <w:szCs w:val="16"/>
          <w:lang w:val="es-CR"/>
        </w:rPr>
        <w:t xml:space="preserve"> </w:t>
      </w:r>
      <w:proofErr w:type="spellStart"/>
      <w:r w:rsidRPr="0023362E">
        <w:rPr>
          <w:rFonts w:eastAsia="Calibri" w:cs="Verdana"/>
          <w:i/>
          <w:szCs w:val="16"/>
          <w:lang w:val="es-CR"/>
        </w:rPr>
        <w:t>Cesti</w:t>
      </w:r>
      <w:proofErr w:type="spellEnd"/>
      <w:r w:rsidRPr="0023362E">
        <w:rPr>
          <w:rFonts w:eastAsia="Calibri" w:cs="Verdana"/>
          <w:i/>
          <w:szCs w:val="16"/>
          <w:lang w:val="es-CR"/>
        </w:rPr>
        <w:t xml:space="preserve"> Hurtado Vs. Perú</w:t>
      </w:r>
      <w:r w:rsidRPr="0023362E">
        <w:rPr>
          <w:rFonts w:eastAsia="Calibri" w:cs="Verdana"/>
          <w:szCs w:val="16"/>
          <w:lang w:val="es-CR"/>
        </w:rPr>
        <w:t xml:space="preserve">. </w:t>
      </w:r>
      <w:r w:rsidRPr="0023362E">
        <w:rPr>
          <w:rFonts w:eastAsia="Calibri" w:cs="Verdana"/>
          <w:i/>
          <w:szCs w:val="16"/>
          <w:lang w:val="es-CR"/>
        </w:rPr>
        <w:t>Fondo.</w:t>
      </w:r>
      <w:r w:rsidRPr="0023362E">
        <w:rPr>
          <w:rFonts w:eastAsia="Calibri" w:cs="Verdana"/>
          <w:szCs w:val="16"/>
          <w:lang w:val="es-CR"/>
        </w:rPr>
        <w:t xml:space="preserve"> Sentencia de 29 de septiembre de 1999. Serie C No. 56,  párr. 121.</w:t>
      </w:r>
      <w:r w:rsidRPr="0023362E">
        <w:rPr>
          <w:rFonts w:eastAsia="Calibri" w:cs="Verdana"/>
          <w:i/>
          <w:szCs w:val="16"/>
          <w:lang w:val="es-CR"/>
        </w:rPr>
        <w:t xml:space="preserve"> </w:t>
      </w:r>
      <w:r w:rsidRPr="0023362E">
        <w:rPr>
          <w:rFonts w:eastAsia="Calibri" w:cs="Verdana"/>
          <w:szCs w:val="16"/>
          <w:lang w:val="es-CR"/>
        </w:rPr>
        <w:t xml:space="preserve"> </w:t>
      </w:r>
    </w:p>
  </w:footnote>
  <w:footnote w:id="38">
    <w:p w:rsidR="00E65148" w:rsidRPr="00A33E0A" w:rsidRDefault="00E65148" w:rsidP="00FA45FB">
      <w:pPr>
        <w:pStyle w:val="FootnoteText"/>
        <w:rPr>
          <w:szCs w:val="16"/>
          <w:lang w:val="es-CR"/>
        </w:rPr>
      </w:pPr>
      <w:r w:rsidRPr="00A33E0A">
        <w:rPr>
          <w:rStyle w:val="FootnoteReference"/>
          <w:szCs w:val="16"/>
        </w:rPr>
        <w:footnoteRef/>
      </w:r>
      <w:r w:rsidRPr="00A33E0A">
        <w:rPr>
          <w:szCs w:val="16"/>
        </w:rPr>
        <w:t xml:space="preserve"> </w:t>
      </w:r>
      <w:r w:rsidRPr="00A33E0A">
        <w:rPr>
          <w:szCs w:val="16"/>
        </w:rPr>
        <w:tab/>
      </w:r>
      <w:r w:rsidRPr="00A33E0A">
        <w:rPr>
          <w:szCs w:val="16"/>
          <w:lang w:val="es-CR"/>
        </w:rPr>
        <w:t xml:space="preserve">TEDH. Tercera Sección. </w:t>
      </w:r>
      <w:proofErr w:type="spellStart"/>
      <w:r w:rsidRPr="00A33E0A">
        <w:rPr>
          <w:i/>
          <w:szCs w:val="16"/>
          <w:lang w:val="es-CR"/>
        </w:rPr>
        <w:t>Grässer</w:t>
      </w:r>
      <w:proofErr w:type="spellEnd"/>
      <w:r w:rsidRPr="00A33E0A">
        <w:rPr>
          <w:i/>
          <w:szCs w:val="16"/>
          <w:lang w:val="es-CR"/>
        </w:rPr>
        <w:t xml:space="preserve"> vs. Alemania</w:t>
      </w:r>
      <w:r w:rsidRPr="00A33E0A">
        <w:rPr>
          <w:szCs w:val="16"/>
          <w:lang w:val="es-CR"/>
        </w:rPr>
        <w:t>. Decisión Final sobre Admisibilidad. 16 de septiembre de 2004.</w:t>
      </w:r>
      <w:r>
        <w:rPr>
          <w:szCs w:val="16"/>
          <w:lang w:val="es-CR"/>
        </w:rPr>
        <w:t xml:space="preserve"> </w:t>
      </w:r>
      <w:r w:rsidRPr="00A33E0A">
        <w:rPr>
          <w:szCs w:val="16"/>
        </w:rPr>
        <w:t xml:space="preserve">En el mismo sentido se ha pronunciado la Comisión, citando jurisprudencia de la Corte Interamericana, en el párrafo 38 del Informe de Admisibilidad relativo al caso </w:t>
      </w:r>
      <w:r>
        <w:rPr>
          <w:i/>
          <w:szCs w:val="16"/>
        </w:rPr>
        <w:t>sub examine.</w:t>
      </w:r>
    </w:p>
  </w:footnote>
  <w:footnote w:id="39">
    <w:p w:rsidR="00E65148" w:rsidRPr="0023362E" w:rsidRDefault="00E65148" w:rsidP="00384601">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23362E">
        <w:rPr>
          <w:szCs w:val="16"/>
          <w:lang w:val="es-CL"/>
        </w:rPr>
        <w:t>Como prueba de lo dicho, en esa oportunidad el señor Galindo presentó una resolución judicial de 21 de enero 1988 en que se negó una acción de hábeas corpus, y dos oficios del 28 de septiembre de 1994 en que el Presidente de la Corte Superior de Huánuco solicitó información al Comando Político Militar de ese Departamento sobre la detención de un secretario de juzgado y dio a conocer tal hecho al Fiscal Provincial de Turno (</w:t>
      </w:r>
      <w:r w:rsidRPr="0023362E">
        <w:rPr>
          <w:i/>
          <w:szCs w:val="16"/>
          <w:lang w:val="es-CL"/>
        </w:rPr>
        <w:t>supra</w:t>
      </w:r>
      <w:r w:rsidRPr="0023362E">
        <w:rPr>
          <w:szCs w:val="16"/>
          <w:lang w:val="es-CL"/>
        </w:rPr>
        <w:t xml:space="preserve"> nota a pie de página </w:t>
      </w:r>
      <w:r>
        <w:rPr>
          <w:szCs w:val="16"/>
          <w:lang w:val="es-CL"/>
        </w:rPr>
        <w:t>24</w:t>
      </w:r>
      <w:r w:rsidRPr="0023362E">
        <w:rPr>
          <w:szCs w:val="16"/>
          <w:lang w:val="es-CL"/>
        </w:rPr>
        <w:t>).</w:t>
      </w:r>
      <w:r w:rsidRPr="0023362E">
        <w:rPr>
          <w:b/>
          <w:szCs w:val="16"/>
          <w:lang w:val="es-CL"/>
        </w:rPr>
        <w:t xml:space="preserve"> </w:t>
      </w:r>
      <w:r w:rsidRPr="0023362E">
        <w:rPr>
          <w:szCs w:val="16"/>
          <w:lang w:val="es-CL"/>
        </w:rPr>
        <w:t>Luego, en un escrito recibido por la Comisión el 21 de octubre de 1996, el señor Galindo reiteró tales argumentos.</w:t>
      </w:r>
      <w:r w:rsidRPr="0023362E">
        <w:rPr>
          <w:b/>
          <w:szCs w:val="16"/>
          <w:lang w:val="es-CL"/>
        </w:rPr>
        <w:t xml:space="preserve"> </w:t>
      </w:r>
    </w:p>
  </w:footnote>
  <w:footnote w:id="40">
    <w:p w:rsidR="00E65148" w:rsidRPr="0023362E" w:rsidRDefault="00E65148" w:rsidP="00FA45FB">
      <w:pPr>
        <w:pStyle w:val="FootnoteText"/>
        <w:rPr>
          <w:szCs w:val="16"/>
          <w:lang w:val="es-CR"/>
        </w:rPr>
      </w:pPr>
      <w:r w:rsidRPr="0023362E">
        <w:rPr>
          <w:rStyle w:val="FootnoteReference"/>
          <w:szCs w:val="16"/>
        </w:rPr>
        <w:footnoteRef/>
      </w:r>
      <w:r w:rsidRPr="0023362E">
        <w:rPr>
          <w:szCs w:val="16"/>
        </w:rPr>
        <w:t xml:space="preserve"> </w:t>
      </w:r>
      <w:r w:rsidRPr="0023362E">
        <w:rPr>
          <w:szCs w:val="16"/>
        </w:rPr>
        <w:tab/>
        <w:t xml:space="preserve">Escrito firmado por la entonces “Coordinadora General” de APRODEH y el señor Galindo, fechado </w:t>
      </w:r>
      <w:r w:rsidRPr="00CC1DCF">
        <w:rPr>
          <w:szCs w:val="16"/>
        </w:rPr>
        <w:t xml:space="preserve">el 9 de enero de 1995, dirigido a la Comisión Interamericana </w:t>
      </w:r>
      <w:r w:rsidRPr="00CC1DCF">
        <w:rPr>
          <w:szCs w:val="16"/>
          <w:lang w:val="es-CL"/>
        </w:rPr>
        <w:t>(expediente de prueba, folio 486).</w:t>
      </w:r>
    </w:p>
  </w:footnote>
  <w:footnote w:id="41">
    <w:p w:rsidR="00E65148" w:rsidRPr="0023362E" w:rsidRDefault="00E65148" w:rsidP="00CA521C">
      <w:pPr>
        <w:pStyle w:val="FootnoteText"/>
        <w:rPr>
          <w:szCs w:val="16"/>
        </w:rPr>
      </w:pPr>
      <w:r w:rsidRPr="0023362E">
        <w:rPr>
          <w:rStyle w:val="FootnoteReference"/>
          <w:szCs w:val="16"/>
        </w:rPr>
        <w:footnoteRef/>
      </w:r>
      <w:r w:rsidRPr="0023362E">
        <w:rPr>
          <w:szCs w:val="16"/>
        </w:rPr>
        <w:t xml:space="preserve">  </w:t>
      </w:r>
      <w:r w:rsidRPr="0023362E">
        <w:rPr>
          <w:szCs w:val="16"/>
        </w:rPr>
        <w:tab/>
        <w:t xml:space="preserve">“Formulario [de] denuncias” llenado por el señor Galindo y recibido por APRODEH el 30 de diciembre de 1994 </w:t>
      </w:r>
      <w:r w:rsidRPr="00154835">
        <w:rPr>
          <w:szCs w:val="16"/>
          <w:lang w:val="es-CL"/>
        </w:rPr>
        <w:t>(</w:t>
      </w:r>
      <w:r>
        <w:rPr>
          <w:szCs w:val="16"/>
          <w:lang w:val="es-CL"/>
        </w:rPr>
        <w:t>e</w:t>
      </w:r>
      <w:r w:rsidRPr="00154835">
        <w:rPr>
          <w:szCs w:val="16"/>
          <w:lang w:val="es-CL"/>
        </w:rPr>
        <w:t xml:space="preserve">xpediente de </w:t>
      </w:r>
      <w:r>
        <w:rPr>
          <w:szCs w:val="16"/>
          <w:lang w:val="es-CL"/>
        </w:rPr>
        <w:t>p</w:t>
      </w:r>
      <w:r w:rsidRPr="00154835">
        <w:rPr>
          <w:szCs w:val="16"/>
          <w:lang w:val="es-CL"/>
        </w:rPr>
        <w:t>rueba</w:t>
      </w:r>
      <w:r>
        <w:rPr>
          <w:szCs w:val="16"/>
          <w:lang w:val="es-CL"/>
        </w:rPr>
        <w:t>,</w:t>
      </w:r>
      <w:r w:rsidRPr="00154835">
        <w:rPr>
          <w:szCs w:val="16"/>
          <w:lang w:val="es-CL"/>
        </w:rPr>
        <w:t xml:space="preserve"> folio 275)</w:t>
      </w:r>
      <w:r>
        <w:rPr>
          <w:szCs w:val="16"/>
          <w:lang w:val="es-CL"/>
        </w:rPr>
        <w:t>.</w:t>
      </w:r>
    </w:p>
  </w:footnote>
  <w:footnote w:id="42">
    <w:p w:rsidR="00E65148" w:rsidRPr="0023362E" w:rsidRDefault="00E65148" w:rsidP="00FA45FB">
      <w:pPr>
        <w:pStyle w:val="FootnoteText"/>
        <w:rPr>
          <w:szCs w:val="16"/>
        </w:rPr>
      </w:pPr>
      <w:r w:rsidRPr="0023362E">
        <w:rPr>
          <w:rStyle w:val="FootnoteReference"/>
          <w:szCs w:val="16"/>
        </w:rPr>
        <w:footnoteRef/>
      </w:r>
      <w:r w:rsidRPr="0023362E">
        <w:rPr>
          <w:szCs w:val="16"/>
        </w:rPr>
        <w:t xml:space="preserve"> </w:t>
      </w:r>
      <w:r w:rsidRPr="0023362E">
        <w:rPr>
          <w:szCs w:val="16"/>
        </w:rPr>
        <w:tab/>
        <w:t xml:space="preserve">Así, </w:t>
      </w:r>
      <w:r w:rsidRPr="0023362E">
        <w:rPr>
          <w:szCs w:val="16"/>
          <w:lang w:val="es-MX"/>
        </w:rPr>
        <w:t>en relación a la detención de un secretario de juzgado referida por el señor Galindo (</w:t>
      </w:r>
      <w:r w:rsidRPr="0023362E">
        <w:rPr>
          <w:i/>
          <w:szCs w:val="16"/>
          <w:lang w:val="es-MX"/>
        </w:rPr>
        <w:t>supra</w:t>
      </w:r>
      <w:r w:rsidRPr="0023362E">
        <w:rPr>
          <w:szCs w:val="16"/>
          <w:lang w:val="es-MX"/>
        </w:rPr>
        <w:t xml:space="preserve"> nota a pie de página </w:t>
      </w:r>
      <w:r>
        <w:rPr>
          <w:szCs w:val="16"/>
          <w:lang w:val="es-MX"/>
        </w:rPr>
        <w:t>24</w:t>
      </w:r>
      <w:r w:rsidRPr="0023362E">
        <w:rPr>
          <w:szCs w:val="16"/>
          <w:lang w:val="es-MX"/>
        </w:rPr>
        <w:t xml:space="preserve">), el Estado manifestó que el señor Galindo “[n]o </w:t>
      </w:r>
      <w:proofErr w:type="spellStart"/>
      <w:proofErr w:type="gramStart"/>
      <w:r w:rsidRPr="0023362E">
        <w:rPr>
          <w:szCs w:val="16"/>
          <w:lang w:val="es-MX"/>
        </w:rPr>
        <w:t>ha</w:t>
      </w:r>
      <w:proofErr w:type="spellEnd"/>
      <w:r w:rsidRPr="0023362E">
        <w:rPr>
          <w:szCs w:val="16"/>
          <w:lang w:val="es-MX"/>
        </w:rPr>
        <w:t>[</w:t>
      </w:r>
      <w:proofErr w:type="spellStart"/>
      <w:proofErr w:type="gramEnd"/>
      <w:r w:rsidRPr="0023362E">
        <w:rPr>
          <w:szCs w:val="16"/>
          <w:lang w:val="es-MX"/>
        </w:rPr>
        <w:t>bía</w:t>
      </w:r>
      <w:proofErr w:type="spellEnd"/>
      <w:r w:rsidRPr="0023362E">
        <w:rPr>
          <w:szCs w:val="16"/>
          <w:lang w:val="es-MX"/>
        </w:rPr>
        <w:t xml:space="preserve">] demostrado […] que las circunstancias que rodearon la mencionada detención permitan suponer un caso de violación a los derechos del mencionado secretario”. </w:t>
      </w:r>
    </w:p>
  </w:footnote>
  <w:footnote w:id="43">
    <w:p w:rsidR="00E65148" w:rsidRPr="0023362E" w:rsidRDefault="00E65148" w:rsidP="009E2748">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23362E">
        <w:rPr>
          <w:i/>
          <w:szCs w:val="16"/>
        </w:rPr>
        <w:t xml:space="preserve">Cfr. </w:t>
      </w:r>
      <w:r w:rsidRPr="005C119F">
        <w:rPr>
          <w:bCs/>
          <w:i/>
          <w:szCs w:val="16"/>
        </w:rPr>
        <w:t>Caso</w:t>
      </w:r>
      <w:r w:rsidRPr="0023362E">
        <w:rPr>
          <w:bCs/>
          <w:i/>
          <w:szCs w:val="16"/>
        </w:rPr>
        <w:t xml:space="preserve"> J. Vs. Perú. Excepciones Preliminares, Fondo, Reparaciones y Costas. </w:t>
      </w:r>
      <w:r w:rsidRPr="0023362E">
        <w:rPr>
          <w:bCs/>
          <w:szCs w:val="16"/>
        </w:rPr>
        <w:t xml:space="preserve">Sentencia de 27 </w:t>
      </w:r>
      <w:r>
        <w:rPr>
          <w:bCs/>
          <w:szCs w:val="16"/>
        </w:rPr>
        <w:t>de noviembre de 2013. Serie C No</w:t>
      </w:r>
      <w:r w:rsidRPr="0023362E">
        <w:rPr>
          <w:bCs/>
          <w:szCs w:val="16"/>
        </w:rPr>
        <w:t>. 275</w:t>
      </w:r>
      <w:r>
        <w:rPr>
          <w:bCs/>
          <w:szCs w:val="16"/>
        </w:rPr>
        <w:t>,</w:t>
      </w:r>
      <w:r w:rsidRPr="0023362E">
        <w:rPr>
          <w:bCs/>
          <w:szCs w:val="16"/>
        </w:rPr>
        <w:t xml:space="preserve"> párr. 23.</w:t>
      </w:r>
    </w:p>
  </w:footnote>
  <w:footnote w:id="44">
    <w:p w:rsidR="00E65148" w:rsidRPr="0023362E" w:rsidRDefault="00E65148" w:rsidP="009E2748">
      <w:pPr>
        <w:pStyle w:val="FootnoteText"/>
        <w:rPr>
          <w:b/>
          <w:szCs w:val="16"/>
        </w:rPr>
      </w:pPr>
      <w:r w:rsidRPr="0023362E">
        <w:rPr>
          <w:rStyle w:val="FootnoteReference"/>
          <w:szCs w:val="16"/>
        </w:rPr>
        <w:footnoteRef/>
      </w:r>
      <w:r w:rsidRPr="0023362E">
        <w:rPr>
          <w:szCs w:val="16"/>
        </w:rPr>
        <w:t xml:space="preserve"> </w:t>
      </w:r>
      <w:r w:rsidRPr="0023362E">
        <w:rPr>
          <w:szCs w:val="16"/>
        </w:rPr>
        <w:tab/>
      </w:r>
      <w:r w:rsidRPr="0023362E">
        <w:rPr>
          <w:i/>
          <w:szCs w:val="16"/>
        </w:rPr>
        <w:t>Cfr</w:t>
      </w:r>
      <w:r w:rsidRPr="00543133">
        <w:rPr>
          <w:i/>
          <w:szCs w:val="16"/>
        </w:rPr>
        <w:t>.</w:t>
      </w:r>
      <w:r w:rsidRPr="005C119F">
        <w:rPr>
          <w:i/>
          <w:szCs w:val="16"/>
        </w:rPr>
        <w:t xml:space="preserve"> Caso</w:t>
      </w:r>
      <w:r w:rsidRPr="0023362E">
        <w:rPr>
          <w:i/>
          <w:szCs w:val="16"/>
        </w:rPr>
        <w:t xml:space="preserve"> de las Masacres de </w:t>
      </w:r>
      <w:proofErr w:type="spellStart"/>
      <w:r w:rsidRPr="0023362E">
        <w:rPr>
          <w:i/>
          <w:szCs w:val="16"/>
        </w:rPr>
        <w:t>Ituango</w:t>
      </w:r>
      <w:proofErr w:type="spellEnd"/>
      <w:r w:rsidRPr="0023362E">
        <w:rPr>
          <w:i/>
          <w:szCs w:val="16"/>
        </w:rPr>
        <w:t xml:space="preserve"> Vs. Colombia. Excepción Preliminar, Fondo, Reparaciones y Costas</w:t>
      </w:r>
      <w:r w:rsidRPr="0023362E">
        <w:rPr>
          <w:szCs w:val="16"/>
        </w:rPr>
        <w:t xml:space="preserve">. Sentencia de 1 de julio de 2006. Serie C No. 148, párr. 98, y </w:t>
      </w:r>
      <w:r w:rsidRPr="00A63089">
        <w:rPr>
          <w:i/>
          <w:szCs w:val="16"/>
        </w:rPr>
        <w:t>Caso</w:t>
      </w:r>
      <w:r w:rsidRPr="0023362E">
        <w:rPr>
          <w:szCs w:val="16"/>
        </w:rPr>
        <w:t xml:space="preserve"> </w:t>
      </w:r>
      <w:r w:rsidRPr="0023362E">
        <w:rPr>
          <w:i/>
          <w:szCs w:val="16"/>
        </w:rPr>
        <w:t xml:space="preserve">Canales </w:t>
      </w:r>
      <w:proofErr w:type="spellStart"/>
      <w:r w:rsidRPr="0023362E">
        <w:rPr>
          <w:i/>
          <w:szCs w:val="16"/>
        </w:rPr>
        <w:t>Huapaya</w:t>
      </w:r>
      <w:proofErr w:type="spellEnd"/>
      <w:r w:rsidRPr="0023362E">
        <w:rPr>
          <w:i/>
          <w:szCs w:val="16"/>
        </w:rPr>
        <w:t xml:space="preserve"> y otros Vs. Perú. Excepciones Preliminares, Fondo, Reparaciones y Costas.</w:t>
      </w:r>
      <w:r w:rsidRPr="0023362E">
        <w:rPr>
          <w:szCs w:val="16"/>
        </w:rPr>
        <w:t xml:space="preserve"> Sentencia de 24 de junio de 2015. Serie C No. 296, párr. 30. </w:t>
      </w:r>
    </w:p>
  </w:footnote>
  <w:footnote w:id="45">
    <w:p w:rsidR="00E65148" w:rsidRPr="0023362E" w:rsidRDefault="00E65148" w:rsidP="009E2748">
      <w:pPr>
        <w:pStyle w:val="FootnoteText"/>
        <w:rPr>
          <w:b/>
          <w:szCs w:val="16"/>
        </w:rPr>
      </w:pPr>
      <w:r w:rsidRPr="0023362E">
        <w:rPr>
          <w:rStyle w:val="FootnoteReference"/>
          <w:szCs w:val="16"/>
        </w:rPr>
        <w:footnoteRef/>
      </w:r>
      <w:r w:rsidRPr="0023362E">
        <w:rPr>
          <w:szCs w:val="16"/>
        </w:rPr>
        <w:t xml:space="preserve"> </w:t>
      </w:r>
      <w:r w:rsidRPr="0023362E">
        <w:rPr>
          <w:szCs w:val="16"/>
        </w:rPr>
        <w:tab/>
      </w:r>
      <w:r w:rsidRPr="0023362E">
        <w:rPr>
          <w:i/>
          <w:szCs w:val="16"/>
        </w:rPr>
        <w:t>Cfr.</w:t>
      </w:r>
      <w:r w:rsidRPr="0023362E">
        <w:rPr>
          <w:szCs w:val="16"/>
        </w:rPr>
        <w:t xml:space="preserve"> </w:t>
      </w:r>
      <w:r w:rsidRPr="005C119F">
        <w:rPr>
          <w:i/>
          <w:szCs w:val="16"/>
        </w:rPr>
        <w:t>Caso</w:t>
      </w:r>
      <w:r w:rsidRPr="0023362E">
        <w:rPr>
          <w:i/>
          <w:szCs w:val="16"/>
        </w:rPr>
        <w:t xml:space="preserve"> García y familiares Vs. Guatemala. Fondo</w:t>
      </w:r>
      <w:r>
        <w:rPr>
          <w:i/>
          <w:szCs w:val="16"/>
        </w:rPr>
        <w:t>,</w:t>
      </w:r>
      <w:r w:rsidRPr="0023362E">
        <w:rPr>
          <w:i/>
          <w:szCs w:val="16"/>
        </w:rPr>
        <w:t xml:space="preserve"> Reparaciones y Costas</w:t>
      </w:r>
      <w:r w:rsidRPr="0023362E">
        <w:rPr>
          <w:szCs w:val="16"/>
        </w:rPr>
        <w:t xml:space="preserve">. Sentencia de 29 noviembre de 2012, Serie C No. 258, párr. 35, y </w:t>
      </w:r>
      <w:r w:rsidRPr="005B21E4">
        <w:rPr>
          <w:i/>
          <w:szCs w:val="16"/>
        </w:rPr>
        <w:t>Caso</w:t>
      </w:r>
      <w:r w:rsidRPr="0023362E">
        <w:rPr>
          <w:szCs w:val="16"/>
        </w:rPr>
        <w:t xml:space="preserve"> </w:t>
      </w:r>
      <w:r w:rsidRPr="0023362E">
        <w:rPr>
          <w:i/>
          <w:szCs w:val="16"/>
        </w:rPr>
        <w:t xml:space="preserve">Canales </w:t>
      </w:r>
      <w:proofErr w:type="spellStart"/>
      <w:r w:rsidRPr="0023362E">
        <w:rPr>
          <w:i/>
          <w:szCs w:val="16"/>
        </w:rPr>
        <w:t>Huapaya</w:t>
      </w:r>
      <w:proofErr w:type="spellEnd"/>
      <w:r w:rsidRPr="0023362E">
        <w:rPr>
          <w:i/>
          <w:szCs w:val="16"/>
        </w:rPr>
        <w:t xml:space="preserve"> y otros Vs. Perú</w:t>
      </w:r>
      <w:r w:rsidRPr="0023362E">
        <w:rPr>
          <w:szCs w:val="16"/>
        </w:rPr>
        <w:t>, párr. 31.</w:t>
      </w:r>
    </w:p>
  </w:footnote>
  <w:footnote w:id="46">
    <w:p w:rsidR="00E65148" w:rsidRPr="0023362E" w:rsidRDefault="00E65148" w:rsidP="009E2748">
      <w:pPr>
        <w:pStyle w:val="FootnoteText"/>
        <w:rPr>
          <w:rFonts w:eastAsia="Calibri"/>
          <w:szCs w:val="16"/>
          <w:lang w:val="es-ES"/>
        </w:rPr>
      </w:pPr>
      <w:r w:rsidRPr="0023362E">
        <w:rPr>
          <w:rStyle w:val="FootnoteReference"/>
          <w:szCs w:val="16"/>
        </w:rPr>
        <w:footnoteRef/>
      </w:r>
      <w:r w:rsidRPr="0023362E">
        <w:rPr>
          <w:szCs w:val="16"/>
        </w:rPr>
        <w:t xml:space="preserve"> </w:t>
      </w:r>
      <w:r w:rsidRPr="0023362E">
        <w:rPr>
          <w:szCs w:val="16"/>
        </w:rPr>
        <w:tab/>
      </w:r>
      <w:r w:rsidRPr="0023362E">
        <w:rPr>
          <w:i/>
          <w:szCs w:val="16"/>
          <w:lang w:val="es-CR"/>
        </w:rPr>
        <w:t>Cfr.</w:t>
      </w:r>
      <w:r w:rsidRPr="0023362E">
        <w:rPr>
          <w:szCs w:val="16"/>
          <w:lang w:val="es-CR"/>
        </w:rPr>
        <w:t xml:space="preserve"> </w:t>
      </w:r>
      <w:r w:rsidRPr="005C119F">
        <w:rPr>
          <w:rStyle w:val="Strong"/>
          <w:b w:val="0"/>
          <w:i/>
          <w:color w:val="000000"/>
          <w:szCs w:val="16"/>
        </w:rPr>
        <w:t>Caso</w:t>
      </w:r>
      <w:r w:rsidRPr="00543133">
        <w:rPr>
          <w:rStyle w:val="Strong"/>
          <w:b w:val="0"/>
          <w:i/>
          <w:color w:val="000000"/>
          <w:szCs w:val="16"/>
        </w:rPr>
        <w:t xml:space="preserve"> </w:t>
      </w:r>
      <w:proofErr w:type="spellStart"/>
      <w:r w:rsidRPr="0023362E">
        <w:rPr>
          <w:rStyle w:val="Strong"/>
          <w:b w:val="0"/>
          <w:i/>
          <w:color w:val="000000"/>
          <w:szCs w:val="16"/>
        </w:rPr>
        <w:t>Artavia</w:t>
      </w:r>
      <w:proofErr w:type="spellEnd"/>
      <w:r w:rsidRPr="0023362E">
        <w:rPr>
          <w:rStyle w:val="Strong"/>
          <w:b w:val="0"/>
          <w:i/>
          <w:color w:val="000000"/>
          <w:szCs w:val="16"/>
        </w:rPr>
        <w:t xml:space="preserve"> Murillo y otros (Fecundación in vitro) Vs. Costa Rica. Excepciones Preliminares, Fondo y Reparaciones y Costas. </w:t>
      </w:r>
      <w:r>
        <w:rPr>
          <w:rStyle w:val="Strong"/>
          <w:b w:val="0"/>
          <w:color w:val="000000"/>
          <w:szCs w:val="16"/>
        </w:rPr>
        <w:t>Sentencia de 28 de n</w:t>
      </w:r>
      <w:r w:rsidRPr="0023362E">
        <w:rPr>
          <w:rStyle w:val="Strong"/>
          <w:b w:val="0"/>
          <w:color w:val="000000"/>
          <w:szCs w:val="16"/>
        </w:rPr>
        <w:t>oviembre de 2012. Serie C No. 257, párr. 40</w:t>
      </w:r>
      <w:r w:rsidRPr="0023362E">
        <w:rPr>
          <w:rFonts w:eastAsia="Calibri"/>
          <w:szCs w:val="16"/>
          <w:lang w:val="es-ES"/>
        </w:rPr>
        <w:t xml:space="preserve">, y </w:t>
      </w:r>
      <w:r w:rsidRPr="008D2D9F">
        <w:rPr>
          <w:rFonts w:eastAsia="Calibri"/>
          <w:i/>
          <w:szCs w:val="16"/>
          <w:lang w:val="es-ES"/>
        </w:rPr>
        <w:t>Caso</w:t>
      </w:r>
      <w:r w:rsidRPr="0023362E">
        <w:rPr>
          <w:rFonts w:eastAsia="Calibri"/>
          <w:i/>
          <w:szCs w:val="16"/>
          <w:lang w:val="es-ES"/>
        </w:rPr>
        <w:t xml:space="preserve"> Pacheco Tineo Vs. Bolivia</w:t>
      </w:r>
      <w:r w:rsidRPr="0023362E">
        <w:rPr>
          <w:rFonts w:eastAsia="Calibri"/>
          <w:szCs w:val="16"/>
          <w:lang w:val="es-ES"/>
        </w:rPr>
        <w:t xml:space="preserve">. </w:t>
      </w:r>
      <w:r w:rsidRPr="00A63089">
        <w:rPr>
          <w:rFonts w:eastAsia="Calibri"/>
          <w:i/>
          <w:szCs w:val="16"/>
          <w:lang w:val="es-ES"/>
        </w:rPr>
        <w:t xml:space="preserve">Excepciones </w:t>
      </w:r>
      <w:r w:rsidRPr="0023362E">
        <w:rPr>
          <w:rFonts w:eastAsia="Calibri"/>
          <w:i/>
          <w:szCs w:val="16"/>
          <w:lang w:val="es-ES"/>
        </w:rPr>
        <w:t>Preliminares, Fondo, Reparaciones y Costas</w:t>
      </w:r>
      <w:r w:rsidRPr="0023362E">
        <w:rPr>
          <w:rFonts w:eastAsia="Calibri"/>
          <w:szCs w:val="16"/>
          <w:lang w:val="es-ES"/>
        </w:rPr>
        <w:t>. Sentencia de 25 de noviembre de 2013. Serie C No. 272, párr. 24.</w:t>
      </w:r>
    </w:p>
  </w:footnote>
  <w:footnote w:id="47">
    <w:p w:rsidR="00E65148" w:rsidRPr="0023362E" w:rsidRDefault="00E65148" w:rsidP="009E2748">
      <w:pPr>
        <w:pStyle w:val="FootnoteText"/>
        <w:rPr>
          <w:szCs w:val="16"/>
        </w:rPr>
      </w:pPr>
      <w:r w:rsidRPr="0023362E">
        <w:rPr>
          <w:rStyle w:val="FootnoteReference"/>
          <w:szCs w:val="16"/>
        </w:rPr>
        <w:footnoteRef/>
      </w:r>
      <w:r w:rsidRPr="0023362E">
        <w:rPr>
          <w:i/>
          <w:szCs w:val="16"/>
        </w:rPr>
        <w:t xml:space="preserve"> </w:t>
      </w:r>
      <w:r w:rsidRPr="0023362E">
        <w:rPr>
          <w:i/>
          <w:szCs w:val="16"/>
        </w:rPr>
        <w:tab/>
        <w:t>Cfr.</w:t>
      </w:r>
      <w:r w:rsidRPr="0023362E">
        <w:rPr>
          <w:szCs w:val="16"/>
        </w:rPr>
        <w:t xml:space="preserve"> </w:t>
      </w:r>
      <w:r w:rsidRPr="005C119F">
        <w:rPr>
          <w:rStyle w:val="Strong"/>
          <w:b w:val="0"/>
          <w:i/>
          <w:color w:val="000000"/>
          <w:szCs w:val="16"/>
          <w:shd w:val="clear" w:color="auto" w:fill="FFFFFF"/>
        </w:rPr>
        <w:t>Caso</w:t>
      </w:r>
      <w:r w:rsidRPr="0023362E">
        <w:rPr>
          <w:rStyle w:val="Strong"/>
          <w:b w:val="0"/>
          <w:color w:val="000000"/>
          <w:szCs w:val="16"/>
          <w:shd w:val="clear" w:color="auto" w:fill="FFFFFF"/>
        </w:rPr>
        <w:t xml:space="preserve"> </w:t>
      </w:r>
      <w:r w:rsidRPr="0023362E">
        <w:rPr>
          <w:rStyle w:val="Strong"/>
          <w:b w:val="0"/>
          <w:i/>
          <w:color w:val="000000"/>
          <w:szCs w:val="16"/>
          <w:shd w:val="clear" w:color="auto" w:fill="FFFFFF"/>
        </w:rPr>
        <w:t xml:space="preserve">de </w:t>
      </w:r>
      <w:r w:rsidRPr="0023362E">
        <w:rPr>
          <w:rStyle w:val="Strong"/>
          <w:rFonts w:eastAsia="Calibri" w:cs="Vrinda"/>
          <w:b w:val="0"/>
          <w:i/>
          <w:spacing w:val="-4"/>
          <w:szCs w:val="16"/>
          <w:lang w:val="es-VE"/>
        </w:rPr>
        <w:t xml:space="preserve">Personas Dominicanas y Haitianas Expulsadas </w:t>
      </w:r>
      <w:r w:rsidRPr="0023362E">
        <w:rPr>
          <w:rStyle w:val="Strong"/>
          <w:b w:val="0"/>
          <w:i/>
          <w:color w:val="000000"/>
          <w:szCs w:val="16"/>
          <w:shd w:val="clear" w:color="auto" w:fill="FFFFFF"/>
        </w:rPr>
        <w:t>Vs. República Dominicana. Excepciones Preliminares, Fondo, Reparaciones y Costas.</w:t>
      </w:r>
      <w:r w:rsidRPr="0023362E">
        <w:rPr>
          <w:rStyle w:val="Strong"/>
          <w:b w:val="0"/>
          <w:color w:val="000000"/>
          <w:szCs w:val="16"/>
          <w:shd w:val="clear" w:color="auto" w:fill="FFFFFF"/>
        </w:rPr>
        <w:t xml:space="preserve">  Sentencia de 28 de agosto de 2014. Serie C No. 282, párr. 107.</w:t>
      </w:r>
    </w:p>
  </w:footnote>
  <w:footnote w:id="48">
    <w:p w:rsidR="00E65148" w:rsidRPr="0023362E" w:rsidRDefault="00E65148" w:rsidP="009E2748">
      <w:pPr>
        <w:pStyle w:val="FootnoteText"/>
        <w:rPr>
          <w:szCs w:val="16"/>
        </w:rPr>
      </w:pPr>
      <w:r w:rsidRPr="0023362E">
        <w:rPr>
          <w:rStyle w:val="FootnoteReference"/>
          <w:szCs w:val="16"/>
        </w:rPr>
        <w:footnoteRef/>
      </w:r>
      <w:r w:rsidRPr="0023362E">
        <w:rPr>
          <w:szCs w:val="16"/>
        </w:rPr>
        <w:t xml:space="preserve"> </w:t>
      </w:r>
      <w:r w:rsidRPr="0023362E">
        <w:rPr>
          <w:szCs w:val="16"/>
        </w:rPr>
        <w:tab/>
        <w:t xml:space="preserve">Los objetos de todas estas declaraciones se encuentran establecidos en Resolución del Presidente de la Corte de 28 de noviembre de 2014, </w:t>
      </w:r>
      <w:r w:rsidRPr="0023362E">
        <w:rPr>
          <w:i/>
          <w:szCs w:val="16"/>
        </w:rPr>
        <w:t xml:space="preserve">supra </w:t>
      </w:r>
      <w:r w:rsidRPr="005C119F">
        <w:rPr>
          <w:szCs w:val="16"/>
        </w:rPr>
        <w:t>nota pie de página 4</w:t>
      </w:r>
      <w:r w:rsidRPr="0023362E">
        <w:rPr>
          <w:szCs w:val="16"/>
        </w:rPr>
        <w:t xml:space="preserve">. </w:t>
      </w:r>
    </w:p>
  </w:footnote>
  <w:footnote w:id="49">
    <w:p w:rsidR="00E65148" w:rsidRPr="0023362E" w:rsidRDefault="00E65148" w:rsidP="009E2748">
      <w:pPr>
        <w:pStyle w:val="FootnoteText"/>
        <w:spacing w:line="19" w:lineRule="atLeast"/>
        <w:ind w:right="-174"/>
        <w:rPr>
          <w:szCs w:val="16"/>
          <w:lang w:val="es-CL"/>
        </w:rPr>
      </w:pPr>
      <w:r w:rsidRPr="0023362E">
        <w:rPr>
          <w:rStyle w:val="FootnoteReference"/>
          <w:szCs w:val="16"/>
        </w:rPr>
        <w:footnoteRef/>
      </w:r>
      <w:r w:rsidRPr="0023362E">
        <w:rPr>
          <w:szCs w:val="16"/>
        </w:rPr>
        <w:t xml:space="preserve"> </w:t>
      </w:r>
      <w:r w:rsidRPr="0023362E">
        <w:rPr>
          <w:szCs w:val="16"/>
        </w:rPr>
        <w:tab/>
      </w:r>
      <w:r w:rsidRPr="0023362E">
        <w:rPr>
          <w:i/>
          <w:szCs w:val="16"/>
          <w:lang w:val="es-CO"/>
        </w:rPr>
        <w:t xml:space="preserve">Cfr. </w:t>
      </w:r>
      <w:r w:rsidRPr="005C119F">
        <w:rPr>
          <w:i/>
          <w:szCs w:val="16"/>
          <w:lang w:val="es-CO"/>
        </w:rPr>
        <w:t>Caso</w:t>
      </w:r>
      <w:r w:rsidRPr="0023362E">
        <w:rPr>
          <w:i/>
          <w:szCs w:val="16"/>
          <w:lang w:val="es-CO"/>
        </w:rPr>
        <w:t xml:space="preserve"> Velásquez Rodríguez Vs. Honduras.</w:t>
      </w:r>
      <w:r w:rsidRPr="0023362E">
        <w:rPr>
          <w:szCs w:val="16"/>
          <w:lang w:val="es-CO"/>
        </w:rPr>
        <w:t xml:space="preserve"> </w:t>
      </w:r>
      <w:r w:rsidRPr="0023362E">
        <w:rPr>
          <w:i/>
          <w:szCs w:val="16"/>
          <w:lang w:val="es-ES"/>
        </w:rPr>
        <w:t>Fondo</w:t>
      </w:r>
      <w:r w:rsidRPr="0023362E">
        <w:rPr>
          <w:szCs w:val="16"/>
          <w:lang w:val="es-ES"/>
        </w:rPr>
        <w:t xml:space="preserve">, párr. 140, </w:t>
      </w:r>
      <w:r w:rsidRPr="0023362E">
        <w:rPr>
          <w:szCs w:val="16"/>
        </w:rPr>
        <w:t xml:space="preserve">y </w:t>
      </w:r>
      <w:r w:rsidRPr="008D2D9F">
        <w:rPr>
          <w:rStyle w:val="Strong"/>
          <w:rFonts w:eastAsia="Calibri"/>
          <w:b w:val="0"/>
          <w:color w:val="000000"/>
          <w:szCs w:val="16"/>
        </w:rPr>
        <w:t>Caso</w:t>
      </w:r>
      <w:r w:rsidRPr="0023362E">
        <w:rPr>
          <w:rStyle w:val="Strong"/>
          <w:rFonts w:eastAsia="Calibri"/>
          <w:b w:val="0"/>
          <w:color w:val="000000"/>
          <w:szCs w:val="16"/>
        </w:rPr>
        <w:t xml:space="preserve"> </w:t>
      </w:r>
      <w:r w:rsidRPr="0023362E">
        <w:rPr>
          <w:rStyle w:val="Strong"/>
          <w:rFonts w:eastAsia="Calibri"/>
          <w:b w:val="0"/>
          <w:i/>
          <w:color w:val="000000"/>
          <w:szCs w:val="16"/>
        </w:rPr>
        <w:t>Omar Humberto Maldonado Vargas y otros Vs. Chile. Fondo, Reparaciones y Costas</w:t>
      </w:r>
      <w:r w:rsidRPr="0023362E">
        <w:rPr>
          <w:rStyle w:val="Strong"/>
          <w:rFonts w:eastAsia="Calibri"/>
          <w:b w:val="0"/>
          <w:color w:val="000000"/>
          <w:szCs w:val="16"/>
        </w:rPr>
        <w:t>. Sentencia de 2 de septiembre de 2015. Serie C No. 300, párr. 12</w:t>
      </w:r>
      <w:r w:rsidRPr="0023362E">
        <w:rPr>
          <w:szCs w:val="16"/>
          <w:lang w:val="es-CL"/>
        </w:rPr>
        <w:t>.</w:t>
      </w:r>
    </w:p>
  </w:footnote>
  <w:footnote w:id="50">
    <w:p w:rsidR="00E65148" w:rsidRPr="0023362E" w:rsidRDefault="00E65148" w:rsidP="009E2748">
      <w:pPr>
        <w:pStyle w:val="FootnoteText"/>
        <w:rPr>
          <w:b/>
          <w:szCs w:val="16"/>
        </w:rPr>
      </w:pPr>
      <w:r w:rsidRPr="0023362E">
        <w:rPr>
          <w:rStyle w:val="FootnoteReference"/>
          <w:szCs w:val="16"/>
        </w:rPr>
        <w:footnoteRef/>
      </w:r>
      <w:r w:rsidRPr="0023362E">
        <w:rPr>
          <w:szCs w:val="16"/>
        </w:rPr>
        <w:t xml:space="preserve"> </w:t>
      </w:r>
      <w:r w:rsidRPr="0023362E">
        <w:rPr>
          <w:szCs w:val="16"/>
        </w:rPr>
        <w:tab/>
        <w:t xml:space="preserve">Las partes y la Comisión presentaron diversos artículos de prensa.  </w:t>
      </w:r>
      <w:r w:rsidRPr="0023362E">
        <w:rPr>
          <w:szCs w:val="16"/>
        </w:rPr>
        <w:tab/>
      </w:r>
    </w:p>
  </w:footnote>
  <w:footnote w:id="51">
    <w:p w:rsidR="00E65148" w:rsidRPr="0023362E" w:rsidRDefault="00E65148" w:rsidP="009E2748">
      <w:pPr>
        <w:pStyle w:val="FootnoteText"/>
        <w:rPr>
          <w:rFonts w:cs="Verdana"/>
          <w:bCs/>
          <w:szCs w:val="16"/>
          <w:lang w:val="es-CR" w:bidi="en-US"/>
        </w:rPr>
      </w:pPr>
      <w:r w:rsidRPr="0023362E">
        <w:rPr>
          <w:rStyle w:val="FootnoteReference"/>
          <w:rFonts w:cs="Times"/>
          <w:szCs w:val="16"/>
        </w:rPr>
        <w:footnoteRef/>
      </w:r>
      <w:r w:rsidRPr="0023362E">
        <w:rPr>
          <w:szCs w:val="16"/>
        </w:rPr>
        <w:t xml:space="preserve"> </w:t>
      </w:r>
      <w:r w:rsidRPr="0023362E">
        <w:rPr>
          <w:szCs w:val="16"/>
        </w:rPr>
        <w:tab/>
      </w:r>
      <w:r w:rsidRPr="0023362E">
        <w:rPr>
          <w:i/>
          <w:szCs w:val="16"/>
          <w:lang w:val="es-ES"/>
        </w:rPr>
        <w:t xml:space="preserve">Cfr. </w:t>
      </w:r>
      <w:r w:rsidRPr="005C119F">
        <w:rPr>
          <w:i/>
          <w:szCs w:val="16"/>
          <w:lang w:val="es-ES"/>
        </w:rPr>
        <w:t>Caso</w:t>
      </w:r>
      <w:r w:rsidRPr="0023362E">
        <w:rPr>
          <w:i/>
          <w:szCs w:val="16"/>
          <w:lang w:val="es-ES"/>
        </w:rPr>
        <w:t xml:space="preserve"> Velásquez Rodríguez. Fondo</w:t>
      </w:r>
      <w:r w:rsidRPr="0023362E">
        <w:rPr>
          <w:szCs w:val="16"/>
        </w:rPr>
        <w:t xml:space="preserve">, </w:t>
      </w:r>
      <w:r w:rsidRPr="0023362E">
        <w:rPr>
          <w:szCs w:val="16"/>
          <w:lang w:val="es-ES"/>
        </w:rPr>
        <w:t xml:space="preserve">párr. </w:t>
      </w:r>
      <w:r w:rsidRPr="0023362E">
        <w:rPr>
          <w:szCs w:val="16"/>
          <w:lang w:val="en-US"/>
        </w:rPr>
        <w:t>146, y</w:t>
      </w:r>
      <w:r w:rsidRPr="0023362E">
        <w:rPr>
          <w:i/>
          <w:szCs w:val="16"/>
          <w:lang w:val="en-US"/>
        </w:rPr>
        <w:t xml:space="preserve"> </w:t>
      </w:r>
      <w:r w:rsidRPr="0023362E">
        <w:rPr>
          <w:bCs/>
          <w:i/>
          <w:szCs w:val="16"/>
          <w:lang w:val="en-US"/>
        </w:rPr>
        <w:t xml:space="preserve">Wong Ho Wing </w:t>
      </w:r>
      <w:proofErr w:type="gramStart"/>
      <w:r w:rsidRPr="0023362E">
        <w:rPr>
          <w:bCs/>
          <w:i/>
          <w:szCs w:val="16"/>
          <w:lang w:val="en-US"/>
        </w:rPr>
        <w:t>Vs</w:t>
      </w:r>
      <w:proofErr w:type="gramEnd"/>
      <w:r w:rsidRPr="0023362E">
        <w:rPr>
          <w:bCs/>
          <w:i/>
          <w:szCs w:val="16"/>
          <w:lang w:val="en-US"/>
        </w:rPr>
        <w:t xml:space="preserve">. </w:t>
      </w:r>
      <w:r w:rsidRPr="0023362E">
        <w:rPr>
          <w:bCs/>
          <w:i/>
          <w:szCs w:val="16"/>
          <w:lang w:val="es-CR"/>
        </w:rPr>
        <w:t>Perú</w:t>
      </w:r>
      <w:r w:rsidRPr="0023362E">
        <w:rPr>
          <w:bCs/>
          <w:szCs w:val="16"/>
          <w:lang w:val="es-CR"/>
        </w:rPr>
        <w:t>, párr. 39</w:t>
      </w:r>
      <w:r w:rsidRPr="0023362E">
        <w:rPr>
          <w:szCs w:val="16"/>
        </w:rPr>
        <w:t xml:space="preserve">. </w:t>
      </w:r>
    </w:p>
  </w:footnote>
  <w:footnote w:id="52">
    <w:p w:rsidR="00E65148" w:rsidRPr="0023362E" w:rsidRDefault="00E65148" w:rsidP="009E2748">
      <w:pPr>
        <w:rPr>
          <w:bCs/>
          <w:sz w:val="16"/>
          <w:szCs w:val="16"/>
        </w:rPr>
      </w:pPr>
      <w:r w:rsidRPr="0023362E">
        <w:rPr>
          <w:rStyle w:val="FootnoteReference"/>
          <w:sz w:val="16"/>
          <w:szCs w:val="16"/>
        </w:rPr>
        <w:footnoteRef/>
      </w:r>
      <w:r w:rsidRPr="0023362E">
        <w:rPr>
          <w:i/>
          <w:sz w:val="16"/>
          <w:szCs w:val="16"/>
        </w:rPr>
        <w:t xml:space="preserve"> </w:t>
      </w:r>
      <w:r w:rsidRPr="0023362E">
        <w:rPr>
          <w:i/>
          <w:sz w:val="16"/>
          <w:szCs w:val="16"/>
        </w:rPr>
        <w:tab/>
        <w:t>Cfr</w:t>
      </w:r>
      <w:r w:rsidRPr="005C119F">
        <w:rPr>
          <w:sz w:val="16"/>
          <w:szCs w:val="16"/>
        </w:rPr>
        <w:t xml:space="preserve">. </w:t>
      </w:r>
      <w:r w:rsidRPr="005C119F">
        <w:rPr>
          <w:i/>
          <w:sz w:val="16"/>
          <w:szCs w:val="16"/>
        </w:rPr>
        <w:t>Caso</w:t>
      </w:r>
      <w:r w:rsidRPr="0023362E">
        <w:rPr>
          <w:i/>
          <w:sz w:val="16"/>
          <w:szCs w:val="16"/>
        </w:rPr>
        <w:t xml:space="preserve"> </w:t>
      </w:r>
      <w:proofErr w:type="spellStart"/>
      <w:r w:rsidRPr="0023362E">
        <w:rPr>
          <w:i/>
          <w:sz w:val="16"/>
          <w:szCs w:val="16"/>
        </w:rPr>
        <w:t>Escué</w:t>
      </w:r>
      <w:proofErr w:type="spellEnd"/>
      <w:r w:rsidRPr="0023362E">
        <w:rPr>
          <w:i/>
          <w:sz w:val="16"/>
          <w:szCs w:val="16"/>
        </w:rPr>
        <w:t xml:space="preserve"> Zapata Vs. Colombia</w:t>
      </w:r>
      <w:r w:rsidRPr="0023362E">
        <w:rPr>
          <w:sz w:val="16"/>
          <w:szCs w:val="16"/>
        </w:rPr>
        <w:t xml:space="preserve">. </w:t>
      </w:r>
      <w:r w:rsidRPr="0023362E">
        <w:rPr>
          <w:i/>
          <w:sz w:val="16"/>
          <w:szCs w:val="16"/>
        </w:rPr>
        <w:t>Fondo, Reparaciones y Costas.</w:t>
      </w:r>
      <w:r w:rsidRPr="0023362E">
        <w:rPr>
          <w:sz w:val="16"/>
          <w:szCs w:val="16"/>
        </w:rPr>
        <w:t xml:space="preserve"> Sentencia de 4 de julio de 2007. Serie C No. 165, párr. 26,</w:t>
      </w:r>
      <w:r w:rsidRPr="0023362E">
        <w:rPr>
          <w:i/>
          <w:sz w:val="16"/>
          <w:szCs w:val="16"/>
        </w:rPr>
        <w:t xml:space="preserve"> </w:t>
      </w:r>
      <w:r w:rsidRPr="0023362E">
        <w:rPr>
          <w:sz w:val="16"/>
          <w:szCs w:val="16"/>
        </w:rPr>
        <w:t>y</w:t>
      </w:r>
      <w:r w:rsidRPr="0023362E">
        <w:rPr>
          <w:i/>
          <w:sz w:val="16"/>
          <w:szCs w:val="16"/>
        </w:rPr>
        <w:t xml:space="preserve"> </w:t>
      </w:r>
      <w:r w:rsidRPr="00A63089">
        <w:rPr>
          <w:rStyle w:val="Strong"/>
          <w:b w:val="0"/>
          <w:i/>
          <w:color w:val="000000"/>
          <w:sz w:val="16"/>
          <w:szCs w:val="16"/>
        </w:rPr>
        <w:t>Caso</w:t>
      </w:r>
      <w:r w:rsidRPr="0023362E">
        <w:rPr>
          <w:rStyle w:val="Strong"/>
          <w:b w:val="0"/>
          <w:i/>
          <w:color w:val="000000"/>
          <w:sz w:val="16"/>
          <w:szCs w:val="16"/>
        </w:rPr>
        <w:t xml:space="preserve"> Omar Humberto Maldonado Vargas y otros Vs. Chile</w:t>
      </w:r>
      <w:r w:rsidRPr="0023362E">
        <w:rPr>
          <w:rStyle w:val="Strong"/>
          <w:b w:val="0"/>
          <w:color w:val="000000"/>
          <w:sz w:val="16"/>
          <w:szCs w:val="16"/>
        </w:rPr>
        <w:t>, párr. 12</w:t>
      </w:r>
      <w:r w:rsidRPr="0023362E">
        <w:rPr>
          <w:sz w:val="16"/>
          <w:szCs w:val="16"/>
        </w:rPr>
        <w:t xml:space="preserve">. </w:t>
      </w:r>
    </w:p>
  </w:footnote>
  <w:footnote w:id="53">
    <w:p w:rsidR="00E65148" w:rsidRPr="0023362E" w:rsidRDefault="00E65148" w:rsidP="00243573">
      <w:pPr>
        <w:pStyle w:val="FootnoteText"/>
        <w:rPr>
          <w:szCs w:val="16"/>
        </w:rPr>
      </w:pPr>
      <w:r w:rsidRPr="0023362E">
        <w:rPr>
          <w:rStyle w:val="FootnoteReference"/>
          <w:szCs w:val="16"/>
        </w:rPr>
        <w:footnoteRef/>
      </w:r>
      <w:r w:rsidRPr="0023362E">
        <w:rPr>
          <w:szCs w:val="16"/>
        </w:rPr>
        <w:t xml:space="preserve"> </w:t>
      </w:r>
      <w:r w:rsidRPr="0023362E">
        <w:rPr>
          <w:szCs w:val="16"/>
        </w:rPr>
        <w:tab/>
        <w:t xml:space="preserve">Dichos documentos son: </w:t>
      </w:r>
      <w:r w:rsidRPr="0023362E">
        <w:rPr>
          <w:szCs w:val="16"/>
          <w:lang w:val="es-CR"/>
        </w:rPr>
        <w:t>Organización de Naciones Unidas. Principios Básicos sobre la Función de los Abogados. Aprobado por el Octavo Congreso de Naciones Unidas sobre la Prevención del Delito y Tratamiento del Delincuente, celebrado en la Habana (Cuba) del 27 de agosto al 7 de septiembre de 1990</w:t>
      </w:r>
      <w:r>
        <w:rPr>
          <w:szCs w:val="16"/>
          <w:lang w:val="es-CR"/>
        </w:rPr>
        <w:t xml:space="preserve"> (</w:t>
      </w:r>
      <w:r>
        <w:rPr>
          <w:szCs w:val="16"/>
        </w:rPr>
        <w:t>e</w:t>
      </w:r>
      <w:r w:rsidRPr="008D2D9F">
        <w:rPr>
          <w:szCs w:val="16"/>
        </w:rPr>
        <w:t xml:space="preserve">xpediente de </w:t>
      </w:r>
      <w:r>
        <w:rPr>
          <w:szCs w:val="16"/>
        </w:rPr>
        <w:t>f</w:t>
      </w:r>
      <w:r w:rsidRPr="008D2D9F">
        <w:rPr>
          <w:szCs w:val="16"/>
        </w:rPr>
        <w:t>ondo, folio 1610</w:t>
      </w:r>
      <w:r>
        <w:rPr>
          <w:szCs w:val="16"/>
        </w:rPr>
        <w:t>)</w:t>
      </w:r>
      <w:r w:rsidRPr="0023362E">
        <w:rPr>
          <w:szCs w:val="16"/>
          <w:lang w:val="es-CR"/>
        </w:rPr>
        <w:t xml:space="preserve">, y el Informe del Relator Especial sobre la independencia de los magistrados y abogados, Leandro </w:t>
      </w:r>
      <w:proofErr w:type="spellStart"/>
      <w:r w:rsidRPr="0023362E">
        <w:rPr>
          <w:szCs w:val="16"/>
          <w:lang w:val="es-CR"/>
        </w:rPr>
        <w:t>Despouy</w:t>
      </w:r>
      <w:proofErr w:type="spellEnd"/>
      <w:r w:rsidRPr="0023362E">
        <w:rPr>
          <w:szCs w:val="16"/>
          <w:lang w:val="es-CR"/>
        </w:rPr>
        <w:t xml:space="preserve">. Consejo </w:t>
      </w:r>
      <w:r>
        <w:rPr>
          <w:szCs w:val="16"/>
          <w:lang w:val="es-CR"/>
        </w:rPr>
        <w:t>de Derechos Humanos. Octavo perí</w:t>
      </w:r>
      <w:r w:rsidRPr="0023362E">
        <w:rPr>
          <w:szCs w:val="16"/>
          <w:lang w:val="es-CR"/>
        </w:rPr>
        <w:t>odo de sesiones.</w:t>
      </w:r>
      <w:r>
        <w:rPr>
          <w:szCs w:val="16"/>
          <w:lang w:val="es-CR"/>
        </w:rPr>
        <w:t xml:space="preserve"> </w:t>
      </w:r>
      <w:r w:rsidRPr="0023362E">
        <w:rPr>
          <w:szCs w:val="16"/>
          <w:lang w:val="es-CR"/>
        </w:rPr>
        <w:t>A/HRC/8/4 de 13 de mayo de 2008</w:t>
      </w:r>
      <w:r>
        <w:rPr>
          <w:szCs w:val="16"/>
          <w:lang w:val="es-CR"/>
        </w:rPr>
        <w:t xml:space="preserve"> </w:t>
      </w:r>
      <w:r>
        <w:rPr>
          <w:szCs w:val="16"/>
        </w:rPr>
        <w:t>(e</w:t>
      </w:r>
      <w:r w:rsidRPr="008D2D9F">
        <w:rPr>
          <w:szCs w:val="16"/>
        </w:rPr>
        <w:t xml:space="preserve">xpediente de </w:t>
      </w:r>
      <w:r>
        <w:rPr>
          <w:szCs w:val="16"/>
        </w:rPr>
        <w:t>f</w:t>
      </w:r>
      <w:r w:rsidRPr="008D2D9F">
        <w:rPr>
          <w:szCs w:val="16"/>
        </w:rPr>
        <w:t>ondo, folio 1619</w:t>
      </w:r>
      <w:r>
        <w:rPr>
          <w:szCs w:val="16"/>
        </w:rPr>
        <w:t>)</w:t>
      </w:r>
      <w:r w:rsidRPr="008D2D9F">
        <w:rPr>
          <w:szCs w:val="16"/>
        </w:rPr>
        <w:t>.</w:t>
      </w:r>
    </w:p>
  </w:footnote>
  <w:footnote w:id="54">
    <w:p w:rsidR="00E65148" w:rsidRPr="0023362E" w:rsidRDefault="00E65148" w:rsidP="009E2748">
      <w:pPr>
        <w:rPr>
          <w:sz w:val="16"/>
          <w:szCs w:val="16"/>
        </w:rPr>
      </w:pPr>
      <w:r w:rsidRPr="00DF3EE2">
        <w:rPr>
          <w:rStyle w:val="FootnoteReference"/>
          <w:sz w:val="16"/>
          <w:szCs w:val="16"/>
        </w:rPr>
        <w:footnoteRef/>
      </w:r>
      <w:r w:rsidRPr="00DF3EE2">
        <w:rPr>
          <w:sz w:val="16"/>
          <w:szCs w:val="16"/>
        </w:rPr>
        <w:t xml:space="preserve"> </w:t>
      </w:r>
      <w:r w:rsidRPr="00DF3EE2">
        <w:rPr>
          <w:sz w:val="16"/>
          <w:szCs w:val="16"/>
        </w:rPr>
        <w:tab/>
        <w:t>Los documentos que fueron presentados por el Estado por primera vez ante esta Secretaría son: carta No. 0142-SI-CMP-2015 de 26 de enero de 2015; oficio Nro. 370-2015-CPsP-SDN/DECANATO de 13 de enero de 2015; Primer Juzgado Penal Unipersonal, Sentencia Nro. 120-2014 de 4 de diciembre de 2014; oficio No. 002-2015-IN/CELA de 15 de enero de 2015; oficio 010-2015-SUNEDU-DS-DDIUyRGT de 22 de enero de 2015; oficio No. 026.2015.ICAH.D de 22 de enero de 2015; oficio No. 015-2015-CAL/SHG de 16 de enero de 2015; oficio No. 060-2015-GG/PJ de 16 de enero de 2015, y oficio No. 1375-2014-UAF-GAD-CSJHN/PJ de 16 de diciembre de 2014.</w:t>
      </w:r>
      <w:r w:rsidRPr="0023362E">
        <w:rPr>
          <w:strike/>
          <w:sz w:val="16"/>
          <w:szCs w:val="16"/>
        </w:rPr>
        <w:t xml:space="preserve"> </w:t>
      </w:r>
    </w:p>
  </w:footnote>
  <w:footnote w:id="55">
    <w:p w:rsidR="00E65148" w:rsidRPr="0023362E" w:rsidRDefault="00E65148" w:rsidP="0073764F">
      <w:pPr>
        <w:rPr>
          <w:sz w:val="16"/>
          <w:szCs w:val="16"/>
        </w:rPr>
      </w:pPr>
      <w:r w:rsidRPr="0023362E">
        <w:rPr>
          <w:rStyle w:val="FootnoteReference"/>
          <w:sz w:val="16"/>
          <w:szCs w:val="16"/>
        </w:rPr>
        <w:footnoteRef/>
      </w:r>
      <w:r w:rsidRPr="0023362E">
        <w:rPr>
          <w:sz w:val="16"/>
          <w:szCs w:val="16"/>
        </w:rPr>
        <w:t xml:space="preserve"> </w:t>
      </w:r>
      <w:r w:rsidRPr="0023362E">
        <w:rPr>
          <w:sz w:val="16"/>
          <w:szCs w:val="16"/>
        </w:rPr>
        <w:tab/>
        <w:t>Cabe señalar que</w:t>
      </w:r>
      <w:r>
        <w:rPr>
          <w:sz w:val="16"/>
          <w:szCs w:val="16"/>
        </w:rPr>
        <w:t xml:space="preserve"> el representante y la Comisión presentaron observaciones a un acta de las 20:00 horas del 15 de octubre de 1994.</w:t>
      </w:r>
      <w:r w:rsidRPr="0023362E">
        <w:rPr>
          <w:sz w:val="16"/>
          <w:szCs w:val="16"/>
        </w:rPr>
        <w:t xml:space="preserve"> </w:t>
      </w:r>
      <w:r>
        <w:rPr>
          <w:sz w:val="16"/>
          <w:szCs w:val="16"/>
        </w:rPr>
        <w:t>E</w:t>
      </w:r>
      <w:r w:rsidRPr="0023362E">
        <w:rPr>
          <w:sz w:val="16"/>
          <w:szCs w:val="16"/>
        </w:rPr>
        <w:t xml:space="preserve">l Estado el 20 de febrero de 2015 presentó como parte de la prueba para mejor resolver el informe de verificación y la carpeta fiscal tramitada en la jurisdicción interna en la cual se incluye dicho informe, en el cual aparecen tres actas de declaración del señor Galindo Cárdenas todas con fecha 15 de octubre de 1994 </w:t>
      </w:r>
      <w:r w:rsidRPr="008D2D9F">
        <w:rPr>
          <w:sz w:val="16"/>
          <w:szCs w:val="16"/>
        </w:rPr>
        <w:t>(</w:t>
      </w:r>
      <w:r>
        <w:rPr>
          <w:sz w:val="16"/>
          <w:szCs w:val="16"/>
        </w:rPr>
        <w:t>e</w:t>
      </w:r>
      <w:r w:rsidRPr="008D2D9F">
        <w:rPr>
          <w:sz w:val="16"/>
          <w:szCs w:val="16"/>
        </w:rPr>
        <w:t xml:space="preserve">xpediente de </w:t>
      </w:r>
      <w:r>
        <w:rPr>
          <w:sz w:val="16"/>
          <w:szCs w:val="16"/>
        </w:rPr>
        <w:t>p</w:t>
      </w:r>
      <w:r w:rsidRPr="008D2D9F">
        <w:rPr>
          <w:sz w:val="16"/>
          <w:szCs w:val="16"/>
        </w:rPr>
        <w:t>rueba, folios 2383</w:t>
      </w:r>
      <w:r>
        <w:rPr>
          <w:sz w:val="16"/>
          <w:szCs w:val="16"/>
        </w:rPr>
        <w:t xml:space="preserve"> a 2396</w:t>
      </w:r>
      <w:r w:rsidRPr="008D2D9F">
        <w:rPr>
          <w:sz w:val="16"/>
          <w:szCs w:val="16"/>
        </w:rPr>
        <w:t>)</w:t>
      </w:r>
      <w:r w:rsidRPr="0023362E">
        <w:rPr>
          <w:sz w:val="16"/>
          <w:szCs w:val="16"/>
        </w:rPr>
        <w:t xml:space="preserve">. Dichos documentos fueron traslados al representante y a la Comisión para que presentaran las observaciones que estimaran pertinentes. En dicha oportunidad procesal el representante no presentó observaciones al respecto. No obstante, el 24 de junio de 2015 el representante remitió en calidad de “prueba extemporánea” varios documentos, de conformidad con el artículo 57.2 del Reglamento de la Corte, dentro de los cuales se encuentran las tres actas citadas y presentó una serie de alegaciones al respecto, entre las cuales manifestó que recién ha tomado conocimiento de estas actas. Dado lo anterior, este Tribunal considera que dichos alegatos así como las solicitudes realizadas por el representante son extemporáneas y, por lo tanto, no son admisibles. Por otra parte, dentro de la documentación presentada el 24 de junio de 2015, presentó </w:t>
      </w:r>
      <w:r>
        <w:rPr>
          <w:sz w:val="16"/>
          <w:szCs w:val="16"/>
        </w:rPr>
        <w:t>un</w:t>
      </w:r>
      <w:r w:rsidRPr="0023362E">
        <w:rPr>
          <w:sz w:val="16"/>
          <w:szCs w:val="16"/>
        </w:rPr>
        <w:t>a declaración indagatoria fiscal ampliatoria rendida el 17 de abril de 2015, por considerar que se trata de un hecho superviviente, la Corte la admite en el acervo probatorio.</w:t>
      </w:r>
    </w:p>
    <w:p w:rsidR="00E65148" w:rsidRPr="0023362E" w:rsidRDefault="00E65148" w:rsidP="009E2748">
      <w:pPr>
        <w:pStyle w:val="FootnoteText"/>
        <w:rPr>
          <w:szCs w:val="16"/>
          <w:lang w:val="es-ES"/>
        </w:rPr>
      </w:pPr>
    </w:p>
  </w:footnote>
  <w:footnote w:id="56">
    <w:p w:rsidR="00E65148" w:rsidRPr="0023362E" w:rsidRDefault="00E65148" w:rsidP="009E2748">
      <w:pPr>
        <w:pStyle w:val="FootnoteText"/>
        <w:rPr>
          <w:szCs w:val="16"/>
          <w:lang w:val="es-CR"/>
        </w:rPr>
      </w:pPr>
      <w:r w:rsidRPr="0023362E">
        <w:rPr>
          <w:rStyle w:val="FootnoteReference"/>
          <w:szCs w:val="16"/>
        </w:rPr>
        <w:footnoteRef/>
      </w:r>
      <w:r w:rsidRPr="0023362E">
        <w:rPr>
          <w:szCs w:val="16"/>
        </w:rPr>
        <w:t xml:space="preserve"> </w:t>
      </w:r>
      <w:r w:rsidRPr="0023362E">
        <w:rPr>
          <w:szCs w:val="16"/>
        </w:rPr>
        <w:tab/>
      </w:r>
      <w:r w:rsidRPr="00F12EFA">
        <w:rPr>
          <w:i/>
          <w:szCs w:val="16"/>
          <w:lang w:val="es-CR"/>
        </w:rPr>
        <w:t>Caso</w:t>
      </w:r>
      <w:r w:rsidRPr="008D2D9F">
        <w:rPr>
          <w:szCs w:val="16"/>
          <w:lang w:val="es-CR"/>
        </w:rPr>
        <w:t xml:space="preserve"> </w:t>
      </w:r>
      <w:proofErr w:type="spellStart"/>
      <w:r w:rsidRPr="0023362E">
        <w:rPr>
          <w:i/>
          <w:szCs w:val="16"/>
          <w:lang w:val="es-CR"/>
        </w:rPr>
        <w:t>Barbani</w:t>
      </w:r>
      <w:proofErr w:type="spellEnd"/>
      <w:r w:rsidRPr="0023362E">
        <w:rPr>
          <w:i/>
          <w:szCs w:val="16"/>
          <w:lang w:val="es-CR"/>
        </w:rPr>
        <w:t xml:space="preserve"> Duarte y Otros Vs. Uruguay</w:t>
      </w:r>
      <w:r w:rsidRPr="0023362E">
        <w:rPr>
          <w:szCs w:val="16"/>
          <w:lang w:val="es-CR"/>
        </w:rPr>
        <w:t xml:space="preserve">. </w:t>
      </w:r>
      <w:r w:rsidRPr="008A3E77">
        <w:rPr>
          <w:rStyle w:val="Strong"/>
          <w:b w:val="0"/>
          <w:i/>
          <w:color w:val="000000"/>
          <w:szCs w:val="16"/>
          <w:shd w:val="clear" w:color="auto" w:fill="FFFFFF"/>
        </w:rPr>
        <w:t>Fondo Reparaciones y costas.</w:t>
      </w:r>
      <w:r w:rsidRPr="0023362E">
        <w:rPr>
          <w:rStyle w:val="Strong"/>
          <w:b w:val="0"/>
          <w:color w:val="000000"/>
          <w:szCs w:val="16"/>
          <w:shd w:val="clear" w:color="auto" w:fill="FFFFFF"/>
        </w:rPr>
        <w:t xml:space="preserve"> Sentencia de 13 de octubre de 2011. Serie C No. 234</w:t>
      </w:r>
      <w:r w:rsidRPr="0023362E">
        <w:rPr>
          <w:szCs w:val="16"/>
          <w:lang w:val="es-CR"/>
        </w:rPr>
        <w:t xml:space="preserve"> párr. 29. </w:t>
      </w:r>
    </w:p>
  </w:footnote>
  <w:footnote w:id="57">
    <w:p w:rsidR="00E65148" w:rsidRPr="0023362E" w:rsidRDefault="00E65148" w:rsidP="009E2748">
      <w:pPr>
        <w:autoSpaceDE w:val="0"/>
        <w:autoSpaceDN w:val="0"/>
        <w:adjustRightInd w:val="0"/>
        <w:spacing w:line="19" w:lineRule="atLeast"/>
        <w:ind w:right="-174"/>
        <w:rPr>
          <w:sz w:val="16"/>
          <w:szCs w:val="16"/>
          <w:lang w:val="es-CR"/>
        </w:rPr>
      </w:pPr>
      <w:r w:rsidRPr="0023362E">
        <w:rPr>
          <w:rStyle w:val="FootnoteReference"/>
          <w:sz w:val="16"/>
          <w:szCs w:val="16"/>
        </w:rPr>
        <w:footnoteRef/>
      </w:r>
      <w:r w:rsidRPr="0023362E">
        <w:rPr>
          <w:sz w:val="16"/>
          <w:szCs w:val="16"/>
          <w:lang w:val="es-CR"/>
        </w:rPr>
        <w:t xml:space="preserve"> </w:t>
      </w:r>
      <w:r w:rsidRPr="0023362E">
        <w:rPr>
          <w:sz w:val="16"/>
          <w:szCs w:val="16"/>
          <w:lang w:val="es-CR"/>
        </w:rPr>
        <w:tab/>
      </w:r>
      <w:r w:rsidRPr="00F12EFA">
        <w:rPr>
          <w:bCs/>
          <w:i/>
          <w:color w:val="000000"/>
          <w:sz w:val="16"/>
          <w:szCs w:val="16"/>
          <w:lang w:val="es-CR"/>
        </w:rPr>
        <w:t>Caso</w:t>
      </w:r>
      <w:r w:rsidRPr="0023362E">
        <w:rPr>
          <w:bCs/>
          <w:i/>
          <w:color w:val="000000"/>
          <w:sz w:val="16"/>
          <w:szCs w:val="16"/>
          <w:lang w:val="es-CR"/>
        </w:rPr>
        <w:t xml:space="preserve"> Cantoral Benavides Vs. Perú. Excepciones Preliminares</w:t>
      </w:r>
      <w:r w:rsidRPr="0023362E">
        <w:rPr>
          <w:bCs/>
          <w:color w:val="000000"/>
          <w:sz w:val="16"/>
          <w:szCs w:val="16"/>
          <w:lang w:val="es-CR"/>
        </w:rPr>
        <w:t xml:space="preserve">. Sentencia de 3 de septiembre de 1998. Serie C No. 40, párr. 30, y </w:t>
      </w:r>
      <w:r>
        <w:rPr>
          <w:bCs/>
          <w:i/>
          <w:color w:val="000000"/>
          <w:sz w:val="16"/>
          <w:szCs w:val="16"/>
          <w:lang w:val="es-CR"/>
        </w:rPr>
        <w:t xml:space="preserve">Caso Wong Ho </w:t>
      </w:r>
      <w:proofErr w:type="spellStart"/>
      <w:r>
        <w:rPr>
          <w:bCs/>
          <w:i/>
          <w:color w:val="000000"/>
          <w:sz w:val="16"/>
          <w:szCs w:val="16"/>
          <w:lang w:val="es-CR"/>
        </w:rPr>
        <w:t>Wing</w:t>
      </w:r>
      <w:proofErr w:type="spellEnd"/>
      <w:r>
        <w:rPr>
          <w:bCs/>
          <w:i/>
          <w:color w:val="000000"/>
          <w:sz w:val="16"/>
          <w:szCs w:val="16"/>
          <w:lang w:val="es-CR"/>
        </w:rPr>
        <w:t xml:space="preserve"> V</w:t>
      </w:r>
      <w:r w:rsidRPr="0023362E">
        <w:rPr>
          <w:bCs/>
          <w:i/>
          <w:color w:val="000000"/>
          <w:sz w:val="16"/>
          <w:szCs w:val="16"/>
          <w:lang w:val="es-CR"/>
        </w:rPr>
        <w:t>s</w:t>
      </w:r>
      <w:r>
        <w:rPr>
          <w:bCs/>
          <w:i/>
          <w:color w:val="000000"/>
          <w:sz w:val="16"/>
          <w:szCs w:val="16"/>
          <w:lang w:val="es-CR"/>
        </w:rPr>
        <w:t>.</w:t>
      </w:r>
      <w:r w:rsidRPr="0023362E">
        <w:rPr>
          <w:bCs/>
          <w:i/>
          <w:color w:val="000000"/>
          <w:sz w:val="16"/>
          <w:szCs w:val="16"/>
          <w:lang w:val="es-CR"/>
        </w:rPr>
        <w:t xml:space="preserve"> Perú</w:t>
      </w:r>
      <w:r w:rsidRPr="0023362E">
        <w:rPr>
          <w:bCs/>
          <w:color w:val="000000"/>
          <w:sz w:val="16"/>
          <w:szCs w:val="16"/>
          <w:lang w:val="es-CR"/>
        </w:rPr>
        <w:t>, párr. 51.</w:t>
      </w:r>
    </w:p>
  </w:footnote>
  <w:footnote w:id="58">
    <w:p w:rsidR="00E65148" w:rsidRPr="0023362E" w:rsidRDefault="00E65148" w:rsidP="009E2748">
      <w:pPr>
        <w:pStyle w:val="FootnoteText"/>
        <w:spacing w:line="19" w:lineRule="atLeast"/>
        <w:ind w:right="-174"/>
        <w:rPr>
          <w:szCs w:val="16"/>
        </w:rPr>
      </w:pPr>
      <w:r w:rsidRPr="0023362E">
        <w:rPr>
          <w:rStyle w:val="FootnoteReference"/>
          <w:szCs w:val="16"/>
        </w:rPr>
        <w:footnoteRef/>
      </w:r>
      <w:r>
        <w:rPr>
          <w:bCs/>
          <w:i/>
          <w:color w:val="000000"/>
          <w:szCs w:val="16"/>
          <w:lang w:val="es-CR"/>
        </w:rPr>
        <w:t xml:space="preserve"> </w:t>
      </w:r>
      <w:r>
        <w:rPr>
          <w:bCs/>
          <w:i/>
          <w:color w:val="000000"/>
          <w:szCs w:val="16"/>
          <w:lang w:val="es-CR"/>
        </w:rPr>
        <w:tab/>
      </w:r>
      <w:r w:rsidRPr="00F12EFA">
        <w:rPr>
          <w:bCs/>
          <w:i/>
          <w:color w:val="000000"/>
          <w:szCs w:val="16"/>
          <w:lang w:val="es-CR"/>
        </w:rPr>
        <w:t>Caso</w:t>
      </w:r>
      <w:r>
        <w:rPr>
          <w:bCs/>
          <w:i/>
          <w:color w:val="000000"/>
          <w:szCs w:val="16"/>
          <w:lang w:val="es-CR"/>
        </w:rPr>
        <w:t xml:space="preserve"> Díaz Peña V</w:t>
      </w:r>
      <w:r w:rsidRPr="0023362E">
        <w:rPr>
          <w:bCs/>
          <w:i/>
          <w:color w:val="000000"/>
          <w:szCs w:val="16"/>
          <w:lang w:val="es-CR"/>
        </w:rPr>
        <w:t xml:space="preserve">s. Venezuela. </w:t>
      </w:r>
      <w:r w:rsidRPr="00A63089">
        <w:rPr>
          <w:rStyle w:val="Strong"/>
          <w:b w:val="0"/>
          <w:i/>
          <w:color w:val="000000"/>
          <w:szCs w:val="16"/>
          <w:shd w:val="clear" w:color="auto" w:fill="FFFFFF"/>
        </w:rPr>
        <w:t>Excepción Preliminar, Fondo, Reparaciones y Costas</w:t>
      </w:r>
      <w:r w:rsidRPr="0023362E">
        <w:rPr>
          <w:rStyle w:val="Strong"/>
          <w:b w:val="0"/>
          <w:color w:val="000000"/>
          <w:szCs w:val="16"/>
          <w:shd w:val="clear" w:color="auto" w:fill="FFFFFF"/>
        </w:rPr>
        <w:t>. Sentencia de 26 de junio de 2012. Serie C No. 244</w:t>
      </w:r>
      <w:r>
        <w:rPr>
          <w:bCs/>
          <w:color w:val="000000"/>
          <w:szCs w:val="16"/>
          <w:lang w:val="es-CR"/>
        </w:rPr>
        <w:t xml:space="preserve">, párr. 33, y </w:t>
      </w:r>
      <w:r w:rsidRPr="00A57806">
        <w:rPr>
          <w:bCs/>
          <w:i/>
          <w:color w:val="000000"/>
          <w:szCs w:val="16"/>
          <w:lang w:val="es-CR"/>
        </w:rPr>
        <w:t xml:space="preserve">Caso </w:t>
      </w:r>
      <w:r>
        <w:rPr>
          <w:bCs/>
          <w:i/>
          <w:color w:val="000000"/>
          <w:szCs w:val="16"/>
          <w:lang w:val="es-CR"/>
        </w:rPr>
        <w:t xml:space="preserve">Wong Ho </w:t>
      </w:r>
      <w:proofErr w:type="spellStart"/>
      <w:r>
        <w:rPr>
          <w:bCs/>
          <w:i/>
          <w:color w:val="000000"/>
          <w:szCs w:val="16"/>
          <w:lang w:val="es-CR"/>
        </w:rPr>
        <w:t>Wing</w:t>
      </w:r>
      <w:proofErr w:type="spellEnd"/>
      <w:r>
        <w:rPr>
          <w:bCs/>
          <w:i/>
          <w:color w:val="000000"/>
          <w:szCs w:val="16"/>
          <w:lang w:val="es-CR"/>
        </w:rPr>
        <w:t xml:space="preserve"> V</w:t>
      </w:r>
      <w:r w:rsidRPr="0023362E">
        <w:rPr>
          <w:bCs/>
          <w:i/>
          <w:color w:val="000000"/>
          <w:szCs w:val="16"/>
          <w:lang w:val="es-CR"/>
        </w:rPr>
        <w:t>s. Perú</w:t>
      </w:r>
      <w:r w:rsidRPr="0023362E">
        <w:rPr>
          <w:bCs/>
          <w:color w:val="000000"/>
          <w:szCs w:val="16"/>
          <w:lang w:val="es-CR"/>
        </w:rPr>
        <w:t>, párr. 51.</w:t>
      </w:r>
    </w:p>
  </w:footnote>
  <w:footnote w:id="59">
    <w:p w:rsidR="00E65148" w:rsidRPr="0023362E" w:rsidRDefault="00E65148" w:rsidP="009E2748">
      <w:pPr>
        <w:pStyle w:val="Footnotes"/>
        <w:tabs>
          <w:tab w:val="left" w:pos="426"/>
        </w:tabs>
        <w:spacing w:before="0" w:after="0"/>
        <w:jc w:val="both"/>
        <w:rPr>
          <w:szCs w:val="16"/>
        </w:rPr>
      </w:pPr>
      <w:r w:rsidRPr="0023362E">
        <w:rPr>
          <w:rStyle w:val="FootnoteReference"/>
          <w:szCs w:val="16"/>
        </w:rPr>
        <w:footnoteRef/>
      </w:r>
      <w:r w:rsidRPr="0023362E">
        <w:rPr>
          <w:szCs w:val="16"/>
          <w:vertAlign w:val="superscript"/>
        </w:rPr>
        <w:t xml:space="preserve"> </w:t>
      </w:r>
      <w:r w:rsidRPr="0023362E">
        <w:rPr>
          <w:szCs w:val="16"/>
        </w:rPr>
        <w:tab/>
      </w:r>
      <w:r w:rsidRPr="0023362E">
        <w:rPr>
          <w:i/>
          <w:szCs w:val="16"/>
        </w:rPr>
        <w:t>Cfr</w:t>
      </w:r>
      <w:r w:rsidRPr="008D2D9F">
        <w:rPr>
          <w:szCs w:val="16"/>
        </w:rPr>
        <w:t>.</w:t>
      </w:r>
      <w:r w:rsidRPr="008D2D9F">
        <w:rPr>
          <w:b/>
          <w:bCs/>
          <w:szCs w:val="16"/>
        </w:rPr>
        <w:t xml:space="preserve"> </w:t>
      </w:r>
      <w:r w:rsidRPr="005C119F">
        <w:rPr>
          <w:i/>
          <w:szCs w:val="16"/>
        </w:rPr>
        <w:t>Caso</w:t>
      </w:r>
      <w:r w:rsidRPr="0023362E">
        <w:rPr>
          <w:i/>
          <w:szCs w:val="16"/>
        </w:rPr>
        <w:t xml:space="preserve"> de la “Panel Blanca” (Paniagua Morales y otros) Vs. Guatemala. Fondo. </w:t>
      </w:r>
      <w:r w:rsidRPr="0023362E">
        <w:rPr>
          <w:szCs w:val="16"/>
        </w:rPr>
        <w:t>Sentencia de 8 de marzo de 19</w:t>
      </w:r>
      <w:r>
        <w:rPr>
          <w:szCs w:val="16"/>
        </w:rPr>
        <w:t xml:space="preserve">98. Serie C No. 37, </w:t>
      </w:r>
      <w:proofErr w:type="spellStart"/>
      <w:r>
        <w:rPr>
          <w:szCs w:val="16"/>
        </w:rPr>
        <w:t>párrs</w:t>
      </w:r>
      <w:proofErr w:type="spellEnd"/>
      <w:r>
        <w:rPr>
          <w:szCs w:val="16"/>
        </w:rPr>
        <w:t>. 69 a</w:t>
      </w:r>
      <w:r w:rsidRPr="0023362E">
        <w:rPr>
          <w:szCs w:val="16"/>
        </w:rPr>
        <w:t xml:space="preserve"> 76, y </w:t>
      </w:r>
      <w:r w:rsidRPr="00F12EFA">
        <w:rPr>
          <w:bCs/>
          <w:i/>
          <w:szCs w:val="16"/>
          <w:lang w:val="es-CR"/>
        </w:rPr>
        <w:t>Caso</w:t>
      </w:r>
      <w:r w:rsidRPr="0023362E">
        <w:rPr>
          <w:bCs/>
          <w:i/>
          <w:szCs w:val="16"/>
          <w:lang w:val="es-CR"/>
        </w:rPr>
        <w:t xml:space="preserve"> Omar Humber</w:t>
      </w:r>
      <w:r>
        <w:rPr>
          <w:bCs/>
          <w:i/>
          <w:szCs w:val="16"/>
          <w:lang w:val="es-CR"/>
        </w:rPr>
        <w:t>to Maldonado Vargas y otros V</w:t>
      </w:r>
      <w:r w:rsidRPr="0023362E">
        <w:rPr>
          <w:bCs/>
          <w:i/>
          <w:szCs w:val="16"/>
          <w:lang w:val="es-CR"/>
        </w:rPr>
        <w:t>s</w:t>
      </w:r>
      <w:r>
        <w:rPr>
          <w:bCs/>
          <w:i/>
          <w:szCs w:val="16"/>
          <w:lang w:val="es-CR"/>
        </w:rPr>
        <w:t>.</w:t>
      </w:r>
      <w:r w:rsidRPr="0023362E">
        <w:rPr>
          <w:bCs/>
          <w:i/>
          <w:szCs w:val="16"/>
          <w:lang w:val="es-CR"/>
        </w:rPr>
        <w:t xml:space="preserve"> Chile</w:t>
      </w:r>
      <w:r w:rsidRPr="0023362E">
        <w:rPr>
          <w:bCs/>
          <w:szCs w:val="16"/>
          <w:lang w:val="es-CR"/>
        </w:rPr>
        <w:t>, párr. 16.</w:t>
      </w:r>
    </w:p>
  </w:footnote>
  <w:footnote w:id="60">
    <w:p w:rsidR="00E65148" w:rsidRPr="0023362E" w:rsidRDefault="00E65148" w:rsidP="009E2748">
      <w:pPr>
        <w:pStyle w:val="FootnoteText"/>
        <w:tabs>
          <w:tab w:val="left" w:pos="426"/>
        </w:tabs>
        <w:rPr>
          <w:i/>
          <w:spacing w:val="-4"/>
          <w:szCs w:val="16"/>
          <w:lang w:val="es-ES"/>
        </w:rPr>
      </w:pPr>
      <w:r w:rsidRPr="0023362E">
        <w:rPr>
          <w:rStyle w:val="FootnoteReference"/>
          <w:spacing w:val="-4"/>
          <w:szCs w:val="16"/>
        </w:rPr>
        <w:footnoteRef/>
      </w:r>
      <w:r w:rsidRPr="0023362E">
        <w:rPr>
          <w:spacing w:val="-4"/>
          <w:szCs w:val="16"/>
          <w:vertAlign w:val="superscript"/>
        </w:rPr>
        <w:t xml:space="preserve"> </w:t>
      </w:r>
      <w:r w:rsidRPr="0023362E">
        <w:rPr>
          <w:spacing w:val="-4"/>
          <w:szCs w:val="16"/>
        </w:rPr>
        <w:tab/>
      </w:r>
      <w:r w:rsidRPr="0023362E">
        <w:rPr>
          <w:i/>
          <w:spacing w:val="-4"/>
          <w:szCs w:val="16"/>
        </w:rPr>
        <w:t>Cfr</w:t>
      </w:r>
      <w:r w:rsidRPr="0023362E">
        <w:rPr>
          <w:spacing w:val="-4"/>
          <w:szCs w:val="16"/>
        </w:rPr>
        <w:t>.</w:t>
      </w:r>
      <w:r w:rsidRPr="0023362E">
        <w:rPr>
          <w:b/>
          <w:spacing w:val="-4"/>
          <w:szCs w:val="16"/>
        </w:rPr>
        <w:t xml:space="preserve"> </w:t>
      </w:r>
      <w:r w:rsidRPr="00F12EFA">
        <w:rPr>
          <w:i/>
          <w:spacing w:val="-4"/>
          <w:szCs w:val="16"/>
          <w:lang w:val="es-ES"/>
        </w:rPr>
        <w:t>Caso</w:t>
      </w:r>
      <w:r w:rsidRPr="0023362E">
        <w:rPr>
          <w:i/>
          <w:spacing w:val="-4"/>
          <w:szCs w:val="16"/>
          <w:lang w:val="es-ES"/>
        </w:rPr>
        <w:t xml:space="preserve"> de la “Panel Blanca” (Paniagua Morales y otros) Vs. Guatemala. Fondo</w:t>
      </w:r>
      <w:r w:rsidRPr="0023362E">
        <w:rPr>
          <w:spacing w:val="-4"/>
          <w:szCs w:val="16"/>
          <w:lang w:val="es-ES"/>
        </w:rPr>
        <w:t xml:space="preserve">, párr. 76, </w:t>
      </w:r>
      <w:r w:rsidRPr="0023362E">
        <w:rPr>
          <w:spacing w:val="-4"/>
          <w:szCs w:val="16"/>
        </w:rPr>
        <w:t xml:space="preserve">y </w:t>
      </w:r>
      <w:r w:rsidRPr="00F12EFA">
        <w:rPr>
          <w:bCs/>
          <w:i/>
          <w:szCs w:val="16"/>
          <w:lang w:val="es-CR"/>
        </w:rPr>
        <w:t>Caso</w:t>
      </w:r>
      <w:r w:rsidRPr="00CF4A86">
        <w:rPr>
          <w:bCs/>
          <w:i/>
          <w:szCs w:val="16"/>
          <w:lang w:val="es-CR"/>
        </w:rPr>
        <w:t xml:space="preserve"> </w:t>
      </w:r>
      <w:r w:rsidRPr="0023362E">
        <w:rPr>
          <w:bCs/>
          <w:i/>
          <w:szCs w:val="16"/>
          <w:lang w:val="es-CR"/>
        </w:rPr>
        <w:t>Omar Hum</w:t>
      </w:r>
      <w:r>
        <w:rPr>
          <w:bCs/>
          <w:i/>
          <w:szCs w:val="16"/>
          <w:lang w:val="es-CR"/>
        </w:rPr>
        <w:t>berto Maldonado Vargas y otros V</w:t>
      </w:r>
      <w:r w:rsidRPr="0023362E">
        <w:rPr>
          <w:bCs/>
          <w:i/>
          <w:szCs w:val="16"/>
          <w:lang w:val="es-CR"/>
        </w:rPr>
        <w:t>s</w:t>
      </w:r>
      <w:r>
        <w:rPr>
          <w:bCs/>
          <w:i/>
          <w:szCs w:val="16"/>
          <w:lang w:val="es-CR"/>
        </w:rPr>
        <w:t>.</w:t>
      </w:r>
      <w:r w:rsidRPr="0023362E">
        <w:rPr>
          <w:bCs/>
          <w:i/>
          <w:szCs w:val="16"/>
          <w:lang w:val="es-CR"/>
        </w:rPr>
        <w:t xml:space="preserve"> Chile</w:t>
      </w:r>
      <w:r w:rsidRPr="0023362E">
        <w:rPr>
          <w:bCs/>
          <w:szCs w:val="16"/>
          <w:lang w:val="es-CR"/>
        </w:rPr>
        <w:t>, párr. 16</w:t>
      </w:r>
      <w:r w:rsidRPr="0023362E">
        <w:rPr>
          <w:spacing w:val="-4"/>
          <w:szCs w:val="16"/>
          <w:lang w:val="es-CR"/>
        </w:rPr>
        <w:t>.</w:t>
      </w:r>
    </w:p>
  </w:footnote>
  <w:footnote w:id="61">
    <w:p w:rsidR="00E65148" w:rsidRPr="0023362E" w:rsidRDefault="00E65148" w:rsidP="009E2748">
      <w:pPr>
        <w:pStyle w:val="FootnoteText"/>
        <w:rPr>
          <w:szCs w:val="16"/>
        </w:rPr>
      </w:pPr>
      <w:r w:rsidRPr="0023362E">
        <w:rPr>
          <w:rStyle w:val="FootnoteReference"/>
          <w:szCs w:val="16"/>
        </w:rPr>
        <w:footnoteRef/>
      </w:r>
      <w:r w:rsidRPr="0023362E">
        <w:rPr>
          <w:szCs w:val="16"/>
        </w:rPr>
        <w:t xml:space="preserve"> </w:t>
      </w:r>
      <w:r w:rsidRPr="0023362E">
        <w:rPr>
          <w:szCs w:val="16"/>
        </w:rPr>
        <w:tab/>
        <w:t xml:space="preserve">La Comisión, en el Informe de Fondo, </w:t>
      </w:r>
      <w:r w:rsidRPr="0023362E">
        <w:rPr>
          <w:szCs w:val="16"/>
          <w:lang w:val="es-ES"/>
        </w:rPr>
        <w:t xml:space="preserve">hizo alusión a aspectos de contexto, tal como al conflicto entre “grupos armados al margen de la ley” y “fuerzas policiales y militares” que tuvo lugar a partir de 1980. </w:t>
      </w:r>
      <w:r w:rsidRPr="008D2D9F">
        <w:rPr>
          <w:szCs w:val="16"/>
          <w:lang w:val="es-ES"/>
        </w:rPr>
        <w:t>(</w:t>
      </w:r>
      <w:r>
        <w:rPr>
          <w:szCs w:val="16"/>
          <w:lang w:val="es-ES"/>
        </w:rPr>
        <w:t>e</w:t>
      </w:r>
      <w:r w:rsidRPr="008D2D9F">
        <w:rPr>
          <w:szCs w:val="16"/>
          <w:lang w:val="es-ES"/>
        </w:rPr>
        <w:t>xpediente de Fondo, folio 21)</w:t>
      </w:r>
      <w:r>
        <w:rPr>
          <w:szCs w:val="16"/>
          <w:lang w:val="es-ES"/>
        </w:rPr>
        <w:t>.</w:t>
      </w:r>
      <w:r w:rsidRPr="0023362E">
        <w:rPr>
          <w:szCs w:val="16"/>
          <w:lang w:val="es-ES"/>
        </w:rPr>
        <w:t xml:space="preserve"> Hizo así referencia al “uso deliberado del terror” y “acciones delictivas” de los primeros, como también a “graves violaciones de derechos</w:t>
      </w:r>
      <w:r>
        <w:rPr>
          <w:szCs w:val="16"/>
          <w:lang w:val="es-ES"/>
        </w:rPr>
        <w:t xml:space="preserve"> humanos” de los segundos </w:t>
      </w:r>
      <w:r w:rsidRPr="008D2D9F">
        <w:rPr>
          <w:szCs w:val="16"/>
          <w:lang w:val="es-ES"/>
        </w:rPr>
        <w:t>(Expediente de Fondo, folios 21 y 22)</w:t>
      </w:r>
      <w:r w:rsidRPr="0023362E">
        <w:rPr>
          <w:b/>
          <w:szCs w:val="16"/>
          <w:lang w:val="es-ES"/>
        </w:rPr>
        <w:t xml:space="preserve"> </w:t>
      </w:r>
      <w:r w:rsidRPr="0023362E">
        <w:rPr>
          <w:szCs w:val="16"/>
          <w:lang w:val="es-ES"/>
        </w:rPr>
        <w:t>Respecto a la pertinencia de que la Corte se refiera a dichos aspectos de contexto, resultan insuficientes los argumentos estatales.  El</w:t>
      </w:r>
      <w:r w:rsidRPr="0023362E">
        <w:rPr>
          <w:i/>
          <w:szCs w:val="16"/>
          <w:lang w:val="es-ES"/>
        </w:rPr>
        <w:t xml:space="preserve"> </w:t>
      </w:r>
      <w:r w:rsidRPr="0023362E">
        <w:rPr>
          <w:szCs w:val="16"/>
          <w:lang w:val="es-ES"/>
        </w:rPr>
        <w:t xml:space="preserve">Estado sostuvo que el contexto referido en el Informe de Fondo “no se relaciona con el caso concreto”, pues los hechos “no dan cuenta de una situación de detención arbitraria”, y porque además el “contexto” enunciado por la Comisión refiere a actos de “tortura”, lo que la propia Comisión “no </w:t>
      </w:r>
      <w:proofErr w:type="spellStart"/>
      <w:r w:rsidRPr="0023362E">
        <w:rPr>
          <w:szCs w:val="16"/>
          <w:lang w:val="es-ES"/>
        </w:rPr>
        <w:t>concluy</w:t>
      </w:r>
      <w:proofErr w:type="spellEnd"/>
      <w:r w:rsidRPr="0023362E">
        <w:rPr>
          <w:szCs w:val="16"/>
          <w:lang w:val="es-ES"/>
        </w:rPr>
        <w:t>[</w:t>
      </w:r>
      <w:proofErr w:type="spellStart"/>
      <w:r w:rsidRPr="0023362E">
        <w:rPr>
          <w:szCs w:val="16"/>
          <w:lang w:val="es-ES"/>
        </w:rPr>
        <w:t>ó</w:t>
      </w:r>
      <w:proofErr w:type="spellEnd"/>
      <w:r w:rsidRPr="0023362E">
        <w:rPr>
          <w:szCs w:val="16"/>
          <w:lang w:val="es-ES"/>
        </w:rPr>
        <w:t>] que en el presente caso haya […] ocurrido” sino que coligió que hubo un tratamiento</w:t>
      </w:r>
      <w:r w:rsidRPr="0023362E">
        <w:rPr>
          <w:spacing w:val="-2"/>
          <w:szCs w:val="16"/>
        </w:rPr>
        <w:t xml:space="preserve"> “cruel, inhumano y degradante</w:t>
      </w:r>
      <w:r w:rsidRPr="0023362E">
        <w:rPr>
          <w:szCs w:val="16"/>
        </w:rPr>
        <w:t>”</w:t>
      </w:r>
      <w:r w:rsidRPr="0023362E">
        <w:rPr>
          <w:szCs w:val="16"/>
          <w:lang w:val="es-ES"/>
        </w:rPr>
        <w:t xml:space="preserve">. </w:t>
      </w:r>
      <w:r w:rsidRPr="008D2D9F">
        <w:rPr>
          <w:szCs w:val="16"/>
          <w:lang w:val="es-ES"/>
        </w:rPr>
        <w:t>(</w:t>
      </w:r>
      <w:r>
        <w:rPr>
          <w:szCs w:val="16"/>
          <w:lang w:val="es-ES"/>
        </w:rPr>
        <w:t>e</w:t>
      </w:r>
      <w:r w:rsidRPr="008D2D9F">
        <w:rPr>
          <w:szCs w:val="16"/>
          <w:lang w:val="es-ES"/>
        </w:rPr>
        <w:t xml:space="preserve">xpediente de </w:t>
      </w:r>
      <w:r>
        <w:rPr>
          <w:szCs w:val="16"/>
          <w:lang w:val="es-ES"/>
        </w:rPr>
        <w:t>f</w:t>
      </w:r>
      <w:r w:rsidRPr="008D2D9F">
        <w:rPr>
          <w:szCs w:val="16"/>
          <w:lang w:val="es-ES"/>
        </w:rPr>
        <w:t>ondo, folio 1008)</w:t>
      </w:r>
      <w:r>
        <w:rPr>
          <w:szCs w:val="16"/>
          <w:lang w:val="es-ES"/>
        </w:rPr>
        <w:t>.</w:t>
      </w:r>
      <w:r w:rsidRPr="00A63089">
        <w:rPr>
          <w:szCs w:val="16"/>
          <w:lang w:val="es-ES"/>
        </w:rPr>
        <w:t xml:space="preserve"> La</w:t>
      </w:r>
      <w:r w:rsidRPr="0023362E">
        <w:rPr>
          <w:szCs w:val="16"/>
          <w:lang w:val="es-ES"/>
        </w:rPr>
        <w:t xml:space="preserve"> Corte advierte que si el señor Galindo sufrió o no una privación ilegal o arbitraria de su libertad es una cuestión que se dete</w:t>
      </w:r>
      <w:r>
        <w:rPr>
          <w:szCs w:val="16"/>
          <w:lang w:val="es-ES"/>
        </w:rPr>
        <w:t>rmina en la presente Sentencia</w:t>
      </w:r>
      <w:r w:rsidRPr="0023362E">
        <w:rPr>
          <w:szCs w:val="16"/>
          <w:lang w:val="es-ES"/>
        </w:rPr>
        <w:t>. Por otra part</w:t>
      </w:r>
      <w:r>
        <w:rPr>
          <w:szCs w:val="16"/>
          <w:lang w:val="es-ES"/>
        </w:rPr>
        <w:t>e, si bien el contexto indicado</w:t>
      </w:r>
      <w:r w:rsidRPr="0023362E">
        <w:rPr>
          <w:szCs w:val="16"/>
          <w:lang w:val="es-ES"/>
        </w:rPr>
        <w:t xml:space="preserve"> en el Informe de Fondo no se hace expresa mención de “tratos crueles, inhumanos o degradantes”, sí señala que hubo “graves violaciones de derechos humanos”. Por ello, este Tribunal considera insuficientes las objeciones del Perú, y decide referirse a la situación de contexto, por entender que permite </w:t>
      </w:r>
      <w:r w:rsidRPr="0023362E">
        <w:rPr>
          <w:szCs w:val="16"/>
          <w:lang w:val="es-CR"/>
        </w:rPr>
        <w:t>situar los hechos alegados como violatorios de en el marco de las circunstancias específicas en que ocurrieron</w:t>
      </w:r>
      <w:r w:rsidRPr="0023362E">
        <w:rPr>
          <w:i/>
          <w:szCs w:val="16"/>
          <w:lang w:val="es-CR"/>
        </w:rPr>
        <w:t xml:space="preserve">. </w:t>
      </w:r>
      <w:r w:rsidRPr="0023362E">
        <w:rPr>
          <w:szCs w:val="16"/>
        </w:rPr>
        <w:t xml:space="preserve">En el mismo sentido, </w:t>
      </w:r>
      <w:r w:rsidRPr="0023362E">
        <w:rPr>
          <w:i/>
          <w:spacing w:val="-4"/>
          <w:szCs w:val="16"/>
          <w:lang w:val="es-PR"/>
        </w:rPr>
        <w:t xml:space="preserve">Caso J. Vs. Perú, </w:t>
      </w:r>
      <w:r w:rsidRPr="0023362E">
        <w:rPr>
          <w:spacing w:val="-4"/>
          <w:szCs w:val="16"/>
          <w:lang w:val="es-PR"/>
        </w:rPr>
        <w:t>párr. 53.</w:t>
      </w:r>
    </w:p>
  </w:footnote>
  <w:footnote w:id="62">
    <w:p w:rsidR="00E65148" w:rsidRPr="0023362E" w:rsidRDefault="00E65148" w:rsidP="009E2748">
      <w:pPr>
        <w:tabs>
          <w:tab w:val="left" w:pos="567"/>
        </w:tabs>
        <w:contextualSpacing/>
        <w:rPr>
          <w:spacing w:val="-4"/>
          <w:sz w:val="16"/>
          <w:szCs w:val="16"/>
          <w:lang w:val="es-GT"/>
        </w:rPr>
      </w:pPr>
      <w:r w:rsidRPr="0023362E">
        <w:rPr>
          <w:rStyle w:val="FootnoteReference"/>
          <w:spacing w:val="-4"/>
          <w:sz w:val="16"/>
          <w:szCs w:val="16"/>
        </w:rPr>
        <w:footnoteRef/>
      </w:r>
      <w:r w:rsidRPr="0023362E">
        <w:rPr>
          <w:spacing w:val="-4"/>
          <w:sz w:val="16"/>
          <w:szCs w:val="16"/>
          <w:lang w:val="es-GT"/>
        </w:rPr>
        <w:t xml:space="preserve"> </w:t>
      </w:r>
      <w:r w:rsidRPr="0023362E">
        <w:rPr>
          <w:spacing w:val="-4"/>
          <w:sz w:val="16"/>
          <w:szCs w:val="16"/>
          <w:lang w:val="es-GT"/>
        </w:rPr>
        <w:tab/>
      </w:r>
      <w:r w:rsidRPr="00F12EFA">
        <w:rPr>
          <w:bCs/>
          <w:i/>
          <w:spacing w:val="-4"/>
          <w:sz w:val="16"/>
          <w:szCs w:val="16"/>
        </w:rPr>
        <w:t>Caso</w:t>
      </w:r>
      <w:r w:rsidRPr="0023362E">
        <w:rPr>
          <w:bCs/>
          <w:i/>
          <w:spacing w:val="-4"/>
          <w:sz w:val="16"/>
          <w:szCs w:val="16"/>
        </w:rPr>
        <w:t xml:space="preserve"> del Penal Miguel Castro </w:t>
      </w:r>
      <w:proofErr w:type="spellStart"/>
      <w:r w:rsidRPr="0023362E">
        <w:rPr>
          <w:bCs/>
          <w:i/>
          <w:spacing w:val="-4"/>
          <w:sz w:val="16"/>
          <w:szCs w:val="16"/>
        </w:rPr>
        <w:t>Castro</w:t>
      </w:r>
      <w:proofErr w:type="spellEnd"/>
      <w:r w:rsidRPr="0023362E">
        <w:rPr>
          <w:bCs/>
          <w:i/>
          <w:spacing w:val="-4"/>
          <w:sz w:val="16"/>
          <w:szCs w:val="16"/>
        </w:rPr>
        <w:t xml:space="preserve"> Vs. Perú.</w:t>
      </w:r>
      <w:r w:rsidRPr="0023362E">
        <w:rPr>
          <w:i/>
          <w:iCs/>
          <w:spacing w:val="-4"/>
          <w:sz w:val="16"/>
          <w:szCs w:val="16"/>
        </w:rPr>
        <w:t xml:space="preserve"> </w:t>
      </w:r>
      <w:r w:rsidRPr="00575887">
        <w:rPr>
          <w:rStyle w:val="Strong"/>
          <w:b w:val="0"/>
          <w:i/>
          <w:color w:val="000000"/>
          <w:sz w:val="16"/>
          <w:szCs w:val="16"/>
          <w:shd w:val="clear" w:color="auto" w:fill="FFFFFF"/>
        </w:rPr>
        <w:t>Fondo, Reparaciones y Costas</w:t>
      </w:r>
      <w:r w:rsidRPr="0023362E">
        <w:rPr>
          <w:rStyle w:val="Strong"/>
          <w:b w:val="0"/>
          <w:color w:val="000000"/>
          <w:sz w:val="16"/>
          <w:szCs w:val="16"/>
          <w:shd w:val="clear" w:color="auto" w:fill="FFFFFF"/>
        </w:rPr>
        <w:t>. Sentencia de 25 de noviembre de 2006. Serie C No. 160</w:t>
      </w:r>
      <w:r w:rsidRPr="00471C59">
        <w:rPr>
          <w:rStyle w:val="Strong"/>
          <w:b w:val="0"/>
          <w:color w:val="000000"/>
          <w:sz w:val="16"/>
          <w:szCs w:val="16"/>
          <w:shd w:val="clear" w:color="auto" w:fill="FFFFFF"/>
        </w:rPr>
        <w:t xml:space="preserve">, </w:t>
      </w:r>
      <w:r>
        <w:rPr>
          <w:iCs/>
          <w:spacing w:val="-4"/>
          <w:sz w:val="16"/>
          <w:szCs w:val="16"/>
        </w:rPr>
        <w:t xml:space="preserve">párr. </w:t>
      </w:r>
      <w:r w:rsidRPr="0023362E">
        <w:rPr>
          <w:iCs/>
          <w:spacing w:val="-4"/>
          <w:sz w:val="16"/>
          <w:szCs w:val="16"/>
        </w:rPr>
        <w:t>197.1, y</w:t>
      </w:r>
      <w:r w:rsidRPr="008D2D9F">
        <w:rPr>
          <w:i/>
          <w:iCs/>
          <w:spacing w:val="-4"/>
          <w:sz w:val="16"/>
          <w:szCs w:val="16"/>
        </w:rPr>
        <w:t xml:space="preserve"> </w:t>
      </w:r>
      <w:r w:rsidRPr="00F12EFA">
        <w:rPr>
          <w:rFonts w:eastAsia="Verdana" w:cs="Verdana"/>
          <w:i/>
          <w:spacing w:val="1"/>
          <w:sz w:val="16"/>
          <w:szCs w:val="16"/>
        </w:rPr>
        <w:t>Caso</w:t>
      </w:r>
      <w:r w:rsidRPr="0023362E">
        <w:rPr>
          <w:rFonts w:eastAsia="Verdana" w:cs="Verdana"/>
          <w:i/>
          <w:spacing w:val="1"/>
          <w:sz w:val="16"/>
          <w:szCs w:val="16"/>
        </w:rPr>
        <w:t xml:space="preserve"> Cruz Sánchez y otros Vs. Perú. Excepciones Preliminares, Fondo, Reparaciones y Costas</w:t>
      </w:r>
      <w:r w:rsidRPr="0023362E">
        <w:rPr>
          <w:rFonts w:eastAsia="Verdana" w:cs="Verdana"/>
          <w:spacing w:val="1"/>
          <w:sz w:val="16"/>
          <w:szCs w:val="16"/>
        </w:rPr>
        <w:t>. Sentencia de 17 de abril de 2015. Serie C No. 292</w:t>
      </w:r>
      <w:r w:rsidRPr="0023362E">
        <w:rPr>
          <w:rFonts w:eastAsia="Verdana" w:cs="Verdana"/>
          <w:sz w:val="16"/>
          <w:szCs w:val="16"/>
        </w:rPr>
        <w:t>,</w:t>
      </w:r>
      <w:r w:rsidRPr="0023362E">
        <w:rPr>
          <w:rFonts w:eastAsia="Verdana" w:cs="Verdana"/>
          <w:spacing w:val="-2"/>
          <w:sz w:val="16"/>
          <w:szCs w:val="16"/>
        </w:rPr>
        <w:t xml:space="preserve"> </w:t>
      </w:r>
      <w:r w:rsidRPr="0023362E">
        <w:rPr>
          <w:rFonts w:eastAsia="Verdana" w:cs="Verdana"/>
          <w:sz w:val="16"/>
          <w:szCs w:val="16"/>
        </w:rPr>
        <w:t>p</w:t>
      </w:r>
      <w:r w:rsidRPr="0023362E">
        <w:rPr>
          <w:rFonts w:eastAsia="Verdana" w:cs="Verdana"/>
          <w:spacing w:val="-1"/>
          <w:sz w:val="16"/>
          <w:szCs w:val="16"/>
        </w:rPr>
        <w:t>ár</w:t>
      </w:r>
      <w:r w:rsidRPr="0023362E">
        <w:rPr>
          <w:rFonts w:eastAsia="Verdana" w:cs="Verdana"/>
          <w:spacing w:val="1"/>
          <w:sz w:val="16"/>
          <w:szCs w:val="16"/>
        </w:rPr>
        <w:t>r</w:t>
      </w:r>
      <w:r w:rsidRPr="0023362E">
        <w:rPr>
          <w:rFonts w:eastAsia="Verdana" w:cs="Verdana"/>
          <w:sz w:val="16"/>
          <w:szCs w:val="16"/>
        </w:rPr>
        <w:t>.</w:t>
      </w:r>
      <w:r w:rsidRPr="0023362E">
        <w:rPr>
          <w:rFonts w:eastAsia="Verdana" w:cs="Verdana"/>
          <w:spacing w:val="-2"/>
          <w:sz w:val="16"/>
          <w:szCs w:val="16"/>
        </w:rPr>
        <w:t xml:space="preserve"> 140</w:t>
      </w:r>
      <w:r w:rsidRPr="0023362E">
        <w:rPr>
          <w:spacing w:val="-4"/>
          <w:sz w:val="16"/>
          <w:szCs w:val="16"/>
          <w:lang w:val="es-GT"/>
        </w:rPr>
        <w:t xml:space="preserve">. </w:t>
      </w:r>
    </w:p>
  </w:footnote>
  <w:footnote w:id="63">
    <w:p w:rsidR="00E65148" w:rsidRPr="0023362E" w:rsidRDefault="00E65148" w:rsidP="009E2748">
      <w:pPr>
        <w:tabs>
          <w:tab w:val="left" w:pos="567"/>
        </w:tabs>
        <w:contextualSpacing/>
        <w:rPr>
          <w:iCs/>
          <w:spacing w:val="-4"/>
          <w:sz w:val="16"/>
          <w:szCs w:val="16"/>
          <w:lang w:val="es-GT"/>
        </w:rPr>
      </w:pPr>
      <w:r w:rsidRPr="0023362E">
        <w:rPr>
          <w:rStyle w:val="FootnoteReference"/>
          <w:spacing w:val="-4"/>
          <w:sz w:val="16"/>
          <w:szCs w:val="16"/>
        </w:rPr>
        <w:footnoteRef/>
      </w:r>
      <w:r w:rsidRPr="0023362E">
        <w:rPr>
          <w:spacing w:val="-4"/>
          <w:sz w:val="16"/>
          <w:szCs w:val="16"/>
          <w:lang w:val="es-GT"/>
        </w:rPr>
        <w:t xml:space="preserve"> </w:t>
      </w:r>
      <w:r w:rsidRPr="0023362E">
        <w:rPr>
          <w:spacing w:val="-4"/>
          <w:sz w:val="16"/>
          <w:szCs w:val="16"/>
          <w:lang w:val="es-GT"/>
        </w:rPr>
        <w:tab/>
      </w:r>
      <w:r w:rsidRPr="00F12EFA">
        <w:rPr>
          <w:i/>
          <w:spacing w:val="-4"/>
          <w:sz w:val="16"/>
          <w:szCs w:val="16"/>
          <w:lang w:val="es-GT"/>
        </w:rPr>
        <w:t>Caso</w:t>
      </w:r>
      <w:r w:rsidRPr="008D2D9F">
        <w:rPr>
          <w:spacing w:val="-4"/>
          <w:sz w:val="16"/>
          <w:szCs w:val="16"/>
          <w:lang w:val="es-GT"/>
        </w:rPr>
        <w:t xml:space="preserve"> </w:t>
      </w:r>
      <w:r w:rsidRPr="0023362E">
        <w:rPr>
          <w:i/>
          <w:spacing w:val="-4"/>
          <w:sz w:val="16"/>
          <w:szCs w:val="16"/>
          <w:lang w:val="es-GT"/>
        </w:rPr>
        <w:t xml:space="preserve">Loayza Tamayo Vs. Perú. </w:t>
      </w:r>
      <w:r w:rsidRPr="008A3E77">
        <w:rPr>
          <w:rStyle w:val="Strong"/>
          <w:b w:val="0"/>
          <w:i/>
          <w:color w:val="000000"/>
          <w:sz w:val="16"/>
          <w:szCs w:val="16"/>
          <w:shd w:val="clear" w:color="auto" w:fill="FFFFFF"/>
        </w:rPr>
        <w:t>Fondo</w:t>
      </w:r>
      <w:r w:rsidRPr="0023362E">
        <w:rPr>
          <w:rStyle w:val="Strong"/>
          <w:b w:val="0"/>
          <w:color w:val="000000"/>
          <w:sz w:val="16"/>
          <w:szCs w:val="16"/>
          <w:shd w:val="clear" w:color="auto" w:fill="FFFFFF"/>
        </w:rPr>
        <w:t>. Sentencia de 17 de septiembre de 1997. Serie C No. 33</w:t>
      </w:r>
      <w:r w:rsidRPr="0023362E">
        <w:rPr>
          <w:i/>
          <w:spacing w:val="-4"/>
          <w:sz w:val="16"/>
          <w:szCs w:val="16"/>
          <w:lang w:val="es-GT"/>
        </w:rPr>
        <w:t>,</w:t>
      </w:r>
      <w:r w:rsidRPr="0023362E">
        <w:rPr>
          <w:spacing w:val="-4"/>
          <w:sz w:val="16"/>
          <w:szCs w:val="16"/>
          <w:lang w:val="es-GT"/>
        </w:rPr>
        <w:t xml:space="preserve"> párr. 46, </w:t>
      </w:r>
      <w:r w:rsidRPr="0023362E">
        <w:rPr>
          <w:iCs/>
          <w:spacing w:val="-4"/>
          <w:sz w:val="16"/>
          <w:szCs w:val="16"/>
          <w:lang w:val="es-GT"/>
        </w:rPr>
        <w:t xml:space="preserve">y </w:t>
      </w:r>
      <w:r w:rsidRPr="008D2D9F">
        <w:rPr>
          <w:rFonts w:eastAsia="Verdana" w:cs="Verdana"/>
          <w:spacing w:val="1"/>
          <w:sz w:val="16"/>
          <w:szCs w:val="16"/>
        </w:rPr>
        <w:t>Caso</w:t>
      </w:r>
      <w:r w:rsidRPr="0023362E">
        <w:rPr>
          <w:rFonts w:eastAsia="Verdana" w:cs="Verdana"/>
          <w:i/>
          <w:spacing w:val="1"/>
          <w:sz w:val="16"/>
          <w:szCs w:val="16"/>
        </w:rPr>
        <w:t xml:space="preserve"> Cruz Sánchez y otros Vs. Perú</w:t>
      </w:r>
      <w:r w:rsidRPr="0023362E">
        <w:rPr>
          <w:rFonts w:eastAsia="Verdana" w:cs="Verdana"/>
          <w:sz w:val="16"/>
          <w:szCs w:val="16"/>
        </w:rPr>
        <w:t>,</w:t>
      </w:r>
      <w:r w:rsidRPr="0023362E">
        <w:rPr>
          <w:rFonts w:eastAsia="Verdana" w:cs="Verdana"/>
          <w:spacing w:val="-2"/>
          <w:sz w:val="16"/>
          <w:szCs w:val="16"/>
        </w:rPr>
        <w:t xml:space="preserve"> </w:t>
      </w:r>
      <w:r w:rsidRPr="0023362E">
        <w:rPr>
          <w:rFonts w:eastAsia="Verdana" w:cs="Verdana"/>
          <w:sz w:val="16"/>
          <w:szCs w:val="16"/>
        </w:rPr>
        <w:t>p</w:t>
      </w:r>
      <w:r w:rsidRPr="0023362E">
        <w:rPr>
          <w:rFonts w:eastAsia="Verdana" w:cs="Verdana"/>
          <w:spacing w:val="-1"/>
          <w:sz w:val="16"/>
          <w:szCs w:val="16"/>
        </w:rPr>
        <w:t>ár</w:t>
      </w:r>
      <w:r w:rsidRPr="0023362E">
        <w:rPr>
          <w:rFonts w:eastAsia="Verdana" w:cs="Verdana"/>
          <w:spacing w:val="1"/>
          <w:sz w:val="16"/>
          <w:szCs w:val="16"/>
        </w:rPr>
        <w:t>r</w:t>
      </w:r>
      <w:r w:rsidRPr="0023362E">
        <w:rPr>
          <w:rFonts w:eastAsia="Verdana" w:cs="Verdana"/>
          <w:sz w:val="16"/>
          <w:szCs w:val="16"/>
        </w:rPr>
        <w:t>.</w:t>
      </w:r>
      <w:r w:rsidRPr="0023362E">
        <w:rPr>
          <w:rFonts w:eastAsia="Verdana" w:cs="Verdana"/>
          <w:spacing w:val="-2"/>
          <w:sz w:val="16"/>
          <w:szCs w:val="16"/>
        </w:rPr>
        <w:t xml:space="preserve"> 143</w:t>
      </w:r>
      <w:r w:rsidRPr="0023362E">
        <w:rPr>
          <w:spacing w:val="-4"/>
          <w:sz w:val="16"/>
          <w:szCs w:val="16"/>
          <w:lang w:val="es-GT"/>
        </w:rPr>
        <w:t>.</w:t>
      </w:r>
    </w:p>
  </w:footnote>
  <w:footnote w:id="64">
    <w:p w:rsidR="00E65148" w:rsidRPr="0023362E" w:rsidRDefault="00E65148" w:rsidP="00C367C5">
      <w:pPr>
        <w:pStyle w:val="FootnoteText"/>
        <w:rPr>
          <w:szCs w:val="16"/>
        </w:rPr>
      </w:pPr>
      <w:r w:rsidRPr="0023362E">
        <w:rPr>
          <w:rStyle w:val="FootnoteReference"/>
          <w:szCs w:val="16"/>
        </w:rPr>
        <w:footnoteRef/>
      </w:r>
      <w:r w:rsidRPr="0023362E">
        <w:rPr>
          <w:szCs w:val="16"/>
        </w:rPr>
        <w:t xml:space="preserve"> </w:t>
      </w:r>
      <w:r>
        <w:rPr>
          <w:szCs w:val="16"/>
        </w:rPr>
        <w:tab/>
        <w:t xml:space="preserve">Informe Final de la </w:t>
      </w:r>
      <w:r w:rsidRPr="0023362E">
        <w:rPr>
          <w:szCs w:val="16"/>
        </w:rPr>
        <w:t>Comisión de la Verdad y Reconciliación, 2003, tomo III, Capítulo 2, págs. 59-62.</w:t>
      </w:r>
      <w:r>
        <w:rPr>
          <w:szCs w:val="16"/>
        </w:rPr>
        <w:t xml:space="preserve"> </w:t>
      </w:r>
      <w:r w:rsidRPr="005C119F">
        <w:rPr>
          <w:i/>
          <w:szCs w:val="16"/>
        </w:rPr>
        <w:t>Disponible en</w:t>
      </w:r>
      <w:r>
        <w:rPr>
          <w:szCs w:val="16"/>
        </w:rPr>
        <w:t xml:space="preserve">: </w:t>
      </w:r>
      <w:r w:rsidRPr="002A4386">
        <w:rPr>
          <w:szCs w:val="16"/>
        </w:rPr>
        <w:t>http://cverdad.org.pe/ifinal/</w:t>
      </w:r>
    </w:p>
  </w:footnote>
  <w:footnote w:id="65">
    <w:p w:rsidR="00E65148" w:rsidRPr="0023362E" w:rsidRDefault="00E65148" w:rsidP="00D21882">
      <w:pPr>
        <w:pStyle w:val="FootnoteText"/>
        <w:rPr>
          <w:szCs w:val="16"/>
        </w:rPr>
      </w:pPr>
      <w:r w:rsidRPr="0023362E">
        <w:rPr>
          <w:rStyle w:val="FootnoteReference"/>
          <w:szCs w:val="16"/>
        </w:rPr>
        <w:footnoteRef/>
      </w:r>
      <w:r w:rsidRPr="0023362E">
        <w:rPr>
          <w:b/>
          <w:szCs w:val="16"/>
        </w:rPr>
        <w:t xml:space="preserve"> </w:t>
      </w:r>
      <w:r w:rsidRPr="0023362E">
        <w:rPr>
          <w:b/>
          <w:szCs w:val="16"/>
        </w:rPr>
        <w:tab/>
      </w:r>
      <w:r w:rsidRPr="00F12EFA">
        <w:rPr>
          <w:rStyle w:val="Strong"/>
          <w:b w:val="0"/>
          <w:i/>
          <w:color w:val="000000"/>
          <w:szCs w:val="16"/>
        </w:rPr>
        <w:t xml:space="preserve">Caso </w:t>
      </w:r>
      <w:r w:rsidRPr="0023362E">
        <w:rPr>
          <w:rStyle w:val="Strong"/>
          <w:b w:val="0"/>
          <w:i/>
          <w:color w:val="000000"/>
          <w:szCs w:val="16"/>
        </w:rPr>
        <w:t>J. Vs</w:t>
      </w:r>
      <w:r w:rsidRPr="0023362E">
        <w:rPr>
          <w:rStyle w:val="Strong"/>
          <w:b w:val="0"/>
          <w:color w:val="000000"/>
          <w:szCs w:val="16"/>
        </w:rPr>
        <w:t>. Perú, p</w:t>
      </w:r>
      <w:r>
        <w:rPr>
          <w:rStyle w:val="Strong"/>
          <w:b w:val="0"/>
          <w:color w:val="000000"/>
          <w:szCs w:val="16"/>
        </w:rPr>
        <w:t>árr</w:t>
      </w:r>
      <w:r w:rsidRPr="0023362E">
        <w:rPr>
          <w:rStyle w:val="Strong"/>
          <w:b w:val="0"/>
          <w:color w:val="000000"/>
          <w:szCs w:val="16"/>
        </w:rPr>
        <w:t xml:space="preserve">. 62, y </w:t>
      </w:r>
      <w:r w:rsidRPr="00F12EFA">
        <w:rPr>
          <w:rStyle w:val="Strong"/>
          <w:b w:val="0"/>
          <w:i/>
          <w:color w:val="000000"/>
          <w:szCs w:val="16"/>
          <w:shd w:val="clear" w:color="auto" w:fill="FFFFFF"/>
        </w:rPr>
        <w:t>Caso</w:t>
      </w:r>
      <w:r w:rsidRPr="0023362E">
        <w:rPr>
          <w:rStyle w:val="Strong"/>
          <w:b w:val="0"/>
          <w:i/>
          <w:color w:val="000000"/>
          <w:szCs w:val="16"/>
          <w:shd w:val="clear" w:color="auto" w:fill="FFFFFF"/>
        </w:rPr>
        <w:t xml:space="preserve"> Trabajadores Cesados del Congreso (Aguado Alfaro y otros) Vs. Perú</w:t>
      </w:r>
      <w:r w:rsidRPr="0023362E">
        <w:rPr>
          <w:rStyle w:val="Strong"/>
          <w:b w:val="0"/>
          <w:color w:val="000000"/>
          <w:szCs w:val="16"/>
          <w:shd w:val="clear" w:color="auto" w:fill="FFFFFF"/>
        </w:rPr>
        <w:t xml:space="preserve">. </w:t>
      </w:r>
      <w:r w:rsidRPr="0023362E">
        <w:rPr>
          <w:rStyle w:val="Strong"/>
          <w:b w:val="0"/>
          <w:i/>
          <w:color w:val="000000"/>
          <w:szCs w:val="16"/>
          <w:shd w:val="clear" w:color="auto" w:fill="FFFFFF"/>
        </w:rPr>
        <w:t>Excepciones Preliminares, Fondo, Reparaciones y Costas</w:t>
      </w:r>
      <w:r w:rsidRPr="0023362E">
        <w:rPr>
          <w:rStyle w:val="Strong"/>
          <w:b w:val="0"/>
          <w:color w:val="000000"/>
          <w:szCs w:val="16"/>
          <w:shd w:val="clear" w:color="auto" w:fill="FFFFFF"/>
        </w:rPr>
        <w:t>. Sentencia de 24 de Noviembre de 2006. Serie C No. 158, párr. 56.</w:t>
      </w:r>
    </w:p>
  </w:footnote>
  <w:footnote w:id="66">
    <w:p w:rsidR="00E65148" w:rsidRPr="0023362E" w:rsidRDefault="00E65148" w:rsidP="00C367C5">
      <w:pPr>
        <w:pStyle w:val="FootnoteText"/>
        <w:rPr>
          <w:szCs w:val="16"/>
        </w:rPr>
      </w:pPr>
      <w:r w:rsidRPr="0023362E">
        <w:rPr>
          <w:rStyle w:val="FootnoteReference"/>
          <w:szCs w:val="16"/>
        </w:rPr>
        <w:footnoteRef/>
      </w:r>
      <w:r w:rsidRPr="0023362E">
        <w:rPr>
          <w:b/>
          <w:szCs w:val="16"/>
        </w:rPr>
        <w:t xml:space="preserve"> </w:t>
      </w:r>
      <w:r w:rsidRPr="0023362E">
        <w:rPr>
          <w:b/>
          <w:szCs w:val="16"/>
        </w:rPr>
        <w:tab/>
      </w:r>
      <w:r w:rsidRPr="00F12EFA">
        <w:rPr>
          <w:rStyle w:val="Strong"/>
          <w:b w:val="0"/>
          <w:i/>
          <w:color w:val="000000"/>
          <w:szCs w:val="16"/>
        </w:rPr>
        <w:t>Caso</w:t>
      </w:r>
      <w:r w:rsidRPr="0023362E">
        <w:rPr>
          <w:rStyle w:val="Strong"/>
          <w:b w:val="0"/>
          <w:i/>
          <w:color w:val="000000"/>
          <w:szCs w:val="16"/>
        </w:rPr>
        <w:t xml:space="preserve"> J. Vs. Perú</w:t>
      </w:r>
      <w:r w:rsidRPr="0023362E">
        <w:rPr>
          <w:rStyle w:val="Strong"/>
          <w:b w:val="0"/>
          <w:color w:val="000000"/>
          <w:szCs w:val="16"/>
        </w:rPr>
        <w:t>, p</w:t>
      </w:r>
      <w:r>
        <w:rPr>
          <w:rStyle w:val="Strong"/>
          <w:b w:val="0"/>
          <w:color w:val="000000"/>
          <w:szCs w:val="16"/>
        </w:rPr>
        <w:t>árr</w:t>
      </w:r>
      <w:r w:rsidRPr="0023362E">
        <w:rPr>
          <w:rStyle w:val="Strong"/>
          <w:b w:val="0"/>
          <w:color w:val="000000"/>
          <w:szCs w:val="16"/>
        </w:rPr>
        <w:t>. 61, y</w:t>
      </w:r>
      <w:r w:rsidRPr="00F12EFA">
        <w:rPr>
          <w:bCs/>
          <w:i/>
          <w:iCs/>
          <w:spacing w:val="-4"/>
          <w:szCs w:val="16"/>
          <w:lang w:val="es-ES"/>
        </w:rPr>
        <w:t xml:space="preserve"> </w:t>
      </w:r>
      <w:r w:rsidRPr="008D2D9F">
        <w:rPr>
          <w:bCs/>
          <w:i/>
          <w:iCs/>
          <w:spacing w:val="-4"/>
          <w:szCs w:val="16"/>
          <w:lang w:val="es-ES"/>
        </w:rPr>
        <w:t>Caso</w:t>
      </w:r>
      <w:r w:rsidRPr="0023362E">
        <w:rPr>
          <w:bCs/>
          <w:i/>
          <w:iCs/>
          <w:spacing w:val="-4"/>
          <w:szCs w:val="16"/>
          <w:lang w:val="es-ES"/>
        </w:rPr>
        <w:t xml:space="preserve"> Espinoza Gonzáles Vs. Perú. Excepciones Preliminares, Fondo, Reparaciones y Costas. </w:t>
      </w:r>
      <w:r w:rsidRPr="0023362E">
        <w:rPr>
          <w:bCs/>
          <w:iCs/>
          <w:spacing w:val="-4"/>
          <w:szCs w:val="16"/>
          <w:lang w:val="es-ES"/>
        </w:rPr>
        <w:t>Sentencia de 20 de noviembre de 2014. Serie C No. 289, párr. 54.</w:t>
      </w:r>
    </w:p>
  </w:footnote>
  <w:footnote w:id="67">
    <w:p w:rsidR="00E65148" w:rsidRPr="00257644" w:rsidRDefault="00E65148" w:rsidP="00C367C5">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257644">
        <w:rPr>
          <w:i/>
          <w:szCs w:val="16"/>
        </w:rPr>
        <w:t>Cfr.</w:t>
      </w:r>
      <w:r w:rsidRPr="00257644">
        <w:rPr>
          <w:szCs w:val="16"/>
        </w:rPr>
        <w:t xml:space="preserve"> </w:t>
      </w:r>
      <w:r w:rsidRPr="00257644">
        <w:rPr>
          <w:spacing w:val="-4"/>
          <w:szCs w:val="16"/>
        </w:rPr>
        <w:t>Informe Final de la Comisió</w:t>
      </w:r>
      <w:r w:rsidR="003F6EFC">
        <w:rPr>
          <w:spacing w:val="-4"/>
          <w:szCs w:val="16"/>
        </w:rPr>
        <w:t>n de la Verdad y Reconciliación.</w:t>
      </w:r>
      <w:r w:rsidRPr="00257644">
        <w:rPr>
          <w:spacing w:val="-4"/>
          <w:szCs w:val="16"/>
        </w:rPr>
        <w:t xml:space="preserve"> </w:t>
      </w:r>
      <w:r w:rsidRPr="00257644">
        <w:rPr>
          <w:szCs w:val="16"/>
        </w:rPr>
        <w:t xml:space="preserve">Tomo III, Capítulo 2, pág. 60. </w:t>
      </w:r>
    </w:p>
  </w:footnote>
  <w:footnote w:id="68">
    <w:p w:rsidR="00E65148" w:rsidRPr="00257644" w:rsidRDefault="00E65148" w:rsidP="00C367C5">
      <w:pPr>
        <w:pStyle w:val="FootnoteText"/>
        <w:rPr>
          <w:szCs w:val="16"/>
        </w:rPr>
      </w:pPr>
      <w:r w:rsidRPr="00257644">
        <w:rPr>
          <w:rStyle w:val="FootnoteReference"/>
          <w:szCs w:val="16"/>
        </w:rPr>
        <w:footnoteRef/>
      </w:r>
      <w:r w:rsidRPr="00257644">
        <w:rPr>
          <w:szCs w:val="16"/>
        </w:rPr>
        <w:t xml:space="preserve"> </w:t>
      </w:r>
      <w:r w:rsidRPr="00257644">
        <w:rPr>
          <w:szCs w:val="16"/>
        </w:rPr>
        <w:tab/>
      </w:r>
      <w:r w:rsidRPr="00257644">
        <w:rPr>
          <w:spacing w:val="-4"/>
          <w:szCs w:val="16"/>
        </w:rPr>
        <w:t>Informe Final de la Comisión de la Verdad y Reconciliación</w:t>
      </w:r>
      <w:r w:rsidR="00E860BA">
        <w:rPr>
          <w:spacing w:val="-4"/>
          <w:szCs w:val="16"/>
        </w:rPr>
        <w:t>,</w:t>
      </w:r>
      <w:r w:rsidRPr="00257644">
        <w:rPr>
          <w:spacing w:val="-4"/>
          <w:szCs w:val="16"/>
        </w:rPr>
        <w:t xml:space="preserve"> </w:t>
      </w:r>
      <w:r w:rsidRPr="00257644">
        <w:rPr>
          <w:szCs w:val="16"/>
        </w:rPr>
        <w:t xml:space="preserve">Tomo III, Capítulo 2, págs. 112 a 114. </w:t>
      </w:r>
    </w:p>
  </w:footnote>
  <w:footnote w:id="69">
    <w:p w:rsidR="00E65148" w:rsidRPr="00257644" w:rsidRDefault="00E65148" w:rsidP="00C367C5">
      <w:pPr>
        <w:pStyle w:val="FootnoteText"/>
        <w:rPr>
          <w:szCs w:val="16"/>
        </w:rPr>
      </w:pPr>
      <w:r w:rsidRPr="00257644">
        <w:rPr>
          <w:rStyle w:val="FootnoteReference"/>
          <w:szCs w:val="16"/>
        </w:rPr>
        <w:footnoteRef/>
      </w:r>
      <w:r w:rsidRPr="00257644">
        <w:rPr>
          <w:szCs w:val="16"/>
        </w:rPr>
        <w:t xml:space="preserve"> </w:t>
      </w:r>
      <w:r w:rsidRPr="00257644">
        <w:rPr>
          <w:szCs w:val="16"/>
        </w:rPr>
        <w:tab/>
      </w:r>
      <w:r w:rsidRPr="00257644">
        <w:rPr>
          <w:spacing w:val="-4"/>
          <w:szCs w:val="16"/>
        </w:rPr>
        <w:t xml:space="preserve">Informe Final de la Comisión de la Verdad y Reconciliación, </w:t>
      </w:r>
      <w:r w:rsidRPr="00257644">
        <w:rPr>
          <w:szCs w:val="16"/>
        </w:rPr>
        <w:t xml:space="preserve">Tomo III, Capítulo 2, págs. 112 a 114. </w:t>
      </w:r>
    </w:p>
  </w:footnote>
  <w:footnote w:id="70">
    <w:p w:rsidR="00E65148" w:rsidRPr="0023362E" w:rsidRDefault="00E65148" w:rsidP="00174115">
      <w:pPr>
        <w:tabs>
          <w:tab w:val="left" w:pos="426"/>
        </w:tabs>
        <w:autoSpaceDE w:val="0"/>
        <w:autoSpaceDN w:val="0"/>
        <w:rPr>
          <w:rFonts w:cs="Verdana"/>
          <w:spacing w:val="-4"/>
          <w:sz w:val="16"/>
          <w:szCs w:val="16"/>
        </w:rPr>
      </w:pPr>
      <w:r w:rsidRPr="00257644">
        <w:rPr>
          <w:rStyle w:val="FootnoteReference"/>
          <w:spacing w:val="-4"/>
          <w:sz w:val="16"/>
          <w:szCs w:val="16"/>
        </w:rPr>
        <w:footnoteRef/>
      </w:r>
      <w:r w:rsidRPr="00257644">
        <w:rPr>
          <w:spacing w:val="-4"/>
          <w:sz w:val="16"/>
          <w:szCs w:val="16"/>
        </w:rPr>
        <w:t xml:space="preserve"> </w:t>
      </w:r>
      <w:r w:rsidRPr="00257644">
        <w:rPr>
          <w:spacing w:val="-4"/>
          <w:sz w:val="16"/>
          <w:szCs w:val="16"/>
        </w:rPr>
        <w:tab/>
      </w:r>
      <w:r w:rsidR="00257644" w:rsidRPr="00257644">
        <w:rPr>
          <w:spacing w:val="-4"/>
          <w:sz w:val="16"/>
          <w:szCs w:val="16"/>
        </w:rPr>
        <w:tab/>
      </w:r>
      <w:r w:rsidRPr="00257644">
        <w:rPr>
          <w:i/>
          <w:spacing w:val="-4"/>
          <w:sz w:val="16"/>
          <w:szCs w:val="16"/>
          <w:lang w:val="es-PR"/>
        </w:rPr>
        <w:t xml:space="preserve">Caso J. Vs. Perú, </w:t>
      </w:r>
      <w:r w:rsidRPr="00257644">
        <w:rPr>
          <w:spacing w:val="-4"/>
          <w:sz w:val="16"/>
          <w:szCs w:val="16"/>
          <w:lang w:val="es-PR"/>
        </w:rPr>
        <w:t>párr. 66</w:t>
      </w:r>
      <w:r w:rsidRPr="00257644">
        <w:rPr>
          <w:color w:val="000000"/>
          <w:spacing w:val="-2"/>
          <w:sz w:val="16"/>
          <w:szCs w:val="16"/>
        </w:rPr>
        <w:t xml:space="preserve">, e </w:t>
      </w:r>
      <w:r w:rsidRPr="00257644">
        <w:rPr>
          <w:spacing w:val="-4"/>
          <w:sz w:val="16"/>
          <w:szCs w:val="16"/>
        </w:rPr>
        <w:t>Informe Final de la Comisión de la Verdad y Reconciliación, Tomo VIII. Conclusiones Generales. Nro. 64</w:t>
      </w:r>
      <w:r w:rsidRPr="00257644">
        <w:rPr>
          <w:color w:val="000000"/>
          <w:spacing w:val="-2"/>
          <w:sz w:val="16"/>
          <w:szCs w:val="16"/>
        </w:rPr>
        <w:t xml:space="preserve">, </w:t>
      </w:r>
      <w:r w:rsidRPr="00257644">
        <w:rPr>
          <w:spacing w:val="-2"/>
          <w:sz w:val="16"/>
          <w:szCs w:val="16"/>
        </w:rPr>
        <w:t>pág. 325</w:t>
      </w:r>
      <w:r w:rsidR="00257644">
        <w:rPr>
          <w:spacing w:val="-2"/>
          <w:sz w:val="16"/>
          <w:szCs w:val="16"/>
        </w:rPr>
        <w:t>.</w:t>
      </w:r>
    </w:p>
  </w:footnote>
  <w:footnote w:id="71">
    <w:p w:rsidR="00E65148" w:rsidRPr="0023362E" w:rsidRDefault="00E65148" w:rsidP="00174115">
      <w:pPr>
        <w:pStyle w:val="FootnoteText"/>
        <w:rPr>
          <w:szCs w:val="16"/>
          <w:lang w:val="es-ES"/>
        </w:rPr>
      </w:pPr>
      <w:r w:rsidRPr="0023362E">
        <w:rPr>
          <w:rStyle w:val="FootnoteReference"/>
          <w:szCs w:val="16"/>
        </w:rPr>
        <w:footnoteRef/>
      </w:r>
      <w:r w:rsidRPr="0023362E">
        <w:rPr>
          <w:szCs w:val="16"/>
        </w:rPr>
        <w:t xml:space="preserve"> </w:t>
      </w:r>
      <w:r>
        <w:rPr>
          <w:szCs w:val="16"/>
        </w:rPr>
        <w:tab/>
      </w:r>
      <w:r w:rsidRPr="0023362E">
        <w:rPr>
          <w:spacing w:val="-4"/>
          <w:szCs w:val="16"/>
          <w:lang w:val="es-ES"/>
        </w:rPr>
        <w:t xml:space="preserve">Informe </w:t>
      </w:r>
      <w:r>
        <w:rPr>
          <w:spacing w:val="-4"/>
          <w:szCs w:val="16"/>
          <w:lang w:val="es-ES"/>
        </w:rPr>
        <w:t xml:space="preserve">Final </w:t>
      </w:r>
      <w:r w:rsidRPr="0023362E">
        <w:rPr>
          <w:spacing w:val="-4"/>
          <w:szCs w:val="16"/>
          <w:lang w:val="es-ES"/>
        </w:rPr>
        <w:t xml:space="preserve">de la Comisión de la Verdad y Reconciliación, Tomo VI, </w:t>
      </w:r>
      <w:r w:rsidRPr="00286A53">
        <w:rPr>
          <w:spacing w:val="-4"/>
          <w:szCs w:val="16"/>
          <w:lang w:val="es-ES"/>
        </w:rPr>
        <w:t>Capítulo 1.6, La violación del debido proceso pág. 470.</w:t>
      </w:r>
      <w:r w:rsidRPr="002A4386">
        <w:rPr>
          <w:szCs w:val="16"/>
        </w:rPr>
        <w:t xml:space="preserve"> </w:t>
      </w:r>
    </w:p>
  </w:footnote>
  <w:footnote w:id="72">
    <w:p w:rsidR="00E65148" w:rsidRPr="0023362E" w:rsidRDefault="00E65148" w:rsidP="009E2748">
      <w:pPr>
        <w:tabs>
          <w:tab w:val="left" w:pos="426"/>
        </w:tabs>
        <w:autoSpaceDE w:val="0"/>
        <w:autoSpaceDN w:val="0"/>
        <w:rPr>
          <w:rFonts w:cs="Verdana"/>
          <w:spacing w:val="-4"/>
          <w:sz w:val="16"/>
          <w:szCs w:val="16"/>
        </w:rPr>
      </w:pPr>
      <w:r w:rsidRPr="0023362E">
        <w:rPr>
          <w:rStyle w:val="FootnoteReference"/>
          <w:spacing w:val="-4"/>
          <w:sz w:val="16"/>
          <w:szCs w:val="16"/>
        </w:rPr>
        <w:footnoteRef/>
      </w:r>
      <w:r w:rsidRPr="0023362E">
        <w:rPr>
          <w:spacing w:val="-4"/>
          <w:sz w:val="16"/>
          <w:szCs w:val="16"/>
        </w:rPr>
        <w:t xml:space="preserve"> </w:t>
      </w:r>
      <w:r w:rsidRPr="0023362E">
        <w:rPr>
          <w:spacing w:val="-4"/>
          <w:sz w:val="16"/>
          <w:szCs w:val="16"/>
        </w:rPr>
        <w:tab/>
      </w:r>
      <w:r w:rsidR="003F6EFC">
        <w:rPr>
          <w:spacing w:val="-4"/>
          <w:sz w:val="16"/>
          <w:szCs w:val="16"/>
        </w:rPr>
        <w:tab/>
      </w:r>
      <w:r w:rsidRPr="00286A53">
        <w:rPr>
          <w:i/>
          <w:spacing w:val="-4"/>
          <w:sz w:val="16"/>
          <w:szCs w:val="16"/>
          <w:lang w:val="es-PR"/>
        </w:rPr>
        <w:t xml:space="preserve">Caso J. Vs. Perú, </w:t>
      </w:r>
      <w:r w:rsidRPr="00286A53">
        <w:rPr>
          <w:spacing w:val="-4"/>
          <w:sz w:val="16"/>
          <w:szCs w:val="16"/>
          <w:lang w:val="es-PR"/>
        </w:rPr>
        <w:t>párr. 66.</w:t>
      </w:r>
      <w:r w:rsidRPr="0023362E">
        <w:rPr>
          <w:sz w:val="16"/>
          <w:szCs w:val="16"/>
        </w:rPr>
        <w:t xml:space="preserve"> </w:t>
      </w:r>
    </w:p>
  </w:footnote>
  <w:footnote w:id="73">
    <w:p w:rsidR="00E65148" w:rsidRPr="0023362E" w:rsidRDefault="00E65148" w:rsidP="009E2748">
      <w:pPr>
        <w:pStyle w:val="FootnoteText"/>
        <w:rPr>
          <w:szCs w:val="16"/>
          <w:lang w:val="es-ES"/>
        </w:rPr>
      </w:pPr>
      <w:r w:rsidRPr="0023362E">
        <w:rPr>
          <w:rStyle w:val="FootnoteReference"/>
          <w:szCs w:val="16"/>
        </w:rPr>
        <w:footnoteRef/>
      </w:r>
      <w:r w:rsidRPr="0023362E">
        <w:rPr>
          <w:szCs w:val="16"/>
        </w:rPr>
        <w:t xml:space="preserve"> </w:t>
      </w:r>
      <w:r w:rsidRPr="0023362E">
        <w:rPr>
          <w:szCs w:val="16"/>
        </w:rPr>
        <w:tab/>
      </w:r>
      <w:proofErr w:type="gramStart"/>
      <w:r w:rsidRPr="0023362E">
        <w:rPr>
          <w:spacing w:val="-4"/>
          <w:szCs w:val="16"/>
          <w:lang w:val="es-ES"/>
        </w:rPr>
        <w:t xml:space="preserve">Informe </w:t>
      </w:r>
      <w:r>
        <w:rPr>
          <w:spacing w:val="-4"/>
          <w:szCs w:val="16"/>
          <w:lang w:val="es-ES"/>
        </w:rPr>
        <w:t xml:space="preserve">Final </w:t>
      </w:r>
      <w:r w:rsidRPr="0023362E">
        <w:rPr>
          <w:spacing w:val="-4"/>
          <w:szCs w:val="16"/>
          <w:lang w:val="es-ES"/>
        </w:rPr>
        <w:t>de la Comisión de la Verdad y Reconc</w:t>
      </w:r>
      <w:r w:rsidR="004B1F8E">
        <w:rPr>
          <w:spacing w:val="-4"/>
          <w:szCs w:val="16"/>
          <w:lang w:val="es-ES"/>
        </w:rPr>
        <w:t>iliación, Tomo VI, Capítulo 1.4</w:t>
      </w:r>
      <w:r w:rsidR="000B42C7">
        <w:rPr>
          <w:spacing w:val="-4"/>
          <w:szCs w:val="16"/>
          <w:lang w:val="es-ES"/>
        </w:rPr>
        <w:t>.</w:t>
      </w:r>
      <w:r w:rsidRPr="0023362E">
        <w:rPr>
          <w:spacing w:val="-4"/>
          <w:szCs w:val="16"/>
          <w:lang w:val="es-ES"/>
        </w:rPr>
        <w:t xml:space="preserve">, </w:t>
      </w:r>
      <w:r>
        <w:rPr>
          <w:spacing w:val="-4"/>
          <w:szCs w:val="16"/>
          <w:lang w:val="es-ES"/>
        </w:rPr>
        <w:t>La Tortura y otros tratos crueles inhumanos y degradantes</w:t>
      </w:r>
      <w:proofErr w:type="gramEnd"/>
      <w:r w:rsidRPr="008D2D9F">
        <w:rPr>
          <w:spacing w:val="-4"/>
          <w:szCs w:val="16"/>
          <w:lang w:val="es-ES"/>
        </w:rPr>
        <w:t>, pág</w:t>
      </w:r>
      <w:r>
        <w:rPr>
          <w:spacing w:val="-4"/>
          <w:szCs w:val="16"/>
          <w:lang w:val="es-ES"/>
        </w:rPr>
        <w:t>s</w:t>
      </w:r>
      <w:r w:rsidRPr="008D2D9F">
        <w:rPr>
          <w:spacing w:val="-4"/>
          <w:szCs w:val="16"/>
          <w:lang w:val="es-ES"/>
        </w:rPr>
        <w:t>.</w:t>
      </w:r>
      <w:r w:rsidRPr="0023362E">
        <w:rPr>
          <w:spacing w:val="-4"/>
          <w:szCs w:val="16"/>
          <w:lang w:val="es-ES"/>
        </w:rPr>
        <w:t xml:space="preserve"> 253, 470 y 471.</w:t>
      </w:r>
      <w:r w:rsidRPr="0023362E">
        <w:rPr>
          <w:b/>
          <w:color w:val="000000"/>
          <w:spacing w:val="-2"/>
          <w:szCs w:val="16"/>
        </w:rPr>
        <w:t xml:space="preserve"> </w:t>
      </w:r>
    </w:p>
  </w:footnote>
  <w:footnote w:id="74">
    <w:p w:rsidR="00E65148" w:rsidRPr="0023362E" w:rsidRDefault="00E65148" w:rsidP="009E2748">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 xml:space="preserve">Desde el 10 de octubre de 1994 y por el término de 60 días el Decreto Supremo </w:t>
      </w:r>
      <w:r>
        <w:rPr>
          <w:szCs w:val="16"/>
          <w:lang w:val="es-CR"/>
        </w:rPr>
        <w:t>No. 084-DE-CCFFAA prorrogó el</w:t>
      </w:r>
      <w:r w:rsidRPr="0023362E">
        <w:rPr>
          <w:szCs w:val="16"/>
          <w:lang w:val="es-CR"/>
        </w:rPr>
        <w:t xml:space="preserve"> estado de emergencia en el Departamento de Huánuco y otros departamentos</w:t>
      </w:r>
      <w:r>
        <w:rPr>
          <w:szCs w:val="16"/>
          <w:lang w:val="es-CR"/>
        </w:rPr>
        <w:t xml:space="preserve"> (expediente de prueba, folio 2416)</w:t>
      </w:r>
      <w:r w:rsidRPr="0023362E">
        <w:rPr>
          <w:szCs w:val="16"/>
          <w:lang w:val="es-CR"/>
        </w:rPr>
        <w:t>. Al 1 de septiembre de 1994 se encontraba vigente el Decreto Supremo No. 065-DE-CCFFAA, publicado el 11 de agosto de 1994, el cual prorrogó el estado de emergencia en el Departamento de Huánuco y otros departamentos por el término de 60 días</w:t>
      </w:r>
      <w:r>
        <w:rPr>
          <w:szCs w:val="16"/>
          <w:lang w:val="es-CR"/>
        </w:rPr>
        <w:t xml:space="preserve"> (expediente de prueba, folio 2415)</w:t>
      </w:r>
      <w:r w:rsidRPr="0023362E">
        <w:rPr>
          <w:szCs w:val="16"/>
          <w:lang w:val="es-CR"/>
        </w:rPr>
        <w:t xml:space="preserve">. Igualmente al 1 de enero de 1995 se encontraba vigente el Decreto Supremo No. 100-DE-CCFFAA publicado el 9 de diciembre de 1994, el cual prorrogó el estado de emergencia en el Departamento de Huánuco y otros departamentos por el término de 60 días </w:t>
      </w:r>
      <w:r>
        <w:rPr>
          <w:szCs w:val="16"/>
          <w:lang w:val="es-CR"/>
        </w:rPr>
        <w:t>(expediente de prueba, folio 2418).</w:t>
      </w:r>
    </w:p>
  </w:footnote>
  <w:footnote w:id="75">
    <w:p w:rsidR="00E65148" w:rsidRPr="00575887" w:rsidRDefault="00E65148" w:rsidP="009E2748">
      <w:pPr>
        <w:pStyle w:val="FootnoteText"/>
        <w:rPr>
          <w:szCs w:val="16"/>
          <w:highlight w:val="cyan"/>
          <w:lang w:val="es-CR"/>
        </w:rPr>
      </w:pPr>
      <w:r w:rsidRPr="0023362E">
        <w:rPr>
          <w:rStyle w:val="FootnoteReference"/>
          <w:szCs w:val="16"/>
        </w:rPr>
        <w:footnoteRef/>
      </w:r>
      <w:r w:rsidRPr="0023362E">
        <w:rPr>
          <w:szCs w:val="16"/>
          <w:lang w:val="es-CR"/>
        </w:rPr>
        <w:t xml:space="preserve"> </w:t>
      </w:r>
      <w:r w:rsidRPr="0023362E">
        <w:rPr>
          <w:szCs w:val="16"/>
          <w:lang w:val="es-CR"/>
        </w:rPr>
        <w:tab/>
      </w:r>
      <w:r w:rsidRPr="00951BD8">
        <w:rPr>
          <w:szCs w:val="16"/>
          <w:lang w:val="es-CR"/>
        </w:rPr>
        <w:t xml:space="preserve">CIDH, Informe sobre la Situación de los Derechos Humanos en Perú, </w:t>
      </w:r>
      <w:proofErr w:type="spellStart"/>
      <w:r w:rsidRPr="00951BD8">
        <w:rPr>
          <w:szCs w:val="16"/>
          <w:lang w:val="es-CR"/>
        </w:rPr>
        <w:t>OEAJSer.LIV</w:t>
      </w:r>
      <w:proofErr w:type="spellEnd"/>
      <w:r w:rsidRPr="00951BD8">
        <w:rPr>
          <w:szCs w:val="16"/>
          <w:lang w:val="es-CR"/>
        </w:rPr>
        <w:t xml:space="preserve">/11.83, Doc. 31, 12 marzo 1993, Sección III. Situación a partir del 5 de abril de 1992, párrafo 54. Disponible en </w:t>
      </w:r>
      <w:hyperlink r:id="rId1" w:history="1">
        <w:r w:rsidRPr="00951BD8">
          <w:rPr>
            <w:rStyle w:val="Hyperlink"/>
            <w:rFonts w:eastAsiaTheme="majorEastAsia"/>
            <w:szCs w:val="16"/>
            <w:lang w:val="es-CR"/>
          </w:rPr>
          <w:t>www.cidh.oas.org/countryrep/Peru93sp/indice.htm</w:t>
        </w:r>
      </w:hyperlink>
      <w:r w:rsidRPr="00951BD8">
        <w:rPr>
          <w:szCs w:val="16"/>
          <w:lang w:val="es-CR"/>
        </w:rPr>
        <w:t xml:space="preserve">. </w:t>
      </w:r>
    </w:p>
  </w:footnote>
  <w:footnote w:id="76">
    <w:p w:rsidR="00E65148" w:rsidRPr="0023362E" w:rsidRDefault="00E65148" w:rsidP="009E2748">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 xml:space="preserve">Constitución Política de la República del Perú promulgada el 29 de diciembre de 1993, que entró en vigencia a partir del 1 de enero de 1994. </w:t>
      </w:r>
      <w:r>
        <w:rPr>
          <w:szCs w:val="16"/>
          <w:lang w:val="es-CR"/>
        </w:rPr>
        <w:t>(expediente de prueba, folio 2961).</w:t>
      </w:r>
      <w:r>
        <w:rPr>
          <w:szCs w:val="16"/>
        </w:rPr>
        <w:t xml:space="preserve"> </w:t>
      </w:r>
    </w:p>
  </w:footnote>
  <w:footnote w:id="77">
    <w:p w:rsidR="00E65148" w:rsidRPr="0023362E" w:rsidRDefault="00E65148" w:rsidP="009E2748">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Informe Final de la Comisión de la Verdad y Reconciliación de Perú, Tomo VI, Sección cuarta: los crímenes y violaciones de los derechos humanos, Capítulo 1: Patrones en la perpetración de los crímenes y de las violaciones de los derechos humanos, 1.6 La Violación del Debido Proceso, 1.6.6. Estado de Emergencia, detenciones ilegales y acciones de garantía, pág. 465</w:t>
      </w:r>
      <w:r>
        <w:rPr>
          <w:szCs w:val="16"/>
          <w:lang w:val="es-CR"/>
        </w:rPr>
        <w:t>.</w:t>
      </w:r>
      <w:r w:rsidRPr="0023362E">
        <w:rPr>
          <w:szCs w:val="16"/>
          <w:lang w:val="es-CR"/>
        </w:rPr>
        <w:t xml:space="preserve"> </w:t>
      </w:r>
    </w:p>
  </w:footnote>
  <w:footnote w:id="78">
    <w:p w:rsidR="00E65148" w:rsidRPr="0023362E" w:rsidRDefault="00E65148" w:rsidP="009E2748">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Decreto Legislativo No. 749 de 12 de noviembre de 1991</w:t>
      </w:r>
      <w:r>
        <w:rPr>
          <w:szCs w:val="16"/>
          <w:lang w:val="es-CR"/>
        </w:rPr>
        <w:t>, publicado en el Diario “El Peruano”</w:t>
      </w:r>
      <w:r w:rsidRPr="0023362E" w:rsidDel="006A5255">
        <w:rPr>
          <w:szCs w:val="16"/>
          <w:lang w:val="es-CR"/>
        </w:rPr>
        <w:t xml:space="preserve"> </w:t>
      </w:r>
      <w:r>
        <w:rPr>
          <w:szCs w:val="16"/>
        </w:rPr>
        <w:t>(expediente de prueba, folio 2965).</w:t>
      </w:r>
    </w:p>
  </w:footnote>
  <w:footnote w:id="79">
    <w:p w:rsidR="00E65148" w:rsidRPr="0023362E" w:rsidRDefault="00E65148" w:rsidP="009E2748">
      <w:pPr>
        <w:pStyle w:val="FootnoteText"/>
        <w:rPr>
          <w:szCs w:val="16"/>
          <w:lang w:val="es-CR"/>
        </w:rPr>
      </w:pPr>
      <w:r w:rsidRPr="0023362E">
        <w:rPr>
          <w:rStyle w:val="FootnoteReference"/>
          <w:szCs w:val="16"/>
        </w:rPr>
        <w:footnoteRef/>
      </w:r>
      <w:r>
        <w:rPr>
          <w:szCs w:val="16"/>
          <w:lang w:val="es-CR"/>
        </w:rPr>
        <w:t xml:space="preserve"> </w:t>
      </w:r>
      <w:r>
        <w:rPr>
          <w:szCs w:val="16"/>
          <w:lang w:val="es-CR"/>
        </w:rPr>
        <w:tab/>
        <w:t>La Ley No. 24150</w:t>
      </w:r>
      <w:r w:rsidRPr="0023362E">
        <w:rPr>
          <w:szCs w:val="16"/>
          <w:lang w:val="es-CR"/>
        </w:rPr>
        <w:t xml:space="preserve"> expedida el 6 de junio de 1985 “establece normas que deben cumplirse en los Estados de Excepción en que las fuerzas armadas asumen el control del orden interno, en todo o en parte del territorio”. En su artículo 4 manda: “El control del orden interno en las zonas de emergencia es asumido por un Comando Político Militar que está a cargo de un Oficial de Alto Rango designado por el Presidente de la República, a propuesta del Comando Conjunto de las Fuerzas Armadas, quien desempeña las funciones inherentes al cargo que establece la presente ley en el ámbito de su jurisdicción, de acuerdo con las directivas y planes de emergencia aprobados por el Presidente de la República”. El artículo 5 establece las “atribuciones del Comando Político Militar” </w:t>
      </w:r>
      <w:r>
        <w:rPr>
          <w:szCs w:val="16"/>
        </w:rPr>
        <w:t>(expediente de prueba, folio 2965).</w:t>
      </w:r>
    </w:p>
  </w:footnote>
  <w:footnote w:id="80">
    <w:p w:rsidR="00E65148" w:rsidRPr="0023362E" w:rsidRDefault="00E65148" w:rsidP="009E2748">
      <w:pPr>
        <w:pStyle w:val="FootnoteText"/>
        <w:rPr>
          <w:szCs w:val="16"/>
          <w:lang w:val="es-CR"/>
        </w:rPr>
      </w:pPr>
      <w:r w:rsidRPr="0023362E">
        <w:rPr>
          <w:rStyle w:val="FootnoteReference"/>
          <w:szCs w:val="16"/>
        </w:rPr>
        <w:footnoteRef/>
      </w:r>
      <w:r>
        <w:rPr>
          <w:szCs w:val="16"/>
          <w:lang w:val="es-CR"/>
        </w:rPr>
        <w:t xml:space="preserve"> </w:t>
      </w:r>
      <w:r w:rsidRPr="0023362E">
        <w:rPr>
          <w:szCs w:val="16"/>
          <w:lang w:val="es-CR"/>
        </w:rPr>
        <w:tab/>
        <w:t>Decreto Ley No. 25475 de 6 de mayo de 1992</w:t>
      </w:r>
      <w:r w:rsidRPr="0023362E">
        <w:rPr>
          <w:szCs w:val="16"/>
        </w:rPr>
        <w:t xml:space="preserve"> </w:t>
      </w:r>
      <w:r>
        <w:rPr>
          <w:szCs w:val="16"/>
        </w:rPr>
        <w:t>(expediente de prueba, folio 2980).</w:t>
      </w:r>
    </w:p>
  </w:footnote>
  <w:footnote w:id="81">
    <w:p w:rsidR="00E65148" w:rsidRPr="0023362E" w:rsidRDefault="00E65148" w:rsidP="009E2748">
      <w:pPr>
        <w:rPr>
          <w:sz w:val="16"/>
          <w:szCs w:val="16"/>
        </w:rPr>
      </w:pPr>
      <w:r w:rsidRPr="0023362E">
        <w:rPr>
          <w:rStyle w:val="FootnoteReference"/>
          <w:sz w:val="16"/>
          <w:szCs w:val="16"/>
        </w:rPr>
        <w:footnoteRef/>
      </w:r>
      <w:r w:rsidRPr="0023362E">
        <w:rPr>
          <w:sz w:val="16"/>
          <w:szCs w:val="16"/>
        </w:rPr>
        <w:t xml:space="preserve"> </w:t>
      </w:r>
      <w:r>
        <w:rPr>
          <w:sz w:val="16"/>
          <w:szCs w:val="16"/>
        </w:rPr>
        <w:tab/>
      </w:r>
      <w:r w:rsidRPr="0023362E">
        <w:rPr>
          <w:sz w:val="16"/>
          <w:szCs w:val="16"/>
        </w:rPr>
        <w:t xml:space="preserve">Resolución del Tribunal Constitucional del 3 de enero de 2003, Expediente No 010-2002-AI/TC, acción de inconstitucionalidad interpuesta por Marcelino Tineo Silva y otros ciudadanos. Disponible en: </w:t>
      </w:r>
      <w:hyperlink r:id="rId2" w:history="1">
        <w:r w:rsidRPr="0023362E">
          <w:rPr>
            <w:rStyle w:val="Hyperlink"/>
            <w:sz w:val="16"/>
            <w:szCs w:val="16"/>
          </w:rPr>
          <w:t>http://www.tc.gob.pe/jurisprudencia/2003/00010-2002-AI.html</w:t>
        </w:r>
      </w:hyperlink>
      <w:r w:rsidRPr="0023362E">
        <w:rPr>
          <w:sz w:val="16"/>
          <w:szCs w:val="16"/>
        </w:rPr>
        <w:t xml:space="preserve"> </w:t>
      </w:r>
    </w:p>
  </w:footnote>
  <w:footnote w:id="82">
    <w:p w:rsidR="00E65148" w:rsidRPr="0023362E" w:rsidRDefault="00E65148" w:rsidP="00BE708E">
      <w:pPr>
        <w:pStyle w:val="FootnoteText"/>
        <w:rPr>
          <w:szCs w:val="16"/>
          <w:lang w:val="es-CR"/>
        </w:rPr>
      </w:pPr>
      <w:r w:rsidRPr="0023362E">
        <w:rPr>
          <w:rStyle w:val="FootnoteReference"/>
          <w:szCs w:val="16"/>
        </w:rPr>
        <w:footnoteRef/>
      </w:r>
      <w:r w:rsidRPr="0023362E">
        <w:rPr>
          <w:szCs w:val="16"/>
        </w:rPr>
        <w:t xml:space="preserve"> </w:t>
      </w:r>
      <w:r>
        <w:rPr>
          <w:szCs w:val="16"/>
        </w:rPr>
        <w:tab/>
      </w:r>
      <w:r w:rsidRPr="0023362E">
        <w:rPr>
          <w:szCs w:val="16"/>
        </w:rPr>
        <w:t xml:space="preserve">El texto del artículo </w:t>
      </w:r>
      <w:r>
        <w:rPr>
          <w:szCs w:val="16"/>
        </w:rPr>
        <w:t>12 de la Ley No. 23506 establecía</w:t>
      </w:r>
      <w:r w:rsidRPr="0023362E">
        <w:rPr>
          <w:szCs w:val="16"/>
        </w:rPr>
        <w:t>: “</w:t>
      </w:r>
      <w:r w:rsidRPr="0023362E">
        <w:rPr>
          <w:szCs w:val="16"/>
          <w:lang w:val="es-CR"/>
        </w:rPr>
        <w:t>Se vulnera o amenaza la libertad individual y en cons</w:t>
      </w:r>
      <w:r>
        <w:rPr>
          <w:szCs w:val="16"/>
          <w:lang w:val="es-CR"/>
        </w:rPr>
        <w:t>ecuencia procede la acción de Há</w:t>
      </w:r>
      <w:r w:rsidRPr="0023362E">
        <w:rPr>
          <w:szCs w:val="16"/>
          <w:lang w:val="es-CR"/>
        </w:rPr>
        <w:t>beas Corpus, enunciativamente, en los siguientes casos:1) Guardar reserva sobre sus convicciones políticas, religiosas, filosóficas o de cualquier otra índole. 2) De la libertad de conciencia y de creencia. 3) El de no ser violentado para obtener declaraciones. 4) El de no ser obligado a prestar juramento ni compelido a declarar o reconocer su culpabilidad en causa penal contra sí mismo, ni contra su cónyuge, ni sus parientes dentro del cuarto grado de consanguinidad o segundo de afinidad. 5) El de no ser exiliado o desterrado o confinado sino por sentencia firme 6) El de no ser expatriado ni separado del lugar de su residencia sino por mandato judicial o por aplicación de la Ley de Extranjería. 7) El de no ser secuestrado. 8) El del extranjero a quien se ha concedido asilo político de no ser expulsado al país cuyo Gobierno lo persigue, o en ningún caso si peligrase su libertad o seguridad por el hecho de ser expulsado. 9) El de los nacionales o de los extranjeros residentes, de ingresar, transitar o salir del territorio nacional, salvo mandato judicial o aplicación de la Ley de Extranjería o de Sanidad. 10) El de no ser detenido sino por mandato escrito y motivado del Juez, o por las autoridades policiales en el caso de flagrante delito; o el de no ser puesto el detenido, dentro de las 24 horas o en el término de la distancia, a disposición del Juzgado. 11) El de no ser detenido por deudas, salvo los casos de obligaciones alimentarias. 12) El de no ser privado del pasaporte, dentro o fuera de la República. 13) El de no ser incomunicado, sino en caso indispensable para el esclarecimiento de un delito y en la forma y por el tiempo previstos por las ley, de acuerdo con el acápite "i" del inciso 20) del artículo 2o. de la Constitución. 14) El de ser asistido por un abogado defensor de su elección desde que es citado o detenido por la autoridad. 15) El de hacer retirar las guardias puestas a un domicilio o suspender el seguimiento policial cuando ello atente contra la libertad individual.16) El de la excarcelación, en el caso de un detenido o procesado que haya sido amnistiado, indultado, sobreseído, absuelto o declarada prescrita la acción penal o la ejecución de la pena.17) El de que se observe el trámite correspondiente cuando se trate del procedimiento o detención de las personas, a que se refiere el artículo 183 de la Constitución.”</w:t>
      </w:r>
    </w:p>
  </w:footnote>
  <w:footnote w:id="83">
    <w:p w:rsidR="00E65148" w:rsidRPr="0023362E" w:rsidRDefault="00E65148" w:rsidP="009E2748">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Decreto Ley No. 25.499 de 12 de mayo de 1992 (</w:t>
      </w:r>
      <w:r>
        <w:rPr>
          <w:szCs w:val="16"/>
          <w:lang w:val="es-CR"/>
        </w:rPr>
        <w:t>e</w:t>
      </w:r>
      <w:r w:rsidRPr="0023362E">
        <w:rPr>
          <w:szCs w:val="16"/>
          <w:lang w:val="es-CR"/>
        </w:rPr>
        <w:t>xpediente ante la Comisión, Tomo IV, f</w:t>
      </w:r>
      <w:r>
        <w:rPr>
          <w:szCs w:val="16"/>
          <w:lang w:val="es-CR"/>
        </w:rPr>
        <w:t>olio</w:t>
      </w:r>
      <w:r w:rsidRPr="0023362E">
        <w:rPr>
          <w:szCs w:val="16"/>
          <w:lang w:val="es-CR"/>
        </w:rPr>
        <w:t>s 1266 a 1268).</w:t>
      </w:r>
    </w:p>
  </w:footnote>
  <w:footnote w:id="84">
    <w:p w:rsidR="00E65148" w:rsidRPr="0023362E" w:rsidRDefault="00E65148" w:rsidP="009E2748">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Decreto Supremo No. 015-93-JUS de 8 de mayo de 1993 (</w:t>
      </w:r>
      <w:r>
        <w:rPr>
          <w:szCs w:val="16"/>
          <w:lang w:val="es-CR"/>
        </w:rPr>
        <w:t>e</w:t>
      </w:r>
      <w:r w:rsidRPr="0023362E">
        <w:rPr>
          <w:szCs w:val="16"/>
          <w:lang w:val="es-CR"/>
        </w:rPr>
        <w:t>xpediente ante la Comisión, Tomo IV, f</w:t>
      </w:r>
      <w:r>
        <w:rPr>
          <w:szCs w:val="16"/>
          <w:lang w:val="es-CR"/>
        </w:rPr>
        <w:t>olio</w:t>
      </w:r>
      <w:r w:rsidRPr="0023362E">
        <w:rPr>
          <w:szCs w:val="16"/>
          <w:lang w:val="es-CR"/>
        </w:rPr>
        <w:t>s 1268 a 1272).</w:t>
      </w:r>
    </w:p>
  </w:footnote>
  <w:footnote w:id="85">
    <w:p w:rsidR="00E65148" w:rsidRPr="0023362E" w:rsidRDefault="00E65148" w:rsidP="009E2748">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Ley No. 26345, publicada en el Diario Oficial “El P</w:t>
      </w:r>
      <w:r>
        <w:rPr>
          <w:szCs w:val="16"/>
          <w:lang w:val="es-CR"/>
        </w:rPr>
        <w:t>eruano” el 30 de agosto de 1994</w:t>
      </w:r>
      <w:r w:rsidRPr="0023362E">
        <w:rPr>
          <w:szCs w:val="16"/>
          <w:lang w:val="es-CR"/>
        </w:rPr>
        <w:t xml:space="preserve"> (</w:t>
      </w:r>
      <w:r>
        <w:rPr>
          <w:szCs w:val="16"/>
          <w:lang w:val="es-CR"/>
        </w:rPr>
        <w:t>e</w:t>
      </w:r>
      <w:r w:rsidRPr="0023362E">
        <w:rPr>
          <w:szCs w:val="16"/>
          <w:lang w:val="es-CR"/>
        </w:rPr>
        <w:t xml:space="preserve">xpediente </w:t>
      </w:r>
      <w:r>
        <w:rPr>
          <w:szCs w:val="16"/>
          <w:lang w:val="es-CR"/>
        </w:rPr>
        <w:t>de p</w:t>
      </w:r>
      <w:r w:rsidRPr="0023362E">
        <w:rPr>
          <w:szCs w:val="16"/>
          <w:lang w:val="es-CR"/>
        </w:rPr>
        <w:t>rueba</w:t>
      </w:r>
      <w:r>
        <w:rPr>
          <w:szCs w:val="16"/>
          <w:lang w:val="es-CR"/>
        </w:rPr>
        <w:t>,</w:t>
      </w:r>
      <w:r w:rsidRPr="0023362E">
        <w:rPr>
          <w:szCs w:val="16"/>
          <w:lang w:val="es-CR"/>
        </w:rPr>
        <w:t xml:space="preserve"> folio 2995) y UN Doc. E/CN.4/1998/39/Add.1 de 19 de febrero de 1998, informe del Relator Especial encargado de la cuestión de la independencia de los jueces y abogados, Sr. </w:t>
      </w:r>
      <w:proofErr w:type="spellStart"/>
      <w:r w:rsidRPr="0023362E">
        <w:rPr>
          <w:szCs w:val="16"/>
          <w:lang w:val="es-CR"/>
        </w:rPr>
        <w:t>Param</w:t>
      </w:r>
      <w:proofErr w:type="spellEnd"/>
      <w:r w:rsidRPr="0023362E">
        <w:rPr>
          <w:szCs w:val="16"/>
          <w:lang w:val="es-CR"/>
        </w:rPr>
        <w:t xml:space="preserve"> </w:t>
      </w:r>
      <w:proofErr w:type="spellStart"/>
      <w:r w:rsidRPr="0023362E">
        <w:rPr>
          <w:szCs w:val="16"/>
          <w:lang w:val="es-CR"/>
        </w:rPr>
        <w:t>Cumaraswamy</w:t>
      </w:r>
      <w:proofErr w:type="spellEnd"/>
      <w:r w:rsidRPr="0023362E">
        <w:rPr>
          <w:szCs w:val="16"/>
          <w:lang w:val="es-CR"/>
        </w:rPr>
        <w:t xml:space="preserve">, Informe de la Misión al Perú, párr. 65. </w:t>
      </w:r>
    </w:p>
  </w:footnote>
  <w:footnote w:id="86">
    <w:p w:rsidR="00E65148" w:rsidRPr="0023362E" w:rsidRDefault="00E65148">
      <w:pPr>
        <w:pStyle w:val="FootnoteText"/>
        <w:rPr>
          <w:szCs w:val="16"/>
          <w:lang w:val="es-CR"/>
        </w:rPr>
      </w:pPr>
      <w:r w:rsidRPr="0023362E">
        <w:rPr>
          <w:rStyle w:val="FootnoteReference"/>
          <w:szCs w:val="16"/>
        </w:rPr>
        <w:footnoteRef/>
      </w:r>
      <w:r w:rsidRPr="0023362E">
        <w:rPr>
          <w:szCs w:val="16"/>
        </w:rPr>
        <w:t xml:space="preserve"> </w:t>
      </w:r>
      <w:r w:rsidRPr="0023362E">
        <w:rPr>
          <w:szCs w:val="16"/>
        </w:rPr>
        <w:tab/>
      </w:r>
      <w:r w:rsidRPr="00CF4A86">
        <w:rPr>
          <w:rStyle w:val="Strong"/>
          <w:b w:val="0"/>
          <w:i/>
          <w:szCs w:val="16"/>
          <w:lang w:val="es-CR"/>
        </w:rPr>
        <w:t>Caso</w:t>
      </w:r>
      <w:r w:rsidRPr="0023362E">
        <w:rPr>
          <w:rStyle w:val="Strong"/>
          <w:b w:val="0"/>
          <w:i/>
          <w:szCs w:val="16"/>
          <w:lang w:val="es-CR"/>
        </w:rPr>
        <w:t xml:space="preserve"> Barrios Altos Vs. Perú. Fondo.</w:t>
      </w:r>
      <w:r w:rsidRPr="0023362E">
        <w:rPr>
          <w:rStyle w:val="Strong"/>
          <w:b w:val="0"/>
          <w:szCs w:val="16"/>
          <w:lang w:val="es-CR"/>
        </w:rPr>
        <w:t xml:space="preserve"> Sentencia de 14 de marzo de 2001. Serie C No. 75, punto resolutivo 4.</w:t>
      </w:r>
    </w:p>
  </w:footnote>
  <w:footnote w:id="87">
    <w:p w:rsidR="00E65148" w:rsidRPr="0023362E" w:rsidRDefault="00E65148">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E207A2">
        <w:rPr>
          <w:rStyle w:val="Strong"/>
          <w:b w:val="0"/>
          <w:i/>
          <w:szCs w:val="16"/>
          <w:lang w:val="es-CR"/>
        </w:rPr>
        <w:t>Caso</w:t>
      </w:r>
      <w:r w:rsidRPr="0023362E">
        <w:rPr>
          <w:rStyle w:val="Strong"/>
          <w:b w:val="0"/>
          <w:i/>
          <w:szCs w:val="16"/>
          <w:lang w:val="es-CR"/>
        </w:rPr>
        <w:t xml:space="preserve"> Barrios Altos Vs. Perú. Interpretación de la Sentencia de Fondo.</w:t>
      </w:r>
      <w:r w:rsidRPr="0023362E">
        <w:rPr>
          <w:rStyle w:val="Strong"/>
          <w:b w:val="0"/>
          <w:szCs w:val="16"/>
          <w:lang w:val="es-CR"/>
        </w:rPr>
        <w:t xml:space="preserve"> Sentencia de 3 de septiembre de 2001. Serie C No. 83</w:t>
      </w:r>
      <w:r w:rsidRPr="0023362E">
        <w:rPr>
          <w:szCs w:val="16"/>
        </w:rPr>
        <w:t>, párrafo 8 y punto resolutivo 2, respectivamente.</w:t>
      </w:r>
    </w:p>
  </w:footnote>
  <w:footnote w:id="88">
    <w:p w:rsidR="00E65148" w:rsidRPr="0023362E" w:rsidRDefault="00E65148" w:rsidP="009E2748">
      <w:pPr>
        <w:pStyle w:val="ListParagraph"/>
        <w:ind w:left="0" w:right="26"/>
        <w:jc w:val="both"/>
        <w:rPr>
          <w:sz w:val="16"/>
          <w:szCs w:val="16"/>
          <w:lang w:val="es-CR"/>
        </w:rPr>
      </w:pPr>
      <w:r w:rsidRPr="0023362E">
        <w:rPr>
          <w:rStyle w:val="FootnoteReference"/>
          <w:sz w:val="16"/>
          <w:szCs w:val="16"/>
        </w:rPr>
        <w:footnoteRef/>
      </w:r>
      <w:r w:rsidRPr="0023362E">
        <w:rPr>
          <w:sz w:val="16"/>
          <w:szCs w:val="16"/>
          <w:lang w:val="es-CR"/>
        </w:rPr>
        <w:t xml:space="preserve"> </w:t>
      </w:r>
      <w:r w:rsidRPr="0023362E">
        <w:rPr>
          <w:sz w:val="16"/>
          <w:szCs w:val="16"/>
          <w:lang w:val="es-CR"/>
        </w:rPr>
        <w:tab/>
        <w:t xml:space="preserve">En dicha Resolución de supervisión de cumplimiento de la Corte Interamericana de esa fecha, emitida en relación con el caso </w:t>
      </w:r>
      <w:r w:rsidRPr="0023362E">
        <w:rPr>
          <w:i/>
          <w:sz w:val="16"/>
          <w:szCs w:val="16"/>
          <w:lang w:val="es-CR"/>
        </w:rPr>
        <w:t>Barrios Altos</w:t>
      </w:r>
      <w:r>
        <w:rPr>
          <w:i/>
          <w:sz w:val="16"/>
          <w:szCs w:val="16"/>
          <w:lang w:val="es-CR"/>
        </w:rPr>
        <w:t xml:space="preserve"> Vs. Perú. Reparaciones y Costas. Sentencia de 30 de noviembre de 2001. </w:t>
      </w:r>
      <w:r w:rsidRPr="008D2D9F">
        <w:rPr>
          <w:sz w:val="16"/>
          <w:szCs w:val="16"/>
          <w:lang w:val="es-CR"/>
        </w:rPr>
        <w:t>Serie C No. 87, punto resolutivo 5.a)</w:t>
      </w:r>
      <w:r w:rsidRPr="00CF4A86">
        <w:rPr>
          <w:sz w:val="16"/>
          <w:szCs w:val="16"/>
          <w:lang w:val="es-CR"/>
        </w:rPr>
        <w:t>,</w:t>
      </w:r>
      <w:r w:rsidRPr="0023362E">
        <w:rPr>
          <w:sz w:val="16"/>
          <w:szCs w:val="16"/>
          <w:lang w:val="es-CR"/>
        </w:rPr>
        <w:t xml:space="preserve"> se indicó que Perú “</w:t>
      </w:r>
      <w:proofErr w:type="gramStart"/>
      <w:r w:rsidRPr="0023362E">
        <w:rPr>
          <w:sz w:val="16"/>
          <w:szCs w:val="16"/>
          <w:lang w:val="es-CR"/>
        </w:rPr>
        <w:t>ha[</w:t>
      </w:r>
      <w:proofErr w:type="spellStart"/>
      <w:proofErr w:type="gramEnd"/>
      <w:r w:rsidRPr="0023362E">
        <w:rPr>
          <w:sz w:val="16"/>
          <w:szCs w:val="16"/>
          <w:lang w:val="es-CR"/>
        </w:rPr>
        <w:t>bía</w:t>
      </w:r>
      <w:proofErr w:type="spellEnd"/>
      <w:r w:rsidRPr="0023362E">
        <w:rPr>
          <w:sz w:val="16"/>
          <w:szCs w:val="16"/>
          <w:lang w:val="es-CR"/>
        </w:rPr>
        <w:t xml:space="preserve">] dado cumplimiento total a […] </w:t>
      </w:r>
      <w:r w:rsidRPr="0023362E">
        <w:rPr>
          <w:rFonts w:eastAsia="Calibri" w:cs="Times New Roman"/>
          <w:sz w:val="16"/>
          <w:szCs w:val="16"/>
          <w:lang w:val="es-CR"/>
        </w:rPr>
        <w:t>la aplicación de lo dispuesto por la Corte en su sentencia de interpretación de la sentencia de fondo de 3 de s</w:t>
      </w:r>
      <w:r w:rsidRPr="0023362E">
        <w:rPr>
          <w:sz w:val="16"/>
          <w:szCs w:val="16"/>
          <w:lang w:val="es-CR"/>
        </w:rPr>
        <w:t>eptiembre de 2001 en es[e] caso ‘</w:t>
      </w:r>
      <w:r w:rsidRPr="0023362E">
        <w:rPr>
          <w:rFonts w:eastAsia="Calibri" w:cs="Times New Roman"/>
          <w:sz w:val="16"/>
          <w:szCs w:val="16"/>
          <w:lang w:val="es-CR"/>
        </w:rPr>
        <w:t>sobre el sentido y alcances de la declaración de ineficacia de las Leyes Nº 26479 y [Nº] 26492</w:t>
      </w:r>
      <w:r w:rsidRPr="0023362E">
        <w:rPr>
          <w:sz w:val="16"/>
          <w:szCs w:val="16"/>
          <w:lang w:val="es-CR"/>
        </w:rPr>
        <w:t>’</w:t>
      </w:r>
      <w:r w:rsidRPr="0023362E">
        <w:rPr>
          <w:i/>
          <w:sz w:val="16"/>
          <w:szCs w:val="16"/>
          <w:lang w:val="es-CR"/>
        </w:rPr>
        <w:t xml:space="preserve">”. </w:t>
      </w:r>
      <w:r w:rsidRPr="0023362E">
        <w:rPr>
          <w:sz w:val="16"/>
          <w:szCs w:val="16"/>
          <w:lang w:val="es-CR"/>
        </w:rPr>
        <w:t>En esa Resolución de 22 de septiembre de 2005 consta que el Estado había informado a la Corte Interamericana que “</w:t>
      </w:r>
      <w:r w:rsidRPr="0023362E">
        <w:rPr>
          <w:rFonts w:eastAsia="Calibri" w:cs="Times New Roman"/>
          <w:sz w:val="16"/>
          <w:szCs w:val="16"/>
        </w:rPr>
        <w:t>con respecto al deber de dar efecto general a la declaración de ineficacia de las Leyes Nº 26.479 y 26.492, mediante Resolución del Fiscal de la Nación de 18</w:t>
      </w:r>
      <w:r w:rsidRPr="0023362E">
        <w:rPr>
          <w:sz w:val="16"/>
          <w:szCs w:val="16"/>
        </w:rPr>
        <w:t xml:space="preserve"> de abril de 2005 se resolvió: ‘</w:t>
      </w:r>
      <w:r w:rsidRPr="0023362E">
        <w:rPr>
          <w:rFonts w:eastAsia="Calibri" w:cs="Times New Roman"/>
          <w:sz w:val="16"/>
          <w:szCs w:val="16"/>
        </w:rPr>
        <w:t>DISPONER que los Fiscales de todas las instancias, que hayan intervenido ante los órganos jurisdiccionales que conocieron procesos en los que se hayan aplicado las [referidas] Leyes […], soliciten a la Sala o Juzgado homólogo en el Poder Judicial, la ejecución de las sentencias supranacionales a que se refieren los conside</w:t>
      </w:r>
      <w:r w:rsidRPr="0023362E">
        <w:rPr>
          <w:sz w:val="16"/>
          <w:szCs w:val="16"/>
        </w:rPr>
        <w:t>randos de la […] resolución […]’; y ‘</w:t>
      </w:r>
      <w:r w:rsidRPr="0023362E">
        <w:rPr>
          <w:rFonts w:eastAsia="Calibri" w:cs="Times New Roman"/>
          <w:sz w:val="16"/>
          <w:szCs w:val="16"/>
        </w:rPr>
        <w:t>PONER la […] Resolución en conocimiento del Presidente de la Corte Suprema de Justicia de la República, Fiscales Supremos, Presidente del Consejo Supremo de Justicia Militar y Fiscales Supe</w:t>
      </w:r>
      <w:r w:rsidRPr="0023362E">
        <w:rPr>
          <w:sz w:val="16"/>
          <w:szCs w:val="16"/>
        </w:rPr>
        <w:t>riores Decanos a nivel nacional’</w:t>
      </w:r>
      <w:r w:rsidRPr="0023362E">
        <w:rPr>
          <w:rFonts w:eastAsia="Calibri" w:cs="Times New Roman"/>
          <w:sz w:val="16"/>
          <w:szCs w:val="16"/>
        </w:rPr>
        <w:t>.  El Perú adjuntó una copia de dicha resolución publicada en el diario oficial El Peruano el 20 de abril de 2005</w:t>
      </w:r>
      <w:r w:rsidRPr="0023362E">
        <w:rPr>
          <w:sz w:val="16"/>
          <w:szCs w:val="16"/>
        </w:rPr>
        <w:t>” (</w:t>
      </w:r>
      <w:r w:rsidRPr="008D2D9F">
        <w:rPr>
          <w:rStyle w:val="Strong"/>
          <w:b w:val="0"/>
          <w:sz w:val="16"/>
          <w:szCs w:val="16"/>
          <w:lang w:val="es-CR"/>
        </w:rPr>
        <w:t>Caso</w:t>
      </w:r>
      <w:r w:rsidRPr="0023362E">
        <w:rPr>
          <w:rStyle w:val="Strong"/>
          <w:b w:val="0"/>
          <w:i/>
          <w:sz w:val="16"/>
          <w:szCs w:val="16"/>
          <w:lang w:val="es-CR"/>
        </w:rPr>
        <w:t xml:space="preserve"> Barrios Altos Vs. Perú. Supervisión de Cumplimiento de Sentencia.</w:t>
      </w:r>
      <w:r w:rsidRPr="0023362E">
        <w:rPr>
          <w:rStyle w:val="Strong"/>
          <w:b w:val="0"/>
          <w:sz w:val="16"/>
          <w:szCs w:val="16"/>
          <w:lang w:val="es-CR"/>
        </w:rPr>
        <w:t xml:space="preserve"> Resolución de 22 de septiembre de 2005, punto declarativo 1. b</w:t>
      </w:r>
      <w:r>
        <w:rPr>
          <w:rStyle w:val="Strong"/>
          <w:b w:val="0"/>
          <w:sz w:val="16"/>
          <w:szCs w:val="16"/>
          <w:lang w:val="es-CR"/>
        </w:rPr>
        <w:t>)</w:t>
      </w:r>
      <w:r w:rsidRPr="0023362E">
        <w:rPr>
          <w:rStyle w:val="Strong"/>
          <w:b w:val="0"/>
          <w:sz w:val="16"/>
          <w:szCs w:val="16"/>
          <w:lang w:val="es-CR"/>
        </w:rPr>
        <w:t xml:space="preserve">, y Visto 15, </w:t>
      </w:r>
      <w:r>
        <w:rPr>
          <w:rStyle w:val="Strong"/>
          <w:b w:val="0"/>
          <w:sz w:val="16"/>
          <w:szCs w:val="16"/>
          <w:lang w:val="es-CR"/>
        </w:rPr>
        <w:t>respectivamente. La</w:t>
      </w:r>
      <w:r w:rsidRPr="0023362E">
        <w:rPr>
          <w:rStyle w:val="Strong"/>
          <w:b w:val="0"/>
          <w:sz w:val="16"/>
          <w:szCs w:val="16"/>
          <w:lang w:val="es-CR"/>
        </w:rPr>
        <w:t xml:space="preserve"> mayúscula corresponden al texto original). </w:t>
      </w:r>
    </w:p>
  </w:footnote>
  <w:footnote w:id="89">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Luego, en 1995, nació Beatriz Galindo Díaz, quien no es considerada presunta víctima (</w:t>
      </w:r>
      <w:r w:rsidRPr="0023362E">
        <w:rPr>
          <w:i/>
          <w:szCs w:val="16"/>
          <w:lang w:val="es-CR"/>
        </w:rPr>
        <w:t xml:space="preserve">supra </w:t>
      </w:r>
      <w:r w:rsidRPr="0023362E">
        <w:rPr>
          <w:szCs w:val="16"/>
          <w:lang w:val="es-CR"/>
        </w:rPr>
        <w:t xml:space="preserve">párr. 60). </w:t>
      </w:r>
    </w:p>
  </w:footnote>
  <w:footnote w:id="90">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 xml:space="preserve">El señor Galindo hizo estas manifestaciones en un escrito recibido originalmente por la Asociación Pro Derechos Humanos (APRODEH) el 13 de enero de 1995 y luego remitido a la Comisión (expediente ante la Comisión, folios 486 a 491). Asimismo, luego el señor Galindo se expresó de modo concordante en una audiencia ante la Comisión, aunque sin reiterar la mención expresa a la fecha de 15 de septiembre de </w:t>
      </w:r>
      <w:r w:rsidRPr="004454B8">
        <w:rPr>
          <w:szCs w:val="16"/>
          <w:lang w:val="es-CR"/>
        </w:rPr>
        <w:t xml:space="preserve">1994 ni a la persona que lo habría “sindicado”, sino diciendo que “un juez penal de Huánuco [l]e </w:t>
      </w:r>
      <w:proofErr w:type="gramStart"/>
      <w:r w:rsidRPr="004454B8">
        <w:rPr>
          <w:szCs w:val="16"/>
          <w:lang w:val="es-CR"/>
        </w:rPr>
        <w:t>h[</w:t>
      </w:r>
      <w:proofErr w:type="gramEnd"/>
      <w:r w:rsidRPr="004454B8">
        <w:rPr>
          <w:szCs w:val="16"/>
          <w:lang w:val="es-CR"/>
        </w:rPr>
        <w:t>izo] un comentario de que su apellido, no su nombre completo figuraba en un atestado policial por delito de terrorismo”.</w:t>
      </w:r>
      <w:r w:rsidRPr="0023362E">
        <w:rPr>
          <w:szCs w:val="16"/>
          <w:lang w:val="es-CR"/>
        </w:rPr>
        <w:t xml:space="preserve"> (Resumen </w:t>
      </w:r>
      <w:r>
        <w:rPr>
          <w:szCs w:val="16"/>
          <w:lang w:val="es-CR"/>
        </w:rPr>
        <w:t xml:space="preserve">de </w:t>
      </w:r>
      <w:r w:rsidRPr="0023362E">
        <w:rPr>
          <w:szCs w:val="16"/>
          <w:lang w:val="es-CR"/>
        </w:rPr>
        <w:t xml:space="preserve">Acta de Audiencia No. 19, de 23 de octubre de 2008. Caso 11. 568 – Luis Galindo Cárdenas. </w:t>
      </w:r>
      <w:r>
        <w:rPr>
          <w:szCs w:val="16"/>
          <w:lang w:val="es-CR"/>
        </w:rPr>
        <w:t>E</w:t>
      </w:r>
      <w:r w:rsidRPr="0023362E">
        <w:rPr>
          <w:szCs w:val="16"/>
          <w:lang w:val="es-CR"/>
        </w:rPr>
        <w:t xml:space="preserve">xpediente ante la Comisión, folios 1312 a 1322). </w:t>
      </w:r>
    </w:p>
  </w:footnote>
  <w:footnote w:id="91">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 xml:space="preserve">Acta de la sesión extraordinaria de 14 de octubre de 1994, Sala Plena de la Corte Superior de Justicia de Huánuco </w:t>
      </w:r>
      <w:r>
        <w:rPr>
          <w:szCs w:val="16"/>
          <w:lang w:val="es-CR"/>
        </w:rPr>
        <w:t xml:space="preserve">y Pasco (expediente de prueba, </w:t>
      </w:r>
      <w:r w:rsidRPr="0023362E">
        <w:rPr>
          <w:szCs w:val="16"/>
          <w:lang w:val="es-CR"/>
        </w:rPr>
        <w:t xml:space="preserve">folios 80 y 81). Ante la Comisión, el señor Galindo expresó que en la fecha señalada se </w:t>
      </w:r>
      <w:r w:rsidRPr="004454B8">
        <w:rPr>
          <w:szCs w:val="16"/>
          <w:lang w:val="es-CR"/>
        </w:rPr>
        <w:t>“</w:t>
      </w:r>
      <w:proofErr w:type="spellStart"/>
      <w:r w:rsidRPr="004454B8">
        <w:rPr>
          <w:szCs w:val="16"/>
          <w:lang w:val="es-CR"/>
        </w:rPr>
        <w:t>reuni</w:t>
      </w:r>
      <w:proofErr w:type="spellEnd"/>
      <w:r w:rsidRPr="004454B8">
        <w:rPr>
          <w:szCs w:val="16"/>
          <w:lang w:val="es-CR"/>
        </w:rPr>
        <w:t>[</w:t>
      </w:r>
      <w:proofErr w:type="spellStart"/>
      <w:r w:rsidRPr="004454B8">
        <w:rPr>
          <w:szCs w:val="16"/>
          <w:lang w:val="es-CR"/>
        </w:rPr>
        <w:t>ó</w:t>
      </w:r>
      <w:proofErr w:type="spellEnd"/>
      <w:r w:rsidRPr="004454B8">
        <w:rPr>
          <w:szCs w:val="16"/>
          <w:lang w:val="es-CR"/>
        </w:rPr>
        <w:t>]” con “la policía especializada de terrorismo de Huánuco […] el fiscal y el coronel jefe del comando político militar” y que posteriormente se “</w:t>
      </w:r>
      <w:proofErr w:type="spellStart"/>
      <w:r w:rsidRPr="004454B8">
        <w:rPr>
          <w:szCs w:val="16"/>
          <w:lang w:val="es-CR"/>
        </w:rPr>
        <w:t>reincorpor</w:t>
      </w:r>
      <w:proofErr w:type="spellEnd"/>
      <w:r w:rsidRPr="004454B8">
        <w:rPr>
          <w:szCs w:val="16"/>
          <w:lang w:val="es-CR"/>
        </w:rPr>
        <w:t>[</w:t>
      </w:r>
      <w:proofErr w:type="spellStart"/>
      <w:r w:rsidRPr="004454B8">
        <w:rPr>
          <w:szCs w:val="16"/>
          <w:lang w:val="es-CR"/>
        </w:rPr>
        <w:t>ó</w:t>
      </w:r>
      <w:proofErr w:type="spellEnd"/>
      <w:r w:rsidRPr="004454B8">
        <w:rPr>
          <w:szCs w:val="16"/>
          <w:lang w:val="es-CR"/>
        </w:rPr>
        <w:t>] a [su] trabajo”. También afirmó que el 14 de octubre de 1994 “</w:t>
      </w:r>
      <w:proofErr w:type="spellStart"/>
      <w:proofErr w:type="gramStart"/>
      <w:r w:rsidRPr="004454B8">
        <w:rPr>
          <w:szCs w:val="16"/>
          <w:lang w:val="es-CR"/>
        </w:rPr>
        <w:t>asist</w:t>
      </w:r>
      <w:proofErr w:type="spellEnd"/>
      <w:r w:rsidRPr="004454B8">
        <w:rPr>
          <w:szCs w:val="16"/>
          <w:lang w:val="es-CR"/>
        </w:rPr>
        <w:t>[</w:t>
      </w:r>
      <w:proofErr w:type="spellStart"/>
      <w:proofErr w:type="gramEnd"/>
      <w:r w:rsidRPr="004454B8">
        <w:rPr>
          <w:szCs w:val="16"/>
          <w:lang w:val="es-CR"/>
        </w:rPr>
        <w:t>ió</w:t>
      </w:r>
      <w:proofErr w:type="spellEnd"/>
      <w:r w:rsidRPr="004454B8">
        <w:rPr>
          <w:szCs w:val="16"/>
          <w:lang w:val="es-CR"/>
        </w:rPr>
        <w:t>] a una reunión de trabajo, […] a una Sala Plena en la Corte Superior de Justicia”.</w:t>
      </w:r>
      <w:r w:rsidRPr="0023362E">
        <w:rPr>
          <w:szCs w:val="16"/>
          <w:lang w:val="es-CR"/>
        </w:rPr>
        <w:t xml:space="preserve"> </w:t>
      </w:r>
      <w:r w:rsidRPr="008D2D9F">
        <w:rPr>
          <w:szCs w:val="16"/>
          <w:lang w:val="es-CR"/>
        </w:rPr>
        <w:t xml:space="preserve">(Resumen </w:t>
      </w:r>
      <w:r>
        <w:rPr>
          <w:szCs w:val="16"/>
          <w:lang w:val="es-CR"/>
        </w:rPr>
        <w:t xml:space="preserve">de </w:t>
      </w:r>
      <w:r w:rsidRPr="008D2D9F">
        <w:rPr>
          <w:szCs w:val="16"/>
          <w:lang w:val="es-CR"/>
        </w:rPr>
        <w:t>Acta de Audiencia No. 19</w:t>
      </w:r>
      <w:r>
        <w:rPr>
          <w:szCs w:val="16"/>
          <w:lang w:val="es-CR"/>
        </w:rPr>
        <w:t>. Expediente ante la Comisión, folios 1312 a 1322).</w:t>
      </w:r>
    </w:p>
  </w:footnote>
  <w:footnote w:id="92">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Declaración Fiscal de 17 de febrero de 2014 (expediente de fondo, folios 423 a 425).</w:t>
      </w:r>
    </w:p>
  </w:footnote>
  <w:footnote w:id="93">
    <w:p w:rsidR="00E65148" w:rsidRPr="0023362E" w:rsidRDefault="00E65148" w:rsidP="006B0B0A">
      <w:pPr>
        <w:autoSpaceDE w:val="0"/>
        <w:autoSpaceDN w:val="0"/>
        <w:adjustRightInd w:val="0"/>
        <w:rPr>
          <w:sz w:val="16"/>
          <w:szCs w:val="16"/>
          <w:lang w:val="es-CR"/>
        </w:rPr>
      </w:pPr>
      <w:r w:rsidRPr="0023362E">
        <w:rPr>
          <w:rStyle w:val="FootnoteReference"/>
          <w:sz w:val="16"/>
          <w:szCs w:val="16"/>
        </w:rPr>
        <w:footnoteRef/>
      </w:r>
      <w:r w:rsidRPr="0023362E">
        <w:rPr>
          <w:sz w:val="16"/>
          <w:szCs w:val="16"/>
          <w:lang w:val="es-CR"/>
        </w:rPr>
        <w:t xml:space="preserve"> </w:t>
      </w:r>
      <w:r w:rsidRPr="0023362E">
        <w:rPr>
          <w:sz w:val="16"/>
          <w:szCs w:val="16"/>
          <w:lang w:val="es-CR"/>
        </w:rPr>
        <w:tab/>
        <w:t>En el Informe de Fondo, la Comisión “</w:t>
      </w:r>
      <w:proofErr w:type="spellStart"/>
      <w:r w:rsidRPr="0023362E">
        <w:rPr>
          <w:sz w:val="16"/>
          <w:szCs w:val="16"/>
          <w:lang w:val="es-CR"/>
        </w:rPr>
        <w:t>consider</w:t>
      </w:r>
      <w:proofErr w:type="spellEnd"/>
      <w:r w:rsidRPr="0023362E">
        <w:rPr>
          <w:sz w:val="16"/>
          <w:szCs w:val="16"/>
          <w:lang w:val="es-CR"/>
        </w:rPr>
        <w:t>[</w:t>
      </w:r>
      <w:proofErr w:type="spellStart"/>
      <w:r w:rsidRPr="0023362E">
        <w:rPr>
          <w:sz w:val="16"/>
          <w:szCs w:val="16"/>
          <w:lang w:val="es-CR"/>
        </w:rPr>
        <w:t>ó</w:t>
      </w:r>
      <w:proofErr w:type="spellEnd"/>
      <w:r w:rsidRPr="0023362E">
        <w:rPr>
          <w:sz w:val="16"/>
          <w:szCs w:val="16"/>
          <w:lang w:val="es-CR"/>
        </w:rPr>
        <w:t xml:space="preserve">] que el señor Galindo se encontró detenido en el Cuartel Militar de </w:t>
      </w:r>
      <w:proofErr w:type="spellStart"/>
      <w:r w:rsidRPr="0023362E">
        <w:rPr>
          <w:sz w:val="16"/>
          <w:szCs w:val="16"/>
          <w:lang w:val="es-CR"/>
        </w:rPr>
        <w:t>Yanac</w:t>
      </w:r>
      <w:proofErr w:type="spellEnd"/>
      <w:r w:rsidRPr="0023362E">
        <w:rPr>
          <w:sz w:val="16"/>
          <w:szCs w:val="16"/>
          <w:lang w:val="es-CR"/>
        </w:rPr>
        <w:t>”.</w:t>
      </w:r>
      <w:r w:rsidRPr="0023362E">
        <w:rPr>
          <w:b/>
          <w:sz w:val="16"/>
          <w:szCs w:val="16"/>
          <w:lang w:val="es-CR"/>
        </w:rPr>
        <w:t xml:space="preserve"> </w:t>
      </w:r>
      <w:r w:rsidRPr="0023362E">
        <w:rPr>
          <w:sz w:val="16"/>
          <w:szCs w:val="16"/>
          <w:lang w:val="es-CR"/>
        </w:rPr>
        <w:t>En el mismo documento, la Comisión refirió que el Estado había “señala[do] que […] no existe prueba que acredite que el señor Galindo estuvo detenido en una base militar” y que si bien el Estado había “[a]</w:t>
      </w:r>
      <w:proofErr w:type="spellStart"/>
      <w:r w:rsidRPr="0023362E">
        <w:rPr>
          <w:sz w:val="16"/>
          <w:szCs w:val="16"/>
          <w:lang w:val="es-CR"/>
        </w:rPr>
        <w:t>leg</w:t>
      </w:r>
      <w:proofErr w:type="spellEnd"/>
      <w:r w:rsidRPr="0023362E">
        <w:rPr>
          <w:sz w:val="16"/>
          <w:szCs w:val="16"/>
          <w:lang w:val="es-CR"/>
        </w:rPr>
        <w:t>[</w:t>
      </w:r>
      <w:proofErr w:type="spellStart"/>
      <w:r w:rsidRPr="0023362E">
        <w:rPr>
          <w:sz w:val="16"/>
          <w:szCs w:val="16"/>
          <w:lang w:val="es-CR"/>
        </w:rPr>
        <w:t>ado</w:t>
      </w:r>
      <w:proofErr w:type="spellEnd"/>
      <w:r w:rsidRPr="0023362E">
        <w:rPr>
          <w:sz w:val="16"/>
          <w:szCs w:val="16"/>
          <w:lang w:val="es-CR"/>
        </w:rPr>
        <w:t>] que dado que el señor Galindo se presentó ante autoridades policiales, en concreto ante la […]</w:t>
      </w:r>
      <w:r>
        <w:rPr>
          <w:sz w:val="16"/>
          <w:szCs w:val="16"/>
          <w:lang w:val="es-CR"/>
        </w:rPr>
        <w:t xml:space="preserve"> </w:t>
      </w:r>
      <w:r w:rsidRPr="0023362E">
        <w:rPr>
          <w:sz w:val="16"/>
          <w:szCs w:val="16"/>
          <w:lang w:val="es-CR"/>
        </w:rPr>
        <w:t>JECOTE […] de la ciudad de Huánuco y no ante autoridades militares, el señor Galindo habría permanecido detenido en la unidad policial especializada”.</w:t>
      </w:r>
      <w:r w:rsidRPr="0023362E">
        <w:rPr>
          <w:b/>
          <w:sz w:val="16"/>
          <w:szCs w:val="16"/>
          <w:lang w:val="es-CR"/>
        </w:rPr>
        <w:t xml:space="preserve">  </w:t>
      </w:r>
      <w:r w:rsidRPr="0023362E">
        <w:rPr>
          <w:sz w:val="16"/>
          <w:szCs w:val="16"/>
          <w:lang w:val="es-CR"/>
        </w:rPr>
        <w:t xml:space="preserve">No obstante, en su escrito de contestación, el Estado indicó que “[e]l señor Galindo […] fue recluido en la sede del Comando Político Militar Frente Huallaga que se ubicaba en el Cuartel </w:t>
      </w:r>
      <w:proofErr w:type="spellStart"/>
      <w:r w:rsidRPr="0023362E">
        <w:rPr>
          <w:sz w:val="16"/>
          <w:szCs w:val="16"/>
          <w:lang w:val="es-CR"/>
        </w:rPr>
        <w:t>Yanac</w:t>
      </w:r>
      <w:proofErr w:type="spellEnd"/>
      <w:r w:rsidRPr="0023362E">
        <w:rPr>
          <w:sz w:val="16"/>
          <w:szCs w:val="16"/>
          <w:lang w:val="es-CR"/>
        </w:rPr>
        <w:t xml:space="preserve">, en el departamento de Huánuco. Sin embargo, por los hechos mismos del caso, no se cuenta con una orden de ingreso ni de salida del señor Galindo Cárdenas”. El Estado manifestó también que dicha ”reclusión” en el lugar indicado se dio “dado el acogimiento voluntario del señor Galindo a los beneficios de la Ley de Arrepentimiento, la vigencia del Estado de Emergencia y a fin de brindar seguridad y protección al señor Galindo”. Antes, ante la Comisión, el Estado había expresado que “[e]l Departamento contra el Terrorismo de Huánuco, mediante Oficio No. 1186-DECOTE-PNP-HCO del 17 de octubre de 1994, dirigido al </w:t>
      </w:r>
      <w:r w:rsidRPr="0023362E">
        <w:rPr>
          <w:rFonts w:cs="Arial"/>
          <w:sz w:val="16"/>
          <w:szCs w:val="16"/>
          <w:lang w:val="es-CR"/>
        </w:rPr>
        <w:t>Jefe [del] E</w:t>
      </w:r>
      <w:r w:rsidRPr="0023362E">
        <w:rPr>
          <w:rFonts w:eastAsia="HiddenHorzOCR" w:cs="HiddenHorzOCR"/>
          <w:sz w:val="16"/>
          <w:szCs w:val="16"/>
          <w:lang w:val="es-CR"/>
        </w:rPr>
        <w:t xml:space="preserve">jército </w:t>
      </w:r>
      <w:r w:rsidRPr="0023362E">
        <w:rPr>
          <w:sz w:val="16"/>
          <w:szCs w:val="16"/>
          <w:lang w:val="es-CR"/>
        </w:rPr>
        <w:t xml:space="preserve">Peruano del Batallón Contra Subversivo No. 314, […] </w:t>
      </w:r>
      <w:proofErr w:type="spellStart"/>
      <w:r w:rsidRPr="0023362E">
        <w:rPr>
          <w:sz w:val="16"/>
          <w:szCs w:val="16"/>
          <w:lang w:val="es-CR"/>
        </w:rPr>
        <w:t>solicit</w:t>
      </w:r>
      <w:proofErr w:type="spellEnd"/>
      <w:r w:rsidRPr="0023362E">
        <w:rPr>
          <w:sz w:val="16"/>
          <w:szCs w:val="16"/>
          <w:lang w:val="es-CR"/>
        </w:rPr>
        <w:t>[</w:t>
      </w:r>
      <w:proofErr w:type="spellStart"/>
      <w:r w:rsidRPr="0023362E">
        <w:rPr>
          <w:sz w:val="16"/>
          <w:szCs w:val="16"/>
          <w:lang w:val="es-CR"/>
        </w:rPr>
        <w:t>ó</w:t>
      </w:r>
      <w:proofErr w:type="spellEnd"/>
      <w:r w:rsidRPr="0023362E">
        <w:rPr>
          <w:sz w:val="16"/>
          <w:szCs w:val="16"/>
          <w:lang w:val="es-CR"/>
        </w:rPr>
        <w:t xml:space="preserve">] que Luis Antonio Galindo Cárdenas </w:t>
      </w:r>
      <w:r w:rsidRPr="0023362E">
        <w:rPr>
          <w:rFonts w:cs="Arial"/>
          <w:sz w:val="16"/>
          <w:szCs w:val="16"/>
          <w:lang w:val="es-CR"/>
        </w:rPr>
        <w:t xml:space="preserve">permanezca en </w:t>
      </w:r>
      <w:r w:rsidRPr="0023362E">
        <w:rPr>
          <w:sz w:val="16"/>
          <w:szCs w:val="16"/>
          <w:lang w:val="es-CR"/>
        </w:rPr>
        <w:t>dichas instalaciones, por medida de seguridad” (Informe No. 54-2002-JUS-CNDH-SE, de 24 de julio de 2002, recibido por la Comisión el 7 de agosto de 2002, párr. 2.2. Expediente ante la Comisión, folios</w:t>
      </w:r>
      <w:r>
        <w:rPr>
          <w:sz w:val="16"/>
          <w:szCs w:val="16"/>
          <w:lang w:val="es-CR"/>
        </w:rPr>
        <w:t xml:space="preserve"> </w:t>
      </w:r>
      <w:r w:rsidRPr="0023362E">
        <w:rPr>
          <w:sz w:val="16"/>
          <w:szCs w:val="16"/>
          <w:lang w:val="es-CR"/>
        </w:rPr>
        <w:t xml:space="preserve">1156 y 1157). De ello pareciera inferirse que el Estado había afirmado ante la Comisión que el señor Galindo se había encontrado alojado en instalaciones militares. </w:t>
      </w:r>
      <w:r>
        <w:rPr>
          <w:sz w:val="16"/>
          <w:szCs w:val="16"/>
          <w:lang w:val="es-CR"/>
        </w:rPr>
        <w:t>El</w:t>
      </w:r>
      <w:r w:rsidRPr="0023362E">
        <w:rPr>
          <w:sz w:val="16"/>
          <w:szCs w:val="16"/>
          <w:lang w:val="es-CR"/>
        </w:rPr>
        <w:t xml:space="preserve"> representante, por su parte, sustent</w:t>
      </w:r>
      <w:r>
        <w:rPr>
          <w:sz w:val="16"/>
          <w:szCs w:val="16"/>
          <w:lang w:val="es-CR"/>
        </w:rPr>
        <w:t>ó</w:t>
      </w:r>
      <w:r w:rsidRPr="0023362E">
        <w:rPr>
          <w:sz w:val="16"/>
          <w:szCs w:val="16"/>
          <w:lang w:val="es-CR"/>
        </w:rPr>
        <w:t xml:space="preserve"> sus alegatos en los hechos indicados por la Comisión, y no hicieron precisiones distintas a las del Informe de Fondo sobre el lugar en que estuvo el señor Galindo. Por lo expuesto, considerando las afirmaciones del Estado en el trámite del caso ante la Corte, se tiene como un hecho no controvertido que el señor Galindo permaneció en el Cuartel Militar de </w:t>
      </w:r>
      <w:proofErr w:type="spellStart"/>
      <w:r w:rsidRPr="0023362E">
        <w:rPr>
          <w:sz w:val="16"/>
          <w:szCs w:val="16"/>
          <w:lang w:val="es-CR"/>
        </w:rPr>
        <w:t>Yanac</w:t>
      </w:r>
      <w:proofErr w:type="spellEnd"/>
      <w:r w:rsidRPr="0023362E">
        <w:rPr>
          <w:sz w:val="16"/>
          <w:szCs w:val="16"/>
          <w:lang w:val="es-CR"/>
        </w:rPr>
        <w:t xml:space="preserve">. </w:t>
      </w:r>
    </w:p>
  </w:footnote>
  <w:footnote w:id="94">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Comunicado Oficial No. 068/RRPP/F-H del Ministerio de Defensa CCFFAA Frente Huallaga, de 17 de octubre de 1994 (expediente de prueba, folio 87).</w:t>
      </w:r>
    </w:p>
  </w:footnote>
  <w:footnote w:id="95">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Notas publicadas en el diario “La República” el 18 de octubre de 1994, tituladas “Fujimori dice que fue un ‘lapsus’ acusación a Presidente de Corte” y “Rector y magistrado de Huánuco niegan vínculo con el terrorismo” (expediente de prueba, folio 83). En el párrafo 94 del Informe de Fondo, la Comisión expresó que en dichas declaraciones el Presidente de la República había manifestado también que “ambas personas habían sido detenidas en un operativo”, en referencia “al Rector de la Universidad de Huánuco y al Presidente de la Corte Superior de Huánuco”. No obstante, ello no surge de la nota de prensa presentada por la Comisión.</w:t>
      </w:r>
    </w:p>
  </w:footnote>
  <w:footnote w:id="96">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Nota publicada en el diario “La República” el 18 de octubre de 1994.</w:t>
      </w:r>
    </w:p>
  </w:footnote>
  <w:footnote w:id="97">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Acta de Declaración del Solicitante de 15 de octubre de 1994 realizada a las 8:00 h</w:t>
      </w:r>
      <w:r>
        <w:rPr>
          <w:szCs w:val="16"/>
          <w:lang w:val="es-CR"/>
        </w:rPr>
        <w:t>ora</w:t>
      </w:r>
      <w:r w:rsidRPr="0023362E">
        <w:rPr>
          <w:szCs w:val="16"/>
          <w:lang w:val="es-CR"/>
        </w:rPr>
        <w:t xml:space="preserve">s (expediente de fondo, folios 1572 a 1574). </w:t>
      </w:r>
    </w:p>
  </w:footnote>
  <w:footnote w:id="98">
    <w:p w:rsidR="00E65148" w:rsidRPr="0023362E" w:rsidRDefault="00E65148" w:rsidP="006B0B0A">
      <w:pPr>
        <w:pStyle w:val="FootnoteText"/>
        <w:rPr>
          <w:szCs w:val="16"/>
        </w:rPr>
      </w:pPr>
      <w:r w:rsidRPr="0023362E">
        <w:rPr>
          <w:rStyle w:val="FootnoteReference"/>
          <w:szCs w:val="16"/>
        </w:rPr>
        <w:footnoteRef/>
      </w:r>
      <w:r w:rsidRPr="0023362E">
        <w:rPr>
          <w:szCs w:val="16"/>
        </w:rPr>
        <w:t xml:space="preserve"> </w:t>
      </w:r>
      <w:r w:rsidRPr="0023362E">
        <w:rPr>
          <w:szCs w:val="16"/>
        </w:rPr>
        <w:tab/>
        <w:t>Acta de ampliación de declaración del Solicitante de 15 de octubre de 1994 realizada a las 11:00 h</w:t>
      </w:r>
      <w:r>
        <w:rPr>
          <w:szCs w:val="16"/>
        </w:rPr>
        <w:t>ora</w:t>
      </w:r>
      <w:r w:rsidRPr="0023362E">
        <w:rPr>
          <w:szCs w:val="16"/>
        </w:rPr>
        <w:t>s (expediente de fondo, folios 1575 a 1577).</w:t>
      </w:r>
    </w:p>
  </w:footnote>
  <w:footnote w:id="99">
    <w:p w:rsidR="00E65148" w:rsidRPr="0023362E" w:rsidRDefault="00E65148" w:rsidP="006B0B0A">
      <w:pPr>
        <w:pStyle w:val="FootnoteText"/>
        <w:rPr>
          <w:szCs w:val="16"/>
        </w:rPr>
      </w:pPr>
      <w:r w:rsidRPr="0023362E">
        <w:rPr>
          <w:rStyle w:val="FootnoteReference"/>
          <w:szCs w:val="16"/>
        </w:rPr>
        <w:footnoteRef/>
      </w:r>
      <w:r w:rsidRPr="0023362E">
        <w:rPr>
          <w:szCs w:val="16"/>
        </w:rPr>
        <w:t xml:space="preserve"> </w:t>
      </w:r>
      <w:r w:rsidRPr="0023362E">
        <w:rPr>
          <w:szCs w:val="16"/>
        </w:rPr>
        <w:tab/>
        <w:t>Acta de 15 de octubre de 1994 realizada a las 20:00</w:t>
      </w:r>
      <w:r>
        <w:rPr>
          <w:szCs w:val="16"/>
        </w:rPr>
        <w:t xml:space="preserve"> </w:t>
      </w:r>
      <w:r w:rsidRPr="0023362E">
        <w:rPr>
          <w:szCs w:val="16"/>
        </w:rPr>
        <w:t>h</w:t>
      </w:r>
      <w:r>
        <w:rPr>
          <w:szCs w:val="16"/>
        </w:rPr>
        <w:t>oras (expediente de f</w:t>
      </w:r>
      <w:r w:rsidRPr="0023362E">
        <w:rPr>
          <w:szCs w:val="16"/>
        </w:rPr>
        <w:t>ondo, folios 1578 a 1580).</w:t>
      </w:r>
    </w:p>
  </w:footnote>
  <w:footnote w:id="100">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t xml:space="preserve">Además de las señaladas, consta un acta de “ampliación de declaración del solicitante” de 29 de octubre de 2015, en la que aparece una firma que correspondería al “solicitante”; es decir, al señor Galindo. El contenido del documento, en la copia allegada a la Corte, se encuentra ilegible (expediente de prueba, folios 182 a 184).  </w:t>
      </w:r>
    </w:p>
  </w:footnote>
  <w:footnote w:id="101">
    <w:p w:rsidR="00E65148" w:rsidRPr="0023362E" w:rsidRDefault="00E65148" w:rsidP="00AC3B73">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r>
      <w:r w:rsidRPr="008D2D9F">
        <w:rPr>
          <w:szCs w:val="16"/>
          <w:lang w:val="es-CR"/>
        </w:rPr>
        <w:t>Resumen</w:t>
      </w:r>
      <w:r>
        <w:rPr>
          <w:szCs w:val="16"/>
          <w:lang w:val="es-CR"/>
        </w:rPr>
        <w:t xml:space="preserve"> de Acta de</w:t>
      </w:r>
      <w:r w:rsidRPr="008D2D9F">
        <w:rPr>
          <w:szCs w:val="16"/>
          <w:lang w:val="es-CR"/>
        </w:rPr>
        <w:t xml:space="preserve">  Audiencia No. 19</w:t>
      </w:r>
      <w:r>
        <w:rPr>
          <w:szCs w:val="16"/>
          <w:lang w:val="es-CR"/>
        </w:rPr>
        <w:t xml:space="preserve"> </w:t>
      </w:r>
      <w:r>
        <w:rPr>
          <w:szCs w:val="16"/>
        </w:rPr>
        <w:t>(expediente</w:t>
      </w:r>
      <w:r w:rsidRPr="0023362E">
        <w:rPr>
          <w:szCs w:val="16"/>
        </w:rPr>
        <w:t xml:space="preserve"> </w:t>
      </w:r>
      <w:r>
        <w:rPr>
          <w:szCs w:val="16"/>
        </w:rPr>
        <w:t>ante la Comisión, folios 1312 a 1322</w:t>
      </w:r>
      <w:r w:rsidRPr="0023362E">
        <w:rPr>
          <w:szCs w:val="16"/>
        </w:rPr>
        <w:t>)</w:t>
      </w:r>
      <w:r w:rsidRPr="008D2D9F">
        <w:rPr>
          <w:szCs w:val="16"/>
          <w:lang w:val="es-CR"/>
        </w:rPr>
        <w:t>.</w:t>
      </w:r>
    </w:p>
  </w:footnote>
  <w:footnote w:id="102">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sidRPr="0023362E">
        <w:rPr>
          <w:szCs w:val="16"/>
          <w:lang w:val="es-CR"/>
        </w:rPr>
        <w:tab/>
      </w:r>
      <w:r w:rsidRPr="008D2D9F">
        <w:rPr>
          <w:szCs w:val="16"/>
          <w:lang w:val="es-CR"/>
        </w:rPr>
        <w:t>Declaración Fiscal de 17 de febrero de 2014</w:t>
      </w:r>
      <w:r w:rsidRPr="00A81B21">
        <w:rPr>
          <w:szCs w:val="16"/>
          <w:lang w:val="es-CR"/>
        </w:rPr>
        <w:t xml:space="preserve"> </w:t>
      </w:r>
      <w:r w:rsidRPr="0023362E">
        <w:rPr>
          <w:szCs w:val="16"/>
          <w:lang w:val="es-CR"/>
        </w:rPr>
        <w:t>(expediente de fondo, folios 423 a 425).</w:t>
      </w:r>
    </w:p>
  </w:footnote>
  <w:footnote w:id="103">
    <w:p w:rsidR="00E65148" w:rsidRPr="0023362E" w:rsidRDefault="00E65148" w:rsidP="006B0B0A">
      <w:pPr>
        <w:pStyle w:val="FootnoteText"/>
        <w:rPr>
          <w:szCs w:val="16"/>
        </w:rPr>
      </w:pPr>
      <w:r w:rsidRPr="0023362E">
        <w:rPr>
          <w:rStyle w:val="FootnoteReference"/>
          <w:szCs w:val="16"/>
        </w:rPr>
        <w:footnoteRef/>
      </w:r>
      <w:r w:rsidRPr="0023362E">
        <w:rPr>
          <w:szCs w:val="16"/>
        </w:rPr>
        <w:t xml:space="preserve"> </w:t>
      </w:r>
      <w:r>
        <w:rPr>
          <w:szCs w:val="16"/>
        </w:rPr>
        <w:tab/>
      </w:r>
      <w:r w:rsidRPr="0023362E">
        <w:rPr>
          <w:szCs w:val="16"/>
        </w:rPr>
        <w:t>Informe Nro. 9-DECOTE-PNP-HCO</w:t>
      </w:r>
      <w:proofErr w:type="gramStart"/>
      <w:r w:rsidRPr="0023362E">
        <w:rPr>
          <w:szCs w:val="16"/>
        </w:rPr>
        <w:t>./</w:t>
      </w:r>
      <w:proofErr w:type="gramEnd"/>
      <w:r w:rsidRPr="0023362E">
        <w:rPr>
          <w:szCs w:val="16"/>
        </w:rPr>
        <w:t>AD de 25 de marzo de 1996 (expediente de prueba, folios 190 a 192).</w:t>
      </w:r>
    </w:p>
  </w:footnote>
  <w:footnote w:id="104">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4454B8">
        <w:rPr>
          <w:szCs w:val="16"/>
          <w:lang w:val="es-CR"/>
        </w:rPr>
        <w:t>El señor Galindo, en su declaración ante la Corte, indicó que la primera vez que fue visitado fue por su esposa el 18 de octubre de 1994. María Luisa Galindo Cárdenas declaró el 30 de octubre de 2008 que viajó a Huánuco junto con la esposa del señor Galindo el 17 de octubre de 1994. Sin especificar una fecha, señaló que “[a]</w:t>
      </w:r>
      <w:proofErr w:type="spellStart"/>
      <w:r w:rsidRPr="004454B8">
        <w:rPr>
          <w:szCs w:val="16"/>
          <w:lang w:val="es-CR"/>
        </w:rPr>
        <w:t>nte</w:t>
      </w:r>
      <w:proofErr w:type="spellEnd"/>
      <w:r w:rsidRPr="004454B8">
        <w:rPr>
          <w:szCs w:val="16"/>
          <w:lang w:val="es-CR"/>
        </w:rPr>
        <w:t xml:space="preserve"> su exigencia y reclamo […] se [les] permitió por un tiempo limitado ingresar a las instalaciones militares” (Declaración Jurada de María Luisa Galindo Cárdenas de 30 de octubre de 2008, Anexo al escrito del peticionario de 3 de noviembre de 2008. Expediente de prueba, folios 105 y 106). Luego, en su declaración mediante </w:t>
      </w:r>
      <w:r w:rsidRPr="004454B8">
        <w:rPr>
          <w:i/>
          <w:szCs w:val="16"/>
          <w:lang w:val="es-CR"/>
        </w:rPr>
        <w:t>affidávit</w:t>
      </w:r>
      <w:r w:rsidRPr="004454B8">
        <w:rPr>
          <w:szCs w:val="16"/>
          <w:lang w:val="es-CR"/>
        </w:rPr>
        <w:t xml:space="preserve"> presentada ante este Tribunal, indicó que ella y la esposa del señor Galindo viajaron a la ciudad de Huánuco el 17 de octubre de 1994, y que visitaron al señor Galindo por primera vez “después del cuarto día de su detención”. Considerando las diversas versiones en cuanto al momento en que tuvo lugar tal hecho (</w:t>
      </w:r>
      <w:r w:rsidRPr="004454B8">
        <w:rPr>
          <w:i/>
          <w:szCs w:val="16"/>
          <w:lang w:val="es-CR"/>
        </w:rPr>
        <w:t>supra</w:t>
      </w:r>
      <w:r>
        <w:rPr>
          <w:szCs w:val="16"/>
          <w:lang w:val="es-CR"/>
        </w:rPr>
        <w:t xml:space="preserve"> </w:t>
      </w:r>
      <w:proofErr w:type="spellStart"/>
      <w:r>
        <w:rPr>
          <w:szCs w:val="16"/>
          <w:lang w:val="es-CR"/>
        </w:rPr>
        <w:t>párrs</w:t>
      </w:r>
      <w:proofErr w:type="spellEnd"/>
      <w:r>
        <w:rPr>
          <w:szCs w:val="16"/>
          <w:lang w:val="es-CR"/>
        </w:rPr>
        <w:t>. 121</w:t>
      </w:r>
      <w:r w:rsidRPr="004454B8">
        <w:rPr>
          <w:szCs w:val="16"/>
          <w:lang w:val="es-CR"/>
        </w:rPr>
        <w:t xml:space="preserve"> a 12</w:t>
      </w:r>
      <w:r>
        <w:rPr>
          <w:szCs w:val="16"/>
          <w:lang w:val="es-CR"/>
        </w:rPr>
        <w:t>6</w:t>
      </w:r>
      <w:r w:rsidRPr="004454B8">
        <w:rPr>
          <w:szCs w:val="16"/>
          <w:lang w:val="es-CR"/>
        </w:rPr>
        <w:t>), el cuarto día de la detención fue entre el 17 y el 20 de octubre de 1994. Teniendo en cuenta que la hermana del señor Galindo declaró que la primera visita fue “después” del cuarto día de detención, ello pudo haber ocurrido por primera vez incluso el 21 de octubre de 1994.  En</w:t>
      </w:r>
      <w:r w:rsidRPr="0023362E">
        <w:rPr>
          <w:szCs w:val="16"/>
          <w:lang w:val="es-CR"/>
        </w:rPr>
        <w:t xml:space="preserve"> su </w:t>
      </w:r>
      <w:r w:rsidRPr="0023362E">
        <w:rPr>
          <w:i/>
          <w:szCs w:val="16"/>
          <w:lang w:val="es-CR"/>
        </w:rPr>
        <w:t>affidávit</w:t>
      </w:r>
      <w:r w:rsidRPr="0023362E">
        <w:rPr>
          <w:szCs w:val="16"/>
          <w:lang w:val="es-CR"/>
        </w:rPr>
        <w:t xml:space="preserve"> presentado a la Corte, también explicó María Luisa Galindo Cárdenas cómo se enteró de la situación de su hermano y de gestiones que realizó, junto con la esposa del señor Galindo, desde que ambas llegaron a la ciudad de Huánuco hasta el momento en que lograron visitarlo. Así, manifestó que “las constantes declaraciones del [e]x Presidente Fujimori a través de los medios de comunicación [indicab</w:t>
      </w:r>
      <w:r>
        <w:rPr>
          <w:szCs w:val="16"/>
          <w:lang w:val="es-CR"/>
        </w:rPr>
        <w:t>an] que [su] hermano</w:t>
      </w:r>
      <w:r w:rsidRPr="0023362E">
        <w:rPr>
          <w:szCs w:val="16"/>
          <w:lang w:val="es-CR"/>
        </w:rPr>
        <w:t xml:space="preserve"> estaba detenido e incomunicado sin señalar el lugar donde se encontraba”</w:t>
      </w:r>
      <w:r>
        <w:rPr>
          <w:szCs w:val="16"/>
          <w:lang w:val="es-CR"/>
        </w:rPr>
        <w:t>,</w:t>
      </w:r>
      <w:r w:rsidRPr="0023362E">
        <w:rPr>
          <w:szCs w:val="16"/>
          <w:lang w:val="es-CR"/>
        </w:rPr>
        <w:t xml:space="preserve"> y que ella tomó conocimiento de que estaba “detenido en el Cuartel Militar de Huánuco […] a través de indagaciones efectuadas en esa ciudad por un familiar de [su] cuñada”. Refirió también que “[a]l llegar a la ciudad de Huánuco, [se] </w:t>
      </w:r>
      <w:proofErr w:type="gramStart"/>
      <w:r w:rsidRPr="0023362E">
        <w:rPr>
          <w:szCs w:val="16"/>
          <w:lang w:val="es-CR"/>
        </w:rPr>
        <w:t>apersona[</w:t>
      </w:r>
      <w:proofErr w:type="gramEnd"/>
      <w:r w:rsidRPr="0023362E">
        <w:rPr>
          <w:szCs w:val="16"/>
          <w:lang w:val="es-CR"/>
        </w:rPr>
        <w:t>ron], [la] esposa [del señor Galindo] y [ella], [en] el Cuartel Militar para entrevistar[se] con [</w:t>
      </w:r>
      <w:r>
        <w:rPr>
          <w:szCs w:val="16"/>
          <w:lang w:val="es-CR"/>
        </w:rPr>
        <w:t>su] hermano</w:t>
      </w:r>
      <w:r w:rsidRPr="0023362E">
        <w:rPr>
          <w:szCs w:val="16"/>
          <w:lang w:val="es-CR"/>
        </w:rPr>
        <w:t xml:space="preserve">, saber sobre su integridad física y también enterar[se] de primera mano cuáles fueron los acontecimientos y que [la] orientara[n] sobre los pasos a seguir y a quién acudir, para lograr su libertad”. En su declaración, María Luisa Galindo Cárdenas no aclaró si al apersonarse en el cuartel pudo cumplir tales cometidos, pero indicó que en el curso de las acciones que efectuó junto a su cuñada “el Fiscal se negó a </w:t>
      </w:r>
      <w:proofErr w:type="gramStart"/>
      <w:r w:rsidRPr="0023362E">
        <w:rPr>
          <w:szCs w:val="16"/>
          <w:lang w:val="es-CR"/>
        </w:rPr>
        <w:t>recibir[</w:t>
      </w:r>
      <w:proofErr w:type="gramEnd"/>
      <w:r w:rsidRPr="0023362E">
        <w:rPr>
          <w:szCs w:val="16"/>
          <w:lang w:val="es-CR"/>
        </w:rPr>
        <w:t>las]”. Agregó que “[t]</w:t>
      </w:r>
      <w:proofErr w:type="spellStart"/>
      <w:r w:rsidRPr="0023362E">
        <w:rPr>
          <w:szCs w:val="16"/>
          <w:lang w:val="es-CR"/>
        </w:rPr>
        <w:t>ambién</w:t>
      </w:r>
      <w:proofErr w:type="spellEnd"/>
      <w:r w:rsidRPr="0023362E">
        <w:rPr>
          <w:szCs w:val="16"/>
          <w:lang w:val="es-CR"/>
        </w:rPr>
        <w:t xml:space="preserve"> [se] </w:t>
      </w:r>
      <w:proofErr w:type="spellStart"/>
      <w:r w:rsidRPr="0023362E">
        <w:rPr>
          <w:szCs w:val="16"/>
          <w:lang w:val="es-CR"/>
        </w:rPr>
        <w:t>dirigi</w:t>
      </w:r>
      <w:proofErr w:type="spellEnd"/>
      <w:r w:rsidRPr="0023362E">
        <w:rPr>
          <w:szCs w:val="16"/>
          <w:lang w:val="es-CR"/>
        </w:rPr>
        <w:t>[</w:t>
      </w:r>
      <w:proofErr w:type="spellStart"/>
      <w:r w:rsidRPr="0023362E">
        <w:rPr>
          <w:szCs w:val="16"/>
          <w:lang w:val="es-CR"/>
        </w:rPr>
        <w:t>eron</w:t>
      </w:r>
      <w:proofErr w:type="spellEnd"/>
      <w:r w:rsidRPr="0023362E">
        <w:rPr>
          <w:szCs w:val="16"/>
          <w:lang w:val="es-CR"/>
        </w:rPr>
        <w:t xml:space="preserve">] a la policía de Terrorismo, donde tampoco se [les] dio información alguna sobre la situación de [su] hermano y solo [les] indicaron que la Fiscalía era la única que [les] podía informar al respecto”, y que [d]e igual manera [se] </w:t>
      </w:r>
      <w:proofErr w:type="spellStart"/>
      <w:r w:rsidRPr="0023362E">
        <w:rPr>
          <w:szCs w:val="16"/>
          <w:lang w:val="es-CR"/>
        </w:rPr>
        <w:t>dirigi</w:t>
      </w:r>
      <w:proofErr w:type="spellEnd"/>
      <w:r w:rsidRPr="0023362E">
        <w:rPr>
          <w:szCs w:val="16"/>
          <w:lang w:val="es-CR"/>
        </w:rPr>
        <w:t>[</w:t>
      </w:r>
      <w:proofErr w:type="spellStart"/>
      <w:r w:rsidRPr="0023362E">
        <w:rPr>
          <w:szCs w:val="16"/>
          <w:lang w:val="es-CR"/>
        </w:rPr>
        <w:t>eron</w:t>
      </w:r>
      <w:proofErr w:type="spellEnd"/>
      <w:r w:rsidRPr="0023362E">
        <w:rPr>
          <w:szCs w:val="16"/>
          <w:lang w:val="es-CR"/>
        </w:rPr>
        <w:t>] a la sede del Poder Judicial de Huánuco, [se] en</w:t>
      </w:r>
      <w:r>
        <w:rPr>
          <w:szCs w:val="16"/>
          <w:lang w:val="es-CR"/>
        </w:rPr>
        <w:t>trevista[ron] con su Presidente</w:t>
      </w:r>
      <w:r w:rsidRPr="0023362E">
        <w:rPr>
          <w:szCs w:val="16"/>
          <w:lang w:val="es-CR"/>
        </w:rPr>
        <w:t>[…</w:t>
      </w:r>
      <w:r>
        <w:rPr>
          <w:szCs w:val="16"/>
          <w:lang w:val="es-CR"/>
        </w:rPr>
        <w:t>,</w:t>
      </w:r>
      <w:r w:rsidRPr="0023362E">
        <w:rPr>
          <w:szCs w:val="16"/>
          <w:lang w:val="es-CR"/>
        </w:rPr>
        <w:t xml:space="preserve"> quien] manifestó que […] se encontraba totalmente sorprendido por lo que estaba pasando, y que él estaba pidiendo de manera oficial y formal información sobre la verdadera situación legal de [su] hermano, dada su condición de Magistrado […], pero que tanto el Ministerio Público como el Jefe del Comando Político Militar de Huánuco se la venían negando” (declaración de María Luisa Galindo Cárdenas rendida mediante </w:t>
      </w:r>
      <w:r w:rsidRPr="0023362E">
        <w:rPr>
          <w:i/>
          <w:szCs w:val="16"/>
          <w:lang w:val="es-CR"/>
        </w:rPr>
        <w:t>affidávit</w:t>
      </w:r>
      <w:r w:rsidRPr="0023362E">
        <w:rPr>
          <w:szCs w:val="16"/>
          <w:lang w:val="es-CR"/>
        </w:rPr>
        <w:t xml:space="preserve">, expediente de fondo, folios 740 a 745).  </w:t>
      </w:r>
    </w:p>
  </w:footnote>
  <w:footnote w:id="105">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 xml:space="preserve">Declaración de María Luisa Galindo Cárdenas rendida mediante </w:t>
      </w:r>
      <w:r w:rsidRPr="0023362E">
        <w:rPr>
          <w:i/>
          <w:szCs w:val="16"/>
          <w:lang w:val="es-CR"/>
        </w:rPr>
        <w:t>affidávit</w:t>
      </w:r>
      <w:r w:rsidRPr="0023362E">
        <w:rPr>
          <w:szCs w:val="16"/>
          <w:lang w:val="es-CR"/>
        </w:rPr>
        <w:t xml:space="preserve">. </w:t>
      </w:r>
    </w:p>
  </w:footnote>
  <w:footnote w:id="106">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 xml:space="preserve">Declaración de María Luisa Galindo Cárdenas rendida mediante </w:t>
      </w:r>
      <w:r w:rsidRPr="0023362E">
        <w:rPr>
          <w:i/>
          <w:szCs w:val="16"/>
          <w:lang w:val="es-CR"/>
        </w:rPr>
        <w:t>affidávit</w:t>
      </w:r>
      <w:r w:rsidRPr="0023362E">
        <w:rPr>
          <w:szCs w:val="16"/>
          <w:lang w:val="es-CR"/>
        </w:rPr>
        <w:t xml:space="preserve">. En esa declaración explicó que durante las visitas, en el “Cuartel Militar”, “[las] hacían permanecer en una sala de espera previa revisión y con custodia militar, donde traían a [su] hermano […], aunque en una o dos ocasiones </w:t>
      </w:r>
      <w:proofErr w:type="spellStart"/>
      <w:r w:rsidRPr="0023362E">
        <w:rPr>
          <w:szCs w:val="16"/>
          <w:lang w:val="es-CR"/>
        </w:rPr>
        <w:t>tuvi</w:t>
      </w:r>
      <w:proofErr w:type="spellEnd"/>
      <w:r w:rsidRPr="0023362E">
        <w:rPr>
          <w:szCs w:val="16"/>
          <w:lang w:val="es-CR"/>
        </w:rPr>
        <w:t>[</w:t>
      </w:r>
      <w:proofErr w:type="spellStart"/>
      <w:r w:rsidRPr="0023362E">
        <w:rPr>
          <w:szCs w:val="16"/>
          <w:lang w:val="es-CR"/>
        </w:rPr>
        <w:t>eron</w:t>
      </w:r>
      <w:proofErr w:type="spellEnd"/>
      <w:r w:rsidRPr="0023362E">
        <w:rPr>
          <w:szCs w:val="16"/>
          <w:lang w:val="es-CR"/>
        </w:rPr>
        <w:t xml:space="preserve">] que entrar a su lugar de reclusión debido a que estaba presentando dolencias gástricas-hemorrágicas y fuertes dolores en la espalda. […] Durante las visitas diarias se [les] permitió llevarle sus alimentos, prendas interiores y básicas, previa revisión militar. Por razones de seguridad, por parte de él y […] de [ellas] </w:t>
      </w:r>
      <w:proofErr w:type="gramStart"/>
      <w:r w:rsidRPr="0023362E">
        <w:rPr>
          <w:szCs w:val="16"/>
          <w:lang w:val="es-CR"/>
        </w:rPr>
        <w:t>declina[</w:t>
      </w:r>
      <w:proofErr w:type="gramEnd"/>
      <w:r w:rsidRPr="0023362E">
        <w:rPr>
          <w:szCs w:val="16"/>
          <w:lang w:val="es-CR"/>
        </w:rPr>
        <w:t xml:space="preserve">ron] los alimentos proporcionados por el Cuartel Militar, debido a que el Jefe del Cuartel Militar [… le] manifestó que [su] hermano debía desaparecer”.  </w:t>
      </w:r>
    </w:p>
  </w:footnote>
  <w:footnote w:id="107">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 xml:space="preserve">Declaración de María Luisa Galindo Cárdenas rendida mediante </w:t>
      </w:r>
      <w:r w:rsidRPr="0023362E">
        <w:rPr>
          <w:i/>
          <w:szCs w:val="16"/>
          <w:lang w:val="es-CR"/>
        </w:rPr>
        <w:t>affidávit.</w:t>
      </w:r>
    </w:p>
  </w:footnote>
  <w:footnote w:id="108">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Acta de 26 de octubre de 1994</w:t>
      </w:r>
      <w:r>
        <w:rPr>
          <w:szCs w:val="16"/>
          <w:lang w:val="es-CR"/>
        </w:rPr>
        <w:t>,</w:t>
      </w:r>
      <w:r w:rsidRPr="0023362E">
        <w:rPr>
          <w:szCs w:val="16"/>
          <w:lang w:val="es-CR"/>
        </w:rPr>
        <w:t xml:space="preserve"> Ministerio </w:t>
      </w:r>
      <w:r>
        <w:rPr>
          <w:szCs w:val="16"/>
          <w:lang w:val="es-CR"/>
        </w:rPr>
        <w:t>Público-Fiscalía de la Nación</w:t>
      </w:r>
      <w:r w:rsidRPr="0023362E">
        <w:rPr>
          <w:szCs w:val="16"/>
          <w:lang w:val="es-CR"/>
        </w:rPr>
        <w:t xml:space="preserve"> (expediente de prueba, folios 101 a 103).</w:t>
      </w:r>
    </w:p>
  </w:footnote>
  <w:footnote w:id="109">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Constancia del Comité Internacional de la Cruz Roja de 15 de marzo de 2004 (expediente de prueba, folio 116).</w:t>
      </w:r>
    </w:p>
  </w:footnote>
  <w:footnote w:id="110">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Escrito de 19 de octubre de 1994 firmado por Luis Antonio Galindo Cárdenas, dirigido al Presidente de la Corte Superior de Justicia de Huánuco - Pasco (expediente de prueba, folio 99).</w:t>
      </w:r>
    </w:p>
  </w:footnote>
  <w:footnote w:id="111">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Oficio No. 1491-94-PCSJH de 24 de octubre de 1994 (expediente de prueba, folio</w:t>
      </w:r>
      <w:r>
        <w:rPr>
          <w:szCs w:val="16"/>
          <w:lang w:val="es-CR"/>
        </w:rPr>
        <w:t xml:space="preserve"> </w:t>
      </w:r>
      <w:r w:rsidRPr="0023362E">
        <w:rPr>
          <w:szCs w:val="16"/>
          <w:lang w:val="es-CR"/>
        </w:rPr>
        <w:t xml:space="preserve">204). </w:t>
      </w:r>
    </w:p>
  </w:footnote>
  <w:footnote w:id="112">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El Estado señaló</w:t>
      </w:r>
      <w:r>
        <w:rPr>
          <w:szCs w:val="16"/>
          <w:lang w:val="es-CR"/>
        </w:rPr>
        <w:t xml:space="preserve"> en su c</w:t>
      </w:r>
      <w:r w:rsidRPr="0023362E">
        <w:rPr>
          <w:szCs w:val="16"/>
          <w:lang w:val="es-CR"/>
        </w:rPr>
        <w:t>ontestación que “el procedimiento posterior a la declaración en un Acta del solicitante incluye la verificación de la información mediante un informe de la Unidad Especializada de la Policía Nacional del Perú, el pronunciamiento de las autoridades del Ministerio Público respecto de la procedencia o improcedencia del beneficio y finalmente el otorgamiento mismo del beneficio, con el posterior archivo definitivo del caso y conocimiento del resultado a una Comisión Evaluadora”.</w:t>
      </w:r>
    </w:p>
  </w:footnote>
  <w:footnote w:id="113">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Informe de Verificación No. 24-DECOTE-PNP-HCO de 31 de octubre de 1994 (expediente de fondo, folios 384 a 386).</w:t>
      </w:r>
    </w:p>
  </w:footnote>
  <w:footnote w:id="114">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 xml:space="preserve">Hoja Básica No. 4-DECOTE-PNP-HCO </w:t>
      </w:r>
      <w:r>
        <w:rPr>
          <w:szCs w:val="16"/>
          <w:lang w:val="es-CR"/>
        </w:rPr>
        <w:t xml:space="preserve"> de 15 de octubre de 1994 </w:t>
      </w:r>
      <w:r w:rsidRPr="0023362E">
        <w:rPr>
          <w:szCs w:val="16"/>
          <w:lang w:val="es-CR"/>
        </w:rPr>
        <w:t>(expediente de fondo, folio 388).</w:t>
      </w:r>
    </w:p>
  </w:footnote>
  <w:footnote w:id="115">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Oficio No. 1235-DECOTE-PNP-HCO de 2 de noviembre de 1994 (expediente de fondo, folio 390).</w:t>
      </w:r>
    </w:p>
  </w:footnote>
  <w:footnote w:id="116">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“Resolución procedente” del Fiscal Provincial de la Primera Fiscalía Provincial de Huánuco de 4 de noviembre de 1994 (expediente de fondo, folios 392 y 393).</w:t>
      </w:r>
    </w:p>
  </w:footnote>
  <w:footnote w:id="117">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Oficio No. 1054-94-MP-PFPM-HCO de 4 de noviembre de 1994 (expediente de fondo, folio 395).</w:t>
      </w:r>
    </w:p>
  </w:footnote>
  <w:footnote w:id="118">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Oficio No. 4803-94-MP-FSD-HUANUCO de 8 de noviembre de 1994 (expediente de fondo, folio 397).</w:t>
      </w:r>
    </w:p>
  </w:footnote>
  <w:footnote w:id="119">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Resolución del Fiscal Superior de 9 de noviembre de 1994 (expediente de fondo, folios 400 y 401).</w:t>
      </w:r>
    </w:p>
  </w:footnote>
  <w:footnote w:id="120">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Oficio No. 910-94-MP-PFSP-HCO de 10 de noviembre de 1994 (expediente de fondo</w:t>
      </w:r>
      <w:r>
        <w:rPr>
          <w:szCs w:val="16"/>
          <w:lang w:val="es-CR"/>
        </w:rPr>
        <w:t>,</w:t>
      </w:r>
      <w:r w:rsidRPr="0023362E">
        <w:rPr>
          <w:szCs w:val="16"/>
          <w:lang w:val="es-CR"/>
        </w:rPr>
        <w:t xml:space="preserve"> folio 403).</w:t>
      </w:r>
    </w:p>
  </w:footnote>
  <w:footnote w:id="121">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Auto del Fiscal Superior Decano del Distrito Judicial de Huánuco - Pasco de 11 de noviembre de 1994 (expediente de fondo, folio 405).</w:t>
      </w:r>
    </w:p>
  </w:footnote>
  <w:footnote w:id="122">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Oficio No. 4826-94-MP-FSD-HUANUCO de 11 de noviembre de 1994 (expediente de fon</w:t>
      </w:r>
      <w:r>
        <w:rPr>
          <w:szCs w:val="16"/>
          <w:lang w:val="es-CR"/>
        </w:rPr>
        <w:t>d</w:t>
      </w:r>
      <w:r w:rsidRPr="0023362E">
        <w:rPr>
          <w:szCs w:val="16"/>
          <w:lang w:val="es-CR"/>
        </w:rPr>
        <w:t>o, folio 407).</w:t>
      </w:r>
    </w:p>
  </w:footnote>
  <w:footnote w:id="123">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Oficio No. 4827-94-MP-FSD-HUANUCO de 11 de noviembre de 1994 (expediente de fondo, folio 409).</w:t>
      </w:r>
    </w:p>
  </w:footnote>
  <w:footnote w:id="124">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Oficio No. 4828-94-MP-FSD-HUANUCO de 11 de noviembre de 1994 (expediente de fondo, folios 411 y 412).</w:t>
      </w:r>
    </w:p>
  </w:footnote>
  <w:footnote w:id="125">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Oficio No. 4829-94-MP-FSD-HUANUCO de 11 de noviembre de 1994 (expediente de fondo, folio 414).</w:t>
      </w:r>
    </w:p>
  </w:footnote>
  <w:footnote w:id="126">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 xml:space="preserve">Resumen </w:t>
      </w:r>
      <w:r>
        <w:rPr>
          <w:szCs w:val="16"/>
          <w:lang w:val="es-CR"/>
        </w:rPr>
        <w:t xml:space="preserve">de </w:t>
      </w:r>
      <w:r w:rsidRPr="0023362E">
        <w:rPr>
          <w:szCs w:val="16"/>
          <w:lang w:val="es-CR"/>
        </w:rPr>
        <w:t>Acta de Audiencia No. 19</w:t>
      </w:r>
      <w:r>
        <w:rPr>
          <w:szCs w:val="16"/>
          <w:lang w:val="es-CR"/>
        </w:rPr>
        <w:t xml:space="preserve"> (expediente ante la Comisión, folios 1312 a 1322).</w:t>
      </w:r>
    </w:p>
  </w:footnote>
  <w:footnote w:id="127">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Oficio No. 5194-95-MP-FSD-HUANUCO de 10 de marzo de 1995 (expediente de fondo, folio 417).</w:t>
      </w:r>
    </w:p>
  </w:footnote>
  <w:footnote w:id="128">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Oficio No. 5196-95-MP-FSD-HUANUCO de 10 de marzo de 1995 (expediente de fondo, folio 419).</w:t>
      </w:r>
    </w:p>
  </w:footnote>
  <w:footnote w:id="129">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Solicitud de garantías personales dirigida al Ministro de Estado en la Cartera del Interior de 21 de noviembre de 199</w:t>
      </w:r>
      <w:r>
        <w:rPr>
          <w:szCs w:val="16"/>
          <w:lang w:val="es-CR"/>
        </w:rPr>
        <w:t>4 (expediente de prueba, folios</w:t>
      </w:r>
      <w:r w:rsidRPr="0023362E">
        <w:rPr>
          <w:szCs w:val="16"/>
          <w:lang w:val="es-CR"/>
        </w:rPr>
        <w:t xml:space="preserve"> 165 y 166).</w:t>
      </w:r>
    </w:p>
  </w:footnote>
  <w:footnote w:id="130">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Escrito dirigido al Ministro de Estado en la Cartera del Interior de 13 de marzo de 1995 (expediente de prueba</w:t>
      </w:r>
      <w:r>
        <w:rPr>
          <w:szCs w:val="16"/>
          <w:lang w:val="es-CR"/>
        </w:rPr>
        <w:t>,</w:t>
      </w:r>
      <w:r w:rsidRPr="0023362E">
        <w:rPr>
          <w:szCs w:val="16"/>
          <w:lang w:val="es-CR"/>
        </w:rPr>
        <w:t xml:space="preserve"> folio 168).</w:t>
      </w:r>
    </w:p>
  </w:footnote>
  <w:footnote w:id="131">
    <w:p w:rsidR="00E65148" w:rsidRPr="0023362E" w:rsidRDefault="00E65148" w:rsidP="00DF3EE2">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El Estado en su contestación señaló que “si no se brindaron las garantías solicitadas fue porque el señor Galindo ya no radicaba en la ciudad de Huánuco”.</w:t>
      </w:r>
    </w:p>
  </w:footnote>
  <w:footnote w:id="132">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Escrito del señor Luis Antonio Galindo Cárdenas dirigido a los señores Congresistas de la Comisión de Derechos Humanos del Congreso Constituyente Democrático de 30 de noviembre de 199</w:t>
      </w:r>
      <w:r>
        <w:rPr>
          <w:szCs w:val="16"/>
          <w:lang w:val="es-CR"/>
        </w:rPr>
        <w:t>4 (expediente de prueba, folios</w:t>
      </w:r>
      <w:r w:rsidRPr="0023362E">
        <w:rPr>
          <w:szCs w:val="16"/>
          <w:lang w:val="es-CR"/>
        </w:rPr>
        <w:t xml:space="preserve"> 136 y 137).</w:t>
      </w:r>
    </w:p>
  </w:footnote>
  <w:footnote w:id="133">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Escrito dirigido al Presidente de la Comisión de Derechos Humanos y Pacificación del Congreso Constituyente Democrático del Perú de 19 de enero de 1995, recibido el 23 de enero de 1995 (expediente de prueba, folios 170 a 173).</w:t>
      </w:r>
    </w:p>
  </w:footnote>
  <w:footnote w:id="134">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Escrito dirigido al Fiscal Provincial de Primera Fiscalía Penal de Huánuco de 7 de diciembre de 1994, recibido en la Secretaría del Ministerio Público de Huánuco el 13 de diciembre de 199</w:t>
      </w:r>
      <w:r>
        <w:rPr>
          <w:szCs w:val="16"/>
          <w:lang w:val="es-CR"/>
        </w:rPr>
        <w:t>4 (expediente de prueba, folios</w:t>
      </w:r>
      <w:r w:rsidRPr="0023362E">
        <w:rPr>
          <w:szCs w:val="16"/>
          <w:lang w:val="es-CR"/>
        </w:rPr>
        <w:t xml:space="preserve"> 128 y 129).</w:t>
      </w:r>
    </w:p>
  </w:footnote>
  <w:footnote w:id="135">
    <w:p w:rsidR="00E65148" w:rsidRPr="0023362E" w:rsidRDefault="00E65148" w:rsidP="006B0B0A">
      <w:pPr>
        <w:pStyle w:val="FootnoteText"/>
        <w:rPr>
          <w:szCs w:val="16"/>
        </w:rPr>
      </w:pPr>
      <w:r w:rsidRPr="0023362E">
        <w:rPr>
          <w:rStyle w:val="FootnoteReference"/>
          <w:szCs w:val="16"/>
        </w:rPr>
        <w:footnoteRef/>
      </w:r>
      <w:r w:rsidRPr="0023362E">
        <w:rPr>
          <w:szCs w:val="16"/>
        </w:rPr>
        <w:t xml:space="preserve"> </w:t>
      </w:r>
      <w:r>
        <w:rPr>
          <w:szCs w:val="16"/>
        </w:rPr>
        <w:tab/>
      </w:r>
      <w:r w:rsidRPr="0023362E">
        <w:rPr>
          <w:szCs w:val="16"/>
        </w:rPr>
        <w:t xml:space="preserve">Documento titulado “Ayuda memoria – Informe” dirigido al Jefe de la oficina del Órgano de Control Interno del Poder Judicial, firmado por el señor Galindo, de 22 de diciembre de 1994 (expediente de prueba, folios 145 a 150).   </w:t>
      </w:r>
    </w:p>
  </w:footnote>
  <w:footnote w:id="136">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Escrito dirigido a la Presidenta de la Junta de Fiscales Supremos del Ministerio Público, r</w:t>
      </w:r>
      <w:r>
        <w:rPr>
          <w:szCs w:val="16"/>
          <w:lang w:val="es-CR"/>
        </w:rPr>
        <w:t xml:space="preserve">ecibido el 16 de enero de 1995 </w:t>
      </w:r>
      <w:r w:rsidRPr="0023362E">
        <w:rPr>
          <w:szCs w:val="16"/>
          <w:lang w:val="es-CR"/>
        </w:rPr>
        <w:t>(expediente de prueba, f</w:t>
      </w:r>
      <w:r>
        <w:rPr>
          <w:szCs w:val="16"/>
          <w:lang w:val="es-CR"/>
        </w:rPr>
        <w:t>olios</w:t>
      </w:r>
      <w:r w:rsidRPr="0023362E">
        <w:rPr>
          <w:szCs w:val="16"/>
          <w:lang w:val="es-CR"/>
        </w:rPr>
        <w:t xml:space="preserve"> 131 a 134).</w:t>
      </w:r>
    </w:p>
  </w:footnote>
  <w:footnote w:id="137">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Consejo Ejecutivo del Poder Judicial. Resolución de 17 de enero de 1995 (expediente de prueba, folio 139).</w:t>
      </w:r>
    </w:p>
  </w:footnote>
  <w:footnote w:id="138">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Escrito dirigido a la Presidenta de la Junta de Fiscales Supremos del Ministerio Público recibido el 18 de enero de 1995 por la Secretaría General de la Fiscalía de la Nación (expediente de prueba, folio 141).</w:t>
      </w:r>
    </w:p>
  </w:footnote>
  <w:footnote w:id="139">
    <w:p w:rsidR="00E65148" w:rsidRPr="0023362E" w:rsidRDefault="00E65148" w:rsidP="004454B8">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Escrito dirigido al señor Ministro de la República en la Cartera de Defensa de 27 de febrero de 1995,</w:t>
      </w:r>
      <w:r>
        <w:rPr>
          <w:szCs w:val="16"/>
          <w:lang w:val="es-CR"/>
        </w:rPr>
        <w:t xml:space="preserve"> recibido el 6 de marzo de 1995</w:t>
      </w:r>
      <w:r w:rsidRPr="0023362E">
        <w:rPr>
          <w:szCs w:val="16"/>
          <w:lang w:val="es-CR"/>
        </w:rPr>
        <w:t xml:space="preserve"> (expediente de prueba, folios 152 a 156).</w:t>
      </w:r>
    </w:p>
  </w:footnote>
  <w:footnote w:id="140">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Escrito dirigido al señor Inspector General del Ministerio de Defensa del Perú</w:t>
      </w:r>
      <w:r w:rsidRPr="0023362E">
        <w:rPr>
          <w:strike/>
          <w:szCs w:val="16"/>
          <w:lang w:val="es-CR"/>
        </w:rPr>
        <w:t xml:space="preserve"> </w:t>
      </w:r>
      <w:r w:rsidRPr="0023362E">
        <w:rPr>
          <w:szCs w:val="16"/>
          <w:lang w:val="es-CR"/>
        </w:rPr>
        <w:t>de 7 de marzo de 1995 (expediente de prueba, folios 158 a 163).</w:t>
      </w:r>
    </w:p>
  </w:footnote>
  <w:footnote w:id="141">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Ministerio Público, expediente No. 525-95, Resolución No. 462 de 8 de mayo de 1998 (expediente de prueba, folios 175 y 176).</w:t>
      </w:r>
    </w:p>
  </w:footnote>
  <w:footnote w:id="142">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 xml:space="preserve">Informe sin número, firmado por el Fiscal Superior Titular Coordinador de la Fiscalía Superior Penal Nacional y Fiscalías Penales </w:t>
      </w:r>
      <w:proofErr w:type="spellStart"/>
      <w:r w:rsidRPr="0023362E">
        <w:rPr>
          <w:szCs w:val="16"/>
          <w:lang w:val="es-CR"/>
        </w:rPr>
        <w:t>Supraprovinciales</w:t>
      </w:r>
      <w:proofErr w:type="spellEnd"/>
      <w:r w:rsidRPr="0023362E">
        <w:rPr>
          <w:szCs w:val="16"/>
          <w:lang w:val="es-CR"/>
        </w:rPr>
        <w:t xml:space="preserve">, de 14 de septiembre de 2012 </w:t>
      </w:r>
      <w:r>
        <w:rPr>
          <w:szCs w:val="16"/>
          <w:lang w:val="es-CR"/>
        </w:rPr>
        <w:t>(</w:t>
      </w:r>
      <w:r w:rsidRPr="0023362E">
        <w:rPr>
          <w:szCs w:val="16"/>
          <w:lang w:val="es-CR"/>
        </w:rPr>
        <w:t>expediente ante la Comisión, folios 1819 a 1821).</w:t>
      </w:r>
    </w:p>
  </w:footnote>
  <w:footnote w:id="143">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Informe No. 77-2012-FSPNC-MP-FN de 24 de septiembre de 2012 (expediente ante la Comisión, folios 1776 a 1778).</w:t>
      </w:r>
    </w:p>
  </w:footnote>
  <w:footnote w:id="144">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Disposición No. 01-2013-FPECTYLH-MP LEONCIO PRADO (NCPP) de 19 de marzo de 2013 (expediente ante la Comisión, folios 1717 a 1719).</w:t>
      </w:r>
    </w:p>
  </w:footnote>
  <w:footnote w:id="145">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Informe No. 102-2013-JUS/PPES de 4 de julio de 2013 (expediente ante la Comisión, folios 1688 a 1692).</w:t>
      </w:r>
    </w:p>
  </w:footnote>
  <w:footnote w:id="146">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Informe No. 27-2013-REGPOLCEN/DIRTEPOL-HCO/DEPCOTE-PNP-HCO de 30 de junio de 2013, recibido el 9 de julio de 2013 (expediente de prueba, folios 2447 a 2452).</w:t>
      </w:r>
    </w:p>
  </w:footnote>
  <w:footnote w:id="147">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 xml:space="preserve">A saber, que “[s]e oficie” a la Comisión de la Verdad y Reconciliación” para que brinde información si la tuviere de la “identidad completa (nombres y apellidos completos) de los oficiales a cargo del Cuartel Militar de Huánuco (base Militar de </w:t>
      </w:r>
      <w:proofErr w:type="spellStart"/>
      <w:r w:rsidRPr="0023362E">
        <w:rPr>
          <w:szCs w:val="16"/>
          <w:lang w:val="es-CR"/>
        </w:rPr>
        <w:t>Yanac</w:t>
      </w:r>
      <w:proofErr w:type="spellEnd"/>
      <w:r w:rsidRPr="0023362E">
        <w:rPr>
          <w:szCs w:val="16"/>
          <w:lang w:val="es-CR"/>
        </w:rPr>
        <w:t>) durante el año 1994, específicamente en el período del 16 de octubre hasta el 16 de noviembre de 1994”; que “[s</w:t>
      </w:r>
      <w:r>
        <w:rPr>
          <w:szCs w:val="16"/>
          <w:lang w:val="es-CR"/>
        </w:rPr>
        <w:t>e</w:t>
      </w:r>
      <w:r w:rsidRPr="0023362E">
        <w:rPr>
          <w:szCs w:val="16"/>
          <w:lang w:val="es-CR"/>
        </w:rPr>
        <w:t>] curse oficio”  al [e]</w:t>
      </w:r>
      <w:proofErr w:type="spellStart"/>
      <w:r w:rsidRPr="0023362E">
        <w:rPr>
          <w:szCs w:val="16"/>
          <w:lang w:val="es-CR"/>
        </w:rPr>
        <w:t>jército</w:t>
      </w:r>
      <w:proofErr w:type="spellEnd"/>
      <w:r w:rsidRPr="0023362E">
        <w:rPr>
          <w:szCs w:val="16"/>
          <w:lang w:val="es-CR"/>
        </w:rPr>
        <w:t xml:space="preserve"> [p]</w:t>
      </w:r>
      <w:proofErr w:type="spellStart"/>
      <w:r w:rsidRPr="0023362E">
        <w:rPr>
          <w:szCs w:val="16"/>
          <w:lang w:val="es-CR"/>
        </w:rPr>
        <w:t>eruano</w:t>
      </w:r>
      <w:proofErr w:type="spellEnd"/>
      <w:r w:rsidRPr="0023362E">
        <w:rPr>
          <w:szCs w:val="16"/>
          <w:lang w:val="es-CR"/>
        </w:rPr>
        <w:t>” para que presente la misma información, y que se “</w:t>
      </w:r>
      <w:proofErr w:type="spellStart"/>
      <w:r w:rsidRPr="0023362E">
        <w:rPr>
          <w:szCs w:val="16"/>
          <w:lang w:val="es-CR"/>
        </w:rPr>
        <w:t>recab</w:t>
      </w:r>
      <w:proofErr w:type="spellEnd"/>
      <w:r w:rsidRPr="0023362E">
        <w:rPr>
          <w:szCs w:val="16"/>
          <w:lang w:val="es-CR"/>
        </w:rPr>
        <w:t>[e] en sede Fiscal la declaración [del señor] Galindo Cárdenas. (Resolución 01 - 2013 de 26 de julio de 2013 de la Fiscalía Especializada. Expediente de prueba, folios 2507 a 2509). La Resolución 04 - 2013 de 10 de septiembre de 2013 de la Fiscalía Especializada reiteró la pr</w:t>
      </w:r>
      <w:r>
        <w:rPr>
          <w:szCs w:val="16"/>
          <w:lang w:val="es-CR"/>
        </w:rPr>
        <w:t>ocedencia de las mismas medidas</w:t>
      </w:r>
      <w:r w:rsidRPr="0023362E">
        <w:rPr>
          <w:szCs w:val="16"/>
          <w:lang w:val="es-CR"/>
        </w:rPr>
        <w:t xml:space="preserve"> (expediente de prueba, folio 2512).</w:t>
      </w:r>
    </w:p>
  </w:footnote>
  <w:footnote w:id="148">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 xml:space="preserve">El señor Galindo manifestó, </w:t>
      </w:r>
      <w:r w:rsidRPr="0023362E">
        <w:rPr>
          <w:i/>
          <w:szCs w:val="16"/>
          <w:lang w:val="es-CR"/>
        </w:rPr>
        <w:t xml:space="preserve">inter </w:t>
      </w:r>
      <w:proofErr w:type="spellStart"/>
      <w:r w:rsidRPr="0023362E">
        <w:rPr>
          <w:i/>
          <w:szCs w:val="16"/>
          <w:lang w:val="es-CR"/>
        </w:rPr>
        <w:t>alia</w:t>
      </w:r>
      <w:proofErr w:type="spellEnd"/>
      <w:r w:rsidRPr="0023362E">
        <w:rPr>
          <w:i/>
          <w:szCs w:val="16"/>
          <w:lang w:val="es-CR"/>
        </w:rPr>
        <w:t>,</w:t>
      </w:r>
      <w:r w:rsidRPr="0023362E">
        <w:rPr>
          <w:szCs w:val="16"/>
          <w:lang w:val="es-CR"/>
        </w:rPr>
        <w:t xml:space="preserve"> una queja resp</w:t>
      </w:r>
      <w:r>
        <w:rPr>
          <w:szCs w:val="16"/>
          <w:lang w:val="es-CR"/>
        </w:rPr>
        <w:t>ecto de que, en su apreciación,</w:t>
      </w:r>
      <w:r w:rsidRPr="0023362E">
        <w:rPr>
          <w:szCs w:val="16"/>
          <w:lang w:val="es-CR"/>
        </w:rPr>
        <w:t xml:space="preserve"> “ahora pretenda el Estado Peruano en sede interna revisar el veredicto de la C[omisión], y de esa manera convertirse en instancia revisora del sistema interamericano de derechos humanos, es decir cuestionar lo resuelto por el órgano supranacional” (Escrito Luis Antonio Galindo Cárdenas de 2 de agosto de 2013 dirigido a la Fiscalía Especializada, recibido el 16 de agosto de 2013. Expediente de prueba, folios 2498 a 2500).</w:t>
      </w:r>
    </w:p>
  </w:footnote>
  <w:footnote w:id="149">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Declaración Fiscal de Luis Antonio Galindo Cárdenas de 26 de septiembre de 2013 (expediente de prueba, folios 2528 a 2532).</w:t>
      </w:r>
    </w:p>
  </w:footnote>
  <w:footnote w:id="150">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Informe No. 006-2013-FECTYLH-MP-HUÁNUCO de 4 de octubre de 2013 (expediente ante la Comisión, folios 1648 a 1650).</w:t>
      </w:r>
    </w:p>
  </w:footnote>
  <w:footnote w:id="151">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Oficio No. 011719-2013/GRI/SGARF/RENIEC de 2 de diciembre de 2013, recibido el 26 de diciembre de 2013 (expediente de fondo, folio 421).</w:t>
      </w:r>
    </w:p>
  </w:footnote>
  <w:footnote w:id="152">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Declaraciones Fiscales de 17 de febrero y 10 de marzo de 2014 (expediente de fondo</w:t>
      </w:r>
      <w:r>
        <w:rPr>
          <w:szCs w:val="16"/>
          <w:lang w:val="es-CR"/>
        </w:rPr>
        <w:t>,</w:t>
      </w:r>
      <w:r w:rsidRPr="0023362E">
        <w:rPr>
          <w:szCs w:val="16"/>
          <w:lang w:val="es-CR"/>
        </w:rPr>
        <w:t xml:space="preserve"> folios 423 a 425 y 427 a 429, respectivamente).</w:t>
      </w:r>
    </w:p>
  </w:footnote>
  <w:footnote w:id="153">
    <w:p w:rsidR="00E65148" w:rsidRPr="0023362E" w:rsidRDefault="00E65148" w:rsidP="006B0B0A">
      <w:pPr>
        <w:pStyle w:val="FootnoteText"/>
        <w:rPr>
          <w:szCs w:val="16"/>
        </w:rPr>
      </w:pPr>
      <w:r w:rsidRPr="0023362E">
        <w:rPr>
          <w:rStyle w:val="FootnoteReference"/>
          <w:szCs w:val="16"/>
        </w:rPr>
        <w:footnoteRef/>
      </w:r>
      <w:r w:rsidRPr="0023362E">
        <w:rPr>
          <w:szCs w:val="16"/>
        </w:rPr>
        <w:t xml:space="preserve"> </w:t>
      </w:r>
      <w:r>
        <w:rPr>
          <w:szCs w:val="16"/>
        </w:rPr>
        <w:tab/>
      </w:r>
      <w:r w:rsidRPr="0023362E">
        <w:rPr>
          <w:szCs w:val="16"/>
        </w:rPr>
        <w:t xml:space="preserve">Ampliación de declaración testimonial indagatoria de 17 de abril de 2015 (expediente de </w:t>
      </w:r>
      <w:r>
        <w:rPr>
          <w:szCs w:val="16"/>
        </w:rPr>
        <w:t>f</w:t>
      </w:r>
      <w:r w:rsidRPr="0023362E">
        <w:rPr>
          <w:szCs w:val="16"/>
        </w:rPr>
        <w:t>ondo, folios 1583 y 1584).</w:t>
      </w:r>
    </w:p>
  </w:footnote>
  <w:footnote w:id="154">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Citaciones y constancias de inconcurrencia del señor Galindo para diligencia de evaluación (expediente de fondo,</w:t>
      </w:r>
      <w:r w:rsidRPr="0023362E" w:rsidDel="00E7276E">
        <w:rPr>
          <w:szCs w:val="16"/>
          <w:lang w:val="es-CR"/>
        </w:rPr>
        <w:t xml:space="preserve"> </w:t>
      </w:r>
      <w:r w:rsidRPr="0023362E">
        <w:rPr>
          <w:szCs w:val="16"/>
          <w:lang w:val="es-CR"/>
        </w:rPr>
        <w:t>folios 432 a 444 y expediente de prueba, folios 2768 y 2771 a 2774).</w:t>
      </w:r>
    </w:p>
  </w:footnote>
  <w:footnote w:id="155">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Constancia de concurrencia de 14 de julio de 2014 (expediente de prueba, folio 2720).</w:t>
      </w:r>
    </w:p>
  </w:footnote>
  <w:footnote w:id="156">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Los días 28 de abril, 11 y 20 de junio, y 30 de julio de 2014 se había programado y reprogramado la diligencia, para realizarse, respectivamente, los días 16 de mayo, 18 de junio, 14 de julio y 5 de agosto de 2014 (</w:t>
      </w:r>
      <w:r w:rsidRPr="0023362E">
        <w:rPr>
          <w:i/>
          <w:szCs w:val="16"/>
          <w:lang w:val="es-CR"/>
        </w:rPr>
        <w:t>cfr.</w:t>
      </w:r>
      <w:r w:rsidRPr="0023362E">
        <w:rPr>
          <w:szCs w:val="16"/>
          <w:lang w:val="es-CR"/>
        </w:rPr>
        <w:t xml:space="preserve"> resoluciones de la Fiscal provincial 106 – 2014 de 16 de mayo de 2014; 187-2014 de 11 de junio de 2014, y 208-2014 de 20 de junio de 2014, y Oficio de la Fiscal Provincial No. 828-2014 –MP-</w:t>
      </w:r>
      <w:proofErr w:type="spellStart"/>
      <w:r w:rsidRPr="0023362E">
        <w:rPr>
          <w:szCs w:val="16"/>
          <w:lang w:val="es-CR"/>
        </w:rPr>
        <w:t>FPECTyLH</w:t>
      </w:r>
      <w:proofErr w:type="spellEnd"/>
      <w:r w:rsidRPr="0023362E">
        <w:rPr>
          <w:szCs w:val="16"/>
          <w:lang w:val="es-CR"/>
        </w:rPr>
        <w:t>-HUANUCO de 30 de julio de 2014 de la Fiscal Provincial</w:t>
      </w:r>
      <w:r>
        <w:rPr>
          <w:szCs w:val="16"/>
          <w:lang w:val="es-CR"/>
        </w:rPr>
        <w:t xml:space="preserve"> (</w:t>
      </w:r>
      <w:r w:rsidRPr="0023362E">
        <w:rPr>
          <w:szCs w:val="16"/>
          <w:lang w:val="es-CR"/>
        </w:rPr>
        <w:t>expediente de fondo, folios 446 a 449 y expediente de prueba, folios 2712, 2737 y 2775)</w:t>
      </w:r>
      <w:r>
        <w:rPr>
          <w:szCs w:val="16"/>
          <w:lang w:val="es-CR"/>
        </w:rPr>
        <w:t>.</w:t>
      </w:r>
    </w:p>
  </w:footnote>
  <w:footnote w:id="157">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Acta constatación fiscal de 27 de agosto de 2014 (expediente de prueba, folios 2785 y 2786).</w:t>
      </w:r>
    </w:p>
  </w:footnote>
  <w:footnote w:id="158">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w:t>
      </w:r>
      <w:r>
        <w:rPr>
          <w:szCs w:val="16"/>
          <w:lang w:val="es-CR"/>
        </w:rPr>
        <w:tab/>
      </w:r>
      <w:r w:rsidRPr="0023362E">
        <w:rPr>
          <w:szCs w:val="16"/>
          <w:lang w:val="es-CR"/>
        </w:rPr>
        <w:t>Oficio No. 1086-2014-FSPNC-MP-FN de 1 de julio de 2014, recibido por la Oficina de Administración Documentación y Archivo del Ministerio de Justicia y Derechos Humanos el 4 de julio de 2014 (expediente de fondo, folio 451).</w:t>
      </w:r>
    </w:p>
  </w:footnote>
  <w:footnote w:id="159">
    <w:p w:rsidR="00E65148" w:rsidRPr="0023362E" w:rsidRDefault="00E65148" w:rsidP="006B0B0A">
      <w:pPr>
        <w:pStyle w:val="FootnoteText"/>
        <w:rPr>
          <w:szCs w:val="16"/>
        </w:rPr>
      </w:pPr>
      <w:r w:rsidRPr="0023362E">
        <w:rPr>
          <w:rStyle w:val="FootnoteReference"/>
          <w:szCs w:val="16"/>
        </w:rPr>
        <w:footnoteRef/>
      </w:r>
      <w:r w:rsidRPr="0023362E">
        <w:rPr>
          <w:szCs w:val="16"/>
        </w:rPr>
        <w:t xml:space="preserve"> </w:t>
      </w:r>
      <w:r>
        <w:rPr>
          <w:szCs w:val="16"/>
        </w:rPr>
        <w:tab/>
      </w:r>
      <w:r w:rsidRPr="0023362E">
        <w:rPr>
          <w:szCs w:val="16"/>
        </w:rPr>
        <w:t>Constancia de inconcurrencia de 26 de agosto de 2014 (expediente de prueba, folio 2784).</w:t>
      </w:r>
    </w:p>
  </w:footnote>
  <w:footnote w:id="160">
    <w:p w:rsidR="00E65148" w:rsidRPr="0023362E" w:rsidRDefault="00E65148" w:rsidP="006B0B0A">
      <w:pPr>
        <w:pStyle w:val="FootnoteText"/>
        <w:rPr>
          <w:szCs w:val="16"/>
          <w:lang w:val="es-CR"/>
        </w:rPr>
      </w:pPr>
      <w:r w:rsidRPr="0023362E">
        <w:rPr>
          <w:rStyle w:val="FootnoteReference"/>
          <w:szCs w:val="16"/>
        </w:rPr>
        <w:footnoteRef/>
      </w:r>
      <w:r w:rsidRPr="0023362E">
        <w:rPr>
          <w:szCs w:val="16"/>
          <w:lang w:val="es-CR"/>
        </w:rPr>
        <w:t xml:space="preserve"> Resoluciones de la Fiscal Provincial No. C – 2015, 10-2015 y 37-2015, de 5 y 13 de enero y 3 de febrero de 2015, respectivamente (expediente de prueba, folios 2787, 2790 y 2793, respectivamente).</w:t>
      </w:r>
    </w:p>
  </w:footnote>
  <w:footnote w:id="161">
    <w:p w:rsidR="00E65148" w:rsidRPr="0023362E" w:rsidRDefault="00E65148" w:rsidP="00E54423">
      <w:pPr>
        <w:pStyle w:val="Estilo1"/>
        <w:numPr>
          <w:ilvl w:val="0"/>
          <w:numId w:val="0"/>
        </w:numPr>
        <w:rPr>
          <w:sz w:val="16"/>
          <w:szCs w:val="16"/>
          <w:lang w:val="es-CR"/>
        </w:rPr>
      </w:pPr>
      <w:r w:rsidRPr="0023362E">
        <w:rPr>
          <w:rStyle w:val="FootnoteReference"/>
          <w:sz w:val="16"/>
          <w:szCs w:val="16"/>
        </w:rPr>
        <w:footnoteRef/>
      </w:r>
      <w:r w:rsidRPr="0023362E">
        <w:rPr>
          <w:sz w:val="16"/>
          <w:szCs w:val="16"/>
        </w:rPr>
        <w:t xml:space="preserve"> </w:t>
      </w:r>
      <w:r>
        <w:rPr>
          <w:sz w:val="16"/>
          <w:szCs w:val="16"/>
        </w:rPr>
        <w:tab/>
      </w:r>
      <w:r w:rsidRPr="0023362E">
        <w:rPr>
          <w:sz w:val="16"/>
          <w:szCs w:val="16"/>
          <w:lang w:val="es-CR"/>
        </w:rPr>
        <w:t xml:space="preserve">El artículo 7 de la Convención, en lo pertinente, indica </w:t>
      </w:r>
    </w:p>
    <w:p w:rsidR="00E65148" w:rsidRPr="0023362E" w:rsidRDefault="00E65148" w:rsidP="00E54423">
      <w:pPr>
        <w:pStyle w:val="FootnoteText"/>
        <w:ind w:left="567" w:right="855"/>
        <w:rPr>
          <w:szCs w:val="16"/>
        </w:rPr>
      </w:pPr>
      <w:r w:rsidRPr="0023362E">
        <w:rPr>
          <w:szCs w:val="16"/>
        </w:rPr>
        <w:t xml:space="preserve">1. Toda persona tiene derecho a la libertad y a </w:t>
      </w:r>
      <w:proofErr w:type="gramStart"/>
      <w:r w:rsidRPr="0023362E">
        <w:rPr>
          <w:szCs w:val="16"/>
        </w:rPr>
        <w:t>la seguridad personales</w:t>
      </w:r>
      <w:proofErr w:type="gramEnd"/>
      <w:r w:rsidRPr="0023362E">
        <w:rPr>
          <w:szCs w:val="16"/>
        </w:rPr>
        <w:t>.</w:t>
      </w:r>
    </w:p>
    <w:p w:rsidR="00E65148" w:rsidRPr="0023362E" w:rsidRDefault="00E65148" w:rsidP="00E54423">
      <w:pPr>
        <w:pStyle w:val="FootnoteText"/>
        <w:ind w:left="567" w:right="855"/>
        <w:rPr>
          <w:szCs w:val="16"/>
        </w:rPr>
      </w:pPr>
      <w:r w:rsidRPr="0023362E">
        <w:rPr>
          <w:szCs w:val="16"/>
        </w:rPr>
        <w:t>2. Nadie puede ser privado de su libertad física, salvo por las causas y en las condiciones fijadas de antemano por las Constituciones Políticas de los Estados Partes o por las leyes dictadas conforme a ellas.</w:t>
      </w:r>
    </w:p>
    <w:p w:rsidR="00E65148" w:rsidRPr="0023362E" w:rsidRDefault="00E65148" w:rsidP="00E54423">
      <w:pPr>
        <w:pStyle w:val="FootnoteText"/>
        <w:ind w:left="567" w:right="855"/>
        <w:rPr>
          <w:szCs w:val="16"/>
        </w:rPr>
      </w:pPr>
      <w:r w:rsidRPr="0023362E">
        <w:rPr>
          <w:szCs w:val="16"/>
        </w:rPr>
        <w:t>3. Nadie puede ser sometido a detención o encarcelamiento arbitrarios.</w:t>
      </w:r>
    </w:p>
    <w:p w:rsidR="00E65148" w:rsidRPr="0023362E" w:rsidRDefault="00E65148" w:rsidP="00E54423">
      <w:pPr>
        <w:pStyle w:val="FootnoteText"/>
        <w:ind w:left="567" w:right="855"/>
        <w:rPr>
          <w:szCs w:val="16"/>
        </w:rPr>
      </w:pPr>
      <w:r w:rsidRPr="0023362E">
        <w:rPr>
          <w:szCs w:val="16"/>
        </w:rPr>
        <w:t>4. Toda persona detenida o retenida debe ser informada de las razones de su detención y notificada, sin demora, del cargo o cargos formulados contra ella.</w:t>
      </w:r>
    </w:p>
    <w:p w:rsidR="00E65148" w:rsidRPr="0023362E" w:rsidRDefault="00E65148" w:rsidP="00E54423">
      <w:pPr>
        <w:pStyle w:val="FootnoteText"/>
        <w:ind w:left="567" w:right="855"/>
        <w:rPr>
          <w:szCs w:val="16"/>
        </w:rPr>
      </w:pPr>
      <w:r w:rsidRPr="0023362E">
        <w:rPr>
          <w:szCs w:val="16"/>
        </w:rPr>
        <w:t>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w:t>
      </w:r>
    </w:p>
    <w:p w:rsidR="00E65148" w:rsidRPr="0023362E" w:rsidRDefault="00E65148" w:rsidP="00F810F3">
      <w:pPr>
        <w:pStyle w:val="FootnoteText"/>
        <w:ind w:left="567" w:right="855"/>
        <w:rPr>
          <w:szCs w:val="16"/>
        </w:rPr>
      </w:pPr>
      <w:r w:rsidRPr="0023362E">
        <w:rPr>
          <w:szCs w:val="16"/>
        </w:rPr>
        <w:t>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 […]</w:t>
      </w:r>
    </w:p>
    <w:p w:rsidR="00E65148" w:rsidRPr="0023362E" w:rsidRDefault="00E65148" w:rsidP="00F810F3">
      <w:pPr>
        <w:pStyle w:val="FootnoteText"/>
        <w:ind w:left="567" w:right="855"/>
        <w:rPr>
          <w:szCs w:val="16"/>
        </w:rPr>
      </w:pPr>
    </w:p>
  </w:footnote>
  <w:footnote w:id="162">
    <w:p w:rsidR="00E65148" w:rsidRPr="0023362E" w:rsidRDefault="00E65148" w:rsidP="00E54423">
      <w:pPr>
        <w:pStyle w:val="Estilo1"/>
        <w:numPr>
          <w:ilvl w:val="0"/>
          <w:numId w:val="0"/>
        </w:numPr>
        <w:rPr>
          <w:sz w:val="16"/>
          <w:szCs w:val="16"/>
          <w:lang w:val="es-CR"/>
        </w:rPr>
      </w:pPr>
      <w:r w:rsidRPr="0023362E">
        <w:rPr>
          <w:rStyle w:val="FootnoteReference"/>
          <w:sz w:val="16"/>
          <w:szCs w:val="16"/>
        </w:rPr>
        <w:footnoteRef/>
      </w:r>
      <w:r w:rsidRPr="0023362E">
        <w:rPr>
          <w:sz w:val="16"/>
          <w:szCs w:val="16"/>
        </w:rPr>
        <w:t xml:space="preserve"> </w:t>
      </w:r>
      <w:r>
        <w:rPr>
          <w:sz w:val="16"/>
          <w:szCs w:val="16"/>
        </w:rPr>
        <w:tab/>
      </w:r>
      <w:r w:rsidRPr="0023362E">
        <w:rPr>
          <w:sz w:val="16"/>
          <w:szCs w:val="16"/>
        </w:rPr>
        <w:t xml:space="preserve">El artículo 8 del tratado, denominado “Garantías Judiciales” indica en lo conducente que: </w:t>
      </w:r>
    </w:p>
    <w:p w:rsidR="00E65148" w:rsidRPr="0023362E" w:rsidRDefault="00E65148" w:rsidP="00E54423">
      <w:pPr>
        <w:pStyle w:val="FootnoteText"/>
        <w:ind w:left="567" w:right="855"/>
        <w:rPr>
          <w:szCs w:val="16"/>
        </w:rPr>
      </w:pPr>
      <w:r w:rsidRPr="0023362E">
        <w:rPr>
          <w:szCs w:val="16"/>
        </w:rPr>
        <w:t>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p w:rsidR="00E65148" w:rsidRDefault="00E65148" w:rsidP="00F810F3">
      <w:pPr>
        <w:pStyle w:val="FootnoteText"/>
        <w:ind w:left="567" w:right="855"/>
        <w:rPr>
          <w:szCs w:val="16"/>
          <w:lang w:val="es-CR"/>
        </w:rPr>
      </w:pPr>
      <w:r w:rsidRPr="0023362E">
        <w:rPr>
          <w:szCs w:val="16"/>
          <w:lang w:val="es-CR"/>
        </w:rPr>
        <w:t xml:space="preserve">2. Toda persona inculpada de delito tiene derecho a que se presuma su inocencia mientras no se establezca legalmente su culpabilidad. Durante el proceso, toda persona tiene derecho, en plena igualdad, a las siguientes garantías mínimas: a) derecho del inculpado de ser asistido gratuitamente por el traductor o intérprete, si no comprende o no habla el idioma del juzgado o tribunal;  b) comunicación previa y detallada al inculpado de la acusación formulada; c) concesión al inculpado del tiempo y de los medios adecuados para la preparación de su defensa;  d) derecho del inculpado de defenderse personalmente o de ser asistido por un defensor de su elección y de comunicarse libre y privadamente con su defensor[, y] e) derecho irrenunciable de ser asistido por un defensor proporcionado por el Estado, remunerado o no según la legislación interna, si el inculpado no se defendiere por sí mismo ni nombrare defensor dentro del plazo establecido por la ley. </w:t>
      </w:r>
    </w:p>
    <w:p w:rsidR="00E65148" w:rsidRPr="0023362E" w:rsidRDefault="00E65148" w:rsidP="00F810F3">
      <w:pPr>
        <w:pStyle w:val="FootnoteText"/>
        <w:ind w:left="567" w:right="855"/>
        <w:rPr>
          <w:szCs w:val="16"/>
          <w:lang w:val="es-CR"/>
        </w:rPr>
      </w:pPr>
    </w:p>
  </w:footnote>
  <w:footnote w:id="163">
    <w:p w:rsidR="00E65148" w:rsidRPr="0023362E" w:rsidRDefault="00E65148" w:rsidP="00E54423">
      <w:pPr>
        <w:pStyle w:val="Estilo1"/>
        <w:numPr>
          <w:ilvl w:val="0"/>
          <w:numId w:val="0"/>
        </w:numPr>
        <w:rPr>
          <w:sz w:val="16"/>
          <w:szCs w:val="16"/>
          <w:lang w:val="es-CR"/>
        </w:rPr>
      </w:pPr>
      <w:r w:rsidRPr="0023362E">
        <w:rPr>
          <w:rStyle w:val="FootnoteReference"/>
          <w:sz w:val="16"/>
          <w:szCs w:val="16"/>
        </w:rPr>
        <w:footnoteRef/>
      </w:r>
      <w:r w:rsidRPr="0023362E">
        <w:rPr>
          <w:sz w:val="16"/>
          <w:szCs w:val="16"/>
        </w:rPr>
        <w:t xml:space="preserve"> </w:t>
      </w:r>
      <w:r>
        <w:rPr>
          <w:sz w:val="16"/>
          <w:szCs w:val="16"/>
        </w:rPr>
        <w:tab/>
      </w:r>
      <w:r w:rsidRPr="0023362E">
        <w:rPr>
          <w:sz w:val="16"/>
          <w:szCs w:val="16"/>
        </w:rPr>
        <w:t xml:space="preserve">La Convención Americana en su artículo 25, bajo el título “Protección Judicial”, señala: </w:t>
      </w:r>
    </w:p>
    <w:p w:rsidR="00E65148" w:rsidRPr="0023362E" w:rsidRDefault="00E65148" w:rsidP="00E54423">
      <w:pPr>
        <w:pStyle w:val="FootnoteText"/>
        <w:tabs>
          <w:tab w:val="left" w:pos="8505"/>
        </w:tabs>
        <w:ind w:left="567" w:right="855"/>
        <w:rPr>
          <w:szCs w:val="16"/>
          <w:lang w:val="es-CR"/>
        </w:rPr>
      </w:pPr>
      <w:r w:rsidRPr="0023362E">
        <w:rPr>
          <w:szCs w:val="16"/>
          <w:lang w:val="es-CR"/>
        </w:rPr>
        <w:t xml:space="preserve">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w:t>
      </w:r>
    </w:p>
    <w:p w:rsidR="00E65148" w:rsidRPr="0023362E" w:rsidRDefault="00E65148" w:rsidP="00E54423">
      <w:pPr>
        <w:pStyle w:val="FootnoteText"/>
        <w:tabs>
          <w:tab w:val="left" w:pos="8505"/>
        </w:tabs>
        <w:ind w:left="567" w:right="855"/>
        <w:rPr>
          <w:szCs w:val="16"/>
          <w:lang w:val="es-CR"/>
        </w:rPr>
      </w:pPr>
      <w:r w:rsidRPr="0023362E">
        <w:rPr>
          <w:szCs w:val="16"/>
          <w:lang w:val="es-CR"/>
        </w:rPr>
        <w:t xml:space="preserve">2. Los Estados Partes se comprometen:  a) a garantizar que la autoridad competente prevista por el sistema legal del Estado decidirá sobre los derechos de toda persona que interponga tal recurso;  b) a desarrollar las posibilidades de recurso judicial, y  c) a garantizar el cumplimiento, por las autoridades competentes, de toda decisión en que se haya estimado procedente el recurso. </w:t>
      </w:r>
    </w:p>
    <w:p w:rsidR="00E65148" w:rsidRPr="0023362E" w:rsidRDefault="00E65148" w:rsidP="00E54423">
      <w:pPr>
        <w:pStyle w:val="FootnoteText"/>
        <w:rPr>
          <w:szCs w:val="16"/>
          <w:lang w:val="es-CR"/>
        </w:rPr>
      </w:pPr>
    </w:p>
  </w:footnote>
  <w:footnote w:id="164">
    <w:p w:rsidR="00E65148" w:rsidRDefault="00E65148">
      <w:pPr>
        <w:pStyle w:val="FootnoteText"/>
        <w:rPr>
          <w:szCs w:val="16"/>
        </w:rPr>
      </w:pPr>
      <w:r w:rsidRPr="0023362E">
        <w:rPr>
          <w:rStyle w:val="FootnoteReference"/>
          <w:szCs w:val="16"/>
        </w:rPr>
        <w:footnoteRef/>
      </w:r>
      <w:r w:rsidRPr="0023362E">
        <w:rPr>
          <w:szCs w:val="16"/>
        </w:rPr>
        <w:t xml:space="preserve"> </w:t>
      </w:r>
      <w:r>
        <w:rPr>
          <w:szCs w:val="16"/>
        </w:rPr>
        <w:tab/>
      </w:r>
      <w:r w:rsidRPr="0023362E">
        <w:rPr>
          <w:szCs w:val="16"/>
        </w:rPr>
        <w:t xml:space="preserve">El artículo 1.1 de la Convención </w:t>
      </w:r>
      <w:r w:rsidRPr="00996FCF">
        <w:rPr>
          <w:szCs w:val="16"/>
        </w:rPr>
        <w:t xml:space="preserve">establece </w:t>
      </w:r>
      <w:r w:rsidRPr="008D2D9F">
        <w:rPr>
          <w:szCs w:val="16"/>
        </w:rPr>
        <w:t>“</w:t>
      </w:r>
      <w:r w:rsidRPr="008D2D9F">
        <w:rPr>
          <w:rFonts w:cs="Tahoma"/>
          <w:color w:val="000000"/>
          <w:szCs w:val="16"/>
        </w:rPr>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r w:rsidRPr="008D2D9F">
        <w:rPr>
          <w:szCs w:val="16"/>
        </w:rPr>
        <w:t>”</w:t>
      </w:r>
    </w:p>
    <w:p w:rsidR="00E65148" w:rsidRPr="0023362E" w:rsidRDefault="00E65148">
      <w:pPr>
        <w:pStyle w:val="FootnoteText"/>
        <w:rPr>
          <w:szCs w:val="16"/>
        </w:rPr>
      </w:pPr>
    </w:p>
  </w:footnote>
  <w:footnote w:id="165">
    <w:p w:rsidR="00E65148" w:rsidRPr="0023362E" w:rsidRDefault="00E65148" w:rsidP="00E54423">
      <w:pPr>
        <w:pStyle w:val="FootnoteText"/>
        <w:rPr>
          <w:szCs w:val="16"/>
        </w:rPr>
      </w:pPr>
      <w:r w:rsidRPr="0023362E">
        <w:rPr>
          <w:rStyle w:val="FootnoteReference"/>
          <w:rFonts w:eastAsia="Calibri"/>
          <w:szCs w:val="16"/>
        </w:rPr>
        <w:footnoteRef/>
      </w:r>
      <w:r w:rsidRPr="0023362E">
        <w:rPr>
          <w:szCs w:val="16"/>
        </w:rPr>
        <w:t xml:space="preserve"> </w:t>
      </w:r>
      <w:r>
        <w:rPr>
          <w:szCs w:val="16"/>
        </w:rPr>
        <w:tab/>
      </w:r>
      <w:r w:rsidRPr="0023362E">
        <w:rPr>
          <w:szCs w:val="16"/>
        </w:rPr>
        <w:t>El artículo 2 de la Convención dice: “</w:t>
      </w:r>
      <w:r w:rsidRPr="0023362E">
        <w:rPr>
          <w:iCs/>
          <w:szCs w:val="16"/>
        </w:rPr>
        <w:t>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166">
    <w:p w:rsidR="00E65148" w:rsidRPr="0023362E" w:rsidRDefault="00E65148" w:rsidP="00E54423">
      <w:pPr>
        <w:pStyle w:val="FootnoteText"/>
        <w:rPr>
          <w:szCs w:val="16"/>
          <w:lang w:val="es-CR"/>
        </w:rPr>
      </w:pPr>
      <w:r w:rsidRPr="0023362E">
        <w:rPr>
          <w:rStyle w:val="FootnoteReference"/>
          <w:szCs w:val="16"/>
        </w:rPr>
        <w:footnoteRef/>
      </w:r>
      <w:r w:rsidRPr="0023362E">
        <w:rPr>
          <w:szCs w:val="16"/>
        </w:rPr>
        <w:t xml:space="preserve"> </w:t>
      </w:r>
      <w:r>
        <w:rPr>
          <w:szCs w:val="16"/>
        </w:rPr>
        <w:tab/>
      </w:r>
      <w:r w:rsidRPr="004454B8">
        <w:rPr>
          <w:rFonts w:eastAsiaTheme="minorHAnsi"/>
          <w:szCs w:val="16"/>
        </w:rPr>
        <w:t>El título del apartado correspondiente del Informe de Fondo, en el que la Comisión refirió lo expuesto, incluye la mención al artículo 2 de la Convención, pero la conclusión del mismo apartado no se refiere a esa norma.</w:t>
      </w:r>
    </w:p>
  </w:footnote>
  <w:footnote w:id="167">
    <w:p w:rsidR="00E65148" w:rsidRPr="0023362E" w:rsidRDefault="00E65148" w:rsidP="00E54423">
      <w:pPr>
        <w:pStyle w:val="FootnoteText"/>
        <w:rPr>
          <w:szCs w:val="16"/>
          <w:lang w:val="es-CR"/>
        </w:rPr>
      </w:pPr>
      <w:r w:rsidRPr="0023362E">
        <w:rPr>
          <w:rStyle w:val="FootnoteReference"/>
          <w:rFonts w:eastAsia="Calibri"/>
          <w:szCs w:val="16"/>
        </w:rPr>
        <w:footnoteRef/>
      </w:r>
      <w:r w:rsidRPr="0023362E">
        <w:rPr>
          <w:szCs w:val="16"/>
        </w:rPr>
        <w:t xml:space="preserve"> </w:t>
      </w:r>
      <w:r w:rsidRPr="0023362E">
        <w:rPr>
          <w:szCs w:val="16"/>
        </w:rPr>
        <w:tab/>
        <w:t xml:space="preserve">El Estado se refirió </w:t>
      </w:r>
      <w:r w:rsidRPr="0023362E">
        <w:rPr>
          <w:rFonts w:eastAsiaTheme="minorHAnsi"/>
          <w:szCs w:val="16"/>
        </w:rPr>
        <w:t>al “</w:t>
      </w:r>
      <w:r w:rsidRPr="00CF4A86">
        <w:rPr>
          <w:rFonts w:eastAsiaTheme="minorHAnsi"/>
          <w:i/>
          <w:iCs/>
          <w:szCs w:val="16"/>
        </w:rPr>
        <w:t>Caso</w:t>
      </w:r>
      <w:r w:rsidRPr="00755889">
        <w:rPr>
          <w:rFonts w:eastAsiaTheme="minorHAnsi"/>
          <w:i/>
          <w:iCs/>
          <w:szCs w:val="16"/>
        </w:rPr>
        <w:t xml:space="preserve"> </w:t>
      </w:r>
      <w:r w:rsidRPr="0023362E">
        <w:rPr>
          <w:rFonts w:eastAsiaTheme="minorHAnsi"/>
          <w:i/>
          <w:iCs/>
          <w:szCs w:val="16"/>
        </w:rPr>
        <w:t>Castillo Páez</w:t>
      </w:r>
      <w:r>
        <w:rPr>
          <w:rFonts w:eastAsiaTheme="minorHAnsi"/>
          <w:i/>
          <w:iCs/>
          <w:szCs w:val="16"/>
        </w:rPr>
        <w:t xml:space="preserve"> Vs. Perú. Fondo</w:t>
      </w:r>
      <w:r w:rsidRPr="0023362E">
        <w:rPr>
          <w:rFonts w:eastAsiaTheme="minorHAnsi"/>
          <w:i/>
          <w:iCs/>
          <w:szCs w:val="16"/>
        </w:rPr>
        <w:t xml:space="preserve">, </w:t>
      </w:r>
      <w:r w:rsidRPr="0023362E">
        <w:rPr>
          <w:rFonts w:eastAsiaTheme="minorHAnsi"/>
          <w:iCs/>
          <w:szCs w:val="16"/>
        </w:rPr>
        <w:t xml:space="preserve">en </w:t>
      </w:r>
      <w:r w:rsidRPr="0023362E">
        <w:rPr>
          <w:rFonts w:eastAsiaTheme="minorHAnsi"/>
          <w:szCs w:val="16"/>
        </w:rPr>
        <w:t xml:space="preserve">el cual la Corte Interamericana señaló que, a diferencia del presente caso, ‘no se demostró y tampoco se alegó por el Estado, que la aprehensión del señor Castillo Páez se hubiese producido […] </w:t>
      </w:r>
      <w:proofErr w:type="spellStart"/>
      <w:proofErr w:type="gramStart"/>
      <w:r w:rsidRPr="0023362E">
        <w:rPr>
          <w:rFonts w:eastAsiaTheme="minorHAnsi"/>
          <w:szCs w:val="16"/>
        </w:rPr>
        <w:t>est</w:t>
      </w:r>
      <w:proofErr w:type="spellEnd"/>
      <w:r w:rsidRPr="0023362E">
        <w:rPr>
          <w:rFonts w:eastAsiaTheme="minorHAnsi"/>
          <w:szCs w:val="16"/>
        </w:rPr>
        <w:t>[</w:t>
      </w:r>
      <w:proofErr w:type="gramEnd"/>
      <w:r w:rsidRPr="0023362E">
        <w:rPr>
          <w:rFonts w:eastAsiaTheme="minorHAnsi"/>
          <w:szCs w:val="16"/>
        </w:rPr>
        <w:t>ando] vigente en ese momento un estado de emergencia, circunstancias que hubiesen podido justificar la detención de la víctima por agentes policiales, sin intervención judicial’”.</w:t>
      </w:r>
    </w:p>
  </w:footnote>
  <w:footnote w:id="168">
    <w:p w:rsidR="00E65148" w:rsidRPr="0023362E" w:rsidRDefault="00E65148" w:rsidP="00E54423">
      <w:pPr>
        <w:pStyle w:val="FootnoteText"/>
        <w:rPr>
          <w:szCs w:val="16"/>
          <w:lang w:val="es-CR"/>
        </w:rPr>
      </w:pPr>
      <w:r w:rsidRPr="0023362E">
        <w:rPr>
          <w:rStyle w:val="FootnoteReference"/>
          <w:rFonts w:eastAsia="Calibri"/>
          <w:szCs w:val="16"/>
        </w:rPr>
        <w:footnoteRef/>
      </w:r>
      <w:r w:rsidRPr="0023362E">
        <w:rPr>
          <w:szCs w:val="16"/>
        </w:rPr>
        <w:t xml:space="preserve"> </w:t>
      </w:r>
      <w:r w:rsidRPr="0023362E">
        <w:rPr>
          <w:szCs w:val="16"/>
        </w:rPr>
        <w:tab/>
      </w:r>
      <w:r w:rsidRPr="0023362E">
        <w:rPr>
          <w:rFonts w:eastAsiaTheme="minorHAnsi"/>
          <w:szCs w:val="16"/>
        </w:rPr>
        <w:t xml:space="preserve">Pese a lo anterior, en la audiencia pública, el Estado alegó que la Corte no debería entrar a revisar el “marco normativo” de la Ley de Arrepentimiento ya que ninguno de los fundamentos jurídicos alegados por la Comisión “se </w:t>
      </w:r>
      <w:proofErr w:type="gramStart"/>
      <w:r w:rsidRPr="0023362E">
        <w:rPr>
          <w:rFonts w:eastAsiaTheme="minorHAnsi"/>
          <w:szCs w:val="16"/>
        </w:rPr>
        <w:t>sustenta[</w:t>
      </w:r>
      <w:proofErr w:type="spellStart"/>
      <w:proofErr w:type="gramEnd"/>
      <w:r w:rsidRPr="0023362E">
        <w:rPr>
          <w:rFonts w:eastAsiaTheme="minorHAnsi"/>
          <w:szCs w:val="16"/>
        </w:rPr>
        <w:t>ba</w:t>
      </w:r>
      <w:proofErr w:type="spellEnd"/>
      <w:r w:rsidRPr="0023362E">
        <w:rPr>
          <w:rFonts w:eastAsiaTheme="minorHAnsi"/>
          <w:szCs w:val="16"/>
        </w:rPr>
        <w:t>] en lo que la L[</w:t>
      </w:r>
      <w:proofErr w:type="spellStart"/>
      <w:r w:rsidRPr="0023362E">
        <w:rPr>
          <w:rFonts w:eastAsiaTheme="minorHAnsi"/>
          <w:szCs w:val="16"/>
        </w:rPr>
        <w:t>ey</w:t>
      </w:r>
      <w:proofErr w:type="spellEnd"/>
      <w:r w:rsidRPr="0023362E">
        <w:rPr>
          <w:rFonts w:eastAsiaTheme="minorHAnsi"/>
          <w:szCs w:val="16"/>
        </w:rPr>
        <w:t>] decía o en lo que la [Ley] no señalaba”, es decir que no tenían relación directa con los hechos alegados. El Estado añadió que “</w:t>
      </w:r>
      <w:r w:rsidRPr="0023362E">
        <w:rPr>
          <w:szCs w:val="16"/>
        </w:rPr>
        <w:t>los fundamentos jurídicos expuestos por la Comisión Interamericana sobre presuntas violaciones a los artículos 5, 7, 8, 9 y 25 de la Convención Americana se puede analizar perfectamente sin hacer un análisis sobre el marco normativo de la denominada Ley de Arrep</w:t>
      </w:r>
      <w:r>
        <w:rPr>
          <w:szCs w:val="16"/>
        </w:rPr>
        <w:t xml:space="preserve">entimiento, por ello </w:t>
      </w:r>
      <w:proofErr w:type="spellStart"/>
      <w:r>
        <w:rPr>
          <w:szCs w:val="16"/>
        </w:rPr>
        <w:t>solicit</w:t>
      </w:r>
      <w:proofErr w:type="spellEnd"/>
      <w:r>
        <w:rPr>
          <w:szCs w:val="16"/>
        </w:rPr>
        <w:t>[</w:t>
      </w:r>
      <w:proofErr w:type="spellStart"/>
      <w:r>
        <w:rPr>
          <w:szCs w:val="16"/>
        </w:rPr>
        <w:t>ó</w:t>
      </w:r>
      <w:proofErr w:type="spellEnd"/>
      <w:r>
        <w:rPr>
          <w:szCs w:val="16"/>
        </w:rPr>
        <w:t>]</w:t>
      </w:r>
      <w:r w:rsidRPr="0023362E">
        <w:rPr>
          <w:szCs w:val="16"/>
        </w:rPr>
        <w:t xml:space="preserve"> a la Corte ponderar debidamente y dejar de lado aquellas situaciones de hecho que no guarden relación directa con los fundamentos jurídicos expuestos por la Comisión”. </w:t>
      </w:r>
      <w:r w:rsidRPr="0023362E">
        <w:rPr>
          <w:rFonts w:eastAsiaTheme="minorHAnsi"/>
          <w:szCs w:val="16"/>
        </w:rPr>
        <w:t xml:space="preserve"> </w:t>
      </w:r>
    </w:p>
  </w:footnote>
  <w:footnote w:id="169">
    <w:p w:rsidR="00E65148" w:rsidRPr="0023362E" w:rsidRDefault="00E65148" w:rsidP="00E54423">
      <w:pPr>
        <w:pStyle w:val="ListParagraph"/>
        <w:ind w:left="0"/>
        <w:contextualSpacing/>
        <w:jc w:val="both"/>
        <w:rPr>
          <w:sz w:val="16"/>
          <w:szCs w:val="16"/>
          <w:lang w:val="es-CR"/>
        </w:rPr>
      </w:pPr>
      <w:r w:rsidRPr="0023362E">
        <w:rPr>
          <w:rStyle w:val="FootnoteReference"/>
          <w:rFonts w:eastAsia="Calibri"/>
          <w:sz w:val="16"/>
          <w:szCs w:val="16"/>
        </w:rPr>
        <w:footnoteRef/>
      </w:r>
      <w:r w:rsidRPr="0023362E">
        <w:rPr>
          <w:rStyle w:val="FootnoteReference"/>
          <w:rFonts w:eastAsia="Calibri"/>
          <w:sz w:val="16"/>
          <w:szCs w:val="16"/>
        </w:rPr>
        <w:t xml:space="preserve"> </w:t>
      </w:r>
      <w:r w:rsidRPr="0023362E">
        <w:rPr>
          <w:rFonts w:eastAsia="Calibri"/>
          <w:sz w:val="16"/>
          <w:szCs w:val="16"/>
        </w:rPr>
        <w:tab/>
      </w:r>
      <w:r w:rsidRPr="0023362E">
        <w:rPr>
          <w:sz w:val="16"/>
          <w:szCs w:val="16"/>
          <w:lang w:val="es-CR"/>
        </w:rPr>
        <w:t xml:space="preserve">Agregó que </w:t>
      </w:r>
      <w:r w:rsidRPr="0023362E">
        <w:rPr>
          <w:rFonts w:eastAsiaTheme="minorHAnsi"/>
          <w:sz w:val="16"/>
          <w:szCs w:val="16"/>
        </w:rPr>
        <w:t xml:space="preserve">de la “jurisprudencia [de la Corte] se desprende que la detención preventiva se encuentra autorizada cuando con ella se garantice el desarrollo eficiente de las </w:t>
      </w:r>
      <w:proofErr w:type="gramStart"/>
      <w:r w:rsidRPr="0023362E">
        <w:rPr>
          <w:rFonts w:eastAsiaTheme="minorHAnsi"/>
          <w:sz w:val="16"/>
          <w:szCs w:val="16"/>
        </w:rPr>
        <w:t>investigaciones[</w:t>
      </w:r>
      <w:proofErr w:type="gramEnd"/>
      <w:r w:rsidRPr="0023362E">
        <w:rPr>
          <w:rFonts w:eastAsiaTheme="minorHAnsi"/>
          <w:sz w:val="16"/>
          <w:szCs w:val="16"/>
        </w:rPr>
        <w:t xml:space="preserve">.] El Estado [afirmó ser] consciente que tal detención preventiva debe tener carácter excepcional, por ello ha demostrado que las autoridades nacionales tuvieron una justificación adecuada para la misma </w:t>
      </w:r>
      <w:r w:rsidRPr="0023362E">
        <w:rPr>
          <w:rFonts w:eastAsiaTheme="minorHAnsi" w:cs="Arial"/>
          <w:sz w:val="16"/>
          <w:szCs w:val="16"/>
        </w:rPr>
        <w:t xml:space="preserve">y </w:t>
      </w:r>
      <w:r w:rsidRPr="0023362E">
        <w:rPr>
          <w:rFonts w:eastAsiaTheme="minorHAnsi"/>
          <w:sz w:val="16"/>
          <w:szCs w:val="16"/>
        </w:rPr>
        <w:t xml:space="preserve">que el Estado ha tomado las debidas diligencias para asegurar que la duración de la misma sea </w:t>
      </w:r>
      <w:proofErr w:type="gramStart"/>
      <w:r w:rsidRPr="0023362E">
        <w:rPr>
          <w:rFonts w:eastAsiaTheme="minorHAnsi"/>
          <w:sz w:val="16"/>
          <w:szCs w:val="16"/>
        </w:rPr>
        <w:t>razonable[</w:t>
      </w:r>
      <w:proofErr w:type="gramEnd"/>
      <w:r w:rsidRPr="0023362E">
        <w:rPr>
          <w:rFonts w:eastAsiaTheme="minorHAnsi"/>
          <w:sz w:val="16"/>
          <w:szCs w:val="16"/>
        </w:rPr>
        <w:t xml:space="preserve">, por lo que asegura que] la misma no fue arbitraria.” </w:t>
      </w:r>
    </w:p>
  </w:footnote>
  <w:footnote w:id="170">
    <w:p w:rsidR="00E65148" w:rsidRPr="0023362E" w:rsidRDefault="00E65148" w:rsidP="00E54423">
      <w:pPr>
        <w:pStyle w:val="FootnoteText"/>
        <w:rPr>
          <w:szCs w:val="16"/>
        </w:rPr>
      </w:pPr>
      <w:r w:rsidRPr="0023362E">
        <w:rPr>
          <w:rStyle w:val="FootnoteReference"/>
          <w:rFonts w:eastAsia="Calibri"/>
          <w:szCs w:val="16"/>
        </w:rPr>
        <w:footnoteRef/>
      </w:r>
      <w:r w:rsidRPr="0023362E">
        <w:rPr>
          <w:szCs w:val="16"/>
        </w:rPr>
        <w:t xml:space="preserve"> </w:t>
      </w:r>
      <w:r w:rsidRPr="0023362E">
        <w:rPr>
          <w:szCs w:val="16"/>
        </w:rPr>
        <w:tab/>
      </w:r>
      <w:r w:rsidRPr="0023362E">
        <w:rPr>
          <w:i/>
          <w:szCs w:val="16"/>
        </w:rPr>
        <w:t xml:space="preserve">Cfr. </w:t>
      </w:r>
      <w:r w:rsidRPr="00CF4A86">
        <w:rPr>
          <w:i/>
          <w:szCs w:val="16"/>
        </w:rPr>
        <w:t>Caso</w:t>
      </w:r>
      <w:r w:rsidRPr="0023362E">
        <w:rPr>
          <w:i/>
          <w:szCs w:val="16"/>
        </w:rPr>
        <w:t xml:space="preserve"> "Instituto de Reeducación del Menor" Vs. Paraguay. Excepciones Preliminares, Fondo, Reparaciones y Costas</w:t>
      </w:r>
      <w:r w:rsidRPr="0023362E">
        <w:rPr>
          <w:szCs w:val="16"/>
        </w:rPr>
        <w:t xml:space="preserve">. Sentencia de 2 de septiembre de 2004. Serie C No. 112, párr. 223, y </w:t>
      </w:r>
      <w:r w:rsidRPr="00CF4A86">
        <w:rPr>
          <w:bCs/>
          <w:i/>
          <w:iCs/>
          <w:szCs w:val="16"/>
          <w:lang w:val="es-ES"/>
        </w:rPr>
        <w:t>Caso</w:t>
      </w:r>
      <w:r w:rsidRPr="0023362E">
        <w:rPr>
          <w:bCs/>
          <w:i/>
          <w:iCs/>
          <w:szCs w:val="16"/>
          <w:lang w:val="es-ES"/>
        </w:rPr>
        <w:t xml:space="preserve"> Argüelles y otros Vs. Argentina. Excepciones Preliminares, Fondo, Reparaciones y Costas</w:t>
      </w:r>
      <w:r w:rsidRPr="0023362E">
        <w:rPr>
          <w:bCs/>
          <w:iCs/>
          <w:szCs w:val="16"/>
          <w:lang w:val="es-ES"/>
        </w:rPr>
        <w:t>. Sentencia de 20 de noviembre de 2014. Serie C No. 288</w:t>
      </w:r>
      <w:r w:rsidRPr="0023362E">
        <w:rPr>
          <w:szCs w:val="16"/>
        </w:rPr>
        <w:t>, párr. 114.</w:t>
      </w:r>
    </w:p>
  </w:footnote>
  <w:footnote w:id="171">
    <w:p w:rsidR="00E65148" w:rsidRPr="0023362E" w:rsidRDefault="00E65148" w:rsidP="00E54423">
      <w:pPr>
        <w:pStyle w:val="FootnoteText"/>
        <w:tabs>
          <w:tab w:val="left" w:pos="567"/>
        </w:tabs>
        <w:contextualSpacing/>
        <w:rPr>
          <w:b/>
          <w:spacing w:val="-4"/>
          <w:szCs w:val="16"/>
          <w:lang w:val="es-PR"/>
        </w:rPr>
      </w:pPr>
      <w:r w:rsidRPr="0023362E">
        <w:rPr>
          <w:rStyle w:val="FootnoteReference"/>
          <w:rFonts w:eastAsiaTheme="majorEastAsia"/>
          <w:spacing w:val="-4"/>
          <w:szCs w:val="16"/>
        </w:rPr>
        <w:footnoteRef/>
      </w:r>
      <w:r w:rsidRPr="0023362E">
        <w:rPr>
          <w:spacing w:val="-4"/>
          <w:szCs w:val="16"/>
          <w:lang w:val="es-GT"/>
        </w:rPr>
        <w:t xml:space="preserve"> </w:t>
      </w:r>
      <w:r w:rsidRPr="0023362E">
        <w:rPr>
          <w:spacing w:val="-4"/>
          <w:szCs w:val="16"/>
          <w:lang w:val="es-GT"/>
        </w:rPr>
        <w:tab/>
      </w:r>
      <w:r w:rsidRPr="00CF4A86">
        <w:rPr>
          <w:rStyle w:val="Strong"/>
          <w:rFonts w:eastAsia="Calibri"/>
          <w:b w:val="0"/>
          <w:i/>
          <w:spacing w:val="-4"/>
          <w:szCs w:val="16"/>
          <w:shd w:val="clear" w:color="auto" w:fill="FFFFFF"/>
        </w:rPr>
        <w:t>Caso</w:t>
      </w:r>
      <w:r w:rsidRPr="0023362E">
        <w:rPr>
          <w:rStyle w:val="Strong"/>
          <w:rFonts w:eastAsia="Calibri"/>
          <w:b w:val="0"/>
          <w:i/>
          <w:spacing w:val="-4"/>
          <w:szCs w:val="16"/>
          <w:shd w:val="clear" w:color="auto" w:fill="FFFFFF"/>
        </w:rPr>
        <w:t xml:space="preserve"> Chaparro Álvarez y Lapo Íñiguez. Vs. Ecuador. Excepciones Preliminares, Fondo, Reparaciones y Costas</w:t>
      </w:r>
      <w:r w:rsidRPr="0023362E">
        <w:rPr>
          <w:rStyle w:val="Strong"/>
          <w:rFonts w:eastAsia="Calibri"/>
          <w:b w:val="0"/>
          <w:spacing w:val="-4"/>
          <w:szCs w:val="16"/>
          <w:shd w:val="clear" w:color="auto" w:fill="FFFFFF"/>
        </w:rPr>
        <w:t>. Sentencia de 21 de noviembre de 2007. Serie C No. 170</w:t>
      </w:r>
      <w:r w:rsidRPr="0023362E">
        <w:rPr>
          <w:spacing w:val="-4"/>
          <w:szCs w:val="16"/>
          <w:lang w:val="es-ES"/>
        </w:rPr>
        <w:t xml:space="preserve">, </w:t>
      </w:r>
      <w:proofErr w:type="spellStart"/>
      <w:r w:rsidRPr="0023362E">
        <w:rPr>
          <w:spacing w:val="-4"/>
          <w:szCs w:val="16"/>
          <w:lang w:val="es-ES"/>
        </w:rPr>
        <w:t>párrs</w:t>
      </w:r>
      <w:proofErr w:type="spellEnd"/>
      <w:r w:rsidRPr="0023362E">
        <w:rPr>
          <w:spacing w:val="-4"/>
          <w:szCs w:val="16"/>
          <w:lang w:val="es-ES"/>
        </w:rPr>
        <w:t xml:space="preserve">. </w:t>
      </w:r>
      <w:r w:rsidRPr="0023362E">
        <w:rPr>
          <w:spacing w:val="-4"/>
          <w:szCs w:val="16"/>
          <w:lang w:val="es-GT"/>
        </w:rPr>
        <w:t xml:space="preserve">51 y 54, y </w:t>
      </w:r>
      <w:r w:rsidRPr="008D2D9F">
        <w:rPr>
          <w:bCs/>
          <w:i/>
          <w:iCs/>
          <w:spacing w:val="-4"/>
          <w:szCs w:val="16"/>
          <w:lang w:val="es-ES"/>
        </w:rPr>
        <w:t>Caso</w:t>
      </w:r>
      <w:r w:rsidRPr="0023362E">
        <w:rPr>
          <w:bCs/>
          <w:i/>
          <w:iCs/>
          <w:spacing w:val="-4"/>
          <w:szCs w:val="16"/>
          <w:lang w:val="es-ES"/>
        </w:rPr>
        <w:t xml:space="preserve"> Espinoza Gonzáles Vs. Perú</w:t>
      </w:r>
      <w:r w:rsidRPr="0023362E">
        <w:rPr>
          <w:bCs/>
          <w:iCs/>
          <w:spacing w:val="-4"/>
          <w:szCs w:val="16"/>
          <w:lang w:val="es-ES"/>
        </w:rPr>
        <w:t>, párr. 106.</w:t>
      </w:r>
    </w:p>
  </w:footnote>
  <w:footnote w:id="172">
    <w:p w:rsidR="00E65148" w:rsidRPr="0023362E" w:rsidRDefault="00E65148" w:rsidP="00E54423">
      <w:pPr>
        <w:pStyle w:val="FootnoteText"/>
        <w:rPr>
          <w:szCs w:val="16"/>
          <w:lang w:val="es-CR"/>
        </w:rPr>
      </w:pPr>
      <w:r w:rsidRPr="0023362E">
        <w:rPr>
          <w:rStyle w:val="FootnoteReference"/>
          <w:rFonts w:eastAsia="Calibri"/>
          <w:szCs w:val="16"/>
        </w:rPr>
        <w:footnoteRef/>
      </w:r>
      <w:r w:rsidRPr="0023362E">
        <w:rPr>
          <w:szCs w:val="16"/>
        </w:rPr>
        <w:t xml:space="preserve"> </w:t>
      </w:r>
      <w:r w:rsidRPr="0023362E">
        <w:rPr>
          <w:szCs w:val="16"/>
        </w:rPr>
        <w:tab/>
      </w:r>
      <w:r w:rsidRPr="0023362E">
        <w:rPr>
          <w:bCs/>
          <w:i/>
          <w:szCs w:val="16"/>
          <w:lang w:val="es-ES"/>
        </w:rPr>
        <w:t>Derechos y garantías de niñas y niños en el contexto de la migración y/o en necesidad de protección internacional.</w:t>
      </w:r>
      <w:r w:rsidRPr="0023362E">
        <w:rPr>
          <w:bCs/>
          <w:szCs w:val="16"/>
          <w:lang w:val="es-ES"/>
        </w:rPr>
        <w:t xml:space="preserve"> Opinión Consultiva OC-21/14 de 19 de agosto de 2014. Serie A No. 21, párr. 145</w:t>
      </w:r>
      <w:r>
        <w:rPr>
          <w:bCs/>
          <w:szCs w:val="16"/>
          <w:lang w:val="es-ES"/>
        </w:rPr>
        <w:t>, y</w:t>
      </w:r>
      <w:r w:rsidRPr="0023362E">
        <w:rPr>
          <w:szCs w:val="16"/>
          <w:lang w:val="es-CO"/>
        </w:rPr>
        <w:t>Comisión Interamericana de Derechos Humanos (CIDH),</w:t>
      </w:r>
      <w:r w:rsidRPr="0023362E">
        <w:rPr>
          <w:i/>
          <w:szCs w:val="16"/>
          <w:lang w:val="es-CO"/>
        </w:rPr>
        <w:t xml:space="preserve"> Resolución 1/08: </w:t>
      </w:r>
      <w:r w:rsidRPr="0023362E">
        <w:rPr>
          <w:i/>
          <w:szCs w:val="16"/>
          <w:lang w:val="es-CR"/>
        </w:rPr>
        <w:t xml:space="preserve">Principios y Buenas Prácticas sobre la Protección de las Personas Privadas de la Libertad en las Américas, </w:t>
      </w:r>
      <w:r w:rsidRPr="0023362E">
        <w:rPr>
          <w:szCs w:val="16"/>
          <w:lang w:val="es-CR"/>
        </w:rPr>
        <w:t>adoptados durante el 131º período ordinario de sesiones, celebrado del 3 a</w:t>
      </w:r>
      <w:r>
        <w:rPr>
          <w:szCs w:val="16"/>
          <w:lang w:val="es-CR"/>
        </w:rPr>
        <w:t>l 14 de marzo de 2008”.</w:t>
      </w:r>
    </w:p>
  </w:footnote>
  <w:footnote w:id="173">
    <w:p w:rsidR="00E65148" w:rsidRPr="0023362E" w:rsidRDefault="00E65148" w:rsidP="00E54423">
      <w:pPr>
        <w:pStyle w:val="FootnoteText"/>
        <w:tabs>
          <w:tab w:val="left" w:pos="567"/>
        </w:tabs>
        <w:contextualSpacing/>
        <w:rPr>
          <w:spacing w:val="-4"/>
          <w:szCs w:val="16"/>
          <w:lang w:val="es-GT"/>
        </w:rPr>
      </w:pPr>
      <w:r w:rsidRPr="0023362E">
        <w:rPr>
          <w:rStyle w:val="FootnoteReference"/>
          <w:rFonts w:eastAsiaTheme="majorEastAsia"/>
          <w:spacing w:val="-4"/>
          <w:szCs w:val="16"/>
        </w:rPr>
        <w:footnoteRef/>
      </w:r>
      <w:r>
        <w:rPr>
          <w:spacing w:val="-4"/>
          <w:szCs w:val="16"/>
          <w:lang w:val="es-GT"/>
        </w:rPr>
        <w:t xml:space="preserve"> </w:t>
      </w:r>
      <w:r>
        <w:rPr>
          <w:spacing w:val="-4"/>
          <w:szCs w:val="16"/>
          <w:lang w:val="es-GT"/>
        </w:rPr>
        <w:tab/>
      </w:r>
      <w:r w:rsidRPr="00755889">
        <w:rPr>
          <w:i/>
          <w:spacing w:val="-4"/>
          <w:szCs w:val="16"/>
          <w:lang w:val="es-PR"/>
        </w:rPr>
        <w:t>Caso</w:t>
      </w:r>
      <w:r w:rsidRPr="008D2D9F">
        <w:rPr>
          <w:spacing w:val="-4"/>
          <w:szCs w:val="16"/>
          <w:lang w:val="es-PR"/>
        </w:rPr>
        <w:t xml:space="preserve"> </w:t>
      </w:r>
      <w:r w:rsidRPr="0023362E">
        <w:rPr>
          <w:i/>
          <w:spacing w:val="-4"/>
          <w:szCs w:val="16"/>
          <w:lang w:val="es-PR"/>
        </w:rPr>
        <w:t>Chaparro Álvarez y Lapo Íñiguez Vs. Ecuador</w:t>
      </w:r>
      <w:r w:rsidRPr="0023362E">
        <w:rPr>
          <w:spacing w:val="-4"/>
          <w:szCs w:val="16"/>
          <w:lang w:val="es-ES"/>
        </w:rPr>
        <w:t>,</w:t>
      </w:r>
      <w:r w:rsidRPr="0023362E">
        <w:rPr>
          <w:spacing w:val="-4"/>
          <w:szCs w:val="16"/>
          <w:lang w:val="es-GT"/>
        </w:rPr>
        <w:t xml:space="preserve"> párr. </w:t>
      </w:r>
      <w:r w:rsidRPr="000E4761">
        <w:rPr>
          <w:spacing w:val="-4"/>
          <w:szCs w:val="16"/>
          <w:lang w:val="es-CR"/>
        </w:rPr>
        <w:t>57, y</w:t>
      </w:r>
      <w:r w:rsidRPr="000E4761">
        <w:rPr>
          <w:i/>
          <w:spacing w:val="-4"/>
          <w:szCs w:val="16"/>
          <w:lang w:val="es-CR"/>
        </w:rPr>
        <w:t xml:space="preserve"> </w:t>
      </w:r>
      <w:r w:rsidRPr="000E4761">
        <w:rPr>
          <w:rStyle w:val="Strong"/>
          <w:rFonts w:eastAsia="Calibri"/>
          <w:b w:val="0"/>
          <w:i/>
          <w:spacing w:val="-4"/>
          <w:szCs w:val="16"/>
          <w:shd w:val="clear" w:color="auto" w:fill="FFFFFF"/>
          <w:lang w:val="es-CR"/>
        </w:rPr>
        <w:t xml:space="preserve">Caso Wong Ho </w:t>
      </w:r>
      <w:proofErr w:type="spellStart"/>
      <w:r w:rsidRPr="000E4761">
        <w:rPr>
          <w:rStyle w:val="Strong"/>
          <w:rFonts w:eastAsia="Calibri"/>
          <w:b w:val="0"/>
          <w:i/>
          <w:spacing w:val="-4"/>
          <w:szCs w:val="16"/>
          <w:shd w:val="clear" w:color="auto" w:fill="FFFFFF"/>
          <w:lang w:val="es-CR"/>
        </w:rPr>
        <w:t>Wing</w:t>
      </w:r>
      <w:proofErr w:type="spellEnd"/>
      <w:r w:rsidRPr="000E4761">
        <w:rPr>
          <w:rStyle w:val="Strong"/>
          <w:rFonts w:eastAsia="Calibri"/>
          <w:b w:val="0"/>
          <w:i/>
          <w:spacing w:val="-4"/>
          <w:szCs w:val="16"/>
          <w:shd w:val="clear" w:color="auto" w:fill="FFFFFF"/>
          <w:lang w:val="es-CR"/>
        </w:rPr>
        <w:t xml:space="preserve"> Vs. </w:t>
      </w:r>
      <w:r w:rsidRPr="0023362E">
        <w:rPr>
          <w:rStyle w:val="Strong"/>
          <w:rFonts w:eastAsia="Calibri"/>
          <w:b w:val="0"/>
          <w:i/>
          <w:spacing w:val="-4"/>
          <w:szCs w:val="16"/>
          <w:shd w:val="clear" w:color="auto" w:fill="FFFFFF"/>
        </w:rPr>
        <w:t>Perú</w:t>
      </w:r>
      <w:r w:rsidRPr="0023362E">
        <w:rPr>
          <w:rStyle w:val="Strong"/>
          <w:rFonts w:eastAsia="Calibri"/>
          <w:b w:val="0"/>
          <w:spacing w:val="-4"/>
          <w:szCs w:val="16"/>
          <w:shd w:val="clear" w:color="auto" w:fill="FFFFFF"/>
        </w:rPr>
        <w:t>,</w:t>
      </w:r>
      <w:r w:rsidRPr="0023362E">
        <w:rPr>
          <w:rStyle w:val="Strong"/>
          <w:rFonts w:eastAsia="Calibri"/>
          <w:i/>
          <w:spacing w:val="-4"/>
          <w:szCs w:val="16"/>
          <w:shd w:val="clear" w:color="auto" w:fill="FFFFFF"/>
        </w:rPr>
        <w:t xml:space="preserve"> </w:t>
      </w:r>
      <w:r w:rsidRPr="0023362E">
        <w:rPr>
          <w:spacing w:val="-4"/>
          <w:szCs w:val="16"/>
          <w:lang w:val="es-GT"/>
        </w:rPr>
        <w:t>párr. 237.</w:t>
      </w:r>
    </w:p>
  </w:footnote>
  <w:footnote w:id="174">
    <w:p w:rsidR="00E65148" w:rsidRPr="0023362E" w:rsidRDefault="00E65148" w:rsidP="00E54423">
      <w:pPr>
        <w:rPr>
          <w:sz w:val="16"/>
          <w:szCs w:val="16"/>
        </w:rPr>
      </w:pPr>
      <w:r w:rsidRPr="0023362E">
        <w:rPr>
          <w:rStyle w:val="FootnoteReference"/>
          <w:sz w:val="16"/>
          <w:szCs w:val="16"/>
        </w:rPr>
        <w:footnoteRef/>
      </w:r>
      <w:r>
        <w:rPr>
          <w:sz w:val="16"/>
          <w:szCs w:val="16"/>
        </w:rPr>
        <w:t xml:space="preserve"> </w:t>
      </w:r>
      <w:r>
        <w:rPr>
          <w:sz w:val="16"/>
          <w:szCs w:val="16"/>
        </w:rPr>
        <w:tab/>
      </w:r>
      <w:r w:rsidRPr="0023362E">
        <w:rPr>
          <w:sz w:val="16"/>
          <w:szCs w:val="16"/>
        </w:rPr>
        <w:t>E</w:t>
      </w:r>
      <w:r w:rsidRPr="0023362E">
        <w:rPr>
          <w:iCs/>
          <w:sz w:val="16"/>
          <w:szCs w:val="16"/>
        </w:rPr>
        <w:t xml:space="preserve">l Decreto </w:t>
      </w:r>
      <w:r>
        <w:rPr>
          <w:iCs/>
          <w:sz w:val="16"/>
          <w:szCs w:val="16"/>
        </w:rPr>
        <w:t>Ley No. 25475 dispuso en su artículo 12.</w:t>
      </w:r>
      <w:r w:rsidRPr="0023362E">
        <w:rPr>
          <w:iCs/>
          <w:sz w:val="16"/>
          <w:szCs w:val="16"/>
        </w:rPr>
        <w:t>c) que una persona presuntamente implicada en el delito de terrorismo podía ser mantenida en detención preventiva por un plazo no mayor a 15 días naturales, debiéndose dar cuenta dentro de las 24 horas al Ministerio Público y al juez penal.</w:t>
      </w:r>
      <w:r w:rsidRPr="0023362E">
        <w:rPr>
          <w:b/>
          <w:iCs/>
          <w:sz w:val="16"/>
          <w:szCs w:val="16"/>
        </w:rPr>
        <w:t xml:space="preserve"> </w:t>
      </w:r>
      <w:r w:rsidRPr="0023362E">
        <w:rPr>
          <w:iCs/>
          <w:sz w:val="16"/>
          <w:szCs w:val="16"/>
        </w:rPr>
        <w:t>El inciso a) de la misma norma mandaba que la “Policía Nacional del Perú […a</w:t>
      </w:r>
      <w:proofErr w:type="gramStart"/>
      <w:r w:rsidRPr="0023362E">
        <w:rPr>
          <w:iCs/>
          <w:sz w:val="16"/>
          <w:szCs w:val="16"/>
        </w:rPr>
        <w:t>]</w:t>
      </w:r>
      <w:r>
        <w:rPr>
          <w:rFonts w:eastAsiaTheme="minorHAnsi"/>
          <w:color w:val="000000"/>
          <w:sz w:val="16"/>
          <w:szCs w:val="16"/>
          <w:lang w:val="es-CR"/>
        </w:rPr>
        <w:t>sum</w:t>
      </w:r>
      <w:proofErr w:type="gramEnd"/>
      <w:r>
        <w:rPr>
          <w:rFonts w:eastAsiaTheme="minorHAnsi"/>
          <w:color w:val="000000"/>
          <w:sz w:val="16"/>
          <w:szCs w:val="16"/>
          <w:lang w:val="es-CR"/>
        </w:rPr>
        <w:t>[a]</w:t>
      </w:r>
      <w:r w:rsidRPr="0023362E">
        <w:rPr>
          <w:rFonts w:eastAsiaTheme="minorHAnsi"/>
          <w:color w:val="000000"/>
          <w:sz w:val="16"/>
          <w:szCs w:val="16"/>
          <w:lang w:val="es-CR"/>
        </w:rPr>
        <w:t xml:space="preserve"> la investigación policial de los delitos de terrorismo a nivel nacional, disponiendo que su personal intervenga sin ninguna restricción que estuviere prevista en sus reglamentos institucionales. En los lugares que no exista dependencia de la Policía Nacional del Perú, la captura y detención de los implicados en estos delitos corresponderá a las Fuerzas Armadas, quienes los pondrán de inmediato a disposición de la dependencia policial más cercana para las investigaciones a que hubiere lugar”. </w:t>
      </w:r>
    </w:p>
  </w:footnote>
  <w:footnote w:id="175">
    <w:p w:rsidR="00E65148" w:rsidRPr="0023362E" w:rsidRDefault="00E65148" w:rsidP="00E54423">
      <w:pPr>
        <w:pStyle w:val="ListParagraph"/>
        <w:ind w:left="0"/>
        <w:contextualSpacing/>
        <w:jc w:val="both"/>
        <w:rPr>
          <w:sz w:val="16"/>
          <w:szCs w:val="16"/>
        </w:rPr>
      </w:pPr>
      <w:r w:rsidRPr="0023362E">
        <w:rPr>
          <w:rStyle w:val="FootnoteReference"/>
          <w:rFonts w:eastAsia="Calibri"/>
          <w:sz w:val="16"/>
          <w:szCs w:val="16"/>
        </w:rPr>
        <w:footnoteRef/>
      </w:r>
      <w:r w:rsidRPr="0023362E">
        <w:rPr>
          <w:sz w:val="16"/>
          <w:szCs w:val="16"/>
        </w:rPr>
        <w:t xml:space="preserve"> </w:t>
      </w:r>
      <w:r w:rsidRPr="0023362E">
        <w:rPr>
          <w:sz w:val="16"/>
          <w:szCs w:val="16"/>
        </w:rPr>
        <w:tab/>
        <w:t>E</w:t>
      </w:r>
      <w:r w:rsidRPr="0023362E">
        <w:rPr>
          <w:iCs/>
          <w:sz w:val="16"/>
          <w:szCs w:val="16"/>
        </w:rPr>
        <w:t xml:space="preserve">l artículo 191 de la Ley Orgánica del Poder Judicial indicaba que “[l]os magistrados comprendidos en la carrera judicial, sólo pueden ser detenidos por orden del juez competente o en caso de flagrante delito si la ley lo determina. En este último supuesto debe ser conducido de inmediato a la Fiscalía competente, con conocimiento del Presidente de la Corte respectiva, por la vía más rápida y bajo responsabilidad”. </w:t>
      </w:r>
    </w:p>
  </w:footnote>
  <w:footnote w:id="176">
    <w:p w:rsidR="00E65148" w:rsidRPr="0023362E" w:rsidRDefault="00E65148" w:rsidP="00E54423">
      <w:pPr>
        <w:pStyle w:val="FootnoteText"/>
        <w:rPr>
          <w:szCs w:val="16"/>
        </w:rPr>
      </w:pPr>
      <w:r w:rsidRPr="0023362E">
        <w:rPr>
          <w:rStyle w:val="FootnoteReference"/>
          <w:rFonts w:eastAsia="Calibri"/>
          <w:szCs w:val="16"/>
        </w:rPr>
        <w:footnoteRef/>
      </w:r>
      <w:r w:rsidRPr="0023362E">
        <w:rPr>
          <w:szCs w:val="16"/>
        </w:rPr>
        <w:t xml:space="preserve"> </w:t>
      </w:r>
      <w:r w:rsidRPr="0023362E">
        <w:rPr>
          <w:szCs w:val="16"/>
        </w:rPr>
        <w:tab/>
        <w:t xml:space="preserve">La Corte nota que el Estado, en la audiencia pública, señaló que </w:t>
      </w:r>
      <w:r w:rsidRPr="0023362E">
        <w:rPr>
          <w:szCs w:val="16"/>
          <w:lang w:val="es-ES"/>
        </w:rPr>
        <w:t>la Corte no debería revisar el “marco normativo” de la Ley de Arrepentimiento. Ello pues, a entender de Perú, “los fundamentos jurídicos” aducidos por la Comisión sobre,</w:t>
      </w:r>
      <w:r w:rsidRPr="0023362E">
        <w:rPr>
          <w:i/>
          <w:szCs w:val="16"/>
          <w:lang w:val="es-ES"/>
        </w:rPr>
        <w:t xml:space="preserve"> inter</w:t>
      </w:r>
      <w:r>
        <w:rPr>
          <w:i/>
          <w:szCs w:val="16"/>
          <w:lang w:val="es-ES"/>
        </w:rPr>
        <w:t xml:space="preserve"> </w:t>
      </w:r>
      <w:proofErr w:type="spellStart"/>
      <w:r w:rsidRPr="0023362E">
        <w:rPr>
          <w:i/>
          <w:szCs w:val="16"/>
          <w:lang w:val="es-ES"/>
        </w:rPr>
        <w:t>alia</w:t>
      </w:r>
      <w:proofErr w:type="spellEnd"/>
      <w:r w:rsidRPr="0023362E">
        <w:rPr>
          <w:i/>
          <w:szCs w:val="16"/>
          <w:lang w:val="es-ES"/>
        </w:rPr>
        <w:t xml:space="preserve">, </w:t>
      </w:r>
      <w:r w:rsidRPr="0023362E">
        <w:rPr>
          <w:szCs w:val="16"/>
          <w:lang w:val="es-ES"/>
        </w:rPr>
        <w:t>la presunta violación del derecho a la libertad personal “se puede[n] analizar perfectamente sin hacer [tal revisión]”. Si bien, este Tribunal no realiza, en el marco del examen de la observancia o incumplimiento del artículo 7.2 de la Convención, un análisis del texto de la Ley de Arrepentimiento, o de su concordancia con la Convención Americana. No obstante, frente al señalamiento de la Comisión y el representante de que el señor Galindo fue privado de su libertad en forma ilegal, el propio Estado esgrimió en su defensa que la legalidad de lo sucedido tiene base en la normativa de emergencia y en la Ley</w:t>
      </w:r>
      <w:r>
        <w:rPr>
          <w:szCs w:val="16"/>
          <w:lang w:val="es-ES"/>
        </w:rPr>
        <w:t xml:space="preserve"> de Arrepentimiento y su r</w:t>
      </w:r>
      <w:r w:rsidRPr="0023362E">
        <w:rPr>
          <w:szCs w:val="16"/>
          <w:lang w:val="es-ES"/>
        </w:rPr>
        <w:t xml:space="preserve">eglamento. Esto obliga a la Corte a tomar en cuenta esas normas, pues es imprescindible a fin de verificar o descartar el argumento estatal. </w:t>
      </w:r>
    </w:p>
  </w:footnote>
  <w:footnote w:id="177">
    <w:p w:rsidR="00E65148" w:rsidRPr="0023362E" w:rsidRDefault="00E65148" w:rsidP="00E54423">
      <w:pPr>
        <w:pStyle w:val="FootnoteText"/>
        <w:rPr>
          <w:szCs w:val="16"/>
          <w:lang w:val="es-CR"/>
        </w:rPr>
      </w:pPr>
      <w:r w:rsidRPr="0023362E">
        <w:rPr>
          <w:rStyle w:val="FootnoteReference"/>
          <w:rFonts w:eastAsia="Calibri"/>
          <w:szCs w:val="16"/>
        </w:rPr>
        <w:footnoteRef/>
      </w:r>
      <w:r w:rsidRPr="0023362E">
        <w:rPr>
          <w:szCs w:val="16"/>
          <w:lang w:val="es-CR"/>
        </w:rPr>
        <w:t xml:space="preserve"> </w:t>
      </w:r>
      <w:r w:rsidRPr="0023362E">
        <w:rPr>
          <w:szCs w:val="16"/>
          <w:lang w:val="es-CR"/>
        </w:rPr>
        <w:tab/>
        <w:t xml:space="preserve">La Ley 24150, expedida el 6 de junio de 1985 “establece normas que deben cumplirse en los Estados de Excepción en que las fuerzas armadas asumen el control del orden interno, en todo o en parte del territorio”. En su artículo 4 manda: “El control del orden interno en las zonas de emergencia es asumido por un Comando Político Militar que está a cargo de un Oficial de Alto Rango designado por el Presidente de la República, a propuesta del Comando Conjunto de las Fuerzas Armadas, quien desempeña las funciones inherentes al cargo que establece la presente ley en el ámbito de su jurisdicción, de acuerdo con las directivas y planes de emergencia aprobados por el Presidente de la República”. El artículo 5 establece las “atribuciones del Comando Político Militar”. </w:t>
      </w:r>
    </w:p>
  </w:footnote>
  <w:footnote w:id="178">
    <w:p w:rsidR="00E65148" w:rsidRPr="0023362E" w:rsidRDefault="00E65148" w:rsidP="00E54423">
      <w:pPr>
        <w:pStyle w:val="FootnoteText"/>
        <w:tabs>
          <w:tab w:val="left" w:pos="567"/>
        </w:tabs>
        <w:contextualSpacing/>
        <w:rPr>
          <w:spacing w:val="-4"/>
          <w:szCs w:val="16"/>
          <w:lang w:val="es-GT"/>
        </w:rPr>
      </w:pPr>
      <w:r w:rsidRPr="0023362E">
        <w:rPr>
          <w:rStyle w:val="FootnoteReference"/>
          <w:rFonts w:eastAsiaTheme="majorEastAsia"/>
          <w:spacing w:val="-4"/>
          <w:szCs w:val="16"/>
        </w:rPr>
        <w:footnoteRef/>
      </w:r>
      <w:r w:rsidRPr="0023362E">
        <w:rPr>
          <w:spacing w:val="-4"/>
          <w:szCs w:val="16"/>
          <w:lang w:val="es-GT"/>
        </w:rPr>
        <w:t xml:space="preserve"> </w:t>
      </w:r>
      <w:r w:rsidRPr="0023362E">
        <w:rPr>
          <w:spacing w:val="-4"/>
          <w:szCs w:val="16"/>
          <w:lang w:val="es-GT"/>
        </w:rPr>
        <w:tab/>
        <w:t>El artículo 27 de la Convención, sobre suspensión de garantías, establece que: “1. En caso de guerra, de peligro público o de otra emergencia que amenace la independencia o seguridad del Estado parte, éste podrá adoptar disposiciones que, en la medida y por el tiempo estrictamente limitados a las exigencias de la situación, suspendan las obligaciones contraídas en virtud de esta Convención, siempre que tales disposiciones no sean incompatibles con las demás obligaciones que les impone el derecho internacional y no entrañen discriminación alguna fundada en motivos de raza, color, sexo, idioma, religión u origen social. 2. La disposición precedente no autoriza la suspensión de los derechos determinados en los siguientes artículos: 3 (Derecho al Reconocimiento de la Personalidad Jurídica); 4 (Derecho a la Vida); 5 (Derecho a la Integridad Personal); 6 (Prohibición de la Esclavitud y Servidumbre); 9 (Principio de Legalidad y de Retroactividad); 12 (Libertad de Conciencia y de Religión); 17 (Protección a la Familia); 18 (Derecho al Nombre); 19 (Derechos del Niño); 20 (Derecho a la Nacionalidad), y 23 (Derechos Políticos), ni de las garantías judiciales indispensables para la protección de tales derechos. 3. Todo Estado parte que haga uso del derecho de suspensión deberá informar inmediatamente a los demás Estados Partes en la presente Convención, por conducto del Secretario General de la Organización de los Estados Americanos, de las disposiciones cuya aplicación haya suspendido, de los motivos que hayan suscitado la suspensión y de la fecha en que haya dado por terminada tal suspensión”.</w:t>
      </w:r>
    </w:p>
  </w:footnote>
  <w:footnote w:id="179">
    <w:p w:rsidR="00E65148" w:rsidRPr="0023362E" w:rsidRDefault="00E65148" w:rsidP="00E54423">
      <w:pPr>
        <w:pStyle w:val="FootnoteText"/>
        <w:rPr>
          <w:szCs w:val="16"/>
        </w:rPr>
      </w:pPr>
      <w:r w:rsidRPr="0023362E">
        <w:rPr>
          <w:rStyle w:val="FootnoteReference"/>
          <w:rFonts w:eastAsia="Calibri"/>
          <w:szCs w:val="16"/>
        </w:rPr>
        <w:footnoteRef/>
      </w:r>
      <w:r w:rsidRPr="0023362E">
        <w:rPr>
          <w:szCs w:val="16"/>
        </w:rPr>
        <w:t xml:space="preserve"> </w:t>
      </w:r>
      <w:r w:rsidRPr="0023362E">
        <w:rPr>
          <w:szCs w:val="16"/>
        </w:rPr>
        <w:tab/>
      </w:r>
      <w:r w:rsidRPr="00CF4A86">
        <w:rPr>
          <w:bCs/>
          <w:i/>
          <w:iCs/>
          <w:szCs w:val="16"/>
          <w:lang w:val="es-ES"/>
        </w:rPr>
        <w:t>Caso</w:t>
      </w:r>
      <w:r w:rsidRPr="0023362E">
        <w:rPr>
          <w:bCs/>
          <w:i/>
          <w:iCs/>
          <w:szCs w:val="16"/>
          <w:lang w:val="es-ES"/>
        </w:rPr>
        <w:t xml:space="preserve"> </w:t>
      </w:r>
      <w:r w:rsidRPr="0023362E">
        <w:rPr>
          <w:rStyle w:val="Strong"/>
          <w:rFonts w:eastAsia="Calibri"/>
          <w:b w:val="0"/>
          <w:i/>
          <w:spacing w:val="-4"/>
          <w:szCs w:val="16"/>
          <w:shd w:val="clear" w:color="auto" w:fill="FFFFFF"/>
        </w:rPr>
        <w:t>El Hábeas Corpus Bajo Suspensión de Garantías</w:t>
      </w:r>
      <w:r w:rsidRPr="0023362E">
        <w:rPr>
          <w:rStyle w:val="Strong"/>
          <w:rFonts w:eastAsia="Calibri"/>
          <w:b w:val="0"/>
          <w:spacing w:val="-4"/>
          <w:szCs w:val="16"/>
          <w:shd w:val="clear" w:color="auto" w:fill="FFFFFF"/>
        </w:rPr>
        <w:t xml:space="preserve">, párr. 19, </w:t>
      </w:r>
      <w:r w:rsidRPr="00471C59">
        <w:rPr>
          <w:rStyle w:val="Strong"/>
          <w:rFonts w:eastAsia="Calibri"/>
          <w:b w:val="0"/>
          <w:spacing w:val="-4"/>
          <w:szCs w:val="16"/>
          <w:shd w:val="clear" w:color="auto" w:fill="FFFFFF"/>
        </w:rPr>
        <w:t xml:space="preserve">y </w:t>
      </w:r>
      <w:r w:rsidRPr="00CF4A86">
        <w:rPr>
          <w:rStyle w:val="Strong"/>
          <w:rFonts w:eastAsia="Calibri"/>
          <w:b w:val="0"/>
          <w:i/>
          <w:spacing w:val="-4"/>
          <w:szCs w:val="16"/>
          <w:shd w:val="clear" w:color="auto" w:fill="FFFFFF"/>
        </w:rPr>
        <w:t>Caso</w:t>
      </w:r>
      <w:r w:rsidRPr="0023362E">
        <w:rPr>
          <w:rStyle w:val="Strong"/>
          <w:rFonts w:eastAsia="Calibri"/>
          <w:b w:val="0"/>
          <w:i/>
          <w:spacing w:val="-4"/>
          <w:szCs w:val="16"/>
          <w:shd w:val="clear" w:color="auto" w:fill="FFFFFF"/>
        </w:rPr>
        <w:t xml:space="preserve"> </w:t>
      </w:r>
      <w:r w:rsidRPr="0023362E">
        <w:rPr>
          <w:bCs/>
          <w:i/>
          <w:iCs/>
          <w:szCs w:val="16"/>
          <w:lang w:val="es-ES"/>
        </w:rPr>
        <w:t>Espinoza Gonzáles Vs. Perú</w:t>
      </w:r>
      <w:r w:rsidRPr="0023362E">
        <w:rPr>
          <w:bCs/>
          <w:iCs/>
          <w:szCs w:val="16"/>
          <w:lang w:val="es-ES"/>
        </w:rPr>
        <w:t>, párr. 117.</w:t>
      </w:r>
    </w:p>
  </w:footnote>
  <w:footnote w:id="180">
    <w:p w:rsidR="00E65148" w:rsidRPr="0023362E" w:rsidRDefault="00E65148" w:rsidP="00E54423">
      <w:pPr>
        <w:pStyle w:val="FootnoteText"/>
        <w:tabs>
          <w:tab w:val="left" w:pos="567"/>
        </w:tabs>
        <w:contextualSpacing/>
        <w:rPr>
          <w:spacing w:val="-4"/>
          <w:szCs w:val="16"/>
          <w:lang w:val="es-GT"/>
        </w:rPr>
      </w:pPr>
      <w:r w:rsidRPr="0023362E">
        <w:rPr>
          <w:rStyle w:val="FootnoteReference"/>
          <w:rFonts w:eastAsiaTheme="majorEastAsia"/>
          <w:spacing w:val="-4"/>
          <w:szCs w:val="16"/>
        </w:rPr>
        <w:footnoteRef/>
      </w:r>
      <w:r w:rsidRPr="0023362E">
        <w:rPr>
          <w:spacing w:val="-4"/>
          <w:szCs w:val="16"/>
          <w:lang w:val="es-GT"/>
        </w:rPr>
        <w:t xml:space="preserve"> </w:t>
      </w:r>
      <w:r w:rsidRPr="0023362E">
        <w:rPr>
          <w:spacing w:val="-4"/>
          <w:szCs w:val="16"/>
          <w:lang w:val="es-GT"/>
        </w:rPr>
        <w:tab/>
      </w:r>
      <w:r>
        <w:rPr>
          <w:i/>
          <w:spacing w:val="-4"/>
          <w:szCs w:val="16"/>
          <w:lang w:val="es-GT"/>
        </w:rPr>
        <w:t xml:space="preserve">Caso </w:t>
      </w:r>
      <w:r w:rsidRPr="0023362E">
        <w:rPr>
          <w:i/>
          <w:spacing w:val="-4"/>
          <w:szCs w:val="16"/>
          <w:lang w:val="es-GT"/>
        </w:rPr>
        <w:t xml:space="preserve"> </w:t>
      </w:r>
      <w:r w:rsidRPr="0023362E">
        <w:rPr>
          <w:rStyle w:val="Strong"/>
          <w:rFonts w:eastAsia="Calibri"/>
          <w:b w:val="0"/>
          <w:i/>
          <w:spacing w:val="-4"/>
          <w:szCs w:val="16"/>
          <w:shd w:val="clear" w:color="auto" w:fill="FFFFFF"/>
        </w:rPr>
        <w:t>El Hábeas Corpus Bajo Suspensión de Garantías</w:t>
      </w:r>
      <w:r w:rsidRPr="0023362E">
        <w:rPr>
          <w:i/>
          <w:spacing w:val="-4"/>
          <w:szCs w:val="16"/>
          <w:lang w:val="es-GT"/>
        </w:rPr>
        <w:t xml:space="preserve">, </w:t>
      </w:r>
      <w:r w:rsidRPr="0023362E">
        <w:rPr>
          <w:spacing w:val="-4"/>
          <w:szCs w:val="16"/>
          <w:lang w:val="es-GT"/>
        </w:rPr>
        <w:t xml:space="preserve">párr. 24, </w:t>
      </w:r>
      <w:r w:rsidRPr="0023362E">
        <w:rPr>
          <w:bCs/>
          <w:iCs/>
          <w:szCs w:val="16"/>
          <w:lang w:val="es-ES"/>
        </w:rPr>
        <w:t xml:space="preserve">y </w:t>
      </w:r>
      <w:r w:rsidRPr="00E207A2">
        <w:rPr>
          <w:bCs/>
          <w:i/>
          <w:iCs/>
          <w:szCs w:val="16"/>
          <w:lang w:val="es-ES"/>
        </w:rPr>
        <w:t>Caso</w:t>
      </w:r>
      <w:r w:rsidRPr="0023362E">
        <w:rPr>
          <w:bCs/>
          <w:i/>
          <w:iCs/>
          <w:szCs w:val="16"/>
          <w:lang w:val="es-ES"/>
        </w:rPr>
        <w:t xml:space="preserve"> Espinoza Gonzáles Vs. Perú</w:t>
      </w:r>
      <w:r w:rsidRPr="0023362E">
        <w:rPr>
          <w:bCs/>
          <w:iCs/>
          <w:szCs w:val="16"/>
          <w:lang w:val="es-ES"/>
        </w:rPr>
        <w:t>, párr. 120</w:t>
      </w:r>
      <w:r w:rsidRPr="0023362E">
        <w:rPr>
          <w:spacing w:val="-4"/>
          <w:szCs w:val="16"/>
          <w:lang w:val="es-GT"/>
        </w:rPr>
        <w:t xml:space="preserve">. </w:t>
      </w:r>
    </w:p>
  </w:footnote>
  <w:footnote w:id="181">
    <w:p w:rsidR="00E65148" w:rsidRPr="0023362E" w:rsidRDefault="00E65148" w:rsidP="00E54423">
      <w:pPr>
        <w:pStyle w:val="FootnoteText"/>
        <w:rPr>
          <w:szCs w:val="16"/>
        </w:rPr>
      </w:pPr>
      <w:r w:rsidRPr="0023362E">
        <w:rPr>
          <w:rStyle w:val="FootnoteReference"/>
          <w:rFonts w:eastAsia="Calibri"/>
          <w:szCs w:val="16"/>
        </w:rPr>
        <w:footnoteRef/>
      </w:r>
      <w:r w:rsidRPr="0023362E">
        <w:rPr>
          <w:szCs w:val="16"/>
        </w:rPr>
        <w:t xml:space="preserve"> </w:t>
      </w:r>
      <w:r w:rsidRPr="0023362E">
        <w:rPr>
          <w:szCs w:val="16"/>
        </w:rPr>
        <w:tab/>
      </w:r>
      <w:r w:rsidRPr="00E207A2">
        <w:rPr>
          <w:bCs/>
          <w:i/>
          <w:iCs/>
          <w:szCs w:val="16"/>
          <w:lang w:val="es-ES"/>
        </w:rPr>
        <w:t>Caso</w:t>
      </w:r>
      <w:r w:rsidRPr="0023362E">
        <w:rPr>
          <w:bCs/>
          <w:i/>
          <w:iCs/>
          <w:szCs w:val="16"/>
          <w:lang w:val="es-ES"/>
        </w:rPr>
        <w:t xml:space="preserve"> Espinoza Gonzáles Vs. Perú</w:t>
      </w:r>
      <w:r w:rsidRPr="0023362E">
        <w:rPr>
          <w:bCs/>
          <w:iCs/>
          <w:szCs w:val="16"/>
          <w:lang w:val="es-ES"/>
        </w:rPr>
        <w:t>, párr. 117.</w:t>
      </w:r>
    </w:p>
  </w:footnote>
  <w:footnote w:id="182">
    <w:p w:rsidR="00E65148" w:rsidRPr="0023362E" w:rsidRDefault="00E65148" w:rsidP="00E54423">
      <w:pPr>
        <w:pStyle w:val="FootnoteText"/>
        <w:rPr>
          <w:szCs w:val="16"/>
          <w:lang w:val="es-CR"/>
        </w:rPr>
      </w:pPr>
      <w:r w:rsidRPr="0023362E">
        <w:rPr>
          <w:rStyle w:val="FootnoteReference"/>
          <w:rFonts w:eastAsia="Calibri"/>
          <w:szCs w:val="16"/>
        </w:rPr>
        <w:footnoteRef/>
      </w:r>
      <w:r w:rsidRPr="0023362E">
        <w:rPr>
          <w:szCs w:val="16"/>
        </w:rPr>
        <w:t xml:space="preserve"> </w:t>
      </w:r>
      <w:r w:rsidRPr="0023362E">
        <w:rPr>
          <w:szCs w:val="16"/>
        </w:rPr>
        <w:tab/>
        <w:t xml:space="preserve">Ni las partes ni la Comisión, en sus alegatos y consideraciones, se refirieron al registro de la privación de libertad como causa de la ilegalidad de la misma. No obstante, no consta que la privación de libertad del señor Galindo fuera registrada, y tal omisión ha sido confirmada por el propio Estado. Tal omisión es una circunstancia que coadyuva a la explicación de hechos señalados en el Informe de Fondo, pues resulta pertinente para la comprensión de que dichos hechos den cuenta de diversas versiones sobre la duración de la privación de libertad del señor Galindo. Por ello, tal omisión debe ser considerada parte del marco fáctico del caso. Siendo así, la Corte puede analizar la misma, con base en el principio de </w:t>
      </w:r>
      <w:proofErr w:type="spellStart"/>
      <w:r w:rsidRPr="0023362E">
        <w:rPr>
          <w:i/>
          <w:szCs w:val="16"/>
        </w:rPr>
        <w:t>iura</w:t>
      </w:r>
      <w:proofErr w:type="spellEnd"/>
      <w:r w:rsidRPr="0023362E">
        <w:rPr>
          <w:i/>
          <w:szCs w:val="16"/>
        </w:rPr>
        <w:t xml:space="preserve"> </w:t>
      </w:r>
      <w:proofErr w:type="spellStart"/>
      <w:r w:rsidRPr="0023362E">
        <w:rPr>
          <w:i/>
          <w:szCs w:val="16"/>
        </w:rPr>
        <w:t>novit</w:t>
      </w:r>
      <w:proofErr w:type="spellEnd"/>
      <w:r w:rsidRPr="0023362E">
        <w:rPr>
          <w:i/>
          <w:szCs w:val="16"/>
        </w:rPr>
        <w:t xml:space="preserve"> curia</w:t>
      </w:r>
      <w:r w:rsidRPr="0023362E">
        <w:rPr>
          <w:szCs w:val="16"/>
        </w:rPr>
        <w:t>. Este Tribunal ha dicho que ese principio “</w:t>
      </w:r>
      <w:r w:rsidRPr="0023362E">
        <w:rPr>
          <w:szCs w:val="16"/>
          <w:lang w:val="es-CR"/>
        </w:rPr>
        <w:t>se encuentra sólidamente respaldado en la jurisprudencia internacional [y] permite estudiar la posible violación de las normas de la Convención que no han sido alegadas en los escritos presentados por las partes, siempre y cuando éstas hayan tenido la oportunidad de expresar sus respectivas posiciones en relación con los hechos que las sustentan. En este sentido, la Corte ha utilizado dicho principio, desde su primera sentencia y en diversas oportunidades, para declarar la vulneración de derechos que no habían sido directamente alegados por las partes, pero que se desprendían del análisis de los hechos bajo controversia, por cuanto dicho principio autoriza a este Tribunal, siempre y cuando se respete el marco fáctico de la causa, a calificar la situación o relación jurídica en conflicto de manera distinta a como lo hicieran las partes”.</w:t>
      </w:r>
      <w:r w:rsidRPr="00857FD2">
        <w:rPr>
          <w:szCs w:val="16"/>
          <w:lang w:val="es-CR"/>
        </w:rPr>
        <w:t xml:space="preserve"> </w:t>
      </w:r>
      <w:r w:rsidRPr="0023362E">
        <w:rPr>
          <w:szCs w:val="16"/>
          <w:lang w:val="es-CR"/>
        </w:rPr>
        <w:t>(</w:t>
      </w:r>
      <w:r w:rsidRPr="00E207A2">
        <w:rPr>
          <w:rStyle w:val="Strong"/>
          <w:rFonts w:eastAsia="Calibri"/>
          <w:b w:val="0"/>
          <w:i/>
          <w:szCs w:val="16"/>
        </w:rPr>
        <w:t>Caso</w:t>
      </w:r>
      <w:r>
        <w:rPr>
          <w:rStyle w:val="Strong"/>
          <w:rFonts w:eastAsia="Calibri"/>
          <w:b w:val="0"/>
          <w:i/>
          <w:szCs w:val="16"/>
        </w:rPr>
        <w:t xml:space="preserve"> de Personas D</w:t>
      </w:r>
      <w:r w:rsidRPr="0023362E">
        <w:rPr>
          <w:rStyle w:val="Strong"/>
          <w:rFonts w:eastAsia="Calibri"/>
          <w:b w:val="0"/>
          <w:i/>
          <w:szCs w:val="16"/>
        </w:rPr>
        <w:t xml:space="preserve">ominicanas </w:t>
      </w:r>
      <w:r>
        <w:rPr>
          <w:rStyle w:val="Strong"/>
          <w:rFonts w:eastAsia="Calibri"/>
          <w:b w:val="0"/>
          <w:i/>
          <w:szCs w:val="16"/>
        </w:rPr>
        <w:t>y Haitianas E</w:t>
      </w:r>
      <w:r w:rsidRPr="0023362E">
        <w:rPr>
          <w:rStyle w:val="Strong"/>
          <w:rFonts w:eastAsia="Calibri"/>
          <w:b w:val="0"/>
          <w:i/>
          <w:szCs w:val="16"/>
        </w:rPr>
        <w:t>xpulsadas Vs. República Dominicana</w:t>
      </w:r>
      <w:r w:rsidRPr="0023362E">
        <w:rPr>
          <w:rStyle w:val="Strong"/>
          <w:rFonts w:eastAsia="Calibri"/>
          <w:b w:val="0"/>
          <w:szCs w:val="16"/>
        </w:rPr>
        <w:t>, párr. 305. En dicha oportunidad, la Corte citó, entre otros, los siguientes antecedentes de su jurisprudencia:</w:t>
      </w:r>
      <w:r w:rsidRPr="0023362E">
        <w:rPr>
          <w:szCs w:val="16"/>
        </w:rPr>
        <w:t xml:space="preserve"> </w:t>
      </w:r>
      <w:r w:rsidRPr="00471C59">
        <w:rPr>
          <w:i/>
          <w:iCs/>
          <w:szCs w:val="16"/>
        </w:rPr>
        <w:t>Caso</w:t>
      </w:r>
      <w:r w:rsidRPr="0023362E">
        <w:rPr>
          <w:i/>
          <w:iCs/>
          <w:szCs w:val="16"/>
        </w:rPr>
        <w:t xml:space="preserve"> Velásquez Rodríguez Vs. Honduras. Fondo</w:t>
      </w:r>
      <w:r w:rsidRPr="0023362E">
        <w:rPr>
          <w:iCs/>
          <w:szCs w:val="16"/>
        </w:rPr>
        <w:t xml:space="preserve">, </w:t>
      </w:r>
      <w:r w:rsidRPr="0023362E">
        <w:rPr>
          <w:szCs w:val="16"/>
        </w:rPr>
        <w:t xml:space="preserve">párr. 163, y </w:t>
      </w:r>
      <w:r w:rsidRPr="00E207A2">
        <w:rPr>
          <w:i/>
          <w:iCs/>
          <w:szCs w:val="16"/>
        </w:rPr>
        <w:t>Caso</w:t>
      </w:r>
      <w:r w:rsidRPr="0023362E">
        <w:rPr>
          <w:i/>
          <w:iCs/>
          <w:szCs w:val="16"/>
        </w:rPr>
        <w:t xml:space="preserve"> Bueno Alves Vs. Argentina. Fondo, Reparaciones y Costas. </w:t>
      </w:r>
      <w:r w:rsidRPr="0023362E">
        <w:rPr>
          <w:szCs w:val="16"/>
        </w:rPr>
        <w:t xml:space="preserve">Sentencia de 11 de mayo de </w:t>
      </w:r>
      <w:r>
        <w:rPr>
          <w:szCs w:val="16"/>
        </w:rPr>
        <w:t>2007. Serie C No. 164, párr. 70).</w:t>
      </w:r>
      <w:r w:rsidRPr="0023362E">
        <w:rPr>
          <w:b/>
          <w:szCs w:val="16"/>
          <w:lang w:val="es-CR"/>
        </w:rPr>
        <w:t xml:space="preserve"> </w:t>
      </w:r>
    </w:p>
  </w:footnote>
  <w:footnote w:id="183">
    <w:p w:rsidR="00E65148" w:rsidRPr="0023362E" w:rsidRDefault="00E65148" w:rsidP="00E54423">
      <w:pPr>
        <w:pStyle w:val="FootnoteText"/>
        <w:tabs>
          <w:tab w:val="left" w:pos="567"/>
        </w:tabs>
        <w:contextualSpacing/>
        <w:rPr>
          <w:b/>
          <w:spacing w:val="-4"/>
          <w:szCs w:val="16"/>
          <w:lang w:val="es-GT"/>
        </w:rPr>
      </w:pPr>
      <w:r w:rsidRPr="0023362E">
        <w:rPr>
          <w:rStyle w:val="FootnoteReference"/>
          <w:rFonts w:eastAsiaTheme="majorEastAsia"/>
          <w:spacing w:val="-4"/>
          <w:szCs w:val="16"/>
        </w:rPr>
        <w:footnoteRef/>
      </w:r>
      <w:r w:rsidRPr="0023362E">
        <w:rPr>
          <w:spacing w:val="-4"/>
          <w:szCs w:val="16"/>
          <w:lang w:val="es-GT"/>
        </w:rPr>
        <w:t xml:space="preserve"> </w:t>
      </w:r>
      <w:r w:rsidRPr="0023362E">
        <w:rPr>
          <w:spacing w:val="-4"/>
          <w:szCs w:val="16"/>
          <w:lang w:val="es-GT"/>
        </w:rPr>
        <w:tab/>
      </w:r>
      <w:r w:rsidRPr="0023362E">
        <w:rPr>
          <w:i/>
          <w:spacing w:val="-4"/>
          <w:szCs w:val="16"/>
          <w:lang w:val="es-GT"/>
        </w:rPr>
        <w:t>Cfr.</w:t>
      </w:r>
      <w:r w:rsidRPr="0023362E">
        <w:rPr>
          <w:spacing w:val="-4"/>
          <w:szCs w:val="16"/>
          <w:lang w:val="es-GT"/>
        </w:rPr>
        <w:t xml:space="preserve"> </w:t>
      </w:r>
      <w:r w:rsidRPr="00CF4A86">
        <w:rPr>
          <w:rStyle w:val="Strong"/>
          <w:rFonts w:eastAsia="Calibri"/>
          <w:b w:val="0"/>
          <w:i/>
          <w:color w:val="000000"/>
          <w:spacing w:val="-4"/>
          <w:szCs w:val="16"/>
          <w:shd w:val="clear" w:color="auto" w:fill="FFFFFF"/>
        </w:rPr>
        <w:t xml:space="preserve">Caso </w:t>
      </w:r>
      <w:r w:rsidRPr="0023362E">
        <w:rPr>
          <w:rStyle w:val="Strong"/>
          <w:rFonts w:eastAsia="Calibri"/>
          <w:b w:val="0"/>
          <w:i/>
          <w:color w:val="000000"/>
          <w:spacing w:val="-4"/>
          <w:szCs w:val="16"/>
          <w:shd w:val="clear" w:color="auto" w:fill="FFFFFF"/>
        </w:rPr>
        <w:t xml:space="preserve">Torres </w:t>
      </w:r>
      <w:proofErr w:type="spellStart"/>
      <w:r w:rsidRPr="0023362E">
        <w:rPr>
          <w:rStyle w:val="Strong"/>
          <w:rFonts w:eastAsia="Calibri"/>
          <w:b w:val="0"/>
          <w:i/>
          <w:color w:val="000000"/>
          <w:spacing w:val="-4"/>
          <w:szCs w:val="16"/>
          <w:shd w:val="clear" w:color="auto" w:fill="FFFFFF"/>
        </w:rPr>
        <w:t>Millacura</w:t>
      </w:r>
      <w:proofErr w:type="spellEnd"/>
      <w:r w:rsidRPr="0023362E">
        <w:rPr>
          <w:rStyle w:val="Strong"/>
          <w:rFonts w:eastAsia="Calibri"/>
          <w:b w:val="0"/>
          <w:i/>
          <w:color w:val="000000"/>
          <w:spacing w:val="-4"/>
          <w:szCs w:val="16"/>
          <w:shd w:val="clear" w:color="auto" w:fill="FFFFFF"/>
        </w:rPr>
        <w:t xml:space="preserve"> y otros Vs. Argentina. Fondo, Reparaciones y Costas</w:t>
      </w:r>
      <w:r w:rsidRPr="0023362E">
        <w:rPr>
          <w:rStyle w:val="Strong"/>
          <w:rFonts w:eastAsia="Calibri"/>
          <w:b w:val="0"/>
          <w:color w:val="000000"/>
          <w:spacing w:val="-4"/>
          <w:szCs w:val="16"/>
          <w:shd w:val="clear" w:color="auto" w:fill="FFFFFF"/>
        </w:rPr>
        <w:t>. Sentencia de 26 de agosto de 2011. Serie C No. 229</w:t>
      </w:r>
      <w:r w:rsidRPr="0023362E">
        <w:rPr>
          <w:spacing w:val="-4"/>
          <w:szCs w:val="16"/>
          <w:lang w:val="es-ES"/>
        </w:rPr>
        <w:t>, párr. 76, y</w:t>
      </w:r>
      <w:r w:rsidRPr="0023362E">
        <w:rPr>
          <w:spacing w:val="-4"/>
          <w:szCs w:val="16"/>
          <w:lang w:val="es-GT"/>
        </w:rPr>
        <w:t xml:space="preserve"> </w:t>
      </w:r>
      <w:r w:rsidRPr="00CF4A86">
        <w:rPr>
          <w:rStyle w:val="Strong"/>
          <w:rFonts w:eastAsia="Calibri" w:cs="Vrinda"/>
          <w:b w:val="0"/>
          <w:i/>
          <w:spacing w:val="-4"/>
          <w:szCs w:val="16"/>
          <w:lang w:val="es-VE"/>
        </w:rPr>
        <w:t>Caso</w:t>
      </w:r>
      <w:r w:rsidRPr="0023362E">
        <w:rPr>
          <w:rStyle w:val="Strong"/>
          <w:rFonts w:eastAsia="Calibri" w:cs="Vrinda"/>
          <w:b w:val="0"/>
          <w:i/>
          <w:spacing w:val="-4"/>
          <w:szCs w:val="16"/>
          <w:lang w:val="es-VE"/>
        </w:rPr>
        <w:t xml:space="preserve"> de Personas Dominicanas y Haitianas Expulsadas Vs. República Dominicana</w:t>
      </w:r>
      <w:r>
        <w:rPr>
          <w:rStyle w:val="Strong"/>
          <w:rFonts w:eastAsia="Calibri" w:cs="Vrinda"/>
          <w:b w:val="0"/>
          <w:i/>
          <w:spacing w:val="-4"/>
          <w:szCs w:val="16"/>
          <w:lang w:val="es-VE"/>
        </w:rPr>
        <w:t>,</w:t>
      </w:r>
      <w:r w:rsidRPr="0023362E">
        <w:rPr>
          <w:b/>
          <w:spacing w:val="-4"/>
          <w:szCs w:val="16"/>
          <w:lang w:val="es-GT"/>
        </w:rPr>
        <w:t xml:space="preserve"> </w:t>
      </w:r>
      <w:r w:rsidRPr="0023362E">
        <w:rPr>
          <w:spacing w:val="-4"/>
          <w:szCs w:val="16"/>
          <w:lang w:val="es-GT"/>
        </w:rPr>
        <w:t>párr. 347.</w:t>
      </w:r>
    </w:p>
  </w:footnote>
  <w:footnote w:id="184">
    <w:p w:rsidR="00E65148" w:rsidRPr="0023362E" w:rsidRDefault="00E65148" w:rsidP="00E54423">
      <w:pPr>
        <w:pStyle w:val="FootnoteText"/>
        <w:rPr>
          <w:b/>
          <w:szCs w:val="16"/>
        </w:rPr>
      </w:pPr>
      <w:r w:rsidRPr="0023362E">
        <w:rPr>
          <w:rStyle w:val="FootnoteReference"/>
          <w:rFonts w:eastAsia="Calibri"/>
          <w:szCs w:val="16"/>
        </w:rPr>
        <w:footnoteRef/>
      </w:r>
      <w:r w:rsidRPr="0023362E">
        <w:rPr>
          <w:szCs w:val="16"/>
        </w:rPr>
        <w:t xml:space="preserve"> </w:t>
      </w:r>
      <w:r w:rsidRPr="0023362E">
        <w:rPr>
          <w:szCs w:val="16"/>
        </w:rPr>
        <w:tab/>
        <w:t xml:space="preserve">De acuerdo a lo señalado en jurisprudencia de la Corte, </w:t>
      </w:r>
      <w:r w:rsidRPr="0023362E">
        <w:rPr>
          <w:spacing w:val="-2"/>
          <w:szCs w:val="16"/>
        </w:rPr>
        <w:t>toda privación ilegal de la libertad comporta un grado de arbitrariedad, que queda subsumido en dicha ilegalidad.</w:t>
      </w:r>
      <w:r w:rsidRPr="0023362E">
        <w:rPr>
          <w:szCs w:val="16"/>
        </w:rPr>
        <w:t xml:space="preserve"> En ese sentido, ver</w:t>
      </w:r>
      <w:r w:rsidRPr="0023362E">
        <w:rPr>
          <w:b/>
          <w:szCs w:val="16"/>
        </w:rPr>
        <w:t xml:space="preserve"> </w:t>
      </w:r>
      <w:r w:rsidRPr="008D2D9F">
        <w:rPr>
          <w:rStyle w:val="Strong"/>
          <w:rFonts w:eastAsia="Calibri"/>
          <w:b w:val="0"/>
          <w:szCs w:val="16"/>
        </w:rPr>
        <w:t>Cas</w:t>
      </w:r>
      <w:r w:rsidRPr="0023362E">
        <w:rPr>
          <w:rStyle w:val="Strong"/>
          <w:rFonts w:eastAsia="Calibri"/>
          <w:b w:val="0"/>
          <w:i/>
          <w:szCs w:val="16"/>
        </w:rPr>
        <w:t>o Chaparro Álvarez y Lapo Íñiguez. Vs. Ecuador</w:t>
      </w:r>
      <w:r w:rsidRPr="0023362E">
        <w:rPr>
          <w:rStyle w:val="Strong"/>
          <w:rFonts w:eastAsia="Calibri"/>
          <w:b w:val="0"/>
          <w:szCs w:val="16"/>
        </w:rPr>
        <w:t xml:space="preserve">, párr. 96. </w:t>
      </w:r>
    </w:p>
  </w:footnote>
  <w:footnote w:id="185">
    <w:p w:rsidR="00E65148" w:rsidRPr="0023362E" w:rsidRDefault="00E65148" w:rsidP="00E54423">
      <w:pPr>
        <w:pStyle w:val="FootnoteText"/>
        <w:rPr>
          <w:szCs w:val="16"/>
        </w:rPr>
      </w:pPr>
      <w:r w:rsidRPr="0023362E">
        <w:rPr>
          <w:rStyle w:val="FootnoteReference"/>
          <w:rFonts w:eastAsia="Calibri"/>
          <w:szCs w:val="16"/>
        </w:rPr>
        <w:footnoteRef/>
      </w:r>
      <w:r w:rsidRPr="0023362E">
        <w:rPr>
          <w:szCs w:val="16"/>
          <w:lang w:val="pt-BR"/>
        </w:rPr>
        <w:t xml:space="preserve"> </w:t>
      </w:r>
      <w:r w:rsidRPr="0023362E">
        <w:rPr>
          <w:szCs w:val="16"/>
          <w:lang w:val="pt-BR"/>
        </w:rPr>
        <w:tab/>
      </w:r>
      <w:r w:rsidRPr="0023362E">
        <w:rPr>
          <w:i/>
          <w:szCs w:val="16"/>
          <w:lang w:val="pt-BR"/>
        </w:rPr>
        <w:t xml:space="preserve">Cfr. </w:t>
      </w:r>
      <w:r w:rsidRPr="00CF4A86">
        <w:rPr>
          <w:i/>
          <w:szCs w:val="16"/>
          <w:lang w:val="pt-BR"/>
        </w:rPr>
        <w:t>Caso</w:t>
      </w:r>
      <w:r w:rsidRPr="0023362E">
        <w:rPr>
          <w:i/>
          <w:szCs w:val="16"/>
          <w:lang w:val="pt-BR"/>
        </w:rPr>
        <w:t xml:space="preserve"> Gangaram Panday Vs. Suriname. </w:t>
      </w:r>
      <w:r w:rsidRPr="0023362E">
        <w:rPr>
          <w:i/>
          <w:szCs w:val="16"/>
        </w:rPr>
        <w:t>Fondo, Reparaciones y Costas</w:t>
      </w:r>
      <w:r w:rsidRPr="0023362E">
        <w:rPr>
          <w:szCs w:val="16"/>
        </w:rPr>
        <w:t xml:space="preserve">. Sentencia de 21 de enero de 1994. Serie C No. 16, párr. 47, y </w:t>
      </w:r>
      <w:r w:rsidRPr="00471C59">
        <w:rPr>
          <w:bCs/>
          <w:i/>
          <w:iCs/>
          <w:szCs w:val="16"/>
          <w:lang w:val="es-ES"/>
        </w:rPr>
        <w:t>Caso</w:t>
      </w:r>
      <w:r>
        <w:rPr>
          <w:bCs/>
          <w:i/>
          <w:iCs/>
          <w:szCs w:val="16"/>
          <w:lang w:val="es-ES"/>
        </w:rPr>
        <w:t xml:space="preserve"> Wong Ho</w:t>
      </w:r>
      <w:r w:rsidRPr="0023362E">
        <w:rPr>
          <w:bCs/>
          <w:i/>
          <w:iCs/>
          <w:szCs w:val="16"/>
          <w:lang w:val="es-ES"/>
        </w:rPr>
        <w:t xml:space="preserve"> </w:t>
      </w:r>
      <w:proofErr w:type="spellStart"/>
      <w:r w:rsidRPr="0023362E">
        <w:rPr>
          <w:bCs/>
          <w:i/>
          <w:iCs/>
          <w:szCs w:val="16"/>
          <w:lang w:val="es-ES"/>
        </w:rPr>
        <w:t>Wing</w:t>
      </w:r>
      <w:proofErr w:type="spellEnd"/>
      <w:r w:rsidRPr="0023362E">
        <w:rPr>
          <w:bCs/>
          <w:i/>
          <w:iCs/>
          <w:szCs w:val="16"/>
          <w:lang w:val="es-ES"/>
        </w:rPr>
        <w:t xml:space="preserve"> Vs. Perú</w:t>
      </w:r>
      <w:r w:rsidRPr="0023362E">
        <w:rPr>
          <w:bCs/>
          <w:iCs/>
          <w:szCs w:val="16"/>
          <w:lang w:val="es-ES"/>
        </w:rPr>
        <w:t>, párr. 238</w:t>
      </w:r>
      <w:r w:rsidRPr="0023362E">
        <w:rPr>
          <w:bCs/>
          <w:i/>
          <w:iCs/>
          <w:szCs w:val="16"/>
          <w:lang w:val="es-ES"/>
        </w:rPr>
        <w:t xml:space="preserve">. </w:t>
      </w:r>
    </w:p>
  </w:footnote>
  <w:footnote w:id="186">
    <w:p w:rsidR="00E65148" w:rsidRPr="0023362E" w:rsidRDefault="00E65148" w:rsidP="00E54423">
      <w:pPr>
        <w:pStyle w:val="FootnoteText"/>
        <w:rPr>
          <w:szCs w:val="16"/>
        </w:rPr>
      </w:pPr>
      <w:r w:rsidRPr="0023362E">
        <w:rPr>
          <w:rStyle w:val="FootnoteReference"/>
          <w:rFonts w:eastAsia="Calibri"/>
          <w:szCs w:val="16"/>
        </w:rPr>
        <w:footnoteRef/>
      </w:r>
      <w:r w:rsidRPr="0023362E">
        <w:rPr>
          <w:szCs w:val="16"/>
        </w:rPr>
        <w:t xml:space="preserve"> </w:t>
      </w:r>
      <w:r w:rsidRPr="0023362E">
        <w:rPr>
          <w:szCs w:val="16"/>
        </w:rPr>
        <w:tab/>
      </w:r>
      <w:r w:rsidRPr="0023362E">
        <w:rPr>
          <w:i/>
          <w:szCs w:val="16"/>
        </w:rPr>
        <w:t xml:space="preserve">Cfr. </w:t>
      </w:r>
      <w:r w:rsidRPr="00CF4A86">
        <w:rPr>
          <w:i/>
          <w:szCs w:val="16"/>
        </w:rPr>
        <w:t>Caso</w:t>
      </w:r>
      <w:r w:rsidRPr="0023362E">
        <w:rPr>
          <w:i/>
          <w:szCs w:val="16"/>
        </w:rPr>
        <w:t xml:space="preserve"> Chaparro Álvarez y Lapo Íñiguez Vs. Ecuador</w:t>
      </w:r>
      <w:r w:rsidRPr="0023362E">
        <w:rPr>
          <w:szCs w:val="16"/>
        </w:rPr>
        <w:t xml:space="preserve">, párr. 103, y </w:t>
      </w:r>
      <w:r w:rsidRPr="008D2D9F">
        <w:rPr>
          <w:bCs/>
          <w:i/>
          <w:iCs/>
          <w:szCs w:val="16"/>
          <w:lang w:val="es-ES"/>
        </w:rPr>
        <w:t>Caso</w:t>
      </w:r>
      <w:r w:rsidRPr="0023362E">
        <w:rPr>
          <w:bCs/>
          <w:i/>
          <w:iCs/>
          <w:szCs w:val="16"/>
          <w:lang w:val="es-ES"/>
        </w:rPr>
        <w:t xml:space="preserve"> Argüelles y otros Vs. Argentina</w:t>
      </w:r>
      <w:r w:rsidRPr="0023362E">
        <w:rPr>
          <w:bCs/>
          <w:szCs w:val="16"/>
        </w:rPr>
        <w:t>, párr. 120.</w:t>
      </w:r>
    </w:p>
  </w:footnote>
  <w:footnote w:id="187">
    <w:p w:rsidR="00E65148" w:rsidRPr="0023362E" w:rsidRDefault="00E65148" w:rsidP="00E54423">
      <w:pPr>
        <w:pStyle w:val="FootnoteText"/>
        <w:rPr>
          <w:szCs w:val="16"/>
        </w:rPr>
      </w:pPr>
      <w:r w:rsidRPr="0023362E">
        <w:rPr>
          <w:rStyle w:val="FootnoteReference"/>
          <w:rFonts w:eastAsia="Calibri"/>
          <w:szCs w:val="16"/>
        </w:rPr>
        <w:footnoteRef/>
      </w:r>
      <w:r w:rsidRPr="0023362E">
        <w:rPr>
          <w:szCs w:val="16"/>
        </w:rPr>
        <w:t xml:space="preserve"> </w:t>
      </w:r>
      <w:r w:rsidRPr="0023362E">
        <w:rPr>
          <w:szCs w:val="16"/>
        </w:rPr>
        <w:tab/>
      </w:r>
      <w:r w:rsidRPr="0023362E">
        <w:rPr>
          <w:i/>
          <w:szCs w:val="16"/>
        </w:rPr>
        <w:t xml:space="preserve">Cfr. </w:t>
      </w:r>
      <w:r w:rsidRPr="00CF4A86">
        <w:rPr>
          <w:i/>
          <w:szCs w:val="16"/>
        </w:rPr>
        <w:t>Caso</w:t>
      </w:r>
      <w:r w:rsidRPr="0023362E">
        <w:rPr>
          <w:i/>
          <w:szCs w:val="16"/>
        </w:rPr>
        <w:t xml:space="preserve"> Chaparro Álvarez y Lapo Íñiguez Vs. Ecuador</w:t>
      </w:r>
      <w:r w:rsidRPr="0023362E">
        <w:rPr>
          <w:szCs w:val="16"/>
        </w:rPr>
        <w:t>, párr. 93, y</w:t>
      </w:r>
      <w:r w:rsidRPr="0023362E">
        <w:rPr>
          <w:bCs/>
          <w:i/>
          <w:iCs/>
          <w:szCs w:val="16"/>
          <w:lang w:val="es-ES"/>
        </w:rPr>
        <w:t xml:space="preserve"> </w:t>
      </w:r>
      <w:r w:rsidRPr="00CF4A86">
        <w:rPr>
          <w:bCs/>
          <w:i/>
          <w:iCs/>
          <w:szCs w:val="16"/>
          <w:lang w:val="es-ES"/>
        </w:rPr>
        <w:t>Caso</w:t>
      </w:r>
      <w:r w:rsidRPr="0023362E">
        <w:rPr>
          <w:bCs/>
          <w:i/>
          <w:iCs/>
          <w:szCs w:val="16"/>
          <w:lang w:val="es-ES"/>
        </w:rPr>
        <w:t xml:space="preserve"> Argüelles y otros Vs. Argentina</w:t>
      </w:r>
      <w:r w:rsidRPr="0023362E">
        <w:rPr>
          <w:bCs/>
          <w:szCs w:val="16"/>
        </w:rPr>
        <w:t>, párr. 120.</w:t>
      </w:r>
    </w:p>
  </w:footnote>
  <w:footnote w:id="188">
    <w:p w:rsidR="00E65148" w:rsidRPr="0023362E" w:rsidRDefault="00E65148" w:rsidP="00E54423">
      <w:pPr>
        <w:pStyle w:val="FootnoteText"/>
        <w:rPr>
          <w:szCs w:val="16"/>
        </w:rPr>
      </w:pPr>
      <w:r w:rsidRPr="0023362E">
        <w:rPr>
          <w:rStyle w:val="FootnoteReference"/>
          <w:rFonts w:eastAsia="Calibri"/>
          <w:szCs w:val="16"/>
        </w:rPr>
        <w:footnoteRef/>
      </w:r>
      <w:r w:rsidRPr="0023362E">
        <w:rPr>
          <w:szCs w:val="16"/>
        </w:rPr>
        <w:t xml:space="preserve"> </w:t>
      </w:r>
      <w:r w:rsidRPr="0023362E">
        <w:rPr>
          <w:szCs w:val="16"/>
        </w:rPr>
        <w:tab/>
      </w:r>
      <w:r w:rsidRPr="0023362E">
        <w:rPr>
          <w:i/>
          <w:szCs w:val="16"/>
        </w:rPr>
        <w:t>Cfr.</w:t>
      </w:r>
      <w:r w:rsidRPr="00CF4A86">
        <w:rPr>
          <w:i/>
          <w:szCs w:val="16"/>
        </w:rPr>
        <w:t xml:space="preserve"> Caso</w:t>
      </w:r>
      <w:r w:rsidRPr="0023362E">
        <w:rPr>
          <w:i/>
          <w:szCs w:val="16"/>
        </w:rPr>
        <w:t xml:space="preserve"> Chaparro Álvarez y Lapo Íñiguez Vs. Ecuador</w:t>
      </w:r>
      <w:r w:rsidRPr="0023362E">
        <w:rPr>
          <w:szCs w:val="16"/>
        </w:rPr>
        <w:t>, párr. 93, y</w:t>
      </w:r>
      <w:r w:rsidRPr="0023362E">
        <w:rPr>
          <w:bCs/>
          <w:i/>
          <w:iCs/>
          <w:szCs w:val="16"/>
          <w:lang w:val="es-ES"/>
        </w:rPr>
        <w:t xml:space="preserve"> </w:t>
      </w:r>
      <w:r w:rsidRPr="008D2D9F">
        <w:rPr>
          <w:bCs/>
          <w:i/>
          <w:iCs/>
          <w:szCs w:val="16"/>
          <w:lang w:val="es-ES"/>
        </w:rPr>
        <w:t>Caso</w:t>
      </w:r>
      <w:r w:rsidRPr="0023362E">
        <w:rPr>
          <w:bCs/>
          <w:i/>
          <w:iCs/>
          <w:szCs w:val="16"/>
          <w:lang w:val="es-ES"/>
        </w:rPr>
        <w:t xml:space="preserve"> Argüelles y otros Vs. Argentina</w:t>
      </w:r>
      <w:r w:rsidRPr="0023362E">
        <w:rPr>
          <w:bCs/>
          <w:szCs w:val="16"/>
        </w:rPr>
        <w:t>, párr. 120.</w:t>
      </w:r>
    </w:p>
  </w:footnote>
  <w:footnote w:id="189">
    <w:p w:rsidR="00E65148" w:rsidRPr="0023362E" w:rsidRDefault="00E65148" w:rsidP="00E54423">
      <w:pPr>
        <w:pStyle w:val="FootnoteText"/>
        <w:rPr>
          <w:szCs w:val="16"/>
        </w:rPr>
      </w:pPr>
      <w:r w:rsidRPr="0023362E">
        <w:rPr>
          <w:rStyle w:val="FootnoteReference"/>
          <w:rFonts w:eastAsia="Calibri"/>
          <w:szCs w:val="16"/>
        </w:rPr>
        <w:footnoteRef/>
      </w:r>
      <w:r w:rsidRPr="0023362E">
        <w:rPr>
          <w:szCs w:val="16"/>
        </w:rPr>
        <w:t xml:space="preserve"> </w:t>
      </w:r>
      <w:r w:rsidRPr="0023362E">
        <w:rPr>
          <w:szCs w:val="16"/>
        </w:rPr>
        <w:tab/>
      </w:r>
      <w:r w:rsidRPr="0023362E">
        <w:rPr>
          <w:i/>
          <w:szCs w:val="16"/>
        </w:rPr>
        <w:t xml:space="preserve">Cfr. </w:t>
      </w:r>
      <w:r w:rsidRPr="00CF4A86">
        <w:rPr>
          <w:i/>
          <w:szCs w:val="16"/>
        </w:rPr>
        <w:t>Caso</w:t>
      </w:r>
      <w:r w:rsidRPr="0023362E">
        <w:rPr>
          <w:i/>
          <w:szCs w:val="16"/>
        </w:rPr>
        <w:t xml:space="preserve"> Suárez Rosero Vs. Ecuador. Fondo</w:t>
      </w:r>
      <w:r w:rsidRPr="0023362E">
        <w:rPr>
          <w:szCs w:val="16"/>
        </w:rPr>
        <w:t>. Sentencia de 12 de noviembre de 1997. Serie C No. 35, párr. 77, y</w:t>
      </w:r>
      <w:r w:rsidRPr="0023362E">
        <w:rPr>
          <w:bCs/>
          <w:i/>
          <w:iCs/>
          <w:szCs w:val="16"/>
          <w:lang w:val="es-ES"/>
        </w:rPr>
        <w:t xml:space="preserve"> </w:t>
      </w:r>
      <w:r w:rsidRPr="00CF4A86">
        <w:rPr>
          <w:bCs/>
          <w:i/>
          <w:iCs/>
          <w:szCs w:val="16"/>
          <w:lang w:val="es-ES"/>
        </w:rPr>
        <w:t>Caso</w:t>
      </w:r>
      <w:r w:rsidRPr="0023362E">
        <w:rPr>
          <w:bCs/>
          <w:i/>
          <w:iCs/>
          <w:szCs w:val="16"/>
          <w:lang w:val="es-ES"/>
        </w:rPr>
        <w:t xml:space="preserve"> Argüelles y otros Vs. Argentina</w:t>
      </w:r>
      <w:r w:rsidRPr="0023362E">
        <w:rPr>
          <w:bCs/>
          <w:szCs w:val="16"/>
        </w:rPr>
        <w:t>, párr. 120.</w:t>
      </w:r>
    </w:p>
  </w:footnote>
  <w:footnote w:id="190">
    <w:p w:rsidR="00E65148" w:rsidRPr="0023362E" w:rsidRDefault="00E65148" w:rsidP="00E54423">
      <w:pPr>
        <w:pStyle w:val="FootnoteText"/>
        <w:rPr>
          <w:szCs w:val="16"/>
        </w:rPr>
      </w:pPr>
      <w:r w:rsidRPr="0023362E">
        <w:rPr>
          <w:rStyle w:val="FootnoteReference"/>
          <w:rFonts w:eastAsia="Calibri"/>
          <w:szCs w:val="16"/>
        </w:rPr>
        <w:footnoteRef/>
      </w:r>
      <w:r w:rsidRPr="0023362E">
        <w:rPr>
          <w:szCs w:val="16"/>
        </w:rPr>
        <w:t xml:space="preserve"> </w:t>
      </w:r>
      <w:r w:rsidRPr="0023362E">
        <w:rPr>
          <w:i/>
          <w:szCs w:val="16"/>
        </w:rPr>
        <w:tab/>
        <w:t xml:space="preserve">Cfr. </w:t>
      </w:r>
      <w:r w:rsidRPr="00CF4A86">
        <w:rPr>
          <w:i/>
          <w:szCs w:val="16"/>
        </w:rPr>
        <w:t>Caso</w:t>
      </w:r>
      <w:r w:rsidRPr="0023362E">
        <w:rPr>
          <w:i/>
          <w:szCs w:val="16"/>
        </w:rPr>
        <w:t xml:space="preserve"> Chaparro Álvarez y Lapo Íñiguez Vs. Ecuador</w:t>
      </w:r>
      <w:r w:rsidRPr="0023362E">
        <w:rPr>
          <w:szCs w:val="16"/>
        </w:rPr>
        <w:t>, párr. 93, y</w:t>
      </w:r>
      <w:r w:rsidRPr="0023362E">
        <w:rPr>
          <w:bCs/>
          <w:i/>
          <w:iCs/>
          <w:szCs w:val="16"/>
          <w:lang w:val="es-ES"/>
        </w:rPr>
        <w:t xml:space="preserve"> </w:t>
      </w:r>
      <w:r w:rsidRPr="008D2D9F">
        <w:rPr>
          <w:bCs/>
          <w:i/>
          <w:iCs/>
          <w:szCs w:val="16"/>
          <w:lang w:val="es-ES"/>
        </w:rPr>
        <w:t xml:space="preserve">Caso </w:t>
      </w:r>
      <w:r w:rsidRPr="0023362E">
        <w:rPr>
          <w:bCs/>
          <w:i/>
          <w:iCs/>
          <w:szCs w:val="16"/>
          <w:lang w:val="es-ES"/>
        </w:rPr>
        <w:t>Argüelles y otros Vs. Argentina</w:t>
      </w:r>
      <w:r w:rsidRPr="0023362E">
        <w:rPr>
          <w:bCs/>
          <w:szCs w:val="16"/>
        </w:rPr>
        <w:t>, párr. 120.</w:t>
      </w:r>
    </w:p>
  </w:footnote>
  <w:footnote w:id="191">
    <w:p w:rsidR="00E65148" w:rsidRPr="0023362E" w:rsidRDefault="00E65148" w:rsidP="00E54423">
      <w:pPr>
        <w:pStyle w:val="FootnoteText"/>
        <w:rPr>
          <w:szCs w:val="16"/>
        </w:rPr>
      </w:pPr>
      <w:r w:rsidRPr="0023362E">
        <w:rPr>
          <w:rStyle w:val="FootnoteReference"/>
          <w:rFonts w:eastAsia="Calibri"/>
          <w:szCs w:val="16"/>
        </w:rPr>
        <w:footnoteRef/>
      </w:r>
      <w:r w:rsidRPr="0023362E">
        <w:rPr>
          <w:szCs w:val="16"/>
        </w:rPr>
        <w:t xml:space="preserve"> </w:t>
      </w:r>
      <w:r>
        <w:rPr>
          <w:szCs w:val="16"/>
        </w:rPr>
        <w:tab/>
      </w:r>
      <w:r>
        <w:rPr>
          <w:i/>
          <w:szCs w:val="16"/>
        </w:rPr>
        <w:t xml:space="preserve">Cfr. </w:t>
      </w:r>
      <w:r w:rsidRPr="00CF4A86">
        <w:rPr>
          <w:i/>
          <w:szCs w:val="16"/>
        </w:rPr>
        <w:t>Caso</w:t>
      </w:r>
      <w:r w:rsidRPr="0023362E">
        <w:rPr>
          <w:i/>
          <w:szCs w:val="16"/>
        </w:rPr>
        <w:t xml:space="preserve"> García </w:t>
      </w:r>
      <w:proofErr w:type="spellStart"/>
      <w:r w:rsidRPr="0023362E">
        <w:rPr>
          <w:i/>
          <w:szCs w:val="16"/>
        </w:rPr>
        <w:t>Asto</w:t>
      </w:r>
      <w:proofErr w:type="spellEnd"/>
      <w:r w:rsidRPr="0023362E">
        <w:rPr>
          <w:i/>
          <w:szCs w:val="16"/>
        </w:rPr>
        <w:t xml:space="preserve"> y Ramírez Rojas Vs. Perú</w:t>
      </w:r>
      <w:r w:rsidRPr="0023362E">
        <w:rPr>
          <w:szCs w:val="16"/>
        </w:rPr>
        <w:t>. Sentencia de 25 de noviembre de 2005. Serie C No. 137, párr. 128, y</w:t>
      </w:r>
      <w:r w:rsidRPr="0023362E">
        <w:rPr>
          <w:bCs/>
          <w:i/>
          <w:iCs/>
          <w:szCs w:val="16"/>
          <w:lang w:val="es-ES"/>
        </w:rPr>
        <w:t xml:space="preserve"> </w:t>
      </w:r>
      <w:r w:rsidRPr="00CF4A86">
        <w:rPr>
          <w:bCs/>
          <w:i/>
          <w:iCs/>
          <w:szCs w:val="16"/>
          <w:lang w:val="es-ES"/>
        </w:rPr>
        <w:t>Caso</w:t>
      </w:r>
      <w:r w:rsidRPr="0023362E">
        <w:rPr>
          <w:bCs/>
          <w:i/>
          <w:iCs/>
          <w:szCs w:val="16"/>
          <w:lang w:val="es-ES"/>
        </w:rPr>
        <w:t xml:space="preserve"> Argüelles y otros Vs. Argentina</w:t>
      </w:r>
      <w:r w:rsidRPr="0023362E">
        <w:rPr>
          <w:bCs/>
          <w:szCs w:val="16"/>
        </w:rPr>
        <w:t>, párr. 120.</w:t>
      </w:r>
    </w:p>
  </w:footnote>
  <w:footnote w:id="192">
    <w:p w:rsidR="00E65148" w:rsidRPr="0023362E" w:rsidRDefault="00E65148" w:rsidP="00E54423">
      <w:pPr>
        <w:pStyle w:val="FootnoteText"/>
        <w:rPr>
          <w:szCs w:val="16"/>
          <w:lang w:val="es-CR"/>
        </w:rPr>
      </w:pPr>
      <w:r w:rsidRPr="0023362E">
        <w:rPr>
          <w:rStyle w:val="FootnoteReference"/>
          <w:rFonts w:eastAsia="Calibri"/>
          <w:szCs w:val="16"/>
        </w:rPr>
        <w:footnoteRef/>
      </w:r>
      <w:r w:rsidRPr="0023362E">
        <w:rPr>
          <w:szCs w:val="16"/>
        </w:rPr>
        <w:t xml:space="preserve"> </w:t>
      </w:r>
      <w:r w:rsidRPr="0023362E">
        <w:rPr>
          <w:szCs w:val="16"/>
        </w:rPr>
        <w:tab/>
      </w:r>
      <w:r w:rsidRPr="0023362E">
        <w:rPr>
          <w:szCs w:val="16"/>
          <w:lang w:val="es-CR"/>
        </w:rPr>
        <w:t>La Corte advierte que el Estado indicó que en un período cercano a los hechos “12 personas que se habían acogido a la Ley de Arrepentimiento fueron masacradas por S[</w:t>
      </w:r>
      <w:proofErr w:type="spellStart"/>
      <w:r w:rsidRPr="0023362E">
        <w:rPr>
          <w:szCs w:val="16"/>
          <w:lang w:val="es-CR"/>
        </w:rPr>
        <w:t>endero</w:t>
      </w:r>
      <w:proofErr w:type="spellEnd"/>
      <w:r w:rsidRPr="0023362E">
        <w:rPr>
          <w:szCs w:val="16"/>
          <w:lang w:val="es-CR"/>
        </w:rPr>
        <w:t>] L[</w:t>
      </w:r>
      <w:proofErr w:type="spellStart"/>
      <w:r w:rsidRPr="0023362E">
        <w:rPr>
          <w:szCs w:val="16"/>
          <w:lang w:val="es-CR"/>
        </w:rPr>
        <w:t>uminoso</w:t>
      </w:r>
      <w:proofErr w:type="spellEnd"/>
      <w:r w:rsidRPr="0023362E">
        <w:rPr>
          <w:szCs w:val="16"/>
          <w:lang w:val="es-CR"/>
        </w:rPr>
        <w:t xml:space="preserve">] en </w:t>
      </w:r>
      <w:proofErr w:type="spellStart"/>
      <w:r w:rsidRPr="0023362E">
        <w:rPr>
          <w:szCs w:val="16"/>
          <w:lang w:val="es-CR"/>
        </w:rPr>
        <w:t>Aucuyacu</w:t>
      </w:r>
      <w:proofErr w:type="spellEnd"/>
      <w:r w:rsidRPr="0023362E">
        <w:rPr>
          <w:szCs w:val="16"/>
          <w:lang w:val="es-CR"/>
        </w:rPr>
        <w:t>, Huánuco”, y que consideró que notar que había “represalias contra personas que se acogieron a la [L]</w:t>
      </w:r>
      <w:proofErr w:type="spellStart"/>
      <w:r w:rsidRPr="0023362E">
        <w:rPr>
          <w:szCs w:val="16"/>
          <w:lang w:val="es-CR"/>
        </w:rPr>
        <w:t>ey</w:t>
      </w:r>
      <w:proofErr w:type="spellEnd"/>
      <w:r w:rsidRPr="0023362E">
        <w:rPr>
          <w:szCs w:val="16"/>
          <w:lang w:val="es-CR"/>
        </w:rPr>
        <w:t xml:space="preserve"> de [A]</w:t>
      </w:r>
      <w:proofErr w:type="spellStart"/>
      <w:r w:rsidRPr="0023362E">
        <w:rPr>
          <w:szCs w:val="16"/>
          <w:lang w:val="es-CR"/>
        </w:rPr>
        <w:t>rrepentimiento</w:t>
      </w:r>
      <w:proofErr w:type="spellEnd"/>
      <w:r w:rsidRPr="0023362E">
        <w:rPr>
          <w:szCs w:val="16"/>
          <w:lang w:val="es-CR"/>
        </w:rPr>
        <w:t xml:space="preserve"> […] es clave para comprender […] las medidas de protección que se brindaba a las personas que decidían acogerse a los beneficios de [dicha] ley”. No obstante, ello no cambia el hecho de que no conste acto alguno que fundamente por qué en el caso concreto del señor Galindo fue necesario privarlo de su libertad.</w:t>
      </w:r>
    </w:p>
  </w:footnote>
  <w:footnote w:id="193">
    <w:p w:rsidR="00E65148" w:rsidRPr="0023362E" w:rsidRDefault="00E65148" w:rsidP="00E54423">
      <w:pPr>
        <w:pStyle w:val="FootnoteText"/>
        <w:rPr>
          <w:szCs w:val="16"/>
          <w:lang w:val="es-CR"/>
        </w:rPr>
      </w:pPr>
      <w:r w:rsidRPr="0023362E">
        <w:rPr>
          <w:rStyle w:val="FootnoteReference"/>
          <w:rFonts w:eastAsia="Calibri"/>
          <w:szCs w:val="16"/>
        </w:rPr>
        <w:footnoteRef/>
      </w:r>
      <w:r w:rsidRPr="0023362E">
        <w:rPr>
          <w:szCs w:val="16"/>
        </w:rPr>
        <w:t xml:space="preserve"> </w:t>
      </w:r>
      <w:r w:rsidRPr="0023362E">
        <w:rPr>
          <w:szCs w:val="16"/>
        </w:rPr>
        <w:tab/>
      </w:r>
      <w:r w:rsidRPr="00CF4A86">
        <w:rPr>
          <w:bCs/>
          <w:i/>
          <w:iCs/>
          <w:szCs w:val="16"/>
          <w:lang w:val="es-ES"/>
        </w:rPr>
        <w:t>Caso</w:t>
      </w:r>
      <w:r w:rsidRPr="0023362E">
        <w:rPr>
          <w:bCs/>
          <w:i/>
          <w:iCs/>
          <w:szCs w:val="16"/>
          <w:lang w:val="es-ES"/>
        </w:rPr>
        <w:t xml:space="preserve"> J. Vs. Perú</w:t>
      </w:r>
      <w:r w:rsidRPr="0023362E">
        <w:rPr>
          <w:bCs/>
          <w:iCs/>
          <w:szCs w:val="16"/>
          <w:lang w:val="es-ES"/>
        </w:rPr>
        <w:t>, párr. 141. En el mismo sentido,</w:t>
      </w:r>
      <w:r w:rsidRPr="0023362E">
        <w:rPr>
          <w:bCs/>
          <w:i/>
          <w:iCs/>
          <w:szCs w:val="16"/>
          <w:lang w:val="es-ES"/>
        </w:rPr>
        <w:t xml:space="preserve"> </w:t>
      </w:r>
      <w:r w:rsidRPr="00CF4A86">
        <w:rPr>
          <w:bCs/>
          <w:i/>
          <w:iCs/>
          <w:szCs w:val="16"/>
          <w:lang w:val="es-ES"/>
        </w:rPr>
        <w:t>Caso</w:t>
      </w:r>
      <w:r w:rsidRPr="0023362E">
        <w:rPr>
          <w:bCs/>
          <w:i/>
          <w:iCs/>
          <w:szCs w:val="16"/>
          <w:lang w:val="es-ES"/>
        </w:rPr>
        <w:t xml:space="preserve"> Espinoza Gonzáles Vs. Perú</w:t>
      </w:r>
      <w:r w:rsidRPr="0023362E">
        <w:rPr>
          <w:bCs/>
          <w:iCs/>
          <w:szCs w:val="16"/>
          <w:lang w:val="es-ES"/>
        </w:rPr>
        <w:t>, párr.</w:t>
      </w:r>
      <w:r w:rsidRPr="0023362E">
        <w:rPr>
          <w:b/>
          <w:bCs/>
          <w:i/>
          <w:iCs/>
          <w:szCs w:val="16"/>
          <w:lang w:val="es-ES"/>
        </w:rPr>
        <w:t xml:space="preserve"> </w:t>
      </w:r>
      <w:r w:rsidRPr="0023362E">
        <w:rPr>
          <w:bCs/>
          <w:iCs/>
          <w:szCs w:val="16"/>
          <w:lang w:val="es-ES"/>
        </w:rPr>
        <w:t>132.</w:t>
      </w:r>
    </w:p>
  </w:footnote>
  <w:footnote w:id="194">
    <w:p w:rsidR="00E65148" w:rsidRPr="0023362E" w:rsidRDefault="00E65148" w:rsidP="00E54423">
      <w:pPr>
        <w:pStyle w:val="FootnoteText"/>
        <w:tabs>
          <w:tab w:val="left" w:pos="567"/>
        </w:tabs>
        <w:contextualSpacing/>
        <w:rPr>
          <w:spacing w:val="-4"/>
          <w:szCs w:val="16"/>
          <w:lang w:val="es-GT"/>
        </w:rPr>
      </w:pPr>
      <w:r w:rsidRPr="0023362E">
        <w:rPr>
          <w:rStyle w:val="FootnoteReference"/>
          <w:rFonts w:eastAsiaTheme="majorEastAsia"/>
          <w:spacing w:val="-4"/>
          <w:szCs w:val="16"/>
        </w:rPr>
        <w:footnoteRef/>
      </w:r>
      <w:r w:rsidRPr="0023362E">
        <w:rPr>
          <w:spacing w:val="-4"/>
          <w:szCs w:val="16"/>
          <w:lang w:val="es-GT"/>
        </w:rPr>
        <w:t xml:space="preserve"> </w:t>
      </w:r>
      <w:r w:rsidRPr="0023362E">
        <w:rPr>
          <w:spacing w:val="-4"/>
          <w:szCs w:val="16"/>
          <w:lang w:val="es-GT"/>
        </w:rPr>
        <w:tab/>
      </w:r>
      <w:r w:rsidRPr="0023362E">
        <w:rPr>
          <w:i/>
          <w:spacing w:val="-4"/>
          <w:szCs w:val="16"/>
          <w:lang w:val="es-GT"/>
        </w:rPr>
        <w:t>Cfr.</w:t>
      </w:r>
      <w:r w:rsidRPr="0023362E">
        <w:rPr>
          <w:spacing w:val="-4"/>
          <w:szCs w:val="16"/>
          <w:lang w:val="es-GT"/>
        </w:rPr>
        <w:t xml:space="preserve"> </w:t>
      </w:r>
      <w:r w:rsidRPr="00CF4A86">
        <w:rPr>
          <w:rStyle w:val="Strong"/>
          <w:rFonts w:eastAsia="Calibri"/>
          <w:b w:val="0"/>
          <w:i/>
          <w:color w:val="000000"/>
          <w:spacing w:val="-4"/>
          <w:szCs w:val="16"/>
          <w:shd w:val="clear" w:color="auto" w:fill="FFFFFF"/>
        </w:rPr>
        <w:t>Caso</w:t>
      </w:r>
      <w:r w:rsidRPr="0023362E">
        <w:rPr>
          <w:rStyle w:val="Strong"/>
          <w:rFonts w:eastAsia="Calibri"/>
          <w:b w:val="0"/>
          <w:i/>
          <w:color w:val="000000"/>
          <w:spacing w:val="-4"/>
          <w:szCs w:val="16"/>
          <w:shd w:val="clear" w:color="auto" w:fill="FFFFFF"/>
        </w:rPr>
        <w:t xml:space="preserve"> Tibi Vs. Ecuador. Excepciones Preliminares, Fondo, Reparaciones y Costas</w:t>
      </w:r>
      <w:r w:rsidRPr="0023362E">
        <w:rPr>
          <w:rStyle w:val="Strong"/>
          <w:rFonts w:eastAsia="Calibri"/>
          <w:b w:val="0"/>
          <w:color w:val="000000"/>
          <w:spacing w:val="-4"/>
          <w:szCs w:val="16"/>
          <w:shd w:val="clear" w:color="auto" w:fill="FFFFFF"/>
        </w:rPr>
        <w:t>. Sentencia de 7 de septiembre de 2004. Serie C No. 114</w:t>
      </w:r>
      <w:r w:rsidRPr="0023362E">
        <w:rPr>
          <w:spacing w:val="-4"/>
          <w:szCs w:val="16"/>
          <w:lang w:val="es-GT"/>
        </w:rPr>
        <w:t xml:space="preserve">, párr. 118, y </w:t>
      </w:r>
      <w:r w:rsidRPr="008D2D9F">
        <w:rPr>
          <w:bCs/>
          <w:i/>
          <w:iCs/>
          <w:szCs w:val="16"/>
          <w:lang w:val="es-ES"/>
        </w:rPr>
        <w:t>Caso</w:t>
      </w:r>
      <w:r w:rsidRPr="0023362E">
        <w:rPr>
          <w:bCs/>
          <w:i/>
          <w:iCs/>
          <w:szCs w:val="16"/>
          <w:lang w:val="es-ES"/>
        </w:rPr>
        <w:t xml:space="preserve"> Espinoza Gonzáles Vs. Perú</w:t>
      </w:r>
      <w:r w:rsidRPr="0023362E">
        <w:rPr>
          <w:bCs/>
          <w:iCs/>
          <w:szCs w:val="16"/>
          <w:lang w:val="es-ES"/>
        </w:rPr>
        <w:t>, párr. 129</w:t>
      </w:r>
      <w:r w:rsidRPr="0023362E">
        <w:rPr>
          <w:spacing w:val="-4"/>
          <w:szCs w:val="16"/>
          <w:lang w:val="es-GT"/>
        </w:rPr>
        <w:t>.</w:t>
      </w:r>
    </w:p>
  </w:footnote>
  <w:footnote w:id="195">
    <w:p w:rsidR="00E65148" w:rsidRPr="0023362E" w:rsidRDefault="00E65148" w:rsidP="00E54423">
      <w:pPr>
        <w:tabs>
          <w:tab w:val="left" w:pos="567"/>
        </w:tabs>
        <w:contextualSpacing/>
        <w:rPr>
          <w:spacing w:val="-4"/>
          <w:sz w:val="16"/>
          <w:szCs w:val="16"/>
          <w:lang w:val="es-CO"/>
        </w:rPr>
      </w:pPr>
      <w:r w:rsidRPr="0023362E">
        <w:rPr>
          <w:rStyle w:val="FootnoteReference"/>
          <w:spacing w:val="-4"/>
          <w:sz w:val="16"/>
          <w:szCs w:val="16"/>
        </w:rPr>
        <w:footnoteRef/>
      </w:r>
      <w:r w:rsidRPr="0023362E">
        <w:rPr>
          <w:i/>
          <w:iCs/>
          <w:spacing w:val="-4"/>
          <w:sz w:val="16"/>
          <w:szCs w:val="16"/>
          <w:lang w:val="es-PR"/>
        </w:rPr>
        <w:t xml:space="preserve"> </w:t>
      </w:r>
      <w:r w:rsidRPr="0023362E">
        <w:rPr>
          <w:i/>
          <w:iCs/>
          <w:spacing w:val="-4"/>
          <w:sz w:val="16"/>
          <w:szCs w:val="16"/>
          <w:lang w:val="es-PR"/>
        </w:rPr>
        <w:tab/>
        <w:t>Cfr.</w:t>
      </w:r>
      <w:r w:rsidRPr="0023362E">
        <w:rPr>
          <w:spacing w:val="-4"/>
          <w:sz w:val="16"/>
          <w:szCs w:val="16"/>
          <w:lang w:val="es-GT"/>
        </w:rPr>
        <w:t xml:space="preserve"> </w:t>
      </w:r>
      <w:r w:rsidRPr="00CF4A86">
        <w:rPr>
          <w:i/>
          <w:spacing w:val="-4"/>
          <w:sz w:val="16"/>
          <w:szCs w:val="16"/>
          <w:lang w:val="es-GT"/>
        </w:rPr>
        <w:t>Caso</w:t>
      </w:r>
      <w:r w:rsidRPr="0023362E">
        <w:rPr>
          <w:i/>
          <w:spacing w:val="-4"/>
          <w:sz w:val="16"/>
          <w:szCs w:val="16"/>
          <w:lang w:val="es-GT"/>
        </w:rPr>
        <w:t xml:space="preserve"> </w:t>
      </w:r>
      <w:proofErr w:type="spellStart"/>
      <w:r w:rsidRPr="0023362E">
        <w:rPr>
          <w:i/>
          <w:spacing w:val="-4"/>
          <w:sz w:val="16"/>
          <w:szCs w:val="16"/>
          <w:lang w:val="es-GT"/>
        </w:rPr>
        <w:t>Bulacio</w:t>
      </w:r>
      <w:proofErr w:type="spellEnd"/>
      <w:r w:rsidRPr="0023362E">
        <w:rPr>
          <w:i/>
          <w:spacing w:val="-4"/>
          <w:sz w:val="16"/>
          <w:szCs w:val="16"/>
          <w:lang w:val="es-GT"/>
        </w:rPr>
        <w:t xml:space="preserve"> Vs. Argentina. Fondo, Reparaciones y Fondo. </w:t>
      </w:r>
      <w:r w:rsidRPr="008531F3">
        <w:rPr>
          <w:spacing w:val="-4"/>
          <w:sz w:val="16"/>
          <w:szCs w:val="16"/>
          <w:lang w:val="es-GT"/>
        </w:rPr>
        <w:t>Sentencia de 18 de septiembre de 2003. Serie C. No. 100,</w:t>
      </w:r>
      <w:r w:rsidRPr="0023362E">
        <w:rPr>
          <w:spacing w:val="-4"/>
          <w:sz w:val="16"/>
          <w:szCs w:val="16"/>
          <w:lang w:val="es-PR"/>
        </w:rPr>
        <w:t xml:space="preserve"> párr. </w:t>
      </w:r>
      <w:r w:rsidRPr="0023362E">
        <w:rPr>
          <w:spacing w:val="-4"/>
          <w:sz w:val="16"/>
          <w:szCs w:val="16"/>
          <w:lang w:val="es-CO"/>
        </w:rPr>
        <w:t>129,</w:t>
      </w:r>
      <w:r w:rsidRPr="0023362E">
        <w:rPr>
          <w:spacing w:val="-4"/>
          <w:sz w:val="16"/>
          <w:szCs w:val="16"/>
          <w:lang w:val="es-GT"/>
        </w:rPr>
        <w:t xml:space="preserve"> y </w:t>
      </w:r>
      <w:r w:rsidRPr="008D2D9F">
        <w:rPr>
          <w:bCs/>
          <w:i/>
          <w:iCs/>
          <w:sz w:val="16"/>
          <w:szCs w:val="16"/>
        </w:rPr>
        <w:t>Caso</w:t>
      </w:r>
      <w:r w:rsidRPr="0023362E">
        <w:rPr>
          <w:bCs/>
          <w:i/>
          <w:iCs/>
          <w:sz w:val="16"/>
          <w:szCs w:val="16"/>
        </w:rPr>
        <w:t xml:space="preserve"> Espinoza Gonzáles Vs. Perú</w:t>
      </w:r>
      <w:r w:rsidRPr="0023362E">
        <w:rPr>
          <w:bCs/>
          <w:iCs/>
          <w:sz w:val="16"/>
          <w:szCs w:val="16"/>
        </w:rPr>
        <w:t>, párr. 129</w:t>
      </w:r>
      <w:r w:rsidRPr="0023362E">
        <w:rPr>
          <w:spacing w:val="-4"/>
          <w:sz w:val="16"/>
          <w:szCs w:val="16"/>
          <w:lang w:val="es-PR"/>
        </w:rPr>
        <w:t>.</w:t>
      </w:r>
    </w:p>
  </w:footnote>
  <w:footnote w:id="196">
    <w:p w:rsidR="00E65148" w:rsidRPr="0023362E" w:rsidRDefault="00E65148" w:rsidP="00E54423">
      <w:pPr>
        <w:pStyle w:val="FootnoteText"/>
        <w:tabs>
          <w:tab w:val="left" w:pos="567"/>
        </w:tabs>
        <w:contextualSpacing/>
        <w:rPr>
          <w:spacing w:val="-4"/>
          <w:szCs w:val="16"/>
          <w:lang w:val="es-GT"/>
        </w:rPr>
      </w:pPr>
      <w:r w:rsidRPr="0023362E">
        <w:rPr>
          <w:rStyle w:val="FootnoteReference"/>
          <w:rFonts w:eastAsiaTheme="majorEastAsia"/>
          <w:spacing w:val="-4"/>
          <w:szCs w:val="16"/>
        </w:rPr>
        <w:footnoteRef/>
      </w:r>
      <w:r w:rsidRPr="0023362E">
        <w:rPr>
          <w:i/>
          <w:spacing w:val="-4"/>
          <w:szCs w:val="16"/>
          <w:lang w:val="es-GT"/>
        </w:rPr>
        <w:t xml:space="preserve"> </w:t>
      </w:r>
      <w:r w:rsidRPr="0023362E">
        <w:rPr>
          <w:i/>
          <w:spacing w:val="-4"/>
          <w:szCs w:val="16"/>
          <w:lang w:val="es-GT"/>
        </w:rPr>
        <w:tab/>
        <w:t xml:space="preserve">Cfr. </w:t>
      </w:r>
      <w:r w:rsidRPr="00CF4A86">
        <w:rPr>
          <w:i/>
          <w:spacing w:val="-4"/>
          <w:szCs w:val="16"/>
          <w:lang w:val="es-GT"/>
        </w:rPr>
        <w:t>Caso</w:t>
      </w:r>
      <w:r w:rsidRPr="0023362E">
        <w:rPr>
          <w:i/>
          <w:spacing w:val="-4"/>
          <w:szCs w:val="16"/>
          <w:lang w:val="es-GT"/>
        </w:rPr>
        <w:t xml:space="preserve"> López Álvarez Vs. Honduras. Fondo, Reparaciones y Costas. </w:t>
      </w:r>
      <w:r w:rsidRPr="0023362E">
        <w:rPr>
          <w:spacing w:val="-4"/>
          <w:szCs w:val="16"/>
          <w:lang w:val="es-GT"/>
        </w:rPr>
        <w:t xml:space="preserve">Sentencia de 1 de febrero de 2006. Serie C No. 141, párr. 88, y </w:t>
      </w:r>
      <w:r w:rsidRPr="00CF4A86">
        <w:rPr>
          <w:bCs/>
          <w:i/>
          <w:iCs/>
          <w:szCs w:val="16"/>
          <w:lang w:val="es-ES"/>
        </w:rPr>
        <w:t>Caso</w:t>
      </w:r>
      <w:r w:rsidRPr="0023362E">
        <w:rPr>
          <w:bCs/>
          <w:i/>
          <w:iCs/>
          <w:szCs w:val="16"/>
          <w:lang w:val="es-ES"/>
        </w:rPr>
        <w:t xml:space="preserve"> Espinoza Gonzáles Vs. Perú</w:t>
      </w:r>
      <w:r w:rsidRPr="0023362E">
        <w:rPr>
          <w:bCs/>
          <w:iCs/>
          <w:szCs w:val="16"/>
          <w:lang w:val="es-ES"/>
        </w:rPr>
        <w:t>, párr. 129.</w:t>
      </w:r>
    </w:p>
  </w:footnote>
  <w:footnote w:id="197">
    <w:p w:rsidR="00E65148" w:rsidRPr="0023362E" w:rsidRDefault="00E65148" w:rsidP="00E54423">
      <w:pPr>
        <w:pStyle w:val="FootnoteText"/>
        <w:rPr>
          <w:szCs w:val="16"/>
          <w:lang w:val="es-CR"/>
        </w:rPr>
      </w:pPr>
      <w:r w:rsidRPr="0023362E">
        <w:rPr>
          <w:rStyle w:val="FootnoteReference"/>
          <w:rFonts w:eastAsia="Calibri"/>
          <w:szCs w:val="16"/>
        </w:rPr>
        <w:footnoteRef/>
      </w:r>
      <w:r w:rsidRPr="0023362E">
        <w:rPr>
          <w:szCs w:val="16"/>
        </w:rPr>
        <w:t xml:space="preserve"> </w:t>
      </w:r>
      <w:r w:rsidRPr="0023362E">
        <w:rPr>
          <w:szCs w:val="16"/>
        </w:rPr>
        <w:tab/>
      </w:r>
      <w:r w:rsidRPr="00CF4A86">
        <w:rPr>
          <w:bCs/>
          <w:i/>
          <w:iCs/>
          <w:szCs w:val="16"/>
          <w:lang w:val="es-ES"/>
        </w:rPr>
        <w:t>Caso</w:t>
      </w:r>
      <w:r w:rsidRPr="0023362E">
        <w:rPr>
          <w:bCs/>
          <w:i/>
          <w:iCs/>
          <w:szCs w:val="16"/>
          <w:lang w:val="es-ES"/>
        </w:rPr>
        <w:t xml:space="preserve"> J. Vs. Perú</w:t>
      </w:r>
      <w:r w:rsidRPr="0023362E">
        <w:rPr>
          <w:bCs/>
          <w:iCs/>
          <w:szCs w:val="16"/>
          <w:lang w:val="es-ES"/>
        </w:rPr>
        <w:t>, párr. 144.</w:t>
      </w:r>
    </w:p>
  </w:footnote>
  <w:footnote w:id="198">
    <w:p w:rsidR="00E65148" w:rsidRPr="0023362E" w:rsidRDefault="00E65148" w:rsidP="00E54423">
      <w:pPr>
        <w:tabs>
          <w:tab w:val="left" w:pos="567"/>
        </w:tabs>
        <w:contextualSpacing/>
        <w:rPr>
          <w:spacing w:val="-4"/>
          <w:sz w:val="16"/>
          <w:szCs w:val="16"/>
          <w:lang w:val="es-PR"/>
        </w:rPr>
      </w:pPr>
      <w:r w:rsidRPr="0023362E">
        <w:rPr>
          <w:rStyle w:val="FootnoteReference"/>
          <w:spacing w:val="-4"/>
          <w:sz w:val="16"/>
          <w:szCs w:val="16"/>
        </w:rPr>
        <w:footnoteRef/>
      </w:r>
      <w:r w:rsidRPr="0023362E">
        <w:rPr>
          <w:spacing w:val="-4"/>
          <w:sz w:val="16"/>
          <w:szCs w:val="16"/>
          <w:lang w:val="es-GT"/>
        </w:rPr>
        <w:t xml:space="preserve"> </w:t>
      </w:r>
      <w:r w:rsidRPr="0023362E">
        <w:rPr>
          <w:spacing w:val="-4"/>
          <w:sz w:val="16"/>
          <w:szCs w:val="16"/>
          <w:lang w:val="es-GT"/>
        </w:rPr>
        <w:tab/>
      </w:r>
      <w:r>
        <w:rPr>
          <w:spacing w:val="-4"/>
          <w:sz w:val="16"/>
          <w:szCs w:val="16"/>
          <w:lang w:val="es-GT"/>
        </w:rPr>
        <w:tab/>
      </w:r>
      <w:r w:rsidRPr="0023362E">
        <w:rPr>
          <w:color w:val="000000"/>
          <w:spacing w:val="-2"/>
          <w:sz w:val="16"/>
          <w:szCs w:val="16"/>
        </w:rPr>
        <w:t xml:space="preserve">De modo análogo, en otros casos </w:t>
      </w:r>
      <w:r w:rsidRPr="0023362E">
        <w:rPr>
          <w:spacing w:val="-2"/>
          <w:sz w:val="16"/>
          <w:szCs w:val="16"/>
        </w:rPr>
        <w:t>la Corte ha señalado que la prolongación de la detención sin que la persona sea puesta a disposición de la autoridad competente la transforma en arbitraria.</w:t>
      </w:r>
      <w:r w:rsidRPr="0023362E">
        <w:rPr>
          <w:i/>
          <w:spacing w:val="-4"/>
          <w:sz w:val="16"/>
          <w:szCs w:val="16"/>
          <w:lang w:val="es-VE"/>
        </w:rPr>
        <w:t xml:space="preserve"> Cfr. </w:t>
      </w:r>
      <w:r w:rsidRPr="008D2D9F">
        <w:rPr>
          <w:i/>
          <w:spacing w:val="-4"/>
          <w:sz w:val="16"/>
          <w:szCs w:val="16"/>
          <w:lang w:val="es-PR"/>
        </w:rPr>
        <w:t>Caso</w:t>
      </w:r>
      <w:r w:rsidRPr="0023362E">
        <w:rPr>
          <w:i/>
          <w:spacing w:val="-4"/>
          <w:sz w:val="16"/>
          <w:szCs w:val="16"/>
          <w:lang w:val="es-VE"/>
        </w:rPr>
        <w:t xml:space="preserve"> Cabrera García y Montiel Flores Vs. México. Excepciones Preliminares, Fondo, Reparaciones y Costas. </w:t>
      </w:r>
      <w:r w:rsidRPr="0023362E">
        <w:rPr>
          <w:spacing w:val="-4"/>
          <w:sz w:val="16"/>
          <w:szCs w:val="16"/>
          <w:lang w:val="es-VE"/>
        </w:rPr>
        <w:t>Sentencia de 26 de noviembre de 2010. Serie C No. 220</w:t>
      </w:r>
      <w:r w:rsidRPr="0023362E">
        <w:rPr>
          <w:i/>
          <w:spacing w:val="-4"/>
          <w:sz w:val="16"/>
          <w:szCs w:val="16"/>
          <w:lang w:val="es-VE"/>
        </w:rPr>
        <w:t>,</w:t>
      </w:r>
      <w:r w:rsidRPr="0023362E">
        <w:rPr>
          <w:spacing w:val="-4"/>
          <w:sz w:val="16"/>
          <w:szCs w:val="16"/>
          <w:lang w:val="es-VE"/>
        </w:rPr>
        <w:t xml:space="preserve"> párr. 102, y </w:t>
      </w:r>
      <w:r w:rsidRPr="008D2D9F">
        <w:rPr>
          <w:bCs/>
          <w:i/>
          <w:iCs/>
          <w:sz w:val="16"/>
          <w:szCs w:val="16"/>
        </w:rPr>
        <w:t>Caso</w:t>
      </w:r>
      <w:r w:rsidRPr="0023362E">
        <w:rPr>
          <w:bCs/>
          <w:i/>
          <w:iCs/>
          <w:sz w:val="16"/>
          <w:szCs w:val="16"/>
        </w:rPr>
        <w:t xml:space="preserve"> Espinoza Gonzáles Vs. Perú</w:t>
      </w:r>
      <w:r w:rsidRPr="0023362E">
        <w:rPr>
          <w:bCs/>
          <w:iCs/>
          <w:sz w:val="16"/>
          <w:szCs w:val="16"/>
        </w:rPr>
        <w:t>, párr. 134</w:t>
      </w:r>
      <w:r w:rsidRPr="0023362E">
        <w:rPr>
          <w:spacing w:val="-4"/>
          <w:sz w:val="16"/>
          <w:szCs w:val="16"/>
          <w:lang w:val="es-PR"/>
        </w:rPr>
        <w:t>.</w:t>
      </w:r>
    </w:p>
  </w:footnote>
  <w:footnote w:id="199">
    <w:p w:rsidR="00E65148" w:rsidRPr="0023362E" w:rsidRDefault="00E65148" w:rsidP="00E54423">
      <w:pPr>
        <w:pStyle w:val="FootnoteText"/>
        <w:tabs>
          <w:tab w:val="left" w:pos="567"/>
        </w:tabs>
        <w:contextualSpacing/>
        <w:rPr>
          <w:spacing w:val="-4"/>
          <w:szCs w:val="16"/>
          <w:lang w:val="es-GT"/>
        </w:rPr>
      </w:pPr>
      <w:r w:rsidRPr="0023362E">
        <w:rPr>
          <w:rStyle w:val="FootnoteReference"/>
          <w:rFonts w:eastAsiaTheme="majorEastAsia"/>
          <w:spacing w:val="-4"/>
          <w:szCs w:val="16"/>
        </w:rPr>
        <w:footnoteRef/>
      </w:r>
      <w:r w:rsidRPr="0023362E">
        <w:rPr>
          <w:spacing w:val="-4"/>
          <w:szCs w:val="16"/>
          <w:lang w:val="es-GT"/>
        </w:rPr>
        <w:t xml:space="preserve"> </w:t>
      </w:r>
      <w:r w:rsidRPr="0023362E">
        <w:rPr>
          <w:spacing w:val="-4"/>
          <w:szCs w:val="16"/>
          <w:lang w:val="es-GT"/>
        </w:rPr>
        <w:tab/>
      </w:r>
      <w:r w:rsidRPr="0023362E">
        <w:rPr>
          <w:i/>
          <w:spacing w:val="-4"/>
          <w:szCs w:val="16"/>
          <w:lang w:val="es-PR"/>
        </w:rPr>
        <w:t xml:space="preserve">Cfr. </w:t>
      </w:r>
      <w:r w:rsidRPr="00CF4A86">
        <w:rPr>
          <w:rStyle w:val="Strong"/>
          <w:rFonts w:eastAsia="Calibri"/>
          <w:b w:val="0"/>
          <w:i/>
          <w:spacing w:val="-4"/>
          <w:szCs w:val="16"/>
          <w:shd w:val="clear" w:color="auto" w:fill="FFFFFF"/>
        </w:rPr>
        <w:t>Caso</w:t>
      </w:r>
      <w:r w:rsidRPr="008D2D9F">
        <w:rPr>
          <w:rStyle w:val="Strong"/>
          <w:rFonts w:eastAsia="Calibri"/>
          <w:b w:val="0"/>
          <w:spacing w:val="-4"/>
          <w:szCs w:val="16"/>
          <w:shd w:val="clear" w:color="auto" w:fill="FFFFFF"/>
        </w:rPr>
        <w:t xml:space="preserve"> </w:t>
      </w:r>
      <w:r w:rsidRPr="0023362E">
        <w:rPr>
          <w:rStyle w:val="Strong"/>
          <w:rFonts w:eastAsia="Calibri"/>
          <w:b w:val="0"/>
          <w:i/>
          <w:spacing w:val="-4"/>
          <w:szCs w:val="16"/>
          <w:shd w:val="clear" w:color="auto" w:fill="FFFFFF"/>
        </w:rPr>
        <w:t>Cabrera García y Montiel Flores Vs. México</w:t>
      </w:r>
      <w:r w:rsidRPr="0023362E">
        <w:rPr>
          <w:spacing w:val="-4"/>
          <w:szCs w:val="16"/>
          <w:lang w:val="es-PR"/>
        </w:rPr>
        <w:t xml:space="preserve">, párr. 106, y </w:t>
      </w:r>
      <w:r w:rsidRPr="00E207A2">
        <w:rPr>
          <w:bCs/>
          <w:i/>
          <w:iCs/>
          <w:szCs w:val="16"/>
        </w:rPr>
        <w:t xml:space="preserve">Caso </w:t>
      </w:r>
      <w:r w:rsidRPr="0023362E">
        <w:rPr>
          <w:bCs/>
          <w:i/>
          <w:iCs/>
          <w:szCs w:val="16"/>
        </w:rPr>
        <w:t>Espinoza Gonzáles Vs. Perú</w:t>
      </w:r>
      <w:r w:rsidRPr="0023362E">
        <w:rPr>
          <w:bCs/>
          <w:iCs/>
          <w:szCs w:val="16"/>
        </w:rPr>
        <w:t xml:space="preserve">, párr. 124. </w:t>
      </w:r>
    </w:p>
  </w:footnote>
  <w:footnote w:id="200">
    <w:p w:rsidR="00E65148" w:rsidRPr="0023362E" w:rsidRDefault="00E65148" w:rsidP="00E54423">
      <w:pPr>
        <w:tabs>
          <w:tab w:val="left" w:pos="567"/>
        </w:tabs>
        <w:contextualSpacing/>
        <w:rPr>
          <w:spacing w:val="-4"/>
          <w:sz w:val="16"/>
          <w:szCs w:val="16"/>
          <w:lang w:val="es-PR"/>
        </w:rPr>
      </w:pPr>
      <w:r w:rsidRPr="0023362E">
        <w:rPr>
          <w:rStyle w:val="FootnoteReference"/>
          <w:spacing w:val="-4"/>
          <w:sz w:val="16"/>
          <w:szCs w:val="16"/>
        </w:rPr>
        <w:footnoteRef/>
      </w:r>
      <w:r w:rsidRPr="0023362E">
        <w:rPr>
          <w:i/>
          <w:spacing w:val="-4"/>
          <w:sz w:val="16"/>
          <w:szCs w:val="16"/>
          <w:lang w:val="es-PR"/>
        </w:rPr>
        <w:t xml:space="preserve"> </w:t>
      </w:r>
      <w:r w:rsidRPr="0023362E">
        <w:rPr>
          <w:i/>
          <w:spacing w:val="-4"/>
          <w:sz w:val="16"/>
          <w:szCs w:val="16"/>
          <w:lang w:val="es-PR"/>
        </w:rPr>
        <w:tab/>
        <w:t>Cfr.</w:t>
      </w:r>
      <w:r w:rsidRPr="00CF4A86">
        <w:rPr>
          <w:i/>
          <w:spacing w:val="-4"/>
          <w:sz w:val="16"/>
          <w:szCs w:val="16"/>
          <w:lang w:val="es-PR"/>
        </w:rPr>
        <w:t xml:space="preserve"> </w:t>
      </w:r>
      <w:r w:rsidRPr="00CF4A86">
        <w:rPr>
          <w:rStyle w:val="Strong"/>
          <w:b w:val="0"/>
          <w:i/>
          <w:spacing w:val="-4"/>
          <w:sz w:val="16"/>
          <w:szCs w:val="16"/>
          <w:shd w:val="clear" w:color="auto" w:fill="FFFFFF"/>
        </w:rPr>
        <w:t>Caso</w:t>
      </w:r>
      <w:r w:rsidRPr="00AF3402">
        <w:rPr>
          <w:rStyle w:val="Strong"/>
          <w:b w:val="0"/>
          <w:spacing w:val="-4"/>
          <w:sz w:val="16"/>
          <w:szCs w:val="16"/>
          <w:shd w:val="clear" w:color="auto" w:fill="FFFFFF"/>
        </w:rPr>
        <w:t xml:space="preserve"> </w:t>
      </w:r>
      <w:r w:rsidRPr="0023362E">
        <w:rPr>
          <w:rStyle w:val="Strong"/>
          <w:b w:val="0"/>
          <w:i/>
          <w:spacing w:val="-4"/>
          <w:sz w:val="16"/>
          <w:szCs w:val="16"/>
          <w:shd w:val="clear" w:color="auto" w:fill="FFFFFF"/>
        </w:rPr>
        <w:t>Juan Humberto Sánchez Vs. Honduras. Excepción Preliminar, Fondo, Reparaciones y Costas</w:t>
      </w:r>
      <w:r w:rsidRPr="0023362E">
        <w:rPr>
          <w:rStyle w:val="Strong"/>
          <w:b w:val="0"/>
          <w:spacing w:val="-4"/>
          <w:sz w:val="16"/>
          <w:szCs w:val="16"/>
          <w:shd w:val="clear" w:color="auto" w:fill="FFFFFF"/>
        </w:rPr>
        <w:t>. Sentencia de 7 de junio de 2003. Serie C No. 99</w:t>
      </w:r>
      <w:r w:rsidRPr="005E6680">
        <w:rPr>
          <w:spacing w:val="-4"/>
          <w:sz w:val="16"/>
          <w:szCs w:val="16"/>
          <w:lang w:val="es-PR"/>
        </w:rPr>
        <w:t>,</w:t>
      </w:r>
      <w:r w:rsidRPr="0023362E">
        <w:rPr>
          <w:spacing w:val="-4"/>
          <w:sz w:val="16"/>
          <w:szCs w:val="16"/>
          <w:lang w:val="es-PR"/>
        </w:rPr>
        <w:t xml:space="preserve"> párr. 82, y </w:t>
      </w:r>
      <w:r w:rsidRPr="008D2D9F">
        <w:rPr>
          <w:bCs/>
          <w:i/>
          <w:iCs/>
          <w:sz w:val="16"/>
          <w:szCs w:val="16"/>
        </w:rPr>
        <w:t>Caso</w:t>
      </w:r>
      <w:r w:rsidRPr="0023362E">
        <w:rPr>
          <w:bCs/>
          <w:i/>
          <w:iCs/>
          <w:sz w:val="16"/>
          <w:szCs w:val="16"/>
        </w:rPr>
        <w:t xml:space="preserve"> Espinoza Gonzáles Vs. Perú</w:t>
      </w:r>
      <w:r w:rsidRPr="0023362E">
        <w:rPr>
          <w:bCs/>
          <w:iCs/>
          <w:sz w:val="16"/>
          <w:szCs w:val="16"/>
        </w:rPr>
        <w:t>, párr. 124.</w:t>
      </w:r>
      <w:r w:rsidRPr="0023362E">
        <w:rPr>
          <w:spacing w:val="-4"/>
          <w:sz w:val="16"/>
          <w:szCs w:val="16"/>
          <w:lang w:val="es-GT"/>
        </w:rPr>
        <w:t xml:space="preserve"> </w:t>
      </w:r>
    </w:p>
  </w:footnote>
  <w:footnote w:id="201">
    <w:p w:rsidR="00E65148" w:rsidRPr="0023362E" w:rsidRDefault="00E65148" w:rsidP="00E54423">
      <w:pPr>
        <w:tabs>
          <w:tab w:val="left" w:pos="567"/>
        </w:tabs>
        <w:contextualSpacing/>
        <w:rPr>
          <w:spacing w:val="-4"/>
          <w:sz w:val="16"/>
          <w:szCs w:val="16"/>
          <w:lang w:val="es-CO"/>
        </w:rPr>
      </w:pPr>
      <w:r w:rsidRPr="0023362E">
        <w:rPr>
          <w:rStyle w:val="FootnoteReference"/>
          <w:spacing w:val="-4"/>
          <w:sz w:val="16"/>
          <w:szCs w:val="16"/>
        </w:rPr>
        <w:footnoteRef/>
      </w:r>
      <w:r w:rsidRPr="0023362E">
        <w:rPr>
          <w:i/>
          <w:spacing w:val="-4"/>
          <w:sz w:val="16"/>
          <w:szCs w:val="16"/>
          <w:lang w:val="es-PR"/>
        </w:rPr>
        <w:t xml:space="preserve"> </w:t>
      </w:r>
      <w:r w:rsidRPr="0023362E">
        <w:rPr>
          <w:i/>
          <w:spacing w:val="-4"/>
          <w:sz w:val="16"/>
          <w:szCs w:val="16"/>
          <w:lang w:val="es-PR"/>
        </w:rPr>
        <w:tab/>
        <w:t xml:space="preserve">Cfr. </w:t>
      </w:r>
      <w:r w:rsidRPr="00CF4A86">
        <w:rPr>
          <w:i/>
          <w:spacing w:val="-4"/>
          <w:sz w:val="16"/>
          <w:szCs w:val="16"/>
          <w:lang w:val="es-PR"/>
        </w:rPr>
        <w:t>Caso</w:t>
      </w:r>
      <w:r w:rsidRPr="0023362E">
        <w:rPr>
          <w:i/>
          <w:spacing w:val="-4"/>
          <w:sz w:val="16"/>
          <w:szCs w:val="16"/>
          <w:lang w:val="es-PR"/>
        </w:rPr>
        <w:t xml:space="preserve"> Chaparro Álvarez y Lapo Íñiguez Vs. Ecuador</w:t>
      </w:r>
      <w:r w:rsidRPr="0023362E">
        <w:rPr>
          <w:spacing w:val="-4"/>
          <w:sz w:val="16"/>
          <w:szCs w:val="16"/>
        </w:rPr>
        <w:t>, párr. 71</w:t>
      </w:r>
      <w:r w:rsidRPr="0023362E">
        <w:rPr>
          <w:spacing w:val="-4"/>
          <w:sz w:val="16"/>
          <w:szCs w:val="16"/>
          <w:lang w:val="es-PR"/>
        </w:rPr>
        <w:t>,</w:t>
      </w:r>
      <w:r w:rsidRPr="0023362E">
        <w:rPr>
          <w:spacing w:val="-4"/>
          <w:sz w:val="16"/>
          <w:szCs w:val="16"/>
          <w:lang w:val="es-CO"/>
        </w:rPr>
        <w:t xml:space="preserve"> </w:t>
      </w:r>
      <w:r w:rsidRPr="0023362E">
        <w:rPr>
          <w:spacing w:val="-4"/>
          <w:sz w:val="16"/>
          <w:szCs w:val="16"/>
          <w:lang w:val="es-PR"/>
        </w:rPr>
        <w:t xml:space="preserve">y </w:t>
      </w:r>
      <w:r w:rsidRPr="00CF4A86">
        <w:rPr>
          <w:bCs/>
          <w:i/>
          <w:iCs/>
          <w:sz w:val="16"/>
          <w:szCs w:val="16"/>
        </w:rPr>
        <w:t>Caso</w:t>
      </w:r>
      <w:r w:rsidRPr="0023362E">
        <w:rPr>
          <w:bCs/>
          <w:i/>
          <w:iCs/>
          <w:sz w:val="16"/>
          <w:szCs w:val="16"/>
        </w:rPr>
        <w:t xml:space="preserve"> Espinoza Gonzáles Vs. Perú</w:t>
      </w:r>
      <w:r w:rsidRPr="0023362E">
        <w:rPr>
          <w:bCs/>
          <w:iCs/>
          <w:sz w:val="16"/>
          <w:szCs w:val="16"/>
        </w:rPr>
        <w:t>, párr. 124</w:t>
      </w:r>
      <w:r w:rsidRPr="0023362E">
        <w:rPr>
          <w:spacing w:val="-4"/>
          <w:sz w:val="16"/>
          <w:szCs w:val="16"/>
          <w:lang w:val="es-PR"/>
        </w:rPr>
        <w:t>.</w:t>
      </w:r>
    </w:p>
  </w:footnote>
  <w:footnote w:id="202">
    <w:p w:rsidR="00E65148" w:rsidRPr="0023362E" w:rsidRDefault="00E65148" w:rsidP="00E54423">
      <w:pPr>
        <w:pStyle w:val="FootnoteText"/>
        <w:tabs>
          <w:tab w:val="left" w:pos="567"/>
        </w:tabs>
        <w:rPr>
          <w:spacing w:val="-4"/>
          <w:szCs w:val="16"/>
          <w:lang w:val="es-PR"/>
        </w:rPr>
      </w:pPr>
      <w:r w:rsidRPr="0023362E">
        <w:rPr>
          <w:rStyle w:val="FootnoteReference"/>
          <w:rFonts w:eastAsiaTheme="majorEastAsia"/>
          <w:spacing w:val="-4"/>
          <w:szCs w:val="16"/>
        </w:rPr>
        <w:footnoteRef/>
      </w:r>
      <w:r w:rsidRPr="0023362E">
        <w:rPr>
          <w:i/>
          <w:spacing w:val="-4"/>
          <w:szCs w:val="16"/>
          <w:lang w:val="es-PR"/>
        </w:rPr>
        <w:t xml:space="preserve"> </w:t>
      </w:r>
      <w:r w:rsidRPr="0023362E">
        <w:rPr>
          <w:i/>
          <w:spacing w:val="-4"/>
          <w:szCs w:val="16"/>
          <w:lang w:val="es-PR"/>
        </w:rPr>
        <w:tab/>
        <w:t xml:space="preserve">Cfr. </w:t>
      </w:r>
      <w:r w:rsidRPr="00CF4A86">
        <w:rPr>
          <w:rStyle w:val="Strong"/>
          <w:rFonts w:eastAsia="Calibri"/>
          <w:b w:val="0"/>
          <w:i/>
          <w:spacing w:val="-4"/>
          <w:szCs w:val="16"/>
          <w:shd w:val="clear" w:color="auto" w:fill="FFFFFF"/>
        </w:rPr>
        <w:t>Caso</w:t>
      </w:r>
      <w:r w:rsidRPr="0023362E">
        <w:rPr>
          <w:rStyle w:val="Strong"/>
          <w:rFonts w:eastAsia="Calibri"/>
          <w:b w:val="0"/>
          <w:spacing w:val="-4"/>
          <w:szCs w:val="16"/>
          <w:shd w:val="clear" w:color="auto" w:fill="FFFFFF"/>
        </w:rPr>
        <w:t xml:space="preserve"> </w:t>
      </w:r>
      <w:proofErr w:type="spellStart"/>
      <w:r w:rsidRPr="0023362E">
        <w:rPr>
          <w:rStyle w:val="Strong"/>
          <w:rFonts w:eastAsia="Calibri"/>
          <w:b w:val="0"/>
          <w:i/>
          <w:spacing w:val="-4"/>
          <w:szCs w:val="16"/>
          <w:shd w:val="clear" w:color="auto" w:fill="FFFFFF"/>
        </w:rPr>
        <w:t>Yvon</w:t>
      </w:r>
      <w:proofErr w:type="spellEnd"/>
      <w:r w:rsidRPr="0023362E">
        <w:rPr>
          <w:rStyle w:val="Strong"/>
          <w:rFonts w:eastAsia="Calibri"/>
          <w:b w:val="0"/>
          <w:i/>
          <w:spacing w:val="-4"/>
          <w:szCs w:val="16"/>
          <w:shd w:val="clear" w:color="auto" w:fill="FFFFFF"/>
        </w:rPr>
        <w:t xml:space="preserve"> </w:t>
      </w:r>
      <w:proofErr w:type="spellStart"/>
      <w:r w:rsidRPr="0023362E">
        <w:rPr>
          <w:rStyle w:val="Strong"/>
          <w:rFonts w:eastAsia="Calibri"/>
          <w:b w:val="0"/>
          <w:i/>
          <w:spacing w:val="-4"/>
          <w:szCs w:val="16"/>
          <w:shd w:val="clear" w:color="auto" w:fill="FFFFFF"/>
        </w:rPr>
        <w:t>Neptune</w:t>
      </w:r>
      <w:proofErr w:type="spellEnd"/>
      <w:r w:rsidRPr="0023362E">
        <w:rPr>
          <w:rStyle w:val="Strong"/>
          <w:rFonts w:eastAsia="Calibri"/>
          <w:b w:val="0"/>
          <w:i/>
          <w:spacing w:val="-4"/>
          <w:szCs w:val="16"/>
          <w:shd w:val="clear" w:color="auto" w:fill="FFFFFF"/>
        </w:rPr>
        <w:t xml:space="preserve"> Vs. Haití. Fondo, Reparaciones y Costas</w:t>
      </w:r>
      <w:r w:rsidRPr="0023362E">
        <w:rPr>
          <w:rStyle w:val="Strong"/>
          <w:rFonts w:eastAsia="Calibri"/>
          <w:b w:val="0"/>
          <w:spacing w:val="-4"/>
          <w:szCs w:val="16"/>
          <w:shd w:val="clear" w:color="auto" w:fill="FFFFFF"/>
        </w:rPr>
        <w:t>. Sentencia de 6 de mayo de 2008. Serie C No. 180</w:t>
      </w:r>
      <w:r w:rsidRPr="0023362E">
        <w:rPr>
          <w:spacing w:val="-4"/>
          <w:szCs w:val="16"/>
          <w:lang w:val="es-PR"/>
        </w:rPr>
        <w:t>, párr. 109,</w:t>
      </w:r>
      <w:r w:rsidRPr="0023362E">
        <w:rPr>
          <w:spacing w:val="-4"/>
          <w:szCs w:val="16"/>
          <w:lang w:val="es-CO"/>
        </w:rPr>
        <w:t xml:space="preserve"> </w:t>
      </w:r>
      <w:r w:rsidRPr="0023362E">
        <w:rPr>
          <w:spacing w:val="-4"/>
          <w:szCs w:val="16"/>
          <w:lang w:val="es-PR"/>
        </w:rPr>
        <w:t xml:space="preserve">y </w:t>
      </w:r>
      <w:r w:rsidRPr="008D2D9F">
        <w:rPr>
          <w:bCs/>
          <w:i/>
          <w:iCs/>
          <w:szCs w:val="16"/>
        </w:rPr>
        <w:t>Caso</w:t>
      </w:r>
      <w:r w:rsidRPr="00CF4A86">
        <w:rPr>
          <w:bCs/>
          <w:i/>
          <w:iCs/>
          <w:szCs w:val="16"/>
        </w:rPr>
        <w:t xml:space="preserve"> </w:t>
      </w:r>
      <w:r w:rsidRPr="0023362E">
        <w:rPr>
          <w:bCs/>
          <w:i/>
          <w:iCs/>
          <w:szCs w:val="16"/>
        </w:rPr>
        <w:t>Espinoza Gonzáles Vs. Perú</w:t>
      </w:r>
      <w:r w:rsidRPr="0023362E">
        <w:rPr>
          <w:bCs/>
          <w:iCs/>
          <w:szCs w:val="16"/>
        </w:rPr>
        <w:t>, párr. 124</w:t>
      </w:r>
      <w:r w:rsidRPr="0023362E">
        <w:rPr>
          <w:spacing w:val="-4"/>
          <w:szCs w:val="16"/>
          <w:lang w:val="es-GT"/>
        </w:rPr>
        <w:t>.</w:t>
      </w:r>
    </w:p>
  </w:footnote>
  <w:footnote w:id="203">
    <w:p w:rsidR="00E65148" w:rsidRPr="0023362E" w:rsidRDefault="00E65148" w:rsidP="00E54423">
      <w:pPr>
        <w:tabs>
          <w:tab w:val="left" w:pos="426"/>
        </w:tabs>
        <w:autoSpaceDE w:val="0"/>
        <w:autoSpaceDN w:val="0"/>
        <w:rPr>
          <w:spacing w:val="-4"/>
          <w:sz w:val="16"/>
          <w:szCs w:val="16"/>
          <w:lang w:val="es-CR"/>
        </w:rPr>
      </w:pPr>
      <w:r w:rsidRPr="0023362E">
        <w:rPr>
          <w:rStyle w:val="FootnoteReference"/>
          <w:spacing w:val="-4"/>
          <w:sz w:val="16"/>
          <w:szCs w:val="16"/>
        </w:rPr>
        <w:footnoteRef/>
      </w:r>
      <w:r>
        <w:rPr>
          <w:spacing w:val="-4"/>
          <w:sz w:val="16"/>
          <w:szCs w:val="16"/>
        </w:rPr>
        <w:t xml:space="preserve"> </w:t>
      </w:r>
      <w:r>
        <w:rPr>
          <w:spacing w:val="-4"/>
          <w:sz w:val="16"/>
          <w:szCs w:val="16"/>
        </w:rPr>
        <w:tab/>
      </w:r>
      <w:r w:rsidRPr="00CF4A86">
        <w:rPr>
          <w:i/>
          <w:spacing w:val="-4"/>
          <w:sz w:val="16"/>
          <w:szCs w:val="16"/>
        </w:rPr>
        <w:t>Caso</w:t>
      </w:r>
      <w:r w:rsidRPr="0023362E">
        <w:rPr>
          <w:i/>
          <w:spacing w:val="-4"/>
          <w:sz w:val="16"/>
          <w:szCs w:val="16"/>
        </w:rPr>
        <w:t xml:space="preserve"> Barreto Leiva Vs. Venezuela. Fondo, Reparaciones y Costas. </w:t>
      </w:r>
      <w:r w:rsidRPr="00372D86">
        <w:rPr>
          <w:spacing w:val="-4"/>
          <w:sz w:val="16"/>
          <w:szCs w:val="16"/>
        </w:rPr>
        <w:t>Sentencia de 17 de noviembre de 2009. Serie C No. 206</w:t>
      </w:r>
      <w:r w:rsidRPr="0023362E">
        <w:rPr>
          <w:i/>
          <w:spacing w:val="-4"/>
          <w:sz w:val="16"/>
          <w:szCs w:val="16"/>
        </w:rPr>
        <w:t>,</w:t>
      </w:r>
      <w:r w:rsidRPr="0023362E">
        <w:rPr>
          <w:spacing w:val="-4"/>
          <w:sz w:val="16"/>
          <w:szCs w:val="16"/>
        </w:rPr>
        <w:t xml:space="preserve"> párr. 29 </w:t>
      </w:r>
      <w:r w:rsidRPr="0023362E">
        <w:rPr>
          <w:color w:val="000000"/>
          <w:spacing w:val="-4"/>
          <w:sz w:val="16"/>
          <w:szCs w:val="16"/>
        </w:rPr>
        <w:t>y</w:t>
      </w:r>
      <w:r w:rsidRPr="0023362E">
        <w:rPr>
          <w:spacing w:val="-4"/>
          <w:sz w:val="16"/>
          <w:szCs w:val="16"/>
          <w:lang w:val="es-CO"/>
        </w:rPr>
        <w:t xml:space="preserve"> </w:t>
      </w:r>
      <w:r w:rsidRPr="00CF4A86">
        <w:rPr>
          <w:bCs/>
          <w:i/>
          <w:iCs/>
          <w:sz w:val="16"/>
          <w:szCs w:val="16"/>
        </w:rPr>
        <w:t>Caso</w:t>
      </w:r>
      <w:r w:rsidRPr="0023362E">
        <w:rPr>
          <w:bCs/>
          <w:i/>
          <w:iCs/>
          <w:sz w:val="16"/>
          <w:szCs w:val="16"/>
        </w:rPr>
        <w:t xml:space="preserve"> J. Vs. Perú</w:t>
      </w:r>
      <w:r w:rsidRPr="0023362E">
        <w:rPr>
          <w:bCs/>
          <w:iCs/>
          <w:sz w:val="16"/>
          <w:szCs w:val="16"/>
        </w:rPr>
        <w:t>, párr. 194.</w:t>
      </w:r>
    </w:p>
  </w:footnote>
  <w:footnote w:id="204">
    <w:p w:rsidR="00E65148" w:rsidRPr="0023362E" w:rsidRDefault="00E65148" w:rsidP="00E54423">
      <w:pPr>
        <w:pStyle w:val="FootnoteText"/>
        <w:rPr>
          <w:szCs w:val="16"/>
          <w:lang w:val="es-CR"/>
        </w:rPr>
      </w:pPr>
      <w:r w:rsidRPr="0023362E">
        <w:rPr>
          <w:rStyle w:val="FootnoteReference"/>
          <w:rFonts w:eastAsia="Calibri"/>
          <w:szCs w:val="16"/>
        </w:rPr>
        <w:footnoteRef/>
      </w:r>
      <w:r w:rsidRPr="0023362E">
        <w:rPr>
          <w:szCs w:val="16"/>
        </w:rPr>
        <w:t xml:space="preserve"> </w:t>
      </w:r>
      <w:r w:rsidRPr="0023362E">
        <w:rPr>
          <w:szCs w:val="16"/>
        </w:rPr>
        <w:tab/>
      </w:r>
      <w:r w:rsidRPr="00CF4A86">
        <w:rPr>
          <w:bCs/>
          <w:i/>
          <w:iCs/>
          <w:szCs w:val="16"/>
          <w:lang w:val="es-ES"/>
        </w:rPr>
        <w:t>Caso</w:t>
      </w:r>
      <w:r w:rsidRPr="0023362E">
        <w:rPr>
          <w:bCs/>
          <w:i/>
          <w:iCs/>
          <w:szCs w:val="16"/>
          <w:lang w:val="es-ES"/>
        </w:rPr>
        <w:t xml:space="preserve"> </w:t>
      </w:r>
      <w:r w:rsidRPr="0023362E">
        <w:rPr>
          <w:i/>
          <w:spacing w:val="-4"/>
          <w:szCs w:val="16"/>
        </w:rPr>
        <w:t>Barreto Leiva Vs. Venezuela,</w:t>
      </w:r>
      <w:r w:rsidRPr="0023362E">
        <w:rPr>
          <w:spacing w:val="-4"/>
          <w:szCs w:val="16"/>
        </w:rPr>
        <w:t xml:space="preserve"> párr. 29, y Caso </w:t>
      </w:r>
      <w:r w:rsidRPr="0023362E">
        <w:rPr>
          <w:bCs/>
          <w:i/>
          <w:iCs/>
          <w:szCs w:val="16"/>
          <w:lang w:val="es-ES"/>
        </w:rPr>
        <w:t>Cabrera García y Montiel Flores Vs. México</w:t>
      </w:r>
      <w:r w:rsidRPr="0023362E">
        <w:rPr>
          <w:bCs/>
          <w:iCs/>
          <w:szCs w:val="16"/>
          <w:lang w:val="es-ES"/>
        </w:rPr>
        <w:t>, párr. 154.</w:t>
      </w:r>
    </w:p>
  </w:footnote>
  <w:footnote w:id="205">
    <w:p w:rsidR="00E65148" w:rsidRPr="0023362E" w:rsidRDefault="00E65148" w:rsidP="00E54423">
      <w:pPr>
        <w:tabs>
          <w:tab w:val="left" w:pos="426"/>
        </w:tabs>
        <w:autoSpaceDE w:val="0"/>
        <w:autoSpaceDN w:val="0"/>
        <w:rPr>
          <w:spacing w:val="-4"/>
          <w:sz w:val="16"/>
          <w:szCs w:val="16"/>
        </w:rPr>
      </w:pPr>
      <w:r w:rsidRPr="0023362E">
        <w:rPr>
          <w:rStyle w:val="FootnoteReference"/>
          <w:spacing w:val="-4"/>
          <w:sz w:val="16"/>
          <w:szCs w:val="16"/>
        </w:rPr>
        <w:footnoteRef/>
      </w:r>
      <w:r w:rsidRPr="0023362E">
        <w:rPr>
          <w:i/>
          <w:spacing w:val="-4"/>
          <w:sz w:val="16"/>
          <w:szCs w:val="16"/>
        </w:rPr>
        <w:t xml:space="preserve"> </w:t>
      </w:r>
      <w:r w:rsidRPr="0023362E">
        <w:rPr>
          <w:i/>
          <w:spacing w:val="-4"/>
          <w:sz w:val="16"/>
          <w:szCs w:val="16"/>
        </w:rPr>
        <w:tab/>
        <w:t xml:space="preserve">Cfr. </w:t>
      </w:r>
      <w:r w:rsidRPr="00CF4A86">
        <w:rPr>
          <w:i/>
          <w:spacing w:val="-4"/>
          <w:sz w:val="16"/>
          <w:szCs w:val="16"/>
        </w:rPr>
        <w:t>Caso</w:t>
      </w:r>
      <w:r w:rsidRPr="0023362E">
        <w:rPr>
          <w:i/>
          <w:spacing w:val="-4"/>
          <w:sz w:val="16"/>
          <w:szCs w:val="16"/>
        </w:rPr>
        <w:t xml:space="preserve"> Tibi Vs. Ecuador</w:t>
      </w:r>
      <w:r>
        <w:rPr>
          <w:i/>
          <w:spacing w:val="-4"/>
          <w:sz w:val="16"/>
          <w:szCs w:val="16"/>
        </w:rPr>
        <w:t>,</w:t>
      </w:r>
      <w:r w:rsidRPr="0023362E">
        <w:rPr>
          <w:i/>
          <w:spacing w:val="-4"/>
          <w:sz w:val="16"/>
          <w:szCs w:val="16"/>
        </w:rPr>
        <w:t xml:space="preserve"> </w:t>
      </w:r>
      <w:r w:rsidRPr="0023362E">
        <w:rPr>
          <w:spacing w:val="-4"/>
          <w:sz w:val="16"/>
          <w:szCs w:val="16"/>
        </w:rPr>
        <w:t xml:space="preserve">párr. 187, y </w:t>
      </w:r>
      <w:r w:rsidRPr="00CF4A86">
        <w:rPr>
          <w:bCs/>
          <w:i/>
          <w:iCs/>
          <w:sz w:val="16"/>
          <w:szCs w:val="16"/>
        </w:rPr>
        <w:t>Caso</w:t>
      </w:r>
      <w:r w:rsidRPr="0023362E">
        <w:rPr>
          <w:bCs/>
          <w:i/>
          <w:iCs/>
          <w:sz w:val="16"/>
          <w:szCs w:val="16"/>
        </w:rPr>
        <w:t xml:space="preserve"> J. Vs. Perú</w:t>
      </w:r>
      <w:r w:rsidRPr="0023362E">
        <w:rPr>
          <w:bCs/>
          <w:iCs/>
          <w:sz w:val="16"/>
          <w:szCs w:val="16"/>
        </w:rPr>
        <w:t>, párr. 195.</w:t>
      </w:r>
    </w:p>
  </w:footnote>
  <w:footnote w:id="206">
    <w:p w:rsidR="00E65148" w:rsidRPr="0023362E" w:rsidRDefault="00E65148" w:rsidP="00E54423">
      <w:pPr>
        <w:pStyle w:val="FootnoteText"/>
        <w:tabs>
          <w:tab w:val="left" w:pos="426"/>
        </w:tabs>
        <w:rPr>
          <w:spacing w:val="-4"/>
          <w:szCs w:val="16"/>
        </w:rPr>
      </w:pPr>
      <w:r w:rsidRPr="0023362E">
        <w:rPr>
          <w:rStyle w:val="FootnoteReference"/>
          <w:rFonts w:eastAsia="Calibri"/>
          <w:spacing w:val="-4"/>
          <w:szCs w:val="16"/>
        </w:rPr>
        <w:footnoteRef/>
      </w:r>
      <w:r w:rsidRPr="0023362E">
        <w:rPr>
          <w:rFonts w:cs="Arial"/>
          <w:i/>
          <w:spacing w:val="-4"/>
          <w:szCs w:val="16"/>
        </w:rPr>
        <w:t xml:space="preserve"> </w:t>
      </w:r>
      <w:r w:rsidRPr="0023362E">
        <w:rPr>
          <w:rFonts w:cs="Arial"/>
          <w:i/>
          <w:spacing w:val="-4"/>
          <w:szCs w:val="16"/>
        </w:rPr>
        <w:tab/>
        <w:t xml:space="preserve">Cfr. </w:t>
      </w:r>
      <w:r w:rsidRPr="00CF4A86">
        <w:rPr>
          <w:i/>
          <w:spacing w:val="-4"/>
          <w:szCs w:val="16"/>
        </w:rPr>
        <w:t>Caso</w:t>
      </w:r>
      <w:r w:rsidRPr="0023362E">
        <w:rPr>
          <w:i/>
          <w:spacing w:val="-4"/>
          <w:szCs w:val="16"/>
        </w:rPr>
        <w:t xml:space="preserve"> Barreto Leiva Vs. Venezuela</w:t>
      </w:r>
      <w:r>
        <w:rPr>
          <w:i/>
          <w:spacing w:val="-4"/>
          <w:szCs w:val="16"/>
        </w:rPr>
        <w:t>,</w:t>
      </w:r>
      <w:r w:rsidRPr="0023362E">
        <w:rPr>
          <w:spacing w:val="-4"/>
          <w:szCs w:val="16"/>
        </w:rPr>
        <w:t xml:space="preserve"> párr. 30, y </w:t>
      </w:r>
      <w:r w:rsidRPr="008D2D9F">
        <w:rPr>
          <w:bCs/>
          <w:i/>
          <w:iCs/>
          <w:szCs w:val="16"/>
          <w:lang w:val="es-ES"/>
        </w:rPr>
        <w:t>Caso</w:t>
      </w:r>
      <w:r w:rsidRPr="0023362E">
        <w:rPr>
          <w:bCs/>
          <w:i/>
          <w:iCs/>
          <w:szCs w:val="16"/>
          <w:lang w:val="es-ES"/>
        </w:rPr>
        <w:t xml:space="preserve"> J. Vs. Perú</w:t>
      </w:r>
      <w:r w:rsidRPr="0023362E">
        <w:rPr>
          <w:bCs/>
          <w:iCs/>
          <w:szCs w:val="16"/>
          <w:lang w:val="es-ES"/>
        </w:rPr>
        <w:t>, párr.</w:t>
      </w:r>
      <w:r w:rsidRPr="0023362E">
        <w:rPr>
          <w:bCs/>
          <w:iCs/>
          <w:szCs w:val="16"/>
        </w:rPr>
        <w:t xml:space="preserve"> 195</w:t>
      </w:r>
      <w:r>
        <w:rPr>
          <w:bCs/>
          <w:iCs/>
          <w:szCs w:val="16"/>
        </w:rPr>
        <w:t>.</w:t>
      </w:r>
    </w:p>
  </w:footnote>
  <w:footnote w:id="207">
    <w:p w:rsidR="00E65148" w:rsidRPr="0023362E" w:rsidRDefault="00E65148" w:rsidP="00E54423">
      <w:pPr>
        <w:pStyle w:val="FootnoteText"/>
        <w:rPr>
          <w:szCs w:val="16"/>
          <w:lang w:val="es-CR"/>
        </w:rPr>
      </w:pPr>
      <w:r w:rsidRPr="0023362E">
        <w:rPr>
          <w:rStyle w:val="FootnoteReference"/>
          <w:rFonts w:eastAsia="Calibri"/>
          <w:szCs w:val="16"/>
        </w:rPr>
        <w:footnoteRef/>
      </w:r>
      <w:r w:rsidRPr="0023362E">
        <w:rPr>
          <w:szCs w:val="16"/>
        </w:rPr>
        <w:t xml:space="preserve"> </w:t>
      </w:r>
      <w:r w:rsidRPr="0023362E">
        <w:rPr>
          <w:szCs w:val="16"/>
          <w:lang w:val="es-CO"/>
        </w:rPr>
        <w:tab/>
      </w:r>
      <w:r w:rsidRPr="00CF4A86">
        <w:rPr>
          <w:i/>
          <w:szCs w:val="16"/>
          <w:lang w:val="es-CO"/>
        </w:rPr>
        <w:t>Caso</w:t>
      </w:r>
      <w:r w:rsidRPr="0023362E">
        <w:rPr>
          <w:i/>
          <w:szCs w:val="16"/>
          <w:lang w:val="es-CO"/>
        </w:rPr>
        <w:t xml:space="preserve"> </w:t>
      </w:r>
      <w:proofErr w:type="spellStart"/>
      <w:r w:rsidRPr="0023362E">
        <w:rPr>
          <w:i/>
          <w:szCs w:val="16"/>
          <w:lang w:val="es-CO"/>
        </w:rPr>
        <w:t>Palamara</w:t>
      </w:r>
      <w:proofErr w:type="spellEnd"/>
      <w:r w:rsidRPr="0023362E">
        <w:rPr>
          <w:i/>
          <w:szCs w:val="16"/>
          <w:lang w:val="es-CO"/>
        </w:rPr>
        <w:t xml:space="preserve"> Iribarne vs. Chile. Fondo, Reparaciones y Costas. </w:t>
      </w:r>
      <w:r w:rsidRPr="0023362E">
        <w:rPr>
          <w:szCs w:val="16"/>
          <w:lang w:val="es-CO"/>
        </w:rPr>
        <w:t xml:space="preserve">Sentencia de 22 de noviembre de 2005. Serie C No. 135, párr. 170, y </w:t>
      </w:r>
      <w:r w:rsidRPr="00CF4A86">
        <w:rPr>
          <w:bCs/>
          <w:i/>
          <w:iCs/>
          <w:szCs w:val="16"/>
          <w:lang w:val="es-ES"/>
        </w:rPr>
        <w:t>Caso</w:t>
      </w:r>
      <w:r w:rsidRPr="0023362E">
        <w:rPr>
          <w:bCs/>
          <w:i/>
          <w:iCs/>
          <w:szCs w:val="16"/>
          <w:lang w:val="es-ES"/>
        </w:rPr>
        <w:t xml:space="preserve"> Cabrera García y Montiel Flores Vs. México</w:t>
      </w:r>
      <w:r w:rsidRPr="0023362E">
        <w:rPr>
          <w:bCs/>
          <w:iCs/>
          <w:szCs w:val="16"/>
          <w:lang w:val="es-ES"/>
        </w:rPr>
        <w:t>, párr. 156.</w:t>
      </w:r>
    </w:p>
  </w:footnote>
  <w:footnote w:id="208">
    <w:p w:rsidR="00E65148" w:rsidRPr="0023362E" w:rsidRDefault="00E65148" w:rsidP="00E54423">
      <w:pPr>
        <w:pStyle w:val="FootnoteText"/>
        <w:rPr>
          <w:szCs w:val="16"/>
        </w:rPr>
      </w:pPr>
      <w:r w:rsidRPr="0023362E">
        <w:rPr>
          <w:rStyle w:val="FootnoteReference"/>
          <w:rFonts w:eastAsia="Calibri"/>
          <w:szCs w:val="16"/>
        </w:rPr>
        <w:footnoteRef/>
      </w:r>
      <w:r w:rsidRPr="0023362E">
        <w:rPr>
          <w:szCs w:val="16"/>
        </w:rPr>
        <w:t xml:space="preserve"> </w:t>
      </w:r>
      <w:r w:rsidRPr="0023362E">
        <w:rPr>
          <w:szCs w:val="16"/>
        </w:rPr>
        <w:tab/>
      </w:r>
      <w:r w:rsidRPr="0023362E">
        <w:rPr>
          <w:i/>
          <w:szCs w:val="16"/>
          <w:lang w:val="es-CL"/>
        </w:rPr>
        <w:t>Cfr.</w:t>
      </w:r>
      <w:r w:rsidRPr="00CF4A86">
        <w:rPr>
          <w:i/>
          <w:szCs w:val="16"/>
          <w:lang w:val="es-CL"/>
        </w:rPr>
        <w:t xml:space="preserve"> Caso</w:t>
      </w:r>
      <w:r w:rsidRPr="0023362E">
        <w:rPr>
          <w:szCs w:val="16"/>
          <w:lang w:val="es-CL"/>
        </w:rPr>
        <w:t xml:space="preserve"> </w:t>
      </w:r>
      <w:r w:rsidRPr="0023362E">
        <w:rPr>
          <w:i/>
          <w:szCs w:val="16"/>
          <w:lang w:val="es-CL"/>
        </w:rPr>
        <w:t xml:space="preserve">del Tribunal Constitucional Vs. Perú. </w:t>
      </w:r>
      <w:r w:rsidRPr="0023362E">
        <w:rPr>
          <w:i/>
          <w:szCs w:val="16"/>
        </w:rPr>
        <w:t>Fondo, Reparaciones y Costas</w:t>
      </w:r>
      <w:r w:rsidRPr="0023362E">
        <w:rPr>
          <w:szCs w:val="16"/>
        </w:rPr>
        <w:t xml:space="preserve">. Sentencia de 31 de enero de 2001. Serie C No. 71, </w:t>
      </w:r>
      <w:r w:rsidRPr="0023362E">
        <w:rPr>
          <w:szCs w:val="16"/>
          <w:lang w:val="es-CL"/>
        </w:rPr>
        <w:t>párr. 71, y</w:t>
      </w:r>
      <w:r w:rsidRPr="0023362E">
        <w:rPr>
          <w:i/>
          <w:szCs w:val="16"/>
          <w:lang w:val="es-CL"/>
        </w:rPr>
        <w:t xml:space="preserve"> </w:t>
      </w:r>
      <w:r w:rsidRPr="00CF4A86">
        <w:rPr>
          <w:bCs/>
          <w:i/>
          <w:iCs/>
          <w:szCs w:val="16"/>
          <w:lang w:val="es-ES"/>
        </w:rPr>
        <w:t>Caso</w:t>
      </w:r>
      <w:r w:rsidRPr="00755889">
        <w:rPr>
          <w:bCs/>
          <w:i/>
          <w:iCs/>
          <w:szCs w:val="16"/>
          <w:lang w:val="es-ES"/>
        </w:rPr>
        <w:t xml:space="preserve"> </w:t>
      </w:r>
      <w:r w:rsidRPr="0023362E">
        <w:rPr>
          <w:bCs/>
          <w:i/>
          <w:iCs/>
          <w:szCs w:val="16"/>
          <w:lang w:val="es-ES"/>
        </w:rPr>
        <w:t xml:space="preserve">Wong Ho </w:t>
      </w:r>
      <w:proofErr w:type="spellStart"/>
      <w:r w:rsidRPr="0023362E">
        <w:rPr>
          <w:bCs/>
          <w:i/>
          <w:iCs/>
          <w:szCs w:val="16"/>
          <w:lang w:val="es-ES"/>
        </w:rPr>
        <w:t>Wing</w:t>
      </w:r>
      <w:proofErr w:type="spellEnd"/>
      <w:r w:rsidRPr="0023362E">
        <w:rPr>
          <w:bCs/>
          <w:i/>
          <w:iCs/>
          <w:szCs w:val="16"/>
          <w:lang w:val="es-ES"/>
        </w:rPr>
        <w:t xml:space="preserve"> Vs. Perú</w:t>
      </w:r>
      <w:r w:rsidRPr="0023362E">
        <w:rPr>
          <w:bCs/>
          <w:iCs/>
          <w:szCs w:val="16"/>
          <w:lang w:val="es-ES"/>
        </w:rPr>
        <w:t>,</w:t>
      </w:r>
      <w:r w:rsidRPr="0023362E">
        <w:rPr>
          <w:szCs w:val="16"/>
        </w:rPr>
        <w:t xml:space="preserve"> párr. 208.</w:t>
      </w:r>
    </w:p>
  </w:footnote>
  <w:footnote w:id="209">
    <w:p w:rsidR="00E65148" w:rsidRPr="0023362E" w:rsidRDefault="00E65148" w:rsidP="00E54423">
      <w:pPr>
        <w:pStyle w:val="FootnoteText"/>
        <w:tabs>
          <w:tab w:val="left" w:pos="567"/>
        </w:tabs>
        <w:contextualSpacing/>
        <w:rPr>
          <w:spacing w:val="-4"/>
          <w:szCs w:val="16"/>
          <w:lang w:val="es-GT"/>
        </w:rPr>
      </w:pPr>
      <w:r w:rsidRPr="0023362E">
        <w:rPr>
          <w:rStyle w:val="FootnoteReference"/>
          <w:rFonts w:eastAsiaTheme="majorEastAsia"/>
          <w:spacing w:val="-4"/>
          <w:szCs w:val="16"/>
        </w:rPr>
        <w:footnoteRef/>
      </w:r>
      <w:r w:rsidRPr="0023362E">
        <w:rPr>
          <w:spacing w:val="-4"/>
          <w:szCs w:val="16"/>
          <w:lang w:val="es-CO"/>
        </w:rPr>
        <w:t xml:space="preserve"> </w:t>
      </w:r>
      <w:r w:rsidRPr="0023362E">
        <w:rPr>
          <w:spacing w:val="-4"/>
          <w:szCs w:val="16"/>
          <w:lang w:val="es-CO"/>
        </w:rPr>
        <w:tab/>
      </w:r>
      <w:r w:rsidRPr="0023362E">
        <w:rPr>
          <w:i/>
          <w:iCs/>
          <w:spacing w:val="-4"/>
          <w:szCs w:val="16"/>
          <w:lang w:val="es-CO"/>
        </w:rPr>
        <w:t xml:space="preserve">Cfr. </w:t>
      </w:r>
      <w:r w:rsidRPr="0023362E">
        <w:rPr>
          <w:rStyle w:val="Strong"/>
          <w:rFonts w:eastAsia="Calibri"/>
          <w:b w:val="0"/>
          <w:i/>
          <w:spacing w:val="-4"/>
          <w:szCs w:val="16"/>
          <w:shd w:val="clear" w:color="auto" w:fill="FFFFFF"/>
        </w:rPr>
        <w:t>El Hábeas Corpus Bajo Suspensión de Garantías</w:t>
      </w:r>
      <w:r w:rsidRPr="0023362E">
        <w:rPr>
          <w:spacing w:val="-4"/>
          <w:szCs w:val="16"/>
          <w:lang w:val="es-GT"/>
        </w:rPr>
        <w:t>,</w:t>
      </w:r>
      <w:r w:rsidRPr="0023362E">
        <w:rPr>
          <w:spacing w:val="-4"/>
          <w:szCs w:val="16"/>
          <w:lang w:val="es-CO"/>
        </w:rPr>
        <w:t xml:space="preserve"> párr. 33, </w:t>
      </w:r>
      <w:r w:rsidRPr="0023362E">
        <w:rPr>
          <w:spacing w:val="-4"/>
          <w:szCs w:val="16"/>
          <w:lang w:val="es-GT"/>
        </w:rPr>
        <w:t xml:space="preserve">y </w:t>
      </w:r>
      <w:r w:rsidRPr="00CF4A86">
        <w:rPr>
          <w:bCs/>
          <w:i/>
          <w:iCs/>
          <w:szCs w:val="16"/>
        </w:rPr>
        <w:t>Caso</w:t>
      </w:r>
      <w:r w:rsidRPr="0023362E">
        <w:rPr>
          <w:bCs/>
          <w:i/>
          <w:iCs/>
          <w:szCs w:val="16"/>
        </w:rPr>
        <w:t xml:space="preserve"> Espinoza Gonzáles Vs. Perú</w:t>
      </w:r>
      <w:r w:rsidRPr="0023362E">
        <w:rPr>
          <w:bCs/>
          <w:iCs/>
          <w:szCs w:val="16"/>
        </w:rPr>
        <w:t>, párr. 135.</w:t>
      </w:r>
    </w:p>
  </w:footnote>
  <w:footnote w:id="210">
    <w:p w:rsidR="00E65148" w:rsidRPr="0023362E" w:rsidRDefault="00E65148" w:rsidP="00E54423">
      <w:pPr>
        <w:pStyle w:val="FootnoteText"/>
        <w:tabs>
          <w:tab w:val="left" w:pos="567"/>
        </w:tabs>
        <w:contextualSpacing/>
        <w:rPr>
          <w:spacing w:val="-4"/>
          <w:szCs w:val="16"/>
          <w:lang w:val="es-CO"/>
        </w:rPr>
      </w:pPr>
      <w:r w:rsidRPr="0023362E">
        <w:rPr>
          <w:rStyle w:val="FootnoteReference"/>
          <w:rFonts w:eastAsiaTheme="majorEastAsia"/>
          <w:spacing w:val="-4"/>
          <w:szCs w:val="16"/>
        </w:rPr>
        <w:footnoteRef/>
      </w:r>
      <w:r w:rsidRPr="0023362E">
        <w:rPr>
          <w:spacing w:val="-4"/>
          <w:szCs w:val="16"/>
          <w:lang w:val="es-CO"/>
        </w:rPr>
        <w:t xml:space="preserve"> </w:t>
      </w:r>
      <w:r>
        <w:rPr>
          <w:spacing w:val="-4"/>
          <w:szCs w:val="16"/>
          <w:lang w:val="es-CO"/>
        </w:rPr>
        <w:tab/>
      </w:r>
      <w:r w:rsidRPr="00CF4A86">
        <w:rPr>
          <w:i/>
          <w:spacing w:val="-4"/>
          <w:szCs w:val="16"/>
          <w:lang w:val="es-PR"/>
        </w:rPr>
        <w:t>Caso</w:t>
      </w:r>
      <w:r w:rsidRPr="0023362E">
        <w:rPr>
          <w:i/>
          <w:spacing w:val="-4"/>
          <w:szCs w:val="16"/>
          <w:lang w:val="es-PR"/>
        </w:rPr>
        <w:t xml:space="preserve"> Chaparro Álvarez y Lapo Íñiguez Vs. Ecuador, </w:t>
      </w:r>
      <w:r w:rsidRPr="0023362E">
        <w:rPr>
          <w:spacing w:val="-4"/>
          <w:szCs w:val="16"/>
          <w:lang w:val="es-ES"/>
        </w:rPr>
        <w:t xml:space="preserve">párr. </w:t>
      </w:r>
      <w:r w:rsidRPr="00B27B27">
        <w:rPr>
          <w:spacing w:val="-4"/>
          <w:szCs w:val="16"/>
          <w:lang w:val="en-US"/>
        </w:rPr>
        <w:t>128, y</w:t>
      </w:r>
      <w:r w:rsidRPr="00B27B27">
        <w:rPr>
          <w:bCs/>
          <w:i/>
          <w:iCs/>
          <w:szCs w:val="16"/>
          <w:lang w:val="en-US"/>
        </w:rPr>
        <w:t xml:space="preserve"> </w:t>
      </w:r>
      <w:proofErr w:type="spellStart"/>
      <w:r w:rsidRPr="00B27B27">
        <w:rPr>
          <w:bCs/>
          <w:i/>
          <w:iCs/>
          <w:szCs w:val="16"/>
          <w:lang w:val="en-US"/>
        </w:rPr>
        <w:t>Caso</w:t>
      </w:r>
      <w:proofErr w:type="spellEnd"/>
      <w:r w:rsidRPr="00B27B27">
        <w:rPr>
          <w:bCs/>
          <w:i/>
          <w:iCs/>
          <w:szCs w:val="16"/>
          <w:lang w:val="en-US"/>
        </w:rPr>
        <w:t xml:space="preserve"> Wong Ho Wing </w:t>
      </w:r>
      <w:proofErr w:type="gramStart"/>
      <w:r w:rsidRPr="00B27B27">
        <w:rPr>
          <w:bCs/>
          <w:i/>
          <w:iCs/>
          <w:szCs w:val="16"/>
          <w:lang w:val="en-US"/>
        </w:rPr>
        <w:t>Vs</w:t>
      </w:r>
      <w:proofErr w:type="gramEnd"/>
      <w:r w:rsidRPr="00B27B27">
        <w:rPr>
          <w:bCs/>
          <w:i/>
          <w:iCs/>
          <w:szCs w:val="16"/>
          <w:lang w:val="en-US"/>
        </w:rPr>
        <w:t xml:space="preserve">. </w:t>
      </w:r>
      <w:proofErr w:type="spellStart"/>
      <w:r w:rsidRPr="0023362E">
        <w:rPr>
          <w:bCs/>
          <w:i/>
          <w:iCs/>
          <w:szCs w:val="16"/>
        </w:rPr>
        <w:t>Peru</w:t>
      </w:r>
      <w:proofErr w:type="spellEnd"/>
      <w:r w:rsidRPr="0023362E">
        <w:rPr>
          <w:bCs/>
          <w:i/>
          <w:iCs/>
          <w:szCs w:val="16"/>
        </w:rPr>
        <w:t xml:space="preserve">, </w:t>
      </w:r>
      <w:r w:rsidRPr="0023362E">
        <w:rPr>
          <w:bCs/>
          <w:iCs/>
          <w:szCs w:val="16"/>
        </w:rPr>
        <w:t>párr. 281</w:t>
      </w:r>
      <w:r>
        <w:rPr>
          <w:bCs/>
          <w:iCs/>
          <w:szCs w:val="16"/>
        </w:rPr>
        <w:t>.</w:t>
      </w:r>
      <w:r w:rsidRPr="0023362E">
        <w:rPr>
          <w:bCs/>
          <w:i/>
          <w:iCs/>
          <w:szCs w:val="16"/>
        </w:rPr>
        <w:t xml:space="preserve"> </w:t>
      </w:r>
    </w:p>
  </w:footnote>
  <w:footnote w:id="211">
    <w:p w:rsidR="00E65148" w:rsidRPr="0023362E" w:rsidRDefault="00E65148" w:rsidP="00E54423">
      <w:pPr>
        <w:pStyle w:val="FootnoteText"/>
        <w:tabs>
          <w:tab w:val="left" w:pos="567"/>
        </w:tabs>
        <w:contextualSpacing/>
        <w:rPr>
          <w:spacing w:val="-4"/>
          <w:szCs w:val="16"/>
          <w:lang w:val="es-CO"/>
        </w:rPr>
      </w:pPr>
      <w:r w:rsidRPr="0023362E">
        <w:rPr>
          <w:rStyle w:val="FootnoteReference"/>
          <w:rFonts w:eastAsiaTheme="majorEastAsia"/>
          <w:spacing w:val="-4"/>
          <w:szCs w:val="16"/>
        </w:rPr>
        <w:footnoteRef/>
      </w:r>
      <w:r w:rsidRPr="0023362E">
        <w:rPr>
          <w:spacing w:val="-4"/>
          <w:szCs w:val="16"/>
          <w:lang w:val="es-CO"/>
        </w:rPr>
        <w:t xml:space="preserve"> </w:t>
      </w:r>
      <w:r w:rsidRPr="0023362E">
        <w:rPr>
          <w:spacing w:val="-4"/>
          <w:szCs w:val="16"/>
          <w:lang w:val="es-CO"/>
        </w:rPr>
        <w:tab/>
      </w:r>
      <w:r w:rsidRPr="00CF4A86">
        <w:rPr>
          <w:i/>
          <w:spacing w:val="-4"/>
          <w:szCs w:val="16"/>
          <w:lang w:val="es-GT"/>
        </w:rPr>
        <w:t xml:space="preserve">Caso </w:t>
      </w:r>
      <w:r w:rsidRPr="0023362E">
        <w:rPr>
          <w:i/>
          <w:spacing w:val="-4"/>
          <w:szCs w:val="16"/>
          <w:lang w:val="es-GT"/>
        </w:rPr>
        <w:t xml:space="preserve">Acosta Calderón Vs. Ecuador. Fondo, Reparaciones y Costas. </w:t>
      </w:r>
      <w:r w:rsidRPr="0023362E">
        <w:rPr>
          <w:spacing w:val="-4"/>
          <w:szCs w:val="16"/>
          <w:lang w:val="es-GT"/>
        </w:rPr>
        <w:t>Sentencia de 24 de junio de 2005. Serie C No</w:t>
      </w:r>
      <w:r w:rsidRPr="0023362E">
        <w:rPr>
          <w:i/>
          <w:spacing w:val="-4"/>
          <w:szCs w:val="16"/>
          <w:lang w:val="es-GT"/>
        </w:rPr>
        <w:t>.</w:t>
      </w:r>
      <w:r w:rsidRPr="0023362E">
        <w:rPr>
          <w:spacing w:val="-4"/>
          <w:szCs w:val="16"/>
          <w:lang w:val="es-GT"/>
        </w:rPr>
        <w:t>129,</w:t>
      </w:r>
      <w:r w:rsidRPr="0023362E">
        <w:rPr>
          <w:i/>
          <w:spacing w:val="-4"/>
          <w:szCs w:val="16"/>
          <w:lang w:val="es-GT"/>
        </w:rPr>
        <w:t xml:space="preserve">  </w:t>
      </w:r>
      <w:r w:rsidRPr="0023362E">
        <w:rPr>
          <w:iCs/>
          <w:spacing w:val="-4"/>
          <w:szCs w:val="16"/>
          <w:lang w:val="es-CO"/>
        </w:rPr>
        <w:t xml:space="preserve">párr. 97, </w:t>
      </w:r>
      <w:r w:rsidRPr="0023362E">
        <w:rPr>
          <w:spacing w:val="-4"/>
          <w:szCs w:val="16"/>
          <w:lang w:val="es-PR"/>
        </w:rPr>
        <w:t xml:space="preserve">y </w:t>
      </w:r>
      <w:r w:rsidRPr="00CF4A86">
        <w:rPr>
          <w:bCs/>
          <w:i/>
          <w:iCs/>
          <w:szCs w:val="16"/>
        </w:rPr>
        <w:t>Caso</w:t>
      </w:r>
      <w:r w:rsidRPr="0023362E">
        <w:rPr>
          <w:bCs/>
          <w:i/>
          <w:iCs/>
          <w:szCs w:val="16"/>
        </w:rPr>
        <w:t xml:space="preserve"> Espinoza Gonzáles Vs. Perú</w:t>
      </w:r>
      <w:r w:rsidRPr="0023362E">
        <w:rPr>
          <w:bCs/>
          <w:iCs/>
          <w:szCs w:val="16"/>
        </w:rPr>
        <w:t>, párr. 135.</w:t>
      </w:r>
    </w:p>
  </w:footnote>
  <w:footnote w:id="212">
    <w:p w:rsidR="00E65148" w:rsidRPr="0023362E" w:rsidRDefault="00E65148" w:rsidP="00E54423">
      <w:pPr>
        <w:pStyle w:val="FootnoteText"/>
        <w:rPr>
          <w:szCs w:val="16"/>
          <w:lang w:val="es-CR"/>
        </w:rPr>
      </w:pPr>
      <w:r w:rsidRPr="0023362E">
        <w:rPr>
          <w:rStyle w:val="FootnoteReference"/>
          <w:rFonts w:eastAsia="Calibri"/>
          <w:szCs w:val="16"/>
        </w:rPr>
        <w:footnoteRef/>
      </w:r>
      <w:r w:rsidRPr="0023362E">
        <w:rPr>
          <w:szCs w:val="16"/>
        </w:rPr>
        <w:t xml:space="preserve"> </w:t>
      </w:r>
      <w:r w:rsidRPr="0023362E">
        <w:rPr>
          <w:szCs w:val="16"/>
        </w:rPr>
        <w:tab/>
      </w:r>
      <w:r w:rsidRPr="00CF4A86">
        <w:rPr>
          <w:i/>
          <w:szCs w:val="16"/>
        </w:rPr>
        <w:t>Caso</w:t>
      </w:r>
      <w:r w:rsidRPr="0023362E">
        <w:rPr>
          <w:szCs w:val="16"/>
        </w:rPr>
        <w:t xml:space="preserve"> </w:t>
      </w:r>
      <w:r w:rsidRPr="0023362E">
        <w:rPr>
          <w:i/>
          <w:szCs w:val="16"/>
        </w:rPr>
        <w:t xml:space="preserve">Mejía </w:t>
      </w:r>
      <w:proofErr w:type="spellStart"/>
      <w:r w:rsidRPr="0023362E">
        <w:rPr>
          <w:i/>
          <w:szCs w:val="16"/>
        </w:rPr>
        <w:t>Idrovo</w:t>
      </w:r>
      <w:proofErr w:type="spellEnd"/>
      <w:r w:rsidRPr="0023362E">
        <w:rPr>
          <w:i/>
          <w:szCs w:val="16"/>
        </w:rPr>
        <w:t xml:space="preserve"> Vs. Ecuador. Excepciones Preliminares, Fondo, Reparaciones y Costas</w:t>
      </w:r>
      <w:r w:rsidRPr="0023362E">
        <w:rPr>
          <w:szCs w:val="16"/>
        </w:rPr>
        <w:t>. Sentencia de 5 de julio de 2011, Serie C No. 228, párr. 95, y</w:t>
      </w:r>
      <w:r w:rsidRPr="0023362E">
        <w:rPr>
          <w:szCs w:val="16"/>
          <w:lang w:val="es-CR"/>
        </w:rPr>
        <w:t xml:space="preserve"> </w:t>
      </w:r>
      <w:r w:rsidRPr="00CF4A86">
        <w:rPr>
          <w:bCs/>
          <w:i/>
          <w:iCs/>
          <w:szCs w:val="16"/>
          <w:lang w:val="es-ES"/>
        </w:rPr>
        <w:t xml:space="preserve">Caso </w:t>
      </w:r>
      <w:r w:rsidRPr="0023362E">
        <w:rPr>
          <w:bCs/>
          <w:i/>
          <w:iCs/>
          <w:szCs w:val="16"/>
          <w:lang w:val="es-ES"/>
        </w:rPr>
        <w:t>Argüelles y otros Vs. Argentina</w:t>
      </w:r>
      <w:r w:rsidRPr="0023362E">
        <w:rPr>
          <w:szCs w:val="16"/>
        </w:rPr>
        <w:t>, párr. 145.</w:t>
      </w:r>
      <w:r w:rsidRPr="0023362E">
        <w:rPr>
          <w:bCs/>
          <w:szCs w:val="16"/>
        </w:rPr>
        <w:t xml:space="preserve"> </w:t>
      </w:r>
    </w:p>
  </w:footnote>
  <w:footnote w:id="213">
    <w:p w:rsidR="00E65148" w:rsidRPr="0023362E" w:rsidRDefault="00E65148" w:rsidP="0023362E">
      <w:pPr>
        <w:pStyle w:val="FootnoteText"/>
        <w:rPr>
          <w:b/>
          <w:szCs w:val="16"/>
        </w:rPr>
      </w:pPr>
      <w:r w:rsidRPr="0023362E">
        <w:rPr>
          <w:rStyle w:val="FootnoteReference"/>
          <w:rFonts w:eastAsia="Calibri"/>
          <w:szCs w:val="16"/>
        </w:rPr>
        <w:footnoteRef/>
      </w:r>
      <w:r w:rsidRPr="0023362E">
        <w:rPr>
          <w:szCs w:val="16"/>
        </w:rPr>
        <w:t xml:space="preserve"> </w:t>
      </w:r>
      <w:r w:rsidRPr="0023362E">
        <w:rPr>
          <w:szCs w:val="16"/>
        </w:rPr>
        <w:tab/>
      </w:r>
      <w:r w:rsidRPr="00471C59">
        <w:rPr>
          <w:i/>
          <w:szCs w:val="16"/>
        </w:rPr>
        <w:t>Cfr.</w:t>
      </w:r>
      <w:r>
        <w:rPr>
          <w:szCs w:val="16"/>
        </w:rPr>
        <w:t xml:space="preserve"> </w:t>
      </w:r>
      <w:r w:rsidRPr="00CF4A86">
        <w:rPr>
          <w:rStyle w:val="Strong"/>
          <w:b w:val="0"/>
          <w:i/>
          <w:color w:val="000000"/>
          <w:szCs w:val="16"/>
        </w:rPr>
        <w:t>Caso</w:t>
      </w:r>
      <w:r w:rsidRPr="0023362E">
        <w:rPr>
          <w:rStyle w:val="Strong"/>
          <w:b w:val="0"/>
          <w:i/>
          <w:color w:val="000000"/>
          <w:szCs w:val="16"/>
        </w:rPr>
        <w:t xml:space="preserve"> Castillo </w:t>
      </w:r>
      <w:proofErr w:type="spellStart"/>
      <w:r w:rsidRPr="0023362E">
        <w:rPr>
          <w:rStyle w:val="Strong"/>
          <w:b w:val="0"/>
          <w:i/>
          <w:color w:val="000000"/>
          <w:szCs w:val="16"/>
        </w:rPr>
        <w:t>Petruzzi</w:t>
      </w:r>
      <w:proofErr w:type="spellEnd"/>
      <w:r w:rsidRPr="0023362E">
        <w:rPr>
          <w:rStyle w:val="Strong"/>
          <w:b w:val="0"/>
          <w:i/>
          <w:color w:val="000000"/>
          <w:szCs w:val="16"/>
        </w:rPr>
        <w:t xml:space="preserve"> y otros Vs. Perú</w:t>
      </w:r>
      <w:r w:rsidRPr="0023362E">
        <w:rPr>
          <w:rStyle w:val="Strong"/>
          <w:b w:val="0"/>
          <w:color w:val="000000"/>
          <w:szCs w:val="16"/>
        </w:rPr>
        <w:t xml:space="preserve">. </w:t>
      </w:r>
      <w:r w:rsidRPr="0023362E">
        <w:rPr>
          <w:rStyle w:val="Strong"/>
          <w:b w:val="0"/>
          <w:i/>
          <w:color w:val="000000"/>
          <w:szCs w:val="16"/>
        </w:rPr>
        <w:t>Fondo, Reparaciones y Costas.</w:t>
      </w:r>
      <w:r w:rsidRPr="0023362E">
        <w:rPr>
          <w:rStyle w:val="Strong"/>
          <w:b w:val="0"/>
          <w:color w:val="000000"/>
          <w:szCs w:val="16"/>
        </w:rPr>
        <w:t xml:space="preserve"> Sentencia de 30 de mayo de 1999. Serie C No. 52, párr. 86.1.</w:t>
      </w:r>
    </w:p>
  </w:footnote>
  <w:footnote w:id="214">
    <w:p w:rsidR="00E65148" w:rsidRPr="0023362E" w:rsidRDefault="00E65148" w:rsidP="00E54423">
      <w:pPr>
        <w:pStyle w:val="FootnoteText"/>
        <w:rPr>
          <w:szCs w:val="16"/>
          <w:lang w:val="es-AR"/>
        </w:rPr>
      </w:pPr>
      <w:r w:rsidRPr="0023362E">
        <w:rPr>
          <w:rStyle w:val="FootnoteReference"/>
          <w:szCs w:val="16"/>
        </w:rPr>
        <w:footnoteRef/>
      </w:r>
      <w:r w:rsidRPr="0023362E">
        <w:rPr>
          <w:szCs w:val="16"/>
        </w:rPr>
        <w:t xml:space="preserve"> </w:t>
      </w:r>
      <w:r>
        <w:rPr>
          <w:szCs w:val="16"/>
        </w:rPr>
        <w:tab/>
      </w:r>
      <w:r w:rsidRPr="00471C59">
        <w:rPr>
          <w:i/>
          <w:szCs w:val="16"/>
          <w:lang w:val="es-AR"/>
        </w:rPr>
        <w:t>Cfr</w:t>
      </w:r>
      <w:r>
        <w:rPr>
          <w:szCs w:val="16"/>
          <w:lang w:val="es-AR"/>
        </w:rPr>
        <w:t xml:space="preserve">. </w:t>
      </w:r>
      <w:r w:rsidRPr="00E207A2">
        <w:rPr>
          <w:i/>
          <w:szCs w:val="16"/>
          <w:lang w:val="es-AR"/>
        </w:rPr>
        <w:t xml:space="preserve">Caso J. Vs. </w:t>
      </w:r>
      <w:r w:rsidRPr="00D70BA5">
        <w:rPr>
          <w:i/>
          <w:szCs w:val="16"/>
          <w:lang w:val="es-AR"/>
        </w:rPr>
        <w:t>Perú</w:t>
      </w:r>
      <w:r>
        <w:rPr>
          <w:szCs w:val="16"/>
          <w:lang w:val="es-AR"/>
        </w:rPr>
        <w:t>, párr. 61</w:t>
      </w:r>
      <w:r w:rsidRPr="008D2D9F">
        <w:rPr>
          <w:szCs w:val="16"/>
          <w:lang w:val="es-AR"/>
        </w:rPr>
        <w:t>,</w:t>
      </w:r>
      <w:r>
        <w:rPr>
          <w:szCs w:val="16"/>
          <w:lang w:val="es-AR"/>
        </w:rPr>
        <w:t xml:space="preserve"> y </w:t>
      </w:r>
      <w:r w:rsidRPr="00E207A2">
        <w:rPr>
          <w:i/>
          <w:szCs w:val="16"/>
          <w:lang w:val="es-AR"/>
        </w:rPr>
        <w:t xml:space="preserve">Caso Espinoza </w:t>
      </w:r>
      <w:r w:rsidRPr="00D70BA5">
        <w:rPr>
          <w:i/>
          <w:szCs w:val="16"/>
          <w:lang w:val="es-AR"/>
        </w:rPr>
        <w:t>Gonzales</w:t>
      </w:r>
      <w:r w:rsidRPr="00E207A2">
        <w:rPr>
          <w:i/>
          <w:szCs w:val="16"/>
          <w:lang w:val="es-AR"/>
        </w:rPr>
        <w:t xml:space="preserve"> Vs. Perú</w:t>
      </w:r>
      <w:r>
        <w:rPr>
          <w:szCs w:val="16"/>
          <w:lang w:val="es-AR"/>
        </w:rPr>
        <w:t xml:space="preserve">, párr. 54 e </w:t>
      </w:r>
      <w:r w:rsidRPr="00891C7A">
        <w:rPr>
          <w:spacing w:val="-4"/>
          <w:szCs w:val="16"/>
        </w:rPr>
        <w:t>Informe de la Comisión de la Verdad y Reconciliación,</w:t>
      </w:r>
      <w:r>
        <w:rPr>
          <w:spacing w:val="-4"/>
          <w:szCs w:val="16"/>
        </w:rPr>
        <w:t xml:space="preserve"> </w:t>
      </w:r>
      <w:r w:rsidRPr="008D2D9F">
        <w:rPr>
          <w:szCs w:val="16"/>
          <w:lang w:val="es-CR"/>
        </w:rPr>
        <w:t>Tomo VI, pág. 477</w:t>
      </w:r>
      <w:r w:rsidRPr="00891C7A">
        <w:rPr>
          <w:szCs w:val="16"/>
          <w:lang w:val="es-CR"/>
        </w:rPr>
        <w:t>.</w:t>
      </w:r>
    </w:p>
  </w:footnote>
  <w:footnote w:id="215">
    <w:p w:rsidR="00E65148" w:rsidRPr="0023362E" w:rsidRDefault="00E65148" w:rsidP="00E54423">
      <w:pPr>
        <w:pStyle w:val="FootnoteText"/>
        <w:rPr>
          <w:szCs w:val="16"/>
        </w:rPr>
      </w:pPr>
      <w:r w:rsidRPr="0023362E">
        <w:rPr>
          <w:rStyle w:val="FootnoteReference"/>
          <w:rFonts w:eastAsia="Calibri"/>
          <w:szCs w:val="16"/>
        </w:rPr>
        <w:footnoteRef/>
      </w:r>
      <w:r w:rsidRPr="0023362E">
        <w:rPr>
          <w:szCs w:val="16"/>
        </w:rPr>
        <w:t xml:space="preserve"> </w:t>
      </w:r>
      <w:r w:rsidRPr="0023362E">
        <w:rPr>
          <w:szCs w:val="16"/>
        </w:rPr>
        <w:tab/>
      </w:r>
      <w:r w:rsidRPr="00CF4A86">
        <w:rPr>
          <w:bCs/>
          <w:i/>
          <w:szCs w:val="16"/>
          <w:lang w:val="es-ES"/>
        </w:rPr>
        <w:t>Caso</w:t>
      </w:r>
      <w:r w:rsidRPr="0023362E">
        <w:rPr>
          <w:bCs/>
          <w:i/>
          <w:szCs w:val="16"/>
          <w:lang w:val="es-ES"/>
        </w:rPr>
        <w:t xml:space="preserve"> </w:t>
      </w:r>
      <w:proofErr w:type="spellStart"/>
      <w:r w:rsidRPr="0023362E">
        <w:rPr>
          <w:bCs/>
          <w:i/>
          <w:szCs w:val="16"/>
          <w:lang w:val="es-ES"/>
        </w:rPr>
        <w:t>Anzualdo</w:t>
      </w:r>
      <w:proofErr w:type="spellEnd"/>
      <w:r w:rsidRPr="0023362E">
        <w:rPr>
          <w:bCs/>
          <w:i/>
          <w:szCs w:val="16"/>
          <w:lang w:val="es-ES"/>
        </w:rPr>
        <w:t xml:space="preserve"> Castro Vs. Perú. Excepción Preliminar, Fondo, Reparaciones y Costas.</w:t>
      </w:r>
      <w:r w:rsidRPr="0023362E">
        <w:rPr>
          <w:bCs/>
          <w:szCs w:val="16"/>
          <w:lang w:val="es-ES"/>
        </w:rPr>
        <w:t xml:space="preserve"> Sentencia de 22 de Septiembre de 2009. Serie C No. 202, párr. 75.</w:t>
      </w:r>
    </w:p>
  </w:footnote>
  <w:footnote w:id="216">
    <w:p w:rsidR="00E65148" w:rsidRPr="0023362E" w:rsidRDefault="00E65148" w:rsidP="00C428DA">
      <w:pPr>
        <w:pStyle w:val="Estilo1"/>
        <w:numPr>
          <w:ilvl w:val="0"/>
          <w:numId w:val="0"/>
        </w:numPr>
        <w:spacing w:after="0"/>
        <w:rPr>
          <w:sz w:val="16"/>
          <w:szCs w:val="16"/>
        </w:rPr>
      </w:pPr>
      <w:r w:rsidRPr="0023362E">
        <w:rPr>
          <w:rStyle w:val="FootnoteReference"/>
          <w:sz w:val="16"/>
          <w:szCs w:val="16"/>
        </w:rPr>
        <w:footnoteRef/>
      </w:r>
      <w:r w:rsidRPr="0023362E">
        <w:rPr>
          <w:sz w:val="16"/>
          <w:szCs w:val="16"/>
        </w:rPr>
        <w:t xml:space="preserve"> </w:t>
      </w:r>
      <w:r>
        <w:rPr>
          <w:sz w:val="16"/>
          <w:szCs w:val="16"/>
        </w:rPr>
        <w:tab/>
      </w:r>
      <w:r w:rsidRPr="0023362E">
        <w:rPr>
          <w:sz w:val="16"/>
          <w:szCs w:val="16"/>
        </w:rPr>
        <w:t>El artículo 5 de la Convención establece, en lo pertinente, que “1. Toda persona tiene derecho a que se respete su integridad física, psíquica y moral”, y “2. Nadie debe ser sometido a torturas ni a penas o tratos crueles, inhumanos o degradantes. Toda persona privada de libertad será tratada con el respeto debido a la dignidad inherente al ser humano.”</w:t>
      </w:r>
    </w:p>
  </w:footnote>
  <w:footnote w:id="217">
    <w:p w:rsidR="00E65148" w:rsidRPr="0023362E" w:rsidRDefault="00E65148" w:rsidP="00C428DA">
      <w:pPr>
        <w:pStyle w:val="FootnoteText"/>
        <w:rPr>
          <w:szCs w:val="16"/>
        </w:rPr>
      </w:pPr>
      <w:r w:rsidRPr="0023362E">
        <w:rPr>
          <w:rStyle w:val="FootnoteReference"/>
          <w:szCs w:val="16"/>
        </w:rPr>
        <w:footnoteRef/>
      </w:r>
      <w:r w:rsidRPr="0023362E">
        <w:rPr>
          <w:szCs w:val="16"/>
        </w:rPr>
        <w:t xml:space="preserve"> </w:t>
      </w:r>
      <w:r w:rsidRPr="0023362E">
        <w:rPr>
          <w:szCs w:val="16"/>
        </w:rPr>
        <w:tab/>
        <w:t>No se tiene en cuenta a la menor Beatriz Galindo Díaz debido a lo establecido en las consideraciones previas (</w:t>
      </w:r>
      <w:r w:rsidRPr="0023362E">
        <w:rPr>
          <w:i/>
          <w:szCs w:val="16"/>
        </w:rPr>
        <w:t xml:space="preserve">supra </w:t>
      </w:r>
      <w:r w:rsidRPr="0023362E">
        <w:rPr>
          <w:szCs w:val="16"/>
        </w:rPr>
        <w:t xml:space="preserve">párr. </w:t>
      </w:r>
      <w:r>
        <w:rPr>
          <w:szCs w:val="16"/>
        </w:rPr>
        <w:t>60</w:t>
      </w:r>
      <w:r w:rsidRPr="0023362E">
        <w:rPr>
          <w:szCs w:val="16"/>
        </w:rPr>
        <w:t>).</w:t>
      </w:r>
    </w:p>
  </w:footnote>
  <w:footnote w:id="218">
    <w:p w:rsidR="00E65148" w:rsidRPr="0023362E" w:rsidRDefault="00E65148" w:rsidP="00C428DA">
      <w:pPr>
        <w:autoSpaceDE w:val="0"/>
        <w:autoSpaceDN w:val="0"/>
        <w:adjustRightInd w:val="0"/>
        <w:rPr>
          <w:sz w:val="16"/>
          <w:szCs w:val="16"/>
        </w:rPr>
      </w:pPr>
      <w:r w:rsidRPr="0023362E">
        <w:rPr>
          <w:rStyle w:val="FootnoteReference"/>
          <w:sz w:val="16"/>
          <w:szCs w:val="16"/>
        </w:rPr>
        <w:footnoteRef/>
      </w:r>
      <w:r w:rsidRPr="0023362E">
        <w:rPr>
          <w:sz w:val="16"/>
          <w:szCs w:val="16"/>
        </w:rPr>
        <w:t xml:space="preserve"> </w:t>
      </w:r>
      <w:r w:rsidRPr="0023362E">
        <w:rPr>
          <w:sz w:val="16"/>
          <w:szCs w:val="16"/>
        </w:rPr>
        <w:tab/>
        <w:t xml:space="preserve">El Estado citó el Caso </w:t>
      </w:r>
      <w:proofErr w:type="spellStart"/>
      <w:r>
        <w:rPr>
          <w:i/>
          <w:sz w:val="16"/>
          <w:szCs w:val="16"/>
        </w:rPr>
        <w:t>Ö</w:t>
      </w:r>
      <w:r w:rsidRPr="0023362E">
        <w:rPr>
          <w:i/>
          <w:sz w:val="16"/>
          <w:szCs w:val="16"/>
        </w:rPr>
        <w:t>calan</w:t>
      </w:r>
      <w:proofErr w:type="spellEnd"/>
      <w:r w:rsidRPr="0023362E">
        <w:rPr>
          <w:i/>
          <w:sz w:val="16"/>
          <w:szCs w:val="16"/>
        </w:rPr>
        <w:t xml:space="preserve"> Vs. </w:t>
      </w:r>
      <w:proofErr w:type="spellStart"/>
      <w:r w:rsidRPr="0023362E">
        <w:rPr>
          <w:i/>
          <w:sz w:val="16"/>
          <w:szCs w:val="16"/>
        </w:rPr>
        <w:t>Turquia</w:t>
      </w:r>
      <w:proofErr w:type="spellEnd"/>
      <w:r w:rsidRPr="0023362E">
        <w:rPr>
          <w:sz w:val="16"/>
          <w:szCs w:val="16"/>
        </w:rPr>
        <w:t xml:space="preserve">, </w:t>
      </w:r>
      <w:r w:rsidRPr="0023362E">
        <w:rPr>
          <w:rFonts w:eastAsiaTheme="minorHAnsi"/>
          <w:bCs/>
          <w:sz w:val="16"/>
          <w:szCs w:val="16"/>
        </w:rPr>
        <w:t>Sentencia de 12 de mayo de 2005. Párr. 191</w:t>
      </w:r>
      <w:r>
        <w:rPr>
          <w:rFonts w:eastAsiaTheme="minorHAnsi"/>
          <w:bCs/>
          <w:sz w:val="16"/>
          <w:szCs w:val="16"/>
        </w:rPr>
        <w:t>,</w:t>
      </w:r>
      <w:r w:rsidRPr="0023362E">
        <w:rPr>
          <w:rFonts w:eastAsiaTheme="minorHAnsi"/>
          <w:bCs/>
          <w:sz w:val="16"/>
          <w:szCs w:val="16"/>
        </w:rPr>
        <w:t xml:space="preserve"> donde el Tribunal Europeo </w:t>
      </w:r>
      <w:r>
        <w:rPr>
          <w:rFonts w:eastAsiaTheme="minorHAnsi"/>
          <w:bCs/>
          <w:sz w:val="16"/>
          <w:szCs w:val="16"/>
        </w:rPr>
        <w:t xml:space="preserve">de Derechos Humanos </w:t>
      </w:r>
      <w:r w:rsidRPr="0023362E">
        <w:rPr>
          <w:rFonts w:eastAsiaTheme="minorHAnsi"/>
          <w:bCs/>
          <w:sz w:val="16"/>
          <w:szCs w:val="16"/>
        </w:rPr>
        <w:t>afirmó que</w:t>
      </w:r>
      <w:r>
        <w:rPr>
          <w:sz w:val="16"/>
          <w:szCs w:val="16"/>
        </w:rPr>
        <w:t xml:space="preserve"> “[r]</w:t>
      </w:r>
      <w:proofErr w:type="spellStart"/>
      <w:r w:rsidRPr="0023362E">
        <w:rPr>
          <w:sz w:val="16"/>
          <w:szCs w:val="16"/>
        </w:rPr>
        <w:t>especto</w:t>
      </w:r>
      <w:proofErr w:type="spellEnd"/>
      <w:r w:rsidRPr="0023362E">
        <w:rPr>
          <w:sz w:val="16"/>
          <w:szCs w:val="16"/>
        </w:rPr>
        <w:t xml:space="preserve"> al presunto aislamiento o incomunicación […] el Tribunal Europeo ha manifestado que aislar a un detenido de los demás por razones de seguridad, disciplina o protección no es en sí mismo un trato inhumano o una pena degradante”. </w:t>
      </w:r>
    </w:p>
  </w:footnote>
  <w:footnote w:id="219">
    <w:p w:rsidR="00E65148" w:rsidRPr="0023362E" w:rsidRDefault="00E65148" w:rsidP="00C428DA">
      <w:pPr>
        <w:autoSpaceDE w:val="0"/>
        <w:autoSpaceDN w:val="0"/>
        <w:adjustRightInd w:val="0"/>
        <w:rPr>
          <w:rFonts w:eastAsiaTheme="minorHAnsi"/>
          <w:sz w:val="16"/>
          <w:szCs w:val="16"/>
        </w:rPr>
      </w:pPr>
      <w:r w:rsidRPr="0023362E">
        <w:rPr>
          <w:sz w:val="16"/>
          <w:szCs w:val="16"/>
          <w:vertAlign w:val="superscript"/>
        </w:rPr>
        <w:footnoteRef/>
      </w:r>
      <w:r w:rsidRPr="0023362E">
        <w:rPr>
          <w:sz w:val="16"/>
          <w:szCs w:val="16"/>
          <w:vertAlign w:val="superscript"/>
        </w:rPr>
        <w:t xml:space="preserve"> </w:t>
      </w:r>
      <w:r>
        <w:rPr>
          <w:sz w:val="16"/>
          <w:szCs w:val="16"/>
        </w:rPr>
        <w:tab/>
        <w:t>El Estado aclaró</w:t>
      </w:r>
      <w:r w:rsidRPr="0023362E">
        <w:rPr>
          <w:sz w:val="16"/>
          <w:szCs w:val="16"/>
        </w:rPr>
        <w:t xml:space="preserve"> que “[s]í existieron algún tipo de restricciones en el procedimiento de acogimiento a los beneficios de la Ley de Arrepentimiento, las mismas corresponden a la confidencialidad y reserva del procedimiento, así como por la protección de los solicitantes más que por un objetivo de restringir sus derechos”. </w:t>
      </w:r>
    </w:p>
  </w:footnote>
  <w:footnote w:id="220">
    <w:p w:rsidR="00E65148" w:rsidRPr="0023362E" w:rsidRDefault="00E65148" w:rsidP="00C428DA">
      <w:pPr>
        <w:autoSpaceDE w:val="0"/>
        <w:autoSpaceDN w:val="0"/>
        <w:adjustRightInd w:val="0"/>
        <w:rPr>
          <w:rFonts w:eastAsiaTheme="minorHAnsi"/>
          <w:sz w:val="16"/>
          <w:szCs w:val="16"/>
        </w:rPr>
      </w:pPr>
      <w:r w:rsidRPr="0023362E">
        <w:rPr>
          <w:rStyle w:val="FootnoteReference"/>
          <w:sz w:val="16"/>
          <w:szCs w:val="16"/>
        </w:rPr>
        <w:footnoteRef/>
      </w:r>
      <w:r w:rsidRPr="0023362E">
        <w:rPr>
          <w:sz w:val="16"/>
          <w:szCs w:val="16"/>
        </w:rPr>
        <w:t xml:space="preserve"> </w:t>
      </w:r>
      <w:r w:rsidRPr="0023362E">
        <w:rPr>
          <w:sz w:val="16"/>
          <w:szCs w:val="16"/>
        </w:rPr>
        <w:tab/>
        <w:t xml:space="preserve">En el mismo sentido, el ex Jefe de la JECOTE de Huánuco, ha declarado que “durante el trámite de la solicitud voluntaria del señor Galindo Cárdenas para acogerse a la Ley de Arrepentimiento, en ningún momento el señor Galindo le mencionó que había sido víctima de tortura psicológica por parte del personal del Ejército peruano, y tampoco denotaba signos de tortura física ni mental”. </w:t>
      </w:r>
    </w:p>
  </w:footnote>
  <w:footnote w:id="221">
    <w:p w:rsidR="00E65148" w:rsidRPr="0023362E" w:rsidRDefault="00E65148" w:rsidP="00C428DA">
      <w:pPr>
        <w:tabs>
          <w:tab w:val="left" w:pos="720"/>
        </w:tabs>
        <w:contextualSpacing/>
        <w:rPr>
          <w:strike/>
          <w:spacing w:val="-4"/>
          <w:sz w:val="16"/>
          <w:szCs w:val="16"/>
          <w:lang w:val="es-PR"/>
        </w:rPr>
      </w:pPr>
      <w:r w:rsidRPr="0023362E">
        <w:rPr>
          <w:rStyle w:val="FootnoteReference"/>
          <w:spacing w:val="-4"/>
          <w:sz w:val="16"/>
          <w:szCs w:val="16"/>
          <w:lang w:val="es-PR"/>
        </w:rPr>
        <w:footnoteRef/>
      </w:r>
      <w:r w:rsidRPr="0023362E">
        <w:rPr>
          <w:spacing w:val="-4"/>
          <w:sz w:val="16"/>
          <w:szCs w:val="16"/>
          <w:lang w:val="es-PR"/>
        </w:rPr>
        <w:t xml:space="preserve"> </w:t>
      </w:r>
      <w:r w:rsidRPr="0023362E">
        <w:rPr>
          <w:spacing w:val="-4"/>
          <w:sz w:val="16"/>
          <w:szCs w:val="16"/>
          <w:lang w:val="es-PR"/>
        </w:rPr>
        <w:tab/>
      </w:r>
      <w:r w:rsidRPr="0023362E">
        <w:rPr>
          <w:i/>
          <w:spacing w:val="-4"/>
          <w:sz w:val="16"/>
          <w:szCs w:val="16"/>
          <w:lang w:val="es-PR"/>
        </w:rPr>
        <w:t>Cfr.</w:t>
      </w:r>
      <w:r w:rsidRPr="0023362E">
        <w:rPr>
          <w:spacing w:val="-4"/>
          <w:sz w:val="16"/>
          <w:szCs w:val="16"/>
          <w:lang w:val="es-PR"/>
        </w:rPr>
        <w:t xml:space="preserve"> </w:t>
      </w:r>
      <w:r w:rsidRPr="008D2D9F">
        <w:rPr>
          <w:bCs/>
          <w:i/>
          <w:spacing w:val="-4"/>
          <w:sz w:val="16"/>
          <w:szCs w:val="16"/>
          <w:lang w:val="es-PR"/>
        </w:rPr>
        <w:t>Caso</w:t>
      </w:r>
      <w:r w:rsidRPr="0023362E">
        <w:rPr>
          <w:bCs/>
          <w:i/>
          <w:spacing w:val="-4"/>
          <w:sz w:val="16"/>
          <w:szCs w:val="16"/>
          <w:lang w:val="es-PR"/>
        </w:rPr>
        <w:t xml:space="preserve"> </w:t>
      </w:r>
      <w:proofErr w:type="spellStart"/>
      <w:r w:rsidRPr="0023362E">
        <w:rPr>
          <w:bCs/>
          <w:i/>
          <w:spacing w:val="-4"/>
          <w:sz w:val="16"/>
          <w:szCs w:val="16"/>
          <w:lang w:val="es-PR"/>
        </w:rPr>
        <w:t>Yvon</w:t>
      </w:r>
      <w:proofErr w:type="spellEnd"/>
      <w:r w:rsidRPr="0023362E">
        <w:rPr>
          <w:bCs/>
          <w:i/>
          <w:spacing w:val="-4"/>
          <w:sz w:val="16"/>
          <w:szCs w:val="16"/>
          <w:lang w:val="es-PR"/>
        </w:rPr>
        <w:t xml:space="preserve"> </w:t>
      </w:r>
      <w:proofErr w:type="spellStart"/>
      <w:r w:rsidRPr="0023362E">
        <w:rPr>
          <w:bCs/>
          <w:i/>
          <w:spacing w:val="-4"/>
          <w:sz w:val="16"/>
          <w:szCs w:val="16"/>
          <w:lang w:val="es-PR"/>
        </w:rPr>
        <w:t>Neptune</w:t>
      </w:r>
      <w:proofErr w:type="spellEnd"/>
      <w:r w:rsidRPr="0023362E">
        <w:rPr>
          <w:bCs/>
          <w:i/>
          <w:spacing w:val="-4"/>
          <w:sz w:val="16"/>
          <w:szCs w:val="16"/>
          <w:lang w:val="es-PR"/>
        </w:rPr>
        <w:t xml:space="preserve"> </w:t>
      </w:r>
      <w:r w:rsidRPr="0023362E">
        <w:rPr>
          <w:i/>
          <w:spacing w:val="-4"/>
          <w:sz w:val="16"/>
          <w:szCs w:val="16"/>
          <w:lang w:val="es-PR"/>
        </w:rPr>
        <w:t>Vs. Haití</w:t>
      </w:r>
      <w:r w:rsidRPr="008D2D9F">
        <w:rPr>
          <w:spacing w:val="-4"/>
          <w:sz w:val="16"/>
          <w:szCs w:val="16"/>
          <w:lang w:val="es-PR"/>
        </w:rPr>
        <w:t>,</w:t>
      </w:r>
      <w:r w:rsidRPr="0023362E">
        <w:rPr>
          <w:b/>
          <w:i/>
          <w:spacing w:val="-4"/>
          <w:sz w:val="16"/>
          <w:szCs w:val="16"/>
          <w:lang w:val="es-PR"/>
        </w:rPr>
        <w:t xml:space="preserve"> </w:t>
      </w:r>
      <w:r w:rsidRPr="0023362E">
        <w:rPr>
          <w:bCs/>
          <w:spacing w:val="-4"/>
          <w:sz w:val="16"/>
          <w:szCs w:val="16"/>
          <w:lang w:val="es-PR"/>
        </w:rPr>
        <w:t>párr. 129, y</w:t>
      </w:r>
      <w:r w:rsidRPr="0023362E">
        <w:rPr>
          <w:b/>
          <w:bCs/>
          <w:spacing w:val="-4"/>
          <w:sz w:val="16"/>
          <w:szCs w:val="16"/>
          <w:lang w:val="es-PR"/>
        </w:rPr>
        <w:t xml:space="preserve"> </w:t>
      </w:r>
      <w:r w:rsidRPr="00CF4A86">
        <w:rPr>
          <w:rStyle w:val="Strong"/>
          <w:b w:val="0"/>
          <w:i/>
          <w:color w:val="000000"/>
          <w:sz w:val="16"/>
          <w:szCs w:val="16"/>
          <w:shd w:val="clear" w:color="auto" w:fill="FFFFFF"/>
        </w:rPr>
        <w:t>Caso</w:t>
      </w:r>
      <w:r w:rsidRPr="0023362E">
        <w:rPr>
          <w:rStyle w:val="Strong"/>
          <w:b w:val="0"/>
          <w:i/>
          <w:color w:val="000000"/>
          <w:sz w:val="16"/>
          <w:szCs w:val="16"/>
          <w:shd w:val="clear" w:color="auto" w:fill="FFFFFF"/>
        </w:rPr>
        <w:t xml:space="preserve"> Espinoza Gonzáles Vs. Perú</w:t>
      </w:r>
      <w:r w:rsidRPr="008D2D9F">
        <w:rPr>
          <w:bCs/>
          <w:spacing w:val="-4"/>
          <w:sz w:val="16"/>
          <w:szCs w:val="16"/>
        </w:rPr>
        <w:t>,</w:t>
      </w:r>
      <w:r w:rsidRPr="00813425">
        <w:rPr>
          <w:bCs/>
          <w:spacing w:val="-4"/>
          <w:sz w:val="16"/>
          <w:szCs w:val="16"/>
        </w:rPr>
        <w:t xml:space="preserve"> </w:t>
      </w:r>
      <w:r w:rsidRPr="0023362E">
        <w:rPr>
          <w:bCs/>
          <w:spacing w:val="-4"/>
          <w:sz w:val="16"/>
          <w:szCs w:val="16"/>
        </w:rPr>
        <w:t xml:space="preserve">párr. 140. </w:t>
      </w:r>
      <w:r w:rsidRPr="0023362E">
        <w:rPr>
          <w:bCs/>
          <w:i/>
          <w:spacing w:val="-4"/>
          <w:sz w:val="16"/>
          <w:szCs w:val="16"/>
          <w:lang w:val="es-PR"/>
        </w:rPr>
        <w:t xml:space="preserve"> </w:t>
      </w:r>
      <w:r w:rsidRPr="0023362E">
        <w:rPr>
          <w:spacing w:val="-4"/>
          <w:sz w:val="16"/>
          <w:szCs w:val="16"/>
          <w:lang w:val="es-PR"/>
        </w:rPr>
        <w:t xml:space="preserve">Los principios recogidos en el artículo 5.2 de la Convención Americana también están contenidos en los artículos 7 y 10.1 del </w:t>
      </w:r>
      <w:r w:rsidRPr="0023362E">
        <w:rPr>
          <w:i/>
          <w:spacing w:val="-4"/>
          <w:sz w:val="16"/>
          <w:szCs w:val="16"/>
          <w:lang w:val="es-PR"/>
        </w:rPr>
        <w:t>Pacto Internacional de Derechos Civiles y Políticos</w:t>
      </w:r>
      <w:r w:rsidRPr="0023362E">
        <w:rPr>
          <w:spacing w:val="-4"/>
          <w:sz w:val="16"/>
          <w:szCs w:val="16"/>
          <w:lang w:val="es-PR"/>
        </w:rPr>
        <w:t>, los cuales establecen, respectivamente, que “[n]</w:t>
      </w:r>
      <w:proofErr w:type="spellStart"/>
      <w:r w:rsidRPr="0023362E">
        <w:rPr>
          <w:spacing w:val="-4"/>
          <w:sz w:val="16"/>
          <w:szCs w:val="16"/>
          <w:lang w:val="es-PR"/>
        </w:rPr>
        <w:t>adie</w:t>
      </w:r>
      <w:proofErr w:type="spellEnd"/>
      <w:r w:rsidRPr="0023362E">
        <w:rPr>
          <w:spacing w:val="-4"/>
          <w:sz w:val="16"/>
          <w:szCs w:val="16"/>
          <w:lang w:val="es-PR"/>
        </w:rPr>
        <w:t xml:space="preserve"> será sometido a torturas ni a penas o tratos crueles, inhumanos o degradantes […]”, y que “[t]oda persona privada de libertad será tratada humanamente y con el respeto debido a la dignidad inherente al ser humano”. Los principios primero y sexto del </w:t>
      </w:r>
      <w:r w:rsidRPr="0023362E">
        <w:rPr>
          <w:bCs/>
          <w:i/>
          <w:spacing w:val="-4"/>
          <w:sz w:val="16"/>
          <w:szCs w:val="16"/>
          <w:lang w:val="es-PR"/>
        </w:rPr>
        <w:t>Conjunto de Principios para la protección de todas las personas sometidas a cualquier forma de detención o prisión</w:t>
      </w:r>
      <w:r w:rsidRPr="0023362E">
        <w:rPr>
          <w:bCs/>
          <w:spacing w:val="-4"/>
          <w:sz w:val="16"/>
          <w:szCs w:val="16"/>
          <w:lang w:val="es-PR"/>
        </w:rPr>
        <w:t xml:space="preserve"> disponen, respectivamente, lo mismo. Por su parte, el artículo 3 del </w:t>
      </w:r>
      <w:r w:rsidRPr="0023362E">
        <w:rPr>
          <w:bCs/>
          <w:i/>
          <w:spacing w:val="-4"/>
          <w:sz w:val="16"/>
          <w:szCs w:val="16"/>
          <w:lang w:val="es-PR"/>
        </w:rPr>
        <w:t>Convenio Europeo para la Protección de los Derechos Humanos y de las Libertades Fundamentales</w:t>
      </w:r>
      <w:r w:rsidRPr="0023362E">
        <w:rPr>
          <w:bCs/>
          <w:spacing w:val="-4"/>
          <w:sz w:val="16"/>
          <w:szCs w:val="16"/>
          <w:lang w:val="es-PR"/>
        </w:rPr>
        <w:t xml:space="preserve"> dispone que “[n]</w:t>
      </w:r>
      <w:proofErr w:type="spellStart"/>
      <w:r w:rsidRPr="0023362E">
        <w:rPr>
          <w:spacing w:val="-4"/>
          <w:sz w:val="16"/>
          <w:szCs w:val="16"/>
          <w:lang w:val="es-PR"/>
        </w:rPr>
        <w:t>adie</w:t>
      </w:r>
      <w:proofErr w:type="spellEnd"/>
      <w:r w:rsidRPr="0023362E">
        <w:rPr>
          <w:spacing w:val="-4"/>
          <w:sz w:val="16"/>
          <w:szCs w:val="16"/>
          <w:lang w:val="es-PR"/>
        </w:rPr>
        <w:t xml:space="preserve"> podrá ser sometido a tortura ni a penas o tratos inhumanos o degradantes”. </w:t>
      </w:r>
    </w:p>
  </w:footnote>
  <w:footnote w:id="222">
    <w:p w:rsidR="00E65148" w:rsidRPr="0023362E" w:rsidRDefault="00E65148" w:rsidP="00C428DA">
      <w:pPr>
        <w:tabs>
          <w:tab w:val="left" w:pos="720"/>
        </w:tabs>
        <w:contextualSpacing/>
        <w:rPr>
          <w:spacing w:val="-4"/>
          <w:sz w:val="16"/>
          <w:szCs w:val="16"/>
          <w:lang w:val="es-PR"/>
        </w:rPr>
      </w:pPr>
      <w:r w:rsidRPr="0023362E">
        <w:rPr>
          <w:rStyle w:val="FootnoteReference"/>
          <w:spacing w:val="-4"/>
          <w:sz w:val="16"/>
          <w:szCs w:val="16"/>
          <w:lang w:val="es-PR"/>
        </w:rPr>
        <w:footnoteRef/>
      </w:r>
      <w:r w:rsidRPr="0023362E">
        <w:rPr>
          <w:spacing w:val="-4"/>
          <w:sz w:val="16"/>
          <w:szCs w:val="16"/>
          <w:lang w:val="es-PR"/>
        </w:rPr>
        <w:t xml:space="preserve"> </w:t>
      </w:r>
      <w:r w:rsidRPr="0023362E">
        <w:rPr>
          <w:spacing w:val="-4"/>
          <w:sz w:val="16"/>
          <w:szCs w:val="16"/>
          <w:lang w:val="es-PR"/>
        </w:rPr>
        <w:tab/>
      </w:r>
      <w:r w:rsidRPr="0023362E">
        <w:rPr>
          <w:i/>
          <w:spacing w:val="-4"/>
          <w:sz w:val="16"/>
          <w:szCs w:val="16"/>
          <w:lang w:val="es-PR"/>
        </w:rPr>
        <w:t>Cfr</w:t>
      </w:r>
      <w:r w:rsidRPr="0023362E">
        <w:rPr>
          <w:bCs/>
          <w:i/>
          <w:spacing w:val="-4"/>
          <w:sz w:val="16"/>
          <w:szCs w:val="16"/>
          <w:lang w:val="es-PR"/>
        </w:rPr>
        <w:t>.</w:t>
      </w:r>
      <w:r w:rsidRPr="0023362E">
        <w:rPr>
          <w:bCs/>
          <w:spacing w:val="-4"/>
          <w:sz w:val="16"/>
          <w:szCs w:val="16"/>
          <w:lang w:val="es-PR"/>
        </w:rPr>
        <w:t xml:space="preserve"> </w:t>
      </w:r>
      <w:r w:rsidRPr="008D2D9F">
        <w:rPr>
          <w:bCs/>
          <w:i/>
          <w:spacing w:val="-4"/>
          <w:sz w:val="16"/>
          <w:szCs w:val="16"/>
          <w:lang w:val="es-PR"/>
        </w:rPr>
        <w:t>Caso</w:t>
      </w:r>
      <w:r w:rsidRPr="0023362E">
        <w:rPr>
          <w:bCs/>
          <w:i/>
          <w:spacing w:val="-4"/>
          <w:sz w:val="16"/>
          <w:szCs w:val="16"/>
          <w:lang w:val="es-PR"/>
        </w:rPr>
        <w:t xml:space="preserve"> </w:t>
      </w:r>
      <w:proofErr w:type="spellStart"/>
      <w:r w:rsidRPr="0023362E">
        <w:rPr>
          <w:bCs/>
          <w:i/>
          <w:spacing w:val="-4"/>
          <w:sz w:val="16"/>
          <w:szCs w:val="16"/>
          <w:lang w:val="es-PR"/>
        </w:rPr>
        <w:t>Yvon</w:t>
      </w:r>
      <w:proofErr w:type="spellEnd"/>
      <w:r w:rsidRPr="0023362E">
        <w:rPr>
          <w:bCs/>
          <w:i/>
          <w:spacing w:val="-4"/>
          <w:sz w:val="16"/>
          <w:szCs w:val="16"/>
          <w:lang w:val="es-PR"/>
        </w:rPr>
        <w:t xml:space="preserve"> </w:t>
      </w:r>
      <w:proofErr w:type="spellStart"/>
      <w:r w:rsidRPr="0023362E">
        <w:rPr>
          <w:bCs/>
          <w:i/>
          <w:spacing w:val="-4"/>
          <w:sz w:val="16"/>
          <w:szCs w:val="16"/>
          <w:lang w:val="es-PR"/>
        </w:rPr>
        <w:t>Neptune</w:t>
      </w:r>
      <w:proofErr w:type="spellEnd"/>
      <w:r w:rsidRPr="0023362E">
        <w:rPr>
          <w:bCs/>
          <w:i/>
          <w:spacing w:val="-4"/>
          <w:sz w:val="16"/>
          <w:szCs w:val="16"/>
          <w:lang w:val="es-PR"/>
        </w:rPr>
        <w:t xml:space="preserve"> </w:t>
      </w:r>
      <w:r w:rsidRPr="0023362E">
        <w:rPr>
          <w:i/>
          <w:spacing w:val="-4"/>
          <w:sz w:val="16"/>
          <w:szCs w:val="16"/>
          <w:lang w:val="es-PR"/>
        </w:rPr>
        <w:t xml:space="preserve">Vs. Haití, </w:t>
      </w:r>
      <w:r w:rsidRPr="0023362E">
        <w:rPr>
          <w:bCs/>
          <w:spacing w:val="-4"/>
          <w:sz w:val="16"/>
          <w:szCs w:val="16"/>
          <w:lang w:val="es-PR"/>
        </w:rPr>
        <w:t>párr. 129, y</w:t>
      </w:r>
      <w:r w:rsidRPr="0023362E">
        <w:rPr>
          <w:bCs/>
          <w:i/>
          <w:spacing w:val="-4"/>
          <w:sz w:val="16"/>
          <w:szCs w:val="16"/>
          <w:lang w:val="es-PR"/>
        </w:rPr>
        <w:t xml:space="preserve"> </w:t>
      </w:r>
      <w:r w:rsidRPr="008D2D9F">
        <w:rPr>
          <w:bCs/>
          <w:i/>
          <w:spacing w:val="-4"/>
          <w:sz w:val="16"/>
          <w:szCs w:val="16"/>
          <w:lang w:val="es-PR"/>
        </w:rPr>
        <w:t>Caso</w:t>
      </w:r>
      <w:r w:rsidRPr="0023362E">
        <w:rPr>
          <w:bCs/>
          <w:spacing w:val="-4"/>
          <w:sz w:val="16"/>
          <w:szCs w:val="16"/>
          <w:lang w:val="es-PR"/>
        </w:rPr>
        <w:t xml:space="preserve"> </w:t>
      </w:r>
      <w:r w:rsidRPr="0023362E">
        <w:rPr>
          <w:bCs/>
          <w:i/>
          <w:spacing w:val="-4"/>
          <w:sz w:val="16"/>
          <w:szCs w:val="16"/>
          <w:lang w:val="es-PR"/>
        </w:rPr>
        <w:t>Espinoza Gonzales Vs. Perú</w:t>
      </w:r>
      <w:r w:rsidRPr="0023362E">
        <w:rPr>
          <w:bCs/>
          <w:spacing w:val="-4"/>
          <w:sz w:val="16"/>
          <w:szCs w:val="16"/>
          <w:lang w:val="es-PR"/>
        </w:rPr>
        <w:t>, párr. 140</w:t>
      </w:r>
      <w:r w:rsidRPr="0023362E">
        <w:rPr>
          <w:bCs/>
          <w:i/>
          <w:spacing w:val="-4"/>
          <w:sz w:val="16"/>
          <w:szCs w:val="16"/>
          <w:lang w:val="es-PR"/>
        </w:rPr>
        <w:t xml:space="preserve">. </w:t>
      </w:r>
      <w:r w:rsidRPr="0023362E">
        <w:rPr>
          <w:bCs/>
          <w:spacing w:val="-4"/>
          <w:sz w:val="16"/>
          <w:szCs w:val="16"/>
          <w:lang w:val="es-PR"/>
        </w:rPr>
        <w:t xml:space="preserve"> </w:t>
      </w:r>
    </w:p>
  </w:footnote>
  <w:footnote w:id="223">
    <w:p w:rsidR="00E65148" w:rsidRPr="0011489C" w:rsidRDefault="00E65148">
      <w:pPr>
        <w:pStyle w:val="FootnoteText"/>
      </w:pPr>
      <w:r>
        <w:rPr>
          <w:rStyle w:val="FootnoteReference"/>
        </w:rPr>
        <w:footnoteRef/>
      </w:r>
      <w:r>
        <w:t xml:space="preserve">  </w:t>
      </w:r>
      <w:r>
        <w:tab/>
        <w:t xml:space="preserve">Durante la audiencia pública llevada a cabo el 29 de enero de 2015, durante el 107 Período de Sesiones, el señor Galindo indicó que durante su </w:t>
      </w:r>
      <w:r w:rsidRPr="0098339D">
        <w:rPr>
          <w:szCs w:val="16"/>
        </w:rPr>
        <w:t xml:space="preserve">detención </w:t>
      </w:r>
      <w:r w:rsidRPr="00524991">
        <w:rPr>
          <w:szCs w:val="16"/>
        </w:rPr>
        <w:t>fue “</w:t>
      </w:r>
      <w:r w:rsidRPr="008D2D9F">
        <w:rPr>
          <w:szCs w:val="16"/>
        </w:rPr>
        <w:t>sometido a permanentes presiones, abusos, y torturas de carácter psicológico, en horas de la madrugada”.</w:t>
      </w:r>
      <w:r>
        <w:t xml:space="preserve"> </w:t>
      </w:r>
    </w:p>
  </w:footnote>
  <w:footnote w:id="224">
    <w:p w:rsidR="00E65148" w:rsidRPr="0023362E" w:rsidRDefault="00E65148" w:rsidP="00C428DA">
      <w:pPr>
        <w:pStyle w:val="FootnoteText"/>
        <w:rPr>
          <w:szCs w:val="16"/>
          <w:lang w:val="es-CR"/>
        </w:rPr>
      </w:pPr>
      <w:r w:rsidRPr="0023362E">
        <w:rPr>
          <w:rStyle w:val="FootnoteReference"/>
          <w:szCs w:val="16"/>
        </w:rPr>
        <w:footnoteRef/>
      </w:r>
      <w:r w:rsidRPr="0023362E">
        <w:rPr>
          <w:szCs w:val="16"/>
        </w:rPr>
        <w:t xml:space="preserve"> </w:t>
      </w:r>
      <w:r w:rsidRPr="0023362E">
        <w:rPr>
          <w:szCs w:val="16"/>
        </w:rPr>
        <w:tab/>
      </w:r>
      <w:r w:rsidRPr="0023362E">
        <w:rPr>
          <w:rFonts w:cs="Verdana"/>
          <w:i/>
          <w:iCs/>
          <w:spacing w:val="-4"/>
          <w:szCs w:val="16"/>
          <w:lang w:val="es-PR"/>
        </w:rPr>
        <w:t>Cfr.</w:t>
      </w:r>
      <w:r w:rsidRPr="00CF4A86">
        <w:rPr>
          <w:rFonts w:cs="Verdana"/>
          <w:i/>
          <w:iCs/>
          <w:spacing w:val="-4"/>
          <w:szCs w:val="16"/>
          <w:lang w:val="es-PR"/>
        </w:rPr>
        <w:t xml:space="preserve"> Caso</w:t>
      </w:r>
      <w:r w:rsidRPr="008D2D9F">
        <w:rPr>
          <w:rFonts w:cs="Verdana"/>
          <w:iCs/>
          <w:spacing w:val="-4"/>
          <w:szCs w:val="16"/>
          <w:lang w:val="es-PR"/>
        </w:rPr>
        <w:t xml:space="preserve"> </w:t>
      </w:r>
      <w:r w:rsidRPr="0023362E">
        <w:rPr>
          <w:rFonts w:cs="Verdana"/>
          <w:i/>
          <w:iCs/>
          <w:spacing w:val="-4"/>
          <w:szCs w:val="16"/>
          <w:lang w:val="es-PR"/>
        </w:rPr>
        <w:t>Suárez Rosero Vs. Ecuador. Fondo</w:t>
      </w:r>
      <w:r w:rsidRPr="0023362E">
        <w:rPr>
          <w:rFonts w:cs="Verdana"/>
          <w:iCs/>
          <w:spacing w:val="-4"/>
          <w:szCs w:val="16"/>
          <w:lang w:val="es-PR"/>
        </w:rPr>
        <w:t xml:space="preserve">, párr. 90, y </w:t>
      </w:r>
      <w:r w:rsidRPr="008D2D9F">
        <w:rPr>
          <w:rFonts w:cs="Verdana"/>
          <w:i/>
          <w:iCs/>
          <w:spacing w:val="-4"/>
          <w:szCs w:val="16"/>
          <w:lang w:val="es-PR"/>
        </w:rPr>
        <w:t>Caso</w:t>
      </w:r>
      <w:r w:rsidRPr="0023362E">
        <w:rPr>
          <w:rFonts w:cs="Verdana"/>
          <w:iCs/>
          <w:spacing w:val="-4"/>
          <w:szCs w:val="16"/>
          <w:lang w:val="es-PR"/>
        </w:rPr>
        <w:t xml:space="preserve"> </w:t>
      </w:r>
      <w:r w:rsidRPr="0023362E">
        <w:rPr>
          <w:rFonts w:cs="Verdana"/>
          <w:i/>
          <w:iCs/>
          <w:spacing w:val="-4"/>
          <w:szCs w:val="16"/>
          <w:lang w:val="es-PR"/>
        </w:rPr>
        <w:t>Espinoza Gonzales Vs. Perú</w:t>
      </w:r>
      <w:r w:rsidRPr="0023362E">
        <w:rPr>
          <w:rFonts w:cs="Verdana"/>
          <w:iCs/>
          <w:spacing w:val="-4"/>
          <w:szCs w:val="16"/>
          <w:lang w:val="es-PR"/>
        </w:rPr>
        <w:t xml:space="preserve">, párr. 186. </w:t>
      </w:r>
      <w:r w:rsidRPr="0023362E">
        <w:rPr>
          <w:rFonts w:cs="Verdana"/>
          <w:i/>
          <w:iCs/>
          <w:spacing w:val="-4"/>
          <w:szCs w:val="16"/>
          <w:lang w:val="es-PR"/>
        </w:rPr>
        <w:t xml:space="preserve"> </w:t>
      </w:r>
    </w:p>
  </w:footnote>
  <w:footnote w:id="225">
    <w:p w:rsidR="00E65148" w:rsidRPr="0023362E" w:rsidRDefault="00E65148" w:rsidP="00C428DA">
      <w:pPr>
        <w:pStyle w:val="FootnoteText"/>
        <w:rPr>
          <w:szCs w:val="16"/>
          <w:lang w:val="es-CO"/>
        </w:rPr>
      </w:pPr>
      <w:r w:rsidRPr="0023362E">
        <w:rPr>
          <w:rStyle w:val="FootnoteReference"/>
          <w:szCs w:val="16"/>
        </w:rPr>
        <w:footnoteRef/>
      </w:r>
      <w:r w:rsidRPr="0023362E">
        <w:rPr>
          <w:szCs w:val="16"/>
        </w:rPr>
        <w:t xml:space="preserve"> </w:t>
      </w:r>
      <w:r w:rsidRPr="0023362E">
        <w:rPr>
          <w:szCs w:val="16"/>
        </w:rPr>
        <w:tab/>
      </w:r>
      <w:r w:rsidRPr="0023362E">
        <w:rPr>
          <w:i/>
          <w:szCs w:val="16"/>
        </w:rPr>
        <w:t>Cfr.</w:t>
      </w:r>
      <w:r w:rsidRPr="0023362E">
        <w:rPr>
          <w:szCs w:val="16"/>
        </w:rPr>
        <w:t xml:space="preserve"> </w:t>
      </w:r>
      <w:r w:rsidRPr="00CF4A86">
        <w:rPr>
          <w:i/>
          <w:szCs w:val="16"/>
        </w:rPr>
        <w:t>Caso</w:t>
      </w:r>
      <w:r w:rsidRPr="0023362E">
        <w:rPr>
          <w:i/>
          <w:szCs w:val="16"/>
        </w:rPr>
        <w:t xml:space="preserve"> de la "Masacre de </w:t>
      </w:r>
      <w:proofErr w:type="spellStart"/>
      <w:r w:rsidRPr="0023362E">
        <w:rPr>
          <w:i/>
          <w:szCs w:val="16"/>
        </w:rPr>
        <w:t>Mapiripán</w:t>
      </w:r>
      <w:proofErr w:type="spellEnd"/>
      <w:r w:rsidRPr="0023362E">
        <w:rPr>
          <w:i/>
          <w:szCs w:val="16"/>
        </w:rPr>
        <w:t xml:space="preserve">" Vs. Colombia. </w:t>
      </w:r>
      <w:r>
        <w:rPr>
          <w:i/>
          <w:szCs w:val="16"/>
        </w:rPr>
        <w:t xml:space="preserve">Fondo. Reparaciones y </w:t>
      </w:r>
      <w:proofErr w:type="spellStart"/>
      <w:r>
        <w:rPr>
          <w:i/>
          <w:szCs w:val="16"/>
        </w:rPr>
        <w:t>Costas</w:t>
      </w:r>
      <w:r w:rsidRPr="00E665C7">
        <w:rPr>
          <w:i/>
          <w:szCs w:val="16"/>
        </w:rPr>
        <w:t>.</w:t>
      </w:r>
      <w:r w:rsidRPr="00E665C7">
        <w:rPr>
          <w:szCs w:val="16"/>
        </w:rPr>
        <w:t>S</w:t>
      </w:r>
      <w:r w:rsidRPr="0023362E">
        <w:rPr>
          <w:szCs w:val="16"/>
        </w:rPr>
        <w:t>entencia</w:t>
      </w:r>
      <w:proofErr w:type="spellEnd"/>
      <w:r w:rsidRPr="0023362E">
        <w:rPr>
          <w:szCs w:val="16"/>
        </w:rPr>
        <w:t xml:space="preserve"> de 15 de septiembre de 2005. Serie C No. 134, párr. 144 y 146, y </w:t>
      </w:r>
      <w:r w:rsidRPr="00CF4A86">
        <w:rPr>
          <w:rStyle w:val="Strong"/>
          <w:rFonts w:eastAsiaTheme="majorEastAsia"/>
          <w:b w:val="0"/>
          <w:i/>
          <w:color w:val="000000"/>
          <w:szCs w:val="16"/>
          <w:shd w:val="clear" w:color="auto" w:fill="FFFFFF"/>
        </w:rPr>
        <w:t>Caso</w:t>
      </w:r>
      <w:r w:rsidRPr="0023362E">
        <w:rPr>
          <w:rStyle w:val="Strong"/>
          <w:rFonts w:eastAsiaTheme="majorEastAsia"/>
          <w:b w:val="0"/>
          <w:i/>
          <w:color w:val="000000"/>
          <w:szCs w:val="16"/>
          <w:shd w:val="clear" w:color="auto" w:fill="FFFFFF"/>
        </w:rPr>
        <w:t xml:space="preserve"> </w:t>
      </w:r>
      <w:r>
        <w:rPr>
          <w:rStyle w:val="Strong"/>
          <w:rFonts w:eastAsiaTheme="majorEastAsia"/>
          <w:b w:val="0"/>
          <w:i/>
          <w:color w:val="000000"/>
          <w:szCs w:val="16"/>
          <w:shd w:val="clear" w:color="auto" w:fill="FFFFFF"/>
        </w:rPr>
        <w:t xml:space="preserve">Cruz Sánchez </w:t>
      </w:r>
      <w:r w:rsidRPr="0023362E">
        <w:rPr>
          <w:rStyle w:val="Strong"/>
          <w:rFonts w:eastAsiaTheme="majorEastAsia"/>
          <w:b w:val="0"/>
          <w:i/>
          <w:color w:val="000000"/>
          <w:szCs w:val="16"/>
          <w:shd w:val="clear" w:color="auto" w:fill="FFFFFF"/>
        </w:rPr>
        <w:t>Vs. Perú</w:t>
      </w:r>
      <w:r w:rsidRPr="0023362E">
        <w:rPr>
          <w:rStyle w:val="Strong"/>
          <w:rFonts w:eastAsiaTheme="majorEastAsia"/>
          <w:b w:val="0"/>
          <w:color w:val="000000"/>
          <w:szCs w:val="16"/>
          <w:shd w:val="clear" w:color="auto" w:fill="FFFFFF"/>
        </w:rPr>
        <w:t xml:space="preserve">, párr. </w:t>
      </w:r>
      <w:r>
        <w:rPr>
          <w:szCs w:val="16"/>
        </w:rPr>
        <w:t>443</w:t>
      </w:r>
      <w:r w:rsidRPr="0023362E">
        <w:rPr>
          <w:szCs w:val="16"/>
        </w:rPr>
        <w:t>.</w:t>
      </w:r>
    </w:p>
  </w:footnote>
  <w:footnote w:id="226">
    <w:p w:rsidR="00E65148" w:rsidRPr="0023362E" w:rsidRDefault="00E65148" w:rsidP="0017102D">
      <w:pPr>
        <w:rPr>
          <w:bCs/>
          <w:spacing w:val="-4"/>
          <w:sz w:val="16"/>
          <w:szCs w:val="16"/>
          <w:lang w:val="es-GT"/>
        </w:rPr>
      </w:pPr>
      <w:r w:rsidRPr="0023362E">
        <w:rPr>
          <w:rStyle w:val="FootnoteReference"/>
          <w:spacing w:val="-4"/>
          <w:sz w:val="16"/>
          <w:szCs w:val="16"/>
        </w:rPr>
        <w:footnoteRef/>
      </w:r>
      <w:r w:rsidRPr="0023362E">
        <w:rPr>
          <w:spacing w:val="-4"/>
          <w:sz w:val="16"/>
          <w:szCs w:val="16"/>
        </w:rPr>
        <w:t xml:space="preserve"> </w:t>
      </w:r>
      <w:r w:rsidRPr="0023362E">
        <w:rPr>
          <w:spacing w:val="-4"/>
          <w:sz w:val="16"/>
          <w:szCs w:val="16"/>
        </w:rPr>
        <w:tab/>
      </w:r>
      <w:r w:rsidRPr="008D2D9F">
        <w:rPr>
          <w:bCs/>
          <w:i/>
          <w:spacing w:val="-4"/>
          <w:sz w:val="16"/>
          <w:szCs w:val="16"/>
          <w:lang w:val="es-GT"/>
        </w:rPr>
        <w:t>Caso</w:t>
      </w:r>
      <w:r w:rsidRPr="0023362E">
        <w:rPr>
          <w:bCs/>
          <w:i/>
          <w:spacing w:val="-4"/>
          <w:sz w:val="16"/>
          <w:szCs w:val="16"/>
          <w:lang w:val="es-GT"/>
        </w:rPr>
        <w:t xml:space="preserve"> Ve</w:t>
      </w:r>
      <w:r>
        <w:rPr>
          <w:bCs/>
          <w:i/>
          <w:spacing w:val="-4"/>
          <w:sz w:val="16"/>
          <w:szCs w:val="16"/>
          <w:lang w:val="es-GT"/>
        </w:rPr>
        <w:t xml:space="preserve">lásquez Rodríguez Vs. Honduras. </w:t>
      </w:r>
      <w:r w:rsidRPr="0023362E">
        <w:rPr>
          <w:bCs/>
          <w:i/>
          <w:spacing w:val="-4"/>
          <w:sz w:val="16"/>
          <w:szCs w:val="16"/>
          <w:lang w:val="es-GT"/>
        </w:rPr>
        <w:t>Excepciones Preliminares,</w:t>
      </w:r>
      <w:r w:rsidRPr="0023362E">
        <w:rPr>
          <w:bCs/>
          <w:spacing w:val="-4"/>
          <w:sz w:val="16"/>
          <w:szCs w:val="16"/>
          <w:lang w:val="es-GT"/>
        </w:rPr>
        <w:t xml:space="preserve"> párr. 91</w:t>
      </w:r>
      <w:r w:rsidRPr="0023362E">
        <w:rPr>
          <w:spacing w:val="-4"/>
          <w:sz w:val="16"/>
          <w:szCs w:val="16"/>
          <w:lang w:val="es-GT"/>
        </w:rPr>
        <w:t xml:space="preserve">, y </w:t>
      </w:r>
      <w:r w:rsidRPr="008D2D9F">
        <w:rPr>
          <w:bCs/>
          <w:i/>
          <w:spacing w:val="-4"/>
          <w:sz w:val="16"/>
          <w:szCs w:val="16"/>
        </w:rPr>
        <w:t>Caso</w:t>
      </w:r>
      <w:r w:rsidRPr="0023362E">
        <w:rPr>
          <w:bCs/>
          <w:i/>
          <w:spacing w:val="-4"/>
          <w:sz w:val="16"/>
          <w:szCs w:val="16"/>
        </w:rPr>
        <w:t xml:space="preserve"> Omar Humberto Maldonado Vargas y otros Vs. Chile</w:t>
      </w:r>
      <w:r>
        <w:rPr>
          <w:bCs/>
          <w:i/>
          <w:spacing w:val="-4"/>
          <w:sz w:val="16"/>
          <w:szCs w:val="16"/>
        </w:rPr>
        <w:t>,</w:t>
      </w:r>
      <w:r w:rsidRPr="0023362E">
        <w:rPr>
          <w:i/>
          <w:spacing w:val="-4"/>
          <w:sz w:val="16"/>
          <w:szCs w:val="16"/>
          <w:lang w:val="es-PR"/>
        </w:rPr>
        <w:t xml:space="preserve"> </w:t>
      </w:r>
      <w:r w:rsidRPr="0023362E">
        <w:rPr>
          <w:spacing w:val="-4"/>
          <w:sz w:val="16"/>
          <w:szCs w:val="16"/>
          <w:lang w:val="es-PR"/>
        </w:rPr>
        <w:t>párr. 120.</w:t>
      </w:r>
    </w:p>
  </w:footnote>
  <w:footnote w:id="227">
    <w:p w:rsidR="00E65148" w:rsidRPr="0023362E" w:rsidRDefault="00E65148" w:rsidP="0017102D">
      <w:pPr>
        <w:pStyle w:val="FootnoteText"/>
        <w:rPr>
          <w:szCs w:val="16"/>
          <w:lang w:val="es-CR"/>
        </w:rPr>
      </w:pPr>
      <w:r w:rsidRPr="0023362E">
        <w:rPr>
          <w:rStyle w:val="FootnoteReference"/>
          <w:szCs w:val="16"/>
        </w:rPr>
        <w:footnoteRef/>
      </w:r>
      <w:r w:rsidRPr="0023362E">
        <w:rPr>
          <w:szCs w:val="16"/>
        </w:rPr>
        <w:t xml:space="preserve"> </w:t>
      </w:r>
      <w:r w:rsidRPr="0023362E">
        <w:rPr>
          <w:szCs w:val="16"/>
        </w:rPr>
        <w:tab/>
      </w:r>
      <w:r w:rsidRPr="008D2D9F">
        <w:rPr>
          <w:bCs/>
          <w:szCs w:val="16"/>
          <w:lang w:val="es-ES"/>
        </w:rPr>
        <w:t>Caso</w:t>
      </w:r>
      <w:r>
        <w:rPr>
          <w:bCs/>
          <w:i/>
          <w:szCs w:val="16"/>
          <w:lang w:val="es-ES"/>
        </w:rPr>
        <w:t xml:space="preserve"> García Lucero y otro</w:t>
      </w:r>
      <w:r w:rsidRPr="0023362E">
        <w:rPr>
          <w:bCs/>
          <w:i/>
          <w:szCs w:val="16"/>
          <w:lang w:val="es-ES"/>
        </w:rPr>
        <w:t xml:space="preserve">s Vs. Chile. Excepción Preliminar, Fondo y Reparaciones. </w:t>
      </w:r>
      <w:r w:rsidRPr="0023362E">
        <w:rPr>
          <w:bCs/>
          <w:szCs w:val="16"/>
          <w:lang w:val="es-ES"/>
        </w:rPr>
        <w:t>Sentencia de 28 de agosto de 2013. Serie C No. 267, párr. 121. En e</w:t>
      </w:r>
      <w:r>
        <w:rPr>
          <w:bCs/>
          <w:szCs w:val="16"/>
          <w:lang w:val="es-ES"/>
        </w:rPr>
        <w:t>sa oportunidad, en la nota a pie</w:t>
      </w:r>
      <w:r w:rsidRPr="0023362E">
        <w:rPr>
          <w:bCs/>
          <w:szCs w:val="16"/>
          <w:lang w:val="es-ES"/>
        </w:rPr>
        <w:t xml:space="preserve"> de página de la Sentencia referida, se indicó que “</w:t>
      </w:r>
      <w:r w:rsidRPr="0023362E">
        <w:rPr>
          <w:szCs w:val="16"/>
          <w:lang w:val="es-CR"/>
        </w:rPr>
        <w:t>la Corte ha aseverado el deber de los Estados de investigar o procurar la ‘represión’ de ‘violaciones graves de derechos humanos’ tales como las torturas. (</w:t>
      </w:r>
      <w:r w:rsidRPr="0023362E">
        <w:rPr>
          <w:i/>
          <w:szCs w:val="16"/>
          <w:lang w:val="es-CR"/>
        </w:rPr>
        <w:t>Cfr.</w:t>
      </w:r>
      <w:r w:rsidRPr="0023362E">
        <w:rPr>
          <w:szCs w:val="16"/>
          <w:lang w:val="es-CR"/>
        </w:rPr>
        <w:t xml:space="preserve"> </w:t>
      </w:r>
      <w:r w:rsidRPr="00CF4A86">
        <w:rPr>
          <w:i/>
          <w:szCs w:val="16"/>
        </w:rPr>
        <w:t>Caso</w:t>
      </w:r>
      <w:r w:rsidRPr="0023362E">
        <w:rPr>
          <w:i/>
          <w:szCs w:val="16"/>
        </w:rPr>
        <w:t xml:space="preserve"> de la “Panel Blanca” (Paniagua Morales y otros) Vs. Guatemala. Fondo</w:t>
      </w:r>
      <w:r w:rsidRPr="0023362E">
        <w:rPr>
          <w:szCs w:val="16"/>
        </w:rPr>
        <w:t xml:space="preserve">. Sentencia de 8 de marzo de 1998. Serie C No. 37, </w:t>
      </w:r>
      <w:proofErr w:type="spellStart"/>
      <w:r w:rsidRPr="0023362E">
        <w:rPr>
          <w:szCs w:val="16"/>
        </w:rPr>
        <w:t>párrs</w:t>
      </w:r>
      <w:proofErr w:type="spellEnd"/>
      <w:r w:rsidRPr="0023362E">
        <w:rPr>
          <w:szCs w:val="16"/>
        </w:rPr>
        <w:t xml:space="preserve">. 134 a 136; </w:t>
      </w:r>
      <w:r w:rsidRPr="00CF4A86">
        <w:rPr>
          <w:i/>
          <w:szCs w:val="16"/>
        </w:rPr>
        <w:t>Caso</w:t>
      </w:r>
      <w:r w:rsidRPr="0023362E">
        <w:rPr>
          <w:i/>
          <w:szCs w:val="16"/>
        </w:rPr>
        <w:t xml:space="preserve"> Barrios Altos Vs. Perú</w:t>
      </w:r>
      <w:r w:rsidRPr="0023362E">
        <w:rPr>
          <w:szCs w:val="16"/>
        </w:rPr>
        <w:t xml:space="preserve">, párr. 41, y </w:t>
      </w:r>
      <w:r w:rsidRPr="00E665C7">
        <w:rPr>
          <w:i/>
          <w:szCs w:val="16"/>
          <w:lang w:val="es-CR"/>
        </w:rPr>
        <w:t>C</w:t>
      </w:r>
      <w:r w:rsidRPr="00E665C7">
        <w:rPr>
          <w:i/>
          <w:szCs w:val="16"/>
        </w:rPr>
        <w:t>aso</w:t>
      </w:r>
      <w:r w:rsidRPr="0023362E">
        <w:rPr>
          <w:i/>
          <w:szCs w:val="16"/>
        </w:rPr>
        <w:t xml:space="preserve"> Suárez Peralta Vs. Ecuador</w:t>
      </w:r>
      <w:r w:rsidRPr="0023362E">
        <w:rPr>
          <w:szCs w:val="16"/>
        </w:rPr>
        <w:t xml:space="preserve">. </w:t>
      </w:r>
      <w:r w:rsidRPr="0023362E">
        <w:rPr>
          <w:i/>
          <w:szCs w:val="16"/>
        </w:rPr>
        <w:t>Excepciones Preliminares, Fondo, Reparaciones y Costas.</w:t>
      </w:r>
      <w:r w:rsidRPr="0023362E">
        <w:rPr>
          <w:szCs w:val="16"/>
        </w:rPr>
        <w:t xml:space="preserve"> Sentencia de 21 de mayo de 2013.</w:t>
      </w:r>
      <w:r w:rsidRPr="0023362E">
        <w:rPr>
          <w:i/>
          <w:szCs w:val="16"/>
        </w:rPr>
        <w:t xml:space="preserve"> </w:t>
      </w:r>
      <w:r w:rsidRPr="00E665C7">
        <w:rPr>
          <w:szCs w:val="16"/>
        </w:rPr>
        <w:t>Serie C No. 261</w:t>
      </w:r>
      <w:r>
        <w:rPr>
          <w:szCs w:val="16"/>
        </w:rPr>
        <w:t xml:space="preserve">, </w:t>
      </w:r>
      <w:r w:rsidRPr="0023362E">
        <w:rPr>
          <w:szCs w:val="16"/>
        </w:rPr>
        <w:t>párr. 70. También se refirió al deber de investigar actos de detenciones ilegales vinculados a actos de tortura (</w:t>
      </w:r>
      <w:r w:rsidRPr="0023362E">
        <w:rPr>
          <w:i/>
          <w:szCs w:val="16"/>
        </w:rPr>
        <w:t>Cfr.</w:t>
      </w:r>
      <w:r w:rsidRPr="0023362E">
        <w:rPr>
          <w:szCs w:val="16"/>
        </w:rPr>
        <w:t xml:space="preserve"> </w:t>
      </w:r>
      <w:r w:rsidRPr="00CF4A86">
        <w:rPr>
          <w:i/>
          <w:szCs w:val="16"/>
        </w:rPr>
        <w:t>Caso</w:t>
      </w:r>
      <w:r w:rsidRPr="0023362E">
        <w:rPr>
          <w:i/>
          <w:szCs w:val="16"/>
        </w:rPr>
        <w:t xml:space="preserve"> de los “Niños de la Calle” (Villagrán Morales y otros) Vs. Guatemala. Fondo</w:t>
      </w:r>
      <w:r w:rsidRPr="0023362E">
        <w:rPr>
          <w:szCs w:val="16"/>
        </w:rPr>
        <w:t xml:space="preserve">. Sentencia de 19 de noviembre de 1999. Serie C No. 63, </w:t>
      </w:r>
      <w:proofErr w:type="spellStart"/>
      <w:r w:rsidRPr="0023362E">
        <w:rPr>
          <w:szCs w:val="16"/>
        </w:rPr>
        <w:t>párrs</w:t>
      </w:r>
      <w:proofErr w:type="spellEnd"/>
      <w:r w:rsidRPr="0023362E">
        <w:rPr>
          <w:szCs w:val="16"/>
        </w:rPr>
        <w:t xml:space="preserve">. 134, 136, 168, 169, 225 a 230 y 238, y </w:t>
      </w:r>
      <w:r w:rsidRPr="00CF4A86">
        <w:rPr>
          <w:i/>
          <w:szCs w:val="16"/>
        </w:rPr>
        <w:t>Caso</w:t>
      </w:r>
      <w:r w:rsidRPr="0023362E">
        <w:rPr>
          <w:i/>
          <w:szCs w:val="16"/>
        </w:rPr>
        <w:t xml:space="preserve"> </w:t>
      </w:r>
      <w:proofErr w:type="spellStart"/>
      <w:r w:rsidRPr="0023362E">
        <w:rPr>
          <w:i/>
          <w:szCs w:val="16"/>
        </w:rPr>
        <w:t>Fleury</w:t>
      </w:r>
      <w:proofErr w:type="spellEnd"/>
      <w:r w:rsidRPr="0023362E">
        <w:rPr>
          <w:i/>
          <w:szCs w:val="16"/>
        </w:rPr>
        <w:t xml:space="preserve"> y otros Vs. Haití. Fondo y Reparaciones.</w:t>
      </w:r>
      <w:r w:rsidRPr="0023362E">
        <w:rPr>
          <w:szCs w:val="16"/>
        </w:rPr>
        <w:t xml:space="preserve"> Sentencia de 23 de noviembre de 2011. Serie C No. 236, </w:t>
      </w:r>
      <w:proofErr w:type="spellStart"/>
      <w:r w:rsidRPr="0023362E">
        <w:rPr>
          <w:szCs w:val="16"/>
        </w:rPr>
        <w:t>párrs</w:t>
      </w:r>
      <w:proofErr w:type="spellEnd"/>
      <w:r w:rsidRPr="0023362E">
        <w:rPr>
          <w:szCs w:val="16"/>
        </w:rPr>
        <w:t>. 105 a 114)”.</w:t>
      </w:r>
    </w:p>
  </w:footnote>
  <w:footnote w:id="228">
    <w:p w:rsidR="00E65148" w:rsidRPr="0023362E" w:rsidRDefault="00E65148" w:rsidP="0017102D">
      <w:pPr>
        <w:rPr>
          <w:i/>
          <w:spacing w:val="-4"/>
          <w:sz w:val="16"/>
          <w:szCs w:val="16"/>
          <w:lang w:val="es-GT"/>
        </w:rPr>
      </w:pPr>
      <w:r w:rsidRPr="0023362E">
        <w:rPr>
          <w:rStyle w:val="FootnoteReference"/>
          <w:spacing w:val="-4"/>
          <w:sz w:val="16"/>
          <w:szCs w:val="16"/>
        </w:rPr>
        <w:footnoteRef/>
      </w:r>
      <w:r w:rsidRPr="0023362E">
        <w:rPr>
          <w:spacing w:val="-4"/>
          <w:sz w:val="16"/>
          <w:szCs w:val="16"/>
        </w:rPr>
        <w:t xml:space="preserve"> </w:t>
      </w:r>
      <w:r w:rsidRPr="0023362E">
        <w:rPr>
          <w:spacing w:val="-4"/>
          <w:sz w:val="16"/>
          <w:szCs w:val="16"/>
        </w:rPr>
        <w:tab/>
      </w:r>
      <w:r w:rsidRPr="00CF4A86">
        <w:rPr>
          <w:i/>
          <w:iCs/>
          <w:spacing w:val="-4"/>
          <w:sz w:val="16"/>
          <w:szCs w:val="16"/>
          <w:lang w:val="es-GT"/>
        </w:rPr>
        <w:t>Caso</w:t>
      </w:r>
      <w:r w:rsidRPr="0023362E">
        <w:rPr>
          <w:i/>
          <w:iCs/>
          <w:spacing w:val="-4"/>
          <w:sz w:val="16"/>
          <w:szCs w:val="16"/>
          <w:lang w:val="es-GT"/>
        </w:rPr>
        <w:t xml:space="preserve"> </w:t>
      </w:r>
      <w:proofErr w:type="spellStart"/>
      <w:r w:rsidRPr="0023362E">
        <w:rPr>
          <w:i/>
          <w:iCs/>
          <w:spacing w:val="-4"/>
          <w:sz w:val="16"/>
          <w:szCs w:val="16"/>
          <w:lang w:val="es-GT"/>
        </w:rPr>
        <w:t>Bulacio</w:t>
      </w:r>
      <w:proofErr w:type="spellEnd"/>
      <w:r w:rsidRPr="0023362E">
        <w:rPr>
          <w:i/>
          <w:iCs/>
          <w:spacing w:val="-4"/>
          <w:sz w:val="16"/>
          <w:szCs w:val="16"/>
          <w:lang w:val="es-GT"/>
        </w:rPr>
        <w:t xml:space="preserve"> Vs. Argentina. Fondo, Reparaciones y Costas. </w:t>
      </w:r>
      <w:r w:rsidRPr="0023362E">
        <w:rPr>
          <w:iCs/>
          <w:spacing w:val="-4"/>
          <w:sz w:val="16"/>
          <w:szCs w:val="16"/>
          <w:lang w:val="es-GT"/>
        </w:rPr>
        <w:t>Sentencia de 18 de Septiembre de 2003. Serie C No. 100,</w:t>
      </w:r>
      <w:r w:rsidRPr="0023362E">
        <w:rPr>
          <w:i/>
          <w:iCs/>
          <w:spacing w:val="-4"/>
          <w:sz w:val="16"/>
          <w:szCs w:val="16"/>
          <w:lang w:val="es-GT"/>
        </w:rPr>
        <w:t xml:space="preserve"> </w:t>
      </w:r>
      <w:r w:rsidRPr="0023362E">
        <w:rPr>
          <w:spacing w:val="-4"/>
          <w:sz w:val="16"/>
          <w:szCs w:val="16"/>
          <w:lang w:val="es-GT"/>
        </w:rPr>
        <w:t xml:space="preserve">párr. 114, y </w:t>
      </w:r>
      <w:r w:rsidRPr="00E665C7">
        <w:rPr>
          <w:i/>
          <w:spacing w:val="-4"/>
          <w:sz w:val="16"/>
          <w:szCs w:val="16"/>
          <w:lang w:val="es-GT"/>
        </w:rPr>
        <w:t>Caso</w:t>
      </w:r>
      <w:r w:rsidRPr="0023362E">
        <w:rPr>
          <w:i/>
          <w:spacing w:val="-4"/>
          <w:sz w:val="16"/>
          <w:szCs w:val="16"/>
          <w:lang w:val="es-GT"/>
        </w:rPr>
        <w:t xml:space="preserve"> </w:t>
      </w:r>
      <w:r w:rsidRPr="0023362E">
        <w:rPr>
          <w:bCs/>
          <w:i/>
          <w:spacing w:val="-4"/>
          <w:sz w:val="16"/>
          <w:szCs w:val="16"/>
        </w:rPr>
        <w:t>Omar Humberto Maldonado Vargas y otros Vs. Chile</w:t>
      </w:r>
      <w:r>
        <w:rPr>
          <w:bCs/>
          <w:i/>
          <w:spacing w:val="-4"/>
          <w:sz w:val="16"/>
          <w:szCs w:val="16"/>
        </w:rPr>
        <w:t>,</w:t>
      </w:r>
      <w:r w:rsidRPr="0023362E">
        <w:rPr>
          <w:i/>
          <w:spacing w:val="-4"/>
          <w:sz w:val="16"/>
          <w:szCs w:val="16"/>
          <w:lang w:val="es-PR"/>
        </w:rPr>
        <w:t xml:space="preserve"> </w:t>
      </w:r>
      <w:r w:rsidRPr="0023362E">
        <w:rPr>
          <w:spacing w:val="-4"/>
          <w:sz w:val="16"/>
          <w:szCs w:val="16"/>
          <w:lang w:val="es-PR"/>
        </w:rPr>
        <w:t>párr. 75.</w:t>
      </w:r>
    </w:p>
  </w:footnote>
  <w:footnote w:id="229">
    <w:p w:rsidR="00E65148" w:rsidRPr="0023362E" w:rsidRDefault="00E65148" w:rsidP="0017102D">
      <w:pPr>
        <w:pStyle w:val="FootnoteText"/>
        <w:rPr>
          <w:i/>
          <w:spacing w:val="-4"/>
          <w:szCs w:val="16"/>
          <w:lang w:val="es-VE"/>
        </w:rPr>
      </w:pPr>
      <w:r w:rsidRPr="0023362E">
        <w:rPr>
          <w:rStyle w:val="FootnoteReference"/>
          <w:rFonts w:eastAsia="Batang"/>
          <w:spacing w:val="-4"/>
          <w:szCs w:val="16"/>
        </w:rPr>
        <w:footnoteRef/>
      </w:r>
      <w:r w:rsidRPr="0023362E">
        <w:rPr>
          <w:spacing w:val="-4"/>
          <w:szCs w:val="16"/>
          <w:lang w:val="es-VE"/>
        </w:rPr>
        <w:t xml:space="preserve"> </w:t>
      </w:r>
      <w:r w:rsidRPr="0023362E">
        <w:rPr>
          <w:spacing w:val="-4"/>
          <w:szCs w:val="16"/>
          <w:lang w:val="es-VE"/>
        </w:rPr>
        <w:tab/>
      </w:r>
      <w:r w:rsidRPr="00CF4A86">
        <w:rPr>
          <w:rFonts w:cs="Verdana"/>
          <w:i/>
          <w:iCs/>
          <w:spacing w:val="-4"/>
          <w:szCs w:val="16"/>
          <w:lang w:val="es-VE"/>
        </w:rPr>
        <w:t>Caso</w:t>
      </w:r>
      <w:r w:rsidRPr="0023362E">
        <w:rPr>
          <w:rFonts w:cs="Verdana"/>
          <w:i/>
          <w:iCs/>
          <w:spacing w:val="-4"/>
          <w:szCs w:val="16"/>
          <w:lang w:val="es-VE"/>
        </w:rPr>
        <w:t xml:space="preserve"> Velásquez Rodríguez Vs. Honduras</w:t>
      </w:r>
      <w:r w:rsidRPr="0023362E">
        <w:rPr>
          <w:rFonts w:cs="Verdana"/>
          <w:spacing w:val="-4"/>
          <w:szCs w:val="16"/>
          <w:lang w:val="es-VE"/>
        </w:rPr>
        <w:t xml:space="preserve">. </w:t>
      </w:r>
      <w:r w:rsidRPr="0023362E">
        <w:rPr>
          <w:rFonts w:cs="Verdana"/>
          <w:i/>
          <w:spacing w:val="-4"/>
          <w:szCs w:val="16"/>
          <w:lang w:val="es-VE"/>
        </w:rPr>
        <w:t>Fondo,</w:t>
      </w:r>
      <w:r w:rsidRPr="0023362E">
        <w:rPr>
          <w:rFonts w:cs="Verdana"/>
          <w:spacing w:val="-4"/>
          <w:szCs w:val="16"/>
          <w:lang w:val="es-VE"/>
        </w:rPr>
        <w:t xml:space="preserve"> párr. 177, y </w:t>
      </w:r>
      <w:r w:rsidRPr="00CF4A86">
        <w:rPr>
          <w:bCs/>
          <w:i/>
          <w:spacing w:val="-4"/>
          <w:szCs w:val="16"/>
          <w:lang w:val="es-ES"/>
        </w:rPr>
        <w:t xml:space="preserve">Caso </w:t>
      </w:r>
      <w:r w:rsidRPr="0023362E">
        <w:rPr>
          <w:bCs/>
          <w:i/>
          <w:spacing w:val="-4"/>
          <w:szCs w:val="16"/>
        </w:rPr>
        <w:t>Omar Humberto Maldonado Vargas y otros Vs. Chile</w:t>
      </w:r>
      <w:r>
        <w:rPr>
          <w:bCs/>
          <w:i/>
          <w:spacing w:val="-4"/>
          <w:szCs w:val="16"/>
        </w:rPr>
        <w:t>,</w:t>
      </w:r>
      <w:r w:rsidRPr="0023362E">
        <w:rPr>
          <w:i/>
          <w:spacing w:val="-4"/>
          <w:szCs w:val="16"/>
          <w:lang w:val="es-PR"/>
        </w:rPr>
        <w:t xml:space="preserve"> </w:t>
      </w:r>
      <w:r w:rsidRPr="0023362E">
        <w:rPr>
          <w:spacing w:val="-4"/>
          <w:szCs w:val="16"/>
          <w:lang w:val="es-PR"/>
        </w:rPr>
        <w:t>párr. 75.</w:t>
      </w:r>
    </w:p>
  </w:footnote>
  <w:footnote w:id="230">
    <w:p w:rsidR="00E65148" w:rsidRPr="0023362E" w:rsidRDefault="00E65148" w:rsidP="0017102D">
      <w:pPr>
        <w:rPr>
          <w:spacing w:val="-4"/>
          <w:sz w:val="16"/>
          <w:szCs w:val="16"/>
          <w:lang w:val="es-GT"/>
        </w:rPr>
      </w:pPr>
      <w:r w:rsidRPr="0023362E">
        <w:rPr>
          <w:rStyle w:val="FootnoteReference"/>
          <w:spacing w:val="-4"/>
          <w:sz w:val="16"/>
          <w:szCs w:val="16"/>
        </w:rPr>
        <w:footnoteRef/>
      </w:r>
      <w:r w:rsidRPr="0023362E">
        <w:rPr>
          <w:i/>
          <w:spacing w:val="-4"/>
          <w:sz w:val="16"/>
          <w:szCs w:val="16"/>
          <w:lang w:val="es-CL"/>
        </w:rPr>
        <w:t xml:space="preserve"> </w:t>
      </w:r>
      <w:r w:rsidRPr="0023362E">
        <w:rPr>
          <w:i/>
          <w:spacing w:val="-4"/>
          <w:sz w:val="16"/>
          <w:szCs w:val="16"/>
          <w:lang w:val="es-CL"/>
        </w:rPr>
        <w:tab/>
      </w:r>
      <w:r w:rsidRPr="00CF4A86">
        <w:rPr>
          <w:bCs/>
          <w:i/>
          <w:spacing w:val="-4"/>
          <w:sz w:val="16"/>
          <w:szCs w:val="16"/>
          <w:lang w:val="es-GT"/>
        </w:rPr>
        <w:t>Caso</w:t>
      </w:r>
      <w:r w:rsidRPr="0023362E">
        <w:rPr>
          <w:bCs/>
          <w:i/>
          <w:spacing w:val="-4"/>
          <w:sz w:val="16"/>
          <w:szCs w:val="16"/>
          <w:lang w:val="es-GT"/>
        </w:rPr>
        <w:t xml:space="preserve"> de las Hermanas Serrano Cruz Vs. El Salvador. Fondo, Reparaciones y Costas. </w:t>
      </w:r>
      <w:r w:rsidRPr="0023362E">
        <w:rPr>
          <w:bCs/>
          <w:spacing w:val="-4"/>
          <w:sz w:val="16"/>
          <w:szCs w:val="16"/>
          <w:lang w:val="es-GT"/>
        </w:rPr>
        <w:t>Sentencia de 1 de marzo de 2005. Serie C No. 120</w:t>
      </w:r>
      <w:r w:rsidRPr="0023362E">
        <w:rPr>
          <w:bCs/>
          <w:i/>
          <w:spacing w:val="-4"/>
          <w:sz w:val="16"/>
          <w:szCs w:val="16"/>
          <w:lang w:val="es-GT"/>
        </w:rPr>
        <w:t xml:space="preserve">, </w:t>
      </w:r>
      <w:r w:rsidRPr="0023362E">
        <w:rPr>
          <w:spacing w:val="-4"/>
          <w:sz w:val="16"/>
          <w:szCs w:val="16"/>
          <w:lang w:val="es-GT"/>
        </w:rPr>
        <w:t xml:space="preserve">párr. 83, y </w:t>
      </w:r>
      <w:r w:rsidRPr="00CF4A86">
        <w:rPr>
          <w:bCs/>
          <w:i/>
          <w:spacing w:val="-4"/>
          <w:sz w:val="16"/>
          <w:szCs w:val="16"/>
        </w:rPr>
        <w:t>Caso</w:t>
      </w:r>
      <w:r w:rsidRPr="0023362E">
        <w:rPr>
          <w:bCs/>
          <w:i/>
          <w:spacing w:val="-4"/>
          <w:sz w:val="16"/>
          <w:szCs w:val="16"/>
        </w:rPr>
        <w:t xml:space="preserve"> Espinoza Gonzáles Vs. Perú</w:t>
      </w:r>
      <w:r>
        <w:rPr>
          <w:bCs/>
          <w:i/>
          <w:spacing w:val="-4"/>
          <w:sz w:val="16"/>
          <w:szCs w:val="16"/>
        </w:rPr>
        <w:t>,</w:t>
      </w:r>
      <w:r w:rsidRPr="0023362E">
        <w:rPr>
          <w:i/>
          <w:spacing w:val="-4"/>
          <w:sz w:val="16"/>
          <w:szCs w:val="16"/>
          <w:lang w:val="es-PR"/>
        </w:rPr>
        <w:t xml:space="preserve"> </w:t>
      </w:r>
      <w:r w:rsidRPr="0023362E">
        <w:rPr>
          <w:spacing w:val="-4"/>
          <w:sz w:val="16"/>
          <w:szCs w:val="16"/>
          <w:lang w:val="es-PR"/>
        </w:rPr>
        <w:t>párr. 238.</w:t>
      </w:r>
    </w:p>
  </w:footnote>
  <w:footnote w:id="231">
    <w:p w:rsidR="00E65148" w:rsidRPr="0023362E" w:rsidRDefault="00E65148" w:rsidP="0017102D">
      <w:pPr>
        <w:pStyle w:val="FootnoteText"/>
        <w:tabs>
          <w:tab w:val="left" w:pos="426"/>
          <w:tab w:val="left" w:pos="709"/>
          <w:tab w:val="left" w:pos="810"/>
        </w:tabs>
        <w:rPr>
          <w:spacing w:val="-4"/>
          <w:szCs w:val="16"/>
        </w:rPr>
      </w:pPr>
      <w:r w:rsidRPr="0023362E">
        <w:rPr>
          <w:rStyle w:val="FootnoteReference"/>
          <w:rFonts w:eastAsia="Batang"/>
          <w:spacing w:val="-4"/>
          <w:szCs w:val="16"/>
        </w:rPr>
        <w:footnoteRef/>
      </w:r>
      <w:r w:rsidRPr="0023362E">
        <w:rPr>
          <w:spacing w:val="-4"/>
          <w:szCs w:val="16"/>
        </w:rPr>
        <w:t xml:space="preserve"> </w:t>
      </w:r>
      <w:r w:rsidRPr="0023362E">
        <w:rPr>
          <w:spacing w:val="-4"/>
          <w:szCs w:val="16"/>
        </w:rPr>
        <w:tab/>
      </w:r>
      <w:r w:rsidRPr="00CF4A86">
        <w:rPr>
          <w:i/>
          <w:spacing w:val="-4"/>
          <w:szCs w:val="16"/>
        </w:rPr>
        <w:t>Caso</w:t>
      </w:r>
      <w:r w:rsidRPr="0023362E">
        <w:rPr>
          <w:i/>
          <w:spacing w:val="-4"/>
          <w:szCs w:val="16"/>
        </w:rPr>
        <w:t xml:space="preserve"> </w:t>
      </w:r>
      <w:proofErr w:type="spellStart"/>
      <w:r w:rsidRPr="0023362E">
        <w:rPr>
          <w:i/>
          <w:spacing w:val="-4"/>
          <w:szCs w:val="16"/>
        </w:rPr>
        <w:t>Ximenes</w:t>
      </w:r>
      <w:proofErr w:type="spellEnd"/>
      <w:r w:rsidRPr="0023362E">
        <w:rPr>
          <w:i/>
          <w:spacing w:val="-4"/>
          <w:szCs w:val="16"/>
        </w:rPr>
        <w:t xml:space="preserve"> </w:t>
      </w:r>
      <w:proofErr w:type="spellStart"/>
      <w:r w:rsidRPr="0023362E">
        <w:rPr>
          <w:i/>
          <w:spacing w:val="-4"/>
          <w:szCs w:val="16"/>
        </w:rPr>
        <w:t>Lopes</w:t>
      </w:r>
      <w:proofErr w:type="spellEnd"/>
      <w:r w:rsidRPr="0023362E">
        <w:rPr>
          <w:i/>
          <w:spacing w:val="-4"/>
          <w:szCs w:val="16"/>
        </w:rPr>
        <w:t xml:space="preserve"> Vs. Brasil. </w:t>
      </w:r>
      <w:r w:rsidRPr="0023362E">
        <w:rPr>
          <w:spacing w:val="-4"/>
          <w:szCs w:val="16"/>
        </w:rPr>
        <w:t>Sentencia de 4 de julio de 2006.</w:t>
      </w:r>
      <w:r w:rsidRPr="0023362E">
        <w:rPr>
          <w:i/>
          <w:spacing w:val="-4"/>
          <w:szCs w:val="16"/>
        </w:rPr>
        <w:t xml:space="preserve"> </w:t>
      </w:r>
      <w:r w:rsidRPr="0023362E">
        <w:rPr>
          <w:spacing w:val="-4"/>
          <w:szCs w:val="16"/>
        </w:rPr>
        <w:t>Serie C No. 149</w:t>
      </w:r>
      <w:r w:rsidRPr="0023362E">
        <w:rPr>
          <w:spacing w:val="-4"/>
          <w:szCs w:val="16"/>
          <w:lang w:val="es-VE"/>
        </w:rPr>
        <w:t>,</w:t>
      </w:r>
      <w:r w:rsidRPr="0023362E">
        <w:rPr>
          <w:i/>
          <w:spacing w:val="-4"/>
          <w:szCs w:val="16"/>
          <w:lang w:val="es-VE"/>
        </w:rPr>
        <w:t xml:space="preserve"> </w:t>
      </w:r>
      <w:r w:rsidRPr="0023362E">
        <w:rPr>
          <w:spacing w:val="-4"/>
          <w:szCs w:val="16"/>
        </w:rPr>
        <w:t xml:space="preserve">párr. 147, </w:t>
      </w:r>
      <w:r w:rsidRPr="0023362E">
        <w:rPr>
          <w:spacing w:val="-4"/>
          <w:szCs w:val="16"/>
          <w:lang w:val="es-VE"/>
        </w:rPr>
        <w:t xml:space="preserve">y </w:t>
      </w:r>
      <w:r w:rsidRPr="00CF4A86">
        <w:rPr>
          <w:bCs/>
          <w:i/>
          <w:spacing w:val="-4"/>
          <w:szCs w:val="16"/>
          <w:lang w:val="es-ES"/>
        </w:rPr>
        <w:t xml:space="preserve">Caso </w:t>
      </w:r>
      <w:r w:rsidRPr="0023362E">
        <w:rPr>
          <w:bCs/>
          <w:i/>
          <w:spacing w:val="-4"/>
          <w:szCs w:val="16"/>
          <w:lang w:val="es-ES"/>
        </w:rPr>
        <w:t>Espinoza Gonzáles Vs. Perú</w:t>
      </w:r>
      <w:r>
        <w:rPr>
          <w:bCs/>
          <w:i/>
          <w:spacing w:val="-4"/>
          <w:szCs w:val="16"/>
          <w:lang w:val="es-ES"/>
        </w:rPr>
        <w:t xml:space="preserve">, </w:t>
      </w:r>
      <w:r w:rsidRPr="0023362E">
        <w:rPr>
          <w:spacing w:val="-4"/>
          <w:szCs w:val="16"/>
          <w:lang w:val="es-PR"/>
        </w:rPr>
        <w:t xml:space="preserve">párr. 239. </w:t>
      </w:r>
    </w:p>
  </w:footnote>
  <w:footnote w:id="232">
    <w:p w:rsidR="00E65148" w:rsidRPr="0023362E" w:rsidRDefault="00E65148" w:rsidP="0017102D">
      <w:pPr>
        <w:rPr>
          <w:sz w:val="16"/>
          <w:szCs w:val="16"/>
          <w:lang w:val="es-CR"/>
        </w:rPr>
      </w:pPr>
      <w:r w:rsidRPr="0023362E">
        <w:rPr>
          <w:rStyle w:val="FootnoteReference"/>
          <w:sz w:val="16"/>
          <w:szCs w:val="16"/>
        </w:rPr>
        <w:footnoteRef/>
      </w:r>
      <w:r w:rsidRPr="0023362E">
        <w:rPr>
          <w:i/>
          <w:sz w:val="16"/>
          <w:szCs w:val="16"/>
        </w:rPr>
        <w:t xml:space="preserve"> </w:t>
      </w:r>
      <w:r w:rsidRPr="0023362E">
        <w:rPr>
          <w:i/>
          <w:sz w:val="16"/>
          <w:szCs w:val="16"/>
        </w:rPr>
        <w:tab/>
      </w:r>
      <w:r w:rsidRPr="008D2D9F">
        <w:rPr>
          <w:i/>
          <w:sz w:val="16"/>
          <w:szCs w:val="16"/>
        </w:rPr>
        <w:t>Cas</w:t>
      </w:r>
      <w:r w:rsidRPr="00CF4A86">
        <w:rPr>
          <w:i/>
          <w:sz w:val="16"/>
          <w:szCs w:val="16"/>
        </w:rPr>
        <w:t>o</w:t>
      </w:r>
      <w:r w:rsidRPr="0023362E">
        <w:rPr>
          <w:i/>
          <w:sz w:val="16"/>
          <w:szCs w:val="16"/>
        </w:rPr>
        <w:t xml:space="preserve"> Gutiérrez Soler Vs. </w:t>
      </w:r>
      <w:r w:rsidRPr="0023362E">
        <w:rPr>
          <w:i/>
          <w:sz w:val="16"/>
          <w:szCs w:val="16"/>
          <w:lang w:val="es-CR"/>
        </w:rPr>
        <w:t>Colombia.</w:t>
      </w:r>
      <w:r w:rsidRPr="0023362E">
        <w:rPr>
          <w:sz w:val="16"/>
          <w:szCs w:val="16"/>
          <w:lang w:val="es-CR"/>
        </w:rPr>
        <w:t xml:space="preserve"> Sentencia de 12 de septiembre de 2005. Serie C No. 132, párr. 54, y </w:t>
      </w:r>
      <w:r w:rsidRPr="008D2D9F">
        <w:rPr>
          <w:bCs/>
          <w:i/>
          <w:sz w:val="16"/>
          <w:szCs w:val="16"/>
        </w:rPr>
        <w:t>Caso</w:t>
      </w:r>
      <w:r w:rsidRPr="00CF4A86">
        <w:rPr>
          <w:bCs/>
          <w:i/>
          <w:sz w:val="16"/>
          <w:szCs w:val="16"/>
        </w:rPr>
        <w:t xml:space="preserve"> </w:t>
      </w:r>
      <w:r w:rsidRPr="0023362E">
        <w:rPr>
          <w:bCs/>
          <w:i/>
          <w:sz w:val="16"/>
          <w:szCs w:val="16"/>
        </w:rPr>
        <w:t>García Lucero y otras Vs. Chile</w:t>
      </w:r>
      <w:r w:rsidRPr="0023362E">
        <w:rPr>
          <w:bCs/>
          <w:sz w:val="16"/>
          <w:szCs w:val="16"/>
        </w:rPr>
        <w:t>, párr. 124. Si bien en los precedentes citados la Corte analizó las obligaciones estatales bajo la Convención Interamericana para Prevenir y Sancionar la Tortura, este Tribunal entiende que, tratándose la tortura o los tratos crueles, inhumanos y degradantes de graves violaciones a derechos humanos, lo dicho sobre el deber de iniciar una investigación de oficio frente a indicios de su ocurrencia, aun en ausencia de una denuncia, tiene sustento en la Convención Americana, pudiendo vincularse a los derechos establecidos en los artículos 5, 8 y 25 del tratado.</w:t>
      </w:r>
      <w:r w:rsidRPr="0023362E">
        <w:rPr>
          <w:color w:val="000000"/>
          <w:sz w:val="16"/>
          <w:szCs w:val="16"/>
        </w:rPr>
        <w:t xml:space="preserve"> </w:t>
      </w:r>
    </w:p>
  </w:footnote>
  <w:footnote w:id="233">
    <w:p w:rsidR="00E65148" w:rsidRPr="0023362E" w:rsidRDefault="00E65148" w:rsidP="009D03FD">
      <w:pPr>
        <w:pStyle w:val="Estilo1"/>
        <w:numPr>
          <w:ilvl w:val="0"/>
          <w:numId w:val="0"/>
        </w:numPr>
        <w:spacing w:after="0"/>
        <w:rPr>
          <w:sz w:val="16"/>
          <w:szCs w:val="16"/>
          <w:lang w:val="es-CR"/>
        </w:rPr>
      </w:pPr>
      <w:r w:rsidRPr="0023362E">
        <w:rPr>
          <w:rStyle w:val="FootnoteReference"/>
          <w:sz w:val="16"/>
          <w:szCs w:val="16"/>
        </w:rPr>
        <w:footnoteRef/>
      </w:r>
      <w:r w:rsidRPr="0023362E">
        <w:rPr>
          <w:sz w:val="16"/>
          <w:szCs w:val="16"/>
        </w:rPr>
        <w:t xml:space="preserve"> </w:t>
      </w:r>
      <w:r w:rsidRPr="0023362E">
        <w:rPr>
          <w:sz w:val="16"/>
          <w:szCs w:val="16"/>
        </w:rPr>
        <w:tab/>
        <w:t>El artículo 9 de la Convención señala:</w:t>
      </w:r>
      <w:r w:rsidRPr="0023362E">
        <w:rPr>
          <w:sz w:val="16"/>
          <w:szCs w:val="16"/>
          <w:lang w:val="es-CR"/>
        </w:rPr>
        <w:t xml:space="preserve"> “</w:t>
      </w:r>
      <w:r w:rsidRPr="0023362E">
        <w:rPr>
          <w:rFonts w:eastAsiaTheme="minorHAnsi" w:cstheme="minorBidi"/>
          <w:color w:val="000000"/>
          <w:sz w:val="16"/>
          <w:szCs w:val="16"/>
          <w:lang w:val="es-ES_tradnl" w:eastAsia="es-ES_tradnl"/>
        </w:rPr>
        <w:t>Nadie puede ser condenado por acciones u omisiones que en el momento de cometerse no fueran delictivos según el derecho aplicable.  Tampoco se puede imponer pena más grave que la aplicable en el momento de la comisión del delito. Si con posterioridad a la comisión del delito la ley dispone la imposición de una pena más leve, el delincuente se beneficiará de ello”.</w:t>
      </w:r>
    </w:p>
  </w:footnote>
  <w:footnote w:id="234">
    <w:p w:rsidR="00E65148" w:rsidRPr="0023362E" w:rsidRDefault="00E65148" w:rsidP="009D03FD">
      <w:pPr>
        <w:rPr>
          <w:sz w:val="16"/>
          <w:szCs w:val="16"/>
          <w:lang w:val="es-ES_tradnl"/>
        </w:rPr>
      </w:pPr>
      <w:r w:rsidRPr="0023362E">
        <w:rPr>
          <w:rStyle w:val="FootnoteReference"/>
          <w:sz w:val="16"/>
          <w:szCs w:val="16"/>
        </w:rPr>
        <w:footnoteRef/>
      </w:r>
      <w:r w:rsidRPr="0023362E">
        <w:rPr>
          <w:sz w:val="16"/>
          <w:szCs w:val="16"/>
        </w:rPr>
        <w:t xml:space="preserve"> </w:t>
      </w:r>
      <w:r w:rsidRPr="0023362E">
        <w:rPr>
          <w:sz w:val="16"/>
          <w:szCs w:val="16"/>
        </w:rPr>
        <w:tab/>
      </w:r>
      <w:r w:rsidRPr="0023362E">
        <w:rPr>
          <w:rFonts w:eastAsia="Times New Roman" w:cs="Arial"/>
          <w:i/>
          <w:iCs/>
          <w:sz w:val="16"/>
          <w:szCs w:val="16"/>
          <w:lang w:val="es-MX"/>
        </w:rPr>
        <w:t>Cfr.</w:t>
      </w:r>
      <w:r w:rsidRPr="00CF4A86">
        <w:rPr>
          <w:rFonts w:eastAsia="Times New Roman" w:cs="Arial"/>
          <w:i/>
          <w:iCs/>
          <w:sz w:val="16"/>
          <w:szCs w:val="16"/>
          <w:lang w:val="es-MX"/>
        </w:rPr>
        <w:t xml:space="preserve"> </w:t>
      </w:r>
      <w:r w:rsidRPr="008D2D9F">
        <w:rPr>
          <w:rFonts w:eastAsia="Times New Roman" w:cs="Arial"/>
          <w:i/>
          <w:iCs/>
          <w:sz w:val="16"/>
          <w:szCs w:val="16"/>
          <w:lang w:val="es-MX"/>
        </w:rPr>
        <w:t>Caso</w:t>
      </w:r>
      <w:r w:rsidRPr="0023362E">
        <w:rPr>
          <w:rFonts w:eastAsia="Times New Roman" w:cs="Arial"/>
          <w:i/>
          <w:iCs/>
          <w:sz w:val="16"/>
          <w:szCs w:val="16"/>
          <w:lang w:val="es-MX"/>
        </w:rPr>
        <w:t xml:space="preserve"> Castillo </w:t>
      </w:r>
      <w:proofErr w:type="spellStart"/>
      <w:r w:rsidRPr="0023362E">
        <w:rPr>
          <w:rFonts w:eastAsia="Times New Roman" w:cs="Arial"/>
          <w:i/>
          <w:iCs/>
          <w:sz w:val="16"/>
          <w:szCs w:val="16"/>
          <w:lang w:val="es-MX"/>
        </w:rPr>
        <w:t>Petruzzi</w:t>
      </w:r>
      <w:proofErr w:type="spellEnd"/>
      <w:r w:rsidRPr="0023362E">
        <w:rPr>
          <w:rFonts w:eastAsia="Times New Roman" w:cs="Arial"/>
          <w:i/>
          <w:iCs/>
          <w:sz w:val="16"/>
          <w:szCs w:val="16"/>
          <w:lang w:val="es-MX"/>
        </w:rPr>
        <w:t xml:space="preserve"> y otros vs. Perú</w:t>
      </w:r>
      <w:r w:rsidRPr="0023362E">
        <w:rPr>
          <w:rFonts w:eastAsia="Times New Roman" w:cs="Arial"/>
          <w:iCs/>
          <w:sz w:val="16"/>
          <w:szCs w:val="16"/>
          <w:lang w:val="es-MX"/>
        </w:rPr>
        <w:t xml:space="preserve">, </w:t>
      </w:r>
      <w:proofErr w:type="spellStart"/>
      <w:r w:rsidRPr="0023362E">
        <w:rPr>
          <w:rFonts w:eastAsia="Times New Roman" w:cs="Arial"/>
          <w:iCs/>
          <w:sz w:val="16"/>
          <w:szCs w:val="16"/>
          <w:lang w:val="es-MX"/>
        </w:rPr>
        <w:t>párrs</w:t>
      </w:r>
      <w:proofErr w:type="spellEnd"/>
      <w:r w:rsidRPr="0023362E">
        <w:rPr>
          <w:rFonts w:eastAsia="Times New Roman" w:cs="Arial"/>
          <w:iCs/>
          <w:sz w:val="16"/>
          <w:szCs w:val="16"/>
          <w:lang w:val="es-MX"/>
        </w:rPr>
        <w:t>. 121 y 122;</w:t>
      </w:r>
      <w:r w:rsidRPr="008D2D9F">
        <w:rPr>
          <w:rFonts w:eastAsia="Times New Roman" w:cs="Arial"/>
          <w:i/>
          <w:iCs/>
          <w:sz w:val="16"/>
          <w:szCs w:val="16"/>
          <w:lang w:val="es-MX"/>
        </w:rPr>
        <w:t xml:space="preserve"> Caso</w:t>
      </w:r>
      <w:r w:rsidRPr="0023362E">
        <w:rPr>
          <w:rFonts w:eastAsia="Times New Roman" w:cs="Arial"/>
          <w:i/>
          <w:iCs/>
          <w:sz w:val="16"/>
          <w:szCs w:val="16"/>
          <w:lang w:val="es-MX"/>
        </w:rPr>
        <w:t xml:space="preserve"> Baena Ricardo y otros Vs. Panamá.</w:t>
      </w:r>
      <w:r w:rsidRPr="0023362E">
        <w:rPr>
          <w:rFonts w:eastAsia="Times New Roman" w:cs="Arial"/>
          <w:iCs/>
          <w:sz w:val="16"/>
          <w:szCs w:val="16"/>
          <w:lang w:val="es-MX"/>
        </w:rPr>
        <w:t xml:space="preserve"> </w:t>
      </w:r>
      <w:r w:rsidRPr="0023362E">
        <w:rPr>
          <w:rFonts w:eastAsia="Times New Roman" w:cs="Arial"/>
          <w:i/>
          <w:iCs/>
          <w:sz w:val="16"/>
          <w:szCs w:val="16"/>
          <w:lang w:val="es-MX"/>
        </w:rPr>
        <w:t>Fondo, Reparaciones y Costas</w:t>
      </w:r>
      <w:r w:rsidRPr="0023362E">
        <w:rPr>
          <w:rFonts w:eastAsia="Times New Roman" w:cs="Arial"/>
          <w:iCs/>
          <w:sz w:val="16"/>
          <w:szCs w:val="16"/>
          <w:lang w:val="es-MX"/>
        </w:rPr>
        <w:t xml:space="preserve">. Sentencia de 2 de febrero de 2001. Serie C No. 72, </w:t>
      </w:r>
      <w:proofErr w:type="spellStart"/>
      <w:r w:rsidRPr="0023362E">
        <w:rPr>
          <w:rFonts w:eastAsia="Times New Roman" w:cs="Arial"/>
          <w:iCs/>
          <w:sz w:val="16"/>
          <w:szCs w:val="16"/>
          <w:lang w:val="es-MX"/>
        </w:rPr>
        <w:t>párrs</w:t>
      </w:r>
      <w:proofErr w:type="spellEnd"/>
      <w:r w:rsidRPr="0023362E">
        <w:rPr>
          <w:rFonts w:eastAsia="Times New Roman" w:cs="Arial"/>
          <w:iCs/>
          <w:sz w:val="16"/>
          <w:szCs w:val="16"/>
          <w:lang w:val="es-MX"/>
        </w:rPr>
        <w:t xml:space="preserve">. 106 y 115; </w:t>
      </w:r>
      <w:r w:rsidRPr="008D2D9F">
        <w:rPr>
          <w:rFonts w:eastAsia="Times New Roman" w:cs="Arial"/>
          <w:i/>
          <w:iCs/>
          <w:sz w:val="16"/>
          <w:szCs w:val="16"/>
          <w:lang w:val="es-MX"/>
        </w:rPr>
        <w:t>Caso</w:t>
      </w:r>
      <w:r w:rsidRPr="00CF4A86">
        <w:rPr>
          <w:rFonts w:eastAsia="Times New Roman" w:cs="Arial"/>
          <w:i/>
          <w:iCs/>
          <w:sz w:val="16"/>
          <w:szCs w:val="16"/>
          <w:lang w:val="es-MX"/>
        </w:rPr>
        <w:t xml:space="preserve"> </w:t>
      </w:r>
      <w:r w:rsidRPr="0023362E">
        <w:rPr>
          <w:rFonts w:eastAsia="Times New Roman" w:cs="Arial"/>
          <w:i/>
          <w:iCs/>
          <w:sz w:val="16"/>
          <w:szCs w:val="16"/>
          <w:lang w:val="es-MX"/>
        </w:rPr>
        <w:t>De La Cruz Flores Vs. Perú</w:t>
      </w:r>
      <w:r w:rsidRPr="0023362E">
        <w:rPr>
          <w:rFonts w:eastAsia="Times New Roman" w:cs="Arial"/>
          <w:iCs/>
          <w:sz w:val="16"/>
          <w:szCs w:val="16"/>
          <w:lang w:val="es-MX"/>
        </w:rPr>
        <w:t xml:space="preserve">. </w:t>
      </w:r>
      <w:r w:rsidRPr="0064291E">
        <w:rPr>
          <w:rFonts w:eastAsia="Times New Roman" w:cs="Arial"/>
          <w:i/>
          <w:iCs/>
          <w:sz w:val="16"/>
          <w:szCs w:val="16"/>
          <w:lang w:val="es-MX"/>
        </w:rPr>
        <w:t>Fondo, Reparaciones y Costas.</w:t>
      </w:r>
      <w:r w:rsidRPr="0023362E">
        <w:rPr>
          <w:rFonts w:eastAsia="Times New Roman" w:cs="Arial"/>
          <w:iCs/>
          <w:sz w:val="16"/>
          <w:szCs w:val="16"/>
          <w:lang w:val="es-MX"/>
        </w:rPr>
        <w:t xml:space="preserve"> Sentencia de 18 de noviembre de 2004. Serie C No. 115, </w:t>
      </w:r>
      <w:proofErr w:type="spellStart"/>
      <w:r w:rsidRPr="0023362E">
        <w:rPr>
          <w:rFonts w:eastAsia="Times New Roman" w:cs="Arial"/>
          <w:iCs/>
          <w:sz w:val="16"/>
          <w:szCs w:val="16"/>
          <w:lang w:val="es-MX"/>
        </w:rPr>
        <w:t>párrs</w:t>
      </w:r>
      <w:proofErr w:type="spellEnd"/>
      <w:r w:rsidRPr="0023362E">
        <w:rPr>
          <w:rFonts w:eastAsia="Times New Roman" w:cs="Arial"/>
          <w:iCs/>
          <w:sz w:val="16"/>
          <w:szCs w:val="16"/>
          <w:lang w:val="es-MX"/>
        </w:rPr>
        <w:t xml:space="preserve">. 83, y 103; </w:t>
      </w:r>
      <w:r w:rsidRPr="00CF4A86">
        <w:rPr>
          <w:i/>
          <w:sz w:val="16"/>
          <w:szCs w:val="16"/>
          <w:lang w:val="es-MX"/>
        </w:rPr>
        <w:t xml:space="preserve">Caso </w:t>
      </w:r>
      <w:r w:rsidRPr="0023362E">
        <w:rPr>
          <w:i/>
          <w:sz w:val="16"/>
          <w:szCs w:val="16"/>
          <w:lang w:val="es-MX"/>
        </w:rPr>
        <w:t xml:space="preserve">Ricardo </w:t>
      </w:r>
      <w:proofErr w:type="spellStart"/>
      <w:r w:rsidRPr="0023362E">
        <w:rPr>
          <w:i/>
          <w:sz w:val="16"/>
          <w:szCs w:val="16"/>
          <w:lang w:val="es-MX"/>
        </w:rPr>
        <w:t>Canese</w:t>
      </w:r>
      <w:proofErr w:type="spellEnd"/>
      <w:r w:rsidRPr="0023362E">
        <w:rPr>
          <w:i/>
          <w:sz w:val="16"/>
          <w:szCs w:val="16"/>
          <w:lang w:val="es-MX"/>
        </w:rPr>
        <w:t xml:space="preserve"> Vs. Paraguay</w:t>
      </w:r>
      <w:r w:rsidRPr="0023362E">
        <w:rPr>
          <w:sz w:val="16"/>
          <w:szCs w:val="16"/>
          <w:lang w:val="es-MX"/>
        </w:rPr>
        <w:t xml:space="preserve">, </w:t>
      </w:r>
      <w:r w:rsidRPr="0023362E">
        <w:rPr>
          <w:i/>
          <w:sz w:val="16"/>
          <w:szCs w:val="16"/>
          <w:lang w:val="es-MX"/>
        </w:rPr>
        <w:t>Fondo, Reparaciones y Costas</w:t>
      </w:r>
      <w:r w:rsidRPr="0023362E">
        <w:rPr>
          <w:sz w:val="16"/>
          <w:szCs w:val="16"/>
          <w:lang w:val="es-MX"/>
        </w:rPr>
        <w:t xml:space="preserve">. Sentencia de 31 de agosto de 2004, Serie C No. 111, </w:t>
      </w:r>
      <w:proofErr w:type="spellStart"/>
      <w:r w:rsidRPr="0023362E">
        <w:rPr>
          <w:sz w:val="16"/>
          <w:szCs w:val="16"/>
          <w:lang w:val="es-MX"/>
        </w:rPr>
        <w:t>párrs</w:t>
      </w:r>
      <w:proofErr w:type="spellEnd"/>
      <w:r w:rsidRPr="0023362E">
        <w:rPr>
          <w:sz w:val="16"/>
          <w:szCs w:val="16"/>
          <w:lang w:val="es-MX"/>
        </w:rPr>
        <w:t xml:space="preserve">. 182 y 187; </w:t>
      </w:r>
      <w:r w:rsidRPr="00CF4A86">
        <w:rPr>
          <w:rFonts w:eastAsia="Times New Roman" w:cs="Arial"/>
          <w:i/>
          <w:iCs/>
          <w:sz w:val="16"/>
          <w:szCs w:val="16"/>
          <w:lang w:val="es-MX"/>
        </w:rPr>
        <w:t>Caso</w:t>
      </w:r>
      <w:r w:rsidRPr="0023362E">
        <w:rPr>
          <w:rFonts w:eastAsia="Times New Roman" w:cs="Arial"/>
          <w:i/>
          <w:iCs/>
          <w:sz w:val="16"/>
          <w:szCs w:val="16"/>
          <w:lang w:val="es-MX"/>
        </w:rPr>
        <w:t xml:space="preserve"> García </w:t>
      </w:r>
      <w:proofErr w:type="spellStart"/>
      <w:r w:rsidRPr="0023362E">
        <w:rPr>
          <w:rFonts w:eastAsia="Times New Roman" w:cs="Arial"/>
          <w:i/>
          <w:iCs/>
          <w:sz w:val="16"/>
          <w:szCs w:val="16"/>
          <w:lang w:val="es-MX"/>
        </w:rPr>
        <w:t>Asto</w:t>
      </w:r>
      <w:proofErr w:type="spellEnd"/>
      <w:r w:rsidRPr="0023362E">
        <w:rPr>
          <w:rFonts w:eastAsia="Times New Roman" w:cs="Arial"/>
          <w:i/>
          <w:iCs/>
          <w:sz w:val="16"/>
          <w:szCs w:val="16"/>
          <w:lang w:val="es-MX"/>
        </w:rPr>
        <w:t xml:space="preserve"> y Ramírez Rojas Vs. Perú</w:t>
      </w:r>
      <w:r w:rsidRPr="0023362E">
        <w:rPr>
          <w:rFonts w:eastAsia="Times New Roman" w:cs="Arial"/>
          <w:iCs/>
          <w:sz w:val="16"/>
          <w:szCs w:val="16"/>
          <w:lang w:val="es-MX"/>
        </w:rPr>
        <w:t xml:space="preserve">, </w:t>
      </w:r>
      <w:proofErr w:type="spellStart"/>
      <w:r w:rsidRPr="0023362E">
        <w:rPr>
          <w:rFonts w:eastAsia="Times New Roman" w:cs="Arial"/>
          <w:iCs/>
          <w:sz w:val="16"/>
          <w:szCs w:val="16"/>
          <w:lang w:val="es-MX"/>
        </w:rPr>
        <w:t>párrs</w:t>
      </w:r>
      <w:proofErr w:type="spellEnd"/>
      <w:r w:rsidRPr="0023362E">
        <w:rPr>
          <w:rFonts w:eastAsia="Times New Roman" w:cs="Arial"/>
          <w:iCs/>
          <w:sz w:val="16"/>
          <w:szCs w:val="16"/>
          <w:lang w:val="es-MX"/>
        </w:rPr>
        <w:t xml:space="preserve">. 195 y 202; </w:t>
      </w:r>
      <w:r w:rsidRPr="00CF4A86">
        <w:rPr>
          <w:rFonts w:eastAsia="Times New Roman" w:cs="Arial"/>
          <w:i/>
          <w:iCs/>
          <w:sz w:val="16"/>
          <w:szCs w:val="16"/>
          <w:lang w:val="es-MX"/>
        </w:rPr>
        <w:t>Caso</w:t>
      </w:r>
      <w:r w:rsidRPr="0023362E">
        <w:rPr>
          <w:rFonts w:eastAsia="Times New Roman" w:cs="Arial"/>
          <w:i/>
          <w:iCs/>
          <w:sz w:val="16"/>
          <w:szCs w:val="16"/>
          <w:lang w:val="es-MX"/>
        </w:rPr>
        <w:t xml:space="preserve"> </w:t>
      </w:r>
      <w:proofErr w:type="spellStart"/>
      <w:r w:rsidRPr="0023362E">
        <w:rPr>
          <w:rFonts w:eastAsia="Times New Roman" w:cs="Arial"/>
          <w:i/>
          <w:iCs/>
          <w:sz w:val="16"/>
          <w:szCs w:val="16"/>
          <w:lang w:val="es-MX"/>
        </w:rPr>
        <w:t>Usón</w:t>
      </w:r>
      <w:proofErr w:type="spellEnd"/>
      <w:r w:rsidRPr="0023362E">
        <w:rPr>
          <w:rFonts w:eastAsia="Times New Roman" w:cs="Arial"/>
          <w:i/>
          <w:iCs/>
          <w:sz w:val="16"/>
          <w:szCs w:val="16"/>
          <w:lang w:val="es-MX"/>
        </w:rPr>
        <w:t xml:space="preserve"> Ramírez Vs. Venezuela</w:t>
      </w:r>
      <w:r w:rsidRPr="0023362E">
        <w:rPr>
          <w:rFonts w:eastAsia="Times New Roman" w:cs="Arial"/>
          <w:iCs/>
          <w:sz w:val="16"/>
          <w:szCs w:val="16"/>
          <w:lang w:val="es-MX"/>
        </w:rPr>
        <w:t xml:space="preserve">. </w:t>
      </w:r>
      <w:r w:rsidRPr="0023362E">
        <w:rPr>
          <w:rFonts w:eastAsia="Times New Roman" w:cs="Arial"/>
          <w:i/>
          <w:iCs/>
          <w:sz w:val="16"/>
          <w:szCs w:val="16"/>
          <w:lang w:val="es-MX"/>
        </w:rPr>
        <w:t>Excepción Preliminar, Fondo, Reparaciones y Costas</w:t>
      </w:r>
      <w:r w:rsidRPr="0023362E">
        <w:rPr>
          <w:rFonts w:eastAsia="Times New Roman" w:cs="Arial"/>
          <w:iCs/>
          <w:sz w:val="16"/>
          <w:szCs w:val="16"/>
          <w:lang w:val="es-MX"/>
        </w:rPr>
        <w:t xml:space="preserve">. Sentencia de 20 de noviembre de 2009. Serie C No. 207, </w:t>
      </w:r>
      <w:proofErr w:type="spellStart"/>
      <w:r w:rsidRPr="0023362E">
        <w:rPr>
          <w:rFonts w:eastAsia="Times New Roman" w:cs="Arial"/>
          <w:iCs/>
          <w:sz w:val="16"/>
          <w:szCs w:val="16"/>
          <w:lang w:val="es-MX"/>
        </w:rPr>
        <w:t>párrs</w:t>
      </w:r>
      <w:proofErr w:type="spellEnd"/>
      <w:r w:rsidRPr="0023362E">
        <w:rPr>
          <w:rFonts w:eastAsia="Times New Roman" w:cs="Arial"/>
          <w:iCs/>
          <w:sz w:val="16"/>
          <w:szCs w:val="16"/>
          <w:lang w:val="es-MX"/>
        </w:rPr>
        <w:t>. 54 y 58;</w:t>
      </w:r>
      <w:r w:rsidRPr="0099283D">
        <w:rPr>
          <w:rFonts w:eastAsia="Times New Roman" w:cs="Arial"/>
          <w:i/>
          <w:iCs/>
          <w:sz w:val="16"/>
          <w:szCs w:val="16"/>
          <w:lang w:val="es-MX"/>
        </w:rPr>
        <w:t xml:space="preserve"> </w:t>
      </w:r>
      <w:r w:rsidRPr="00CF4A86">
        <w:rPr>
          <w:rFonts w:eastAsia="Times New Roman" w:cs="Arial"/>
          <w:i/>
          <w:iCs/>
          <w:sz w:val="16"/>
          <w:szCs w:val="16"/>
          <w:lang w:val="es-MX"/>
        </w:rPr>
        <w:t>Caso</w:t>
      </w:r>
      <w:r w:rsidRPr="0023362E">
        <w:rPr>
          <w:rFonts w:eastAsia="Times New Roman" w:cs="Arial"/>
          <w:i/>
          <w:iCs/>
          <w:sz w:val="16"/>
          <w:szCs w:val="16"/>
          <w:lang w:val="es-MX"/>
        </w:rPr>
        <w:t xml:space="preserve"> Vélez Loor Vs. Panamá. Excepciones Preliminares, Fondo, Reparaciones y Costas</w:t>
      </w:r>
      <w:r w:rsidRPr="0023362E">
        <w:rPr>
          <w:rFonts w:eastAsia="Times New Roman" w:cs="Arial"/>
          <w:iCs/>
          <w:sz w:val="16"/>
          <w:szCs w:val="16"/>
          <w:lang w:val="es-MX"/>
        </w:rPr>
        <w:t xml:space="preserve">. Sentencia de 23 de noviembre de 2010. Serie C No. 218, </w:t>
      </w:r>
      <w:proofErr w:type="spellStart"/>
      <w:r w:rsidRPr="0023362E">
        <w:rPr>
          <w:rFonts w:eastAsia="Times New Roman" w:cs="Arial"/>
          <w:iCs/>
          <w:sz w:val="16"/>
          <w:szCs w:val="16"/>
          <w:lang w:val="es-MX"/>
        </w:rPr>
        <w:t>párrs</w:t>
      </w:r>
      <w:proofErr w:type="spellEnd"/>
      <w:r w:rsidRPr="0023362E">
        <w:rPr>
          <w:rFonts w:eastAsia="Times New Roman" w:cs="Arial"/>
          <w:iCs/>
          <w:sz w:val="16"/>
          <w:szCs w:val="16"/>
          <w:lang w:val="es-MX"/>
        </w:rPr>
        <w:t xml:space="preserve">. 183, 187 y 188, y </w:t>
      </w:r>
      <w:r w:rsidRPr="008D2D9F">
        <w:rPr>
          <w:rFonts w:eastAsia="Times New Roman" w:cs="Arial"/>
          <w:i/>
          <w:iCs/>
          <w:sz w:val="16"/>
          <w:szCs w:val="16"/>
          <w:lang w:val="es-MX"/>
        </w:rPr>
        <w:t>Caso</w:t>
      </w:r>
      <w:r w:rsidRPr="0023362E">
        <w:rPr>
          <w:rFonts w:eastAsia="Times New Roman" w:cs="Arial"/>
          <w:i/>
          <w:iCs/>
          <w:sz w:val="16"/>
          <w:szCs w:val="16"/>
          <w:lang w:val="es-MX"/>
        </w:rPr>
        <w:t xml:space="preserve"> </w:t>
      </w:r>
      <w:proofErr w:type="spellStart"/>
      <w:r w:rsidRPr="0023362E">
        <w:rPr>
          <w:rFonts w:eastAsia="Times New Roman" w:cs="Arial"/>
          <w:i/>
          <w:iCs/>
          <w:sz w:val="16"/>
          <w:szCs w:val="16"/>
          <w:lang w:val="es-MX"/>
        </w:rPr>
        <w:t>Norín</w:t>
      </w:r>
      <w:proofErr w:type="spellEnd"/>
      <w:r w:rsidRPr="0023362E">
        <w:rPr>
          <w:rFonts w:eastAsia="Times New Roman" w:cs="Arial"/>
          <w:i/>
          <w:iCs/>
          <w:sz w:val="16"/>
          <w:szCs w:val="16"/>
          <w:lang w:val="es-MX"/>
        </w:rPr>
        <w:t xml:space="preserve"> </w:t>
      </w:r>
      <w:proofErr w:type="spellStart"/>
      <w:r w:rsidRPr="0023362E">
        <w:rPr>
          <w:rFonts w:eastAsia="Times New Roman" w:cs="Arial"/>
          <w:i/>
          <w:iCs/>
          <w:sz w:val="16"/>
          <w:szCs w:val="16"/>
          <w:lang w:val="es-MX"/>
        </w:rPr>
        <w:t>Catrimán</w:t>
      </w:r>
      <w:proofErr w:type="spellEnd"/>
      <w:r w:rsidRPr="0023362E">
        <w:rPr>
          <w:rFonts w:eastAsia="Times New Roman" w:cs="Arial"/>
          <w:i/>
          <w:iCs/>
          <w:sz w:val="16"/>
          <w:szCs w:val="16"/>
          <w:lang w:val="es-MX"/>
        </w:rPr>
        <w:t xml:space="preserve"> y otros (Dirigentes, miembros y activista del Pueblo Indígena Mapuche) Vs. Chile. Fondo, Reparaciones y Costas</w:t>
      </w:r>
      <w:r w:rsidRPr="0023362E">
        <w:rPr>
          <w:rFonts w:eastAsia="Times New Roman" w:cs="Arial"/>
          <w:iCs/>
          <w:sz w:val="16"/>
          <w:szCs w:val="16"/>
          <w:lang w:val="es-MX"/>
        </w:rPr>
        <w:t xml:space="preserve">. Sentencia de 29 de mayo de 2014. Serie C No. 279, </w:t>
      </w:r>
      <w:proofErr w:type="spellStart"/>
      <w:r w:rsidRPr="0023362E">
        <w:rPr>
          <w:rFonts w:eastAsia="Times New Roman" w:cs="Arial"/>
          <w:iCs/>
          <w:sz w:val="16"/>
          <w:szCs w:val="16"/>
          <w:lang w:val="es-MX"/>
        </w:rPr>
        <w:t>párrs</w:t>
      </w:r>
      <w:proofErr w:type="spellEnd"/>
      <w:r w:rsidRPr="0023362E">
        <w:rPr>
          <w:rFonts w:eastAsia="Times New Roman" w:cs="Arial"/>
          <w:iCs/>
          <w:sz w:val="16"/>
          <w:szCs w:val="16"/>
          <w:lang w:val="es-MX"/>
        </w:rPr>
        <w:t xml:space="preserve">. 171, 177. </w:t>
      </w:r>
    </w:p>
  </w:footnote>
  <w:footnote w:id="235">
    <w:p w:rsidR="00E65148" w:rsidRPr="0023362E" w:rsidRDefault="00E65148" w:rsidP="004C57E7">
      <w:pPr>
        <w:pStyle w:val="FootnoteText"/>
        <w:tabs>
          <w:tab w:val="left" w:pos="567"/>
        </w:tabs>
        <w:rPr>
          <w:szCs w:val="16"/>
          <w:lang w:val="es-PR"/>
        </w:rPr>
      </w:pPr>
      <w:r w:rsidRPr="0023362E">
        <w:rPr>
          <w:rStyle w:val="FootnoteReference"/>
          <w:szCs w:val="16"/>
        </w:rPr>
        <w:footnoteRef/>
      </w:r>
      <w:r w:rsidRPr="0023362E">
        <w:rPr>
          <w:szCs w:val="16"/>
          <w:lang w:val="es-PR"/>
        </w:rPr>
        <w:t xml:space="preserve"> </w:t>
      </w:r>
      <w:r w:rsidRPr="0023362E">
        <w:rPr>
          <w:szCs w:val="16"/>
          <w:lang w:val="es-PR"/>
        </w:rPr>
        <w:tab/>
      </w:r>
      <w:r w:rsidRPr="0023362E">
        <w:rPr>
          <w:i/>
          <w:szCs w:val="16"/>
          <w:lang w:val="es-PR"/>
        </w:rPr>
        <w:t>Cfr.</w:t>
      </w:r>
      <w:r w:rsidRPr="0023362E">
        <w:rPr>
          <w:b/>
          <w:i/>
          <w:szCs w:val="16"/>
          <w:lang w:val="es-PR"/>
        </w:rPr>
        <w:t xml:space="preserve"> </w:t>
      </w:r>
      <w:r w:rsidRPr="00CF4A86">
        <w:rPr>
          <w:rStyle w:val="Strong"/>
          <w:rFonts w:eastAsia="Calibri"/>
          <w:b w:val="0"/>
          <w:i/>
          <w:color w:val="000000"/>
          <w:szCs w:val="16"/>
          <w:shd w:val="clear" w:color="auto" w:fill="FFFFFF"/>
        </w:rPr>
        <w:t>Caso</w:t>
      </w:r>
      <w:r w:rsidRPr="005B0E50">
        <w:rPr>
          <w:rStyle w:val="Strong"/>
          <w:rFonts w:eastAsia="Calibri"/>
          <w:b w:val="0"/>
          <w:color w:val="000000"/>
          <w:szCs w:val="16"/>
          <w:shd w:val="clear" w:color="auto" w:fill="FFFFFF"/>
        </w:rPr>
        <w:t xml:space="preserve"> </w:t>
      </w:r>
      <w:r w:rsidRPr="0023362E">
        <w:rPr>
          <w:rStyle w:val="Strong"/>
          <w:rFonts w:eastAsia="Calibri"/>
          <w:b w:val="0"/>
          <w:i/>
          <w:color w:val="000000"/>
          <w:szCs w:val="16"/>
          <w:shd w:val="clear" w:color="auto" w:fill="FFFFFF"/>
        </w:rPr>
        <w:t>Velásquez Rodríguez Vs. Honduras. Reparaciones y Costas</w:t>
      </w:r>
      <w:r w:rsidRPr="0023362E">
        <w:rPr>
          <w:rStyle w:val="Strong"/>
          <w:rFonts w:eastAsia="Calibri"/>
          <w:b w:val="0"/>
          <w:color w:val="000000"/>
          <w:szCs w:val="16"/>
          <w:shd w:val="clear" w:color="auto" w:fill="FFFFFF"/>
        </w:rPr>
        <w:t xml:space="preserve">. Sentencia de 21 de julio de 1989. Serie C No. 7, párr. 25, y </w:t>
      </w:r>
      <w:r w:rsidRPr="00CF4A86">
        <w:rPr>
          <w:rStyle w:val="Strong"/>
          <w:rFonts w:eastAsia="Calibri"/>
          <w:b w:val="0"/>
          <w:i/>
          <w:color w:val="000000"/>
          <w:szCs w:val="16"/>
        </w:rPr>
        <w:t>Caso</w:t>
      </w:r>
      <w:r w:rsidRPr="0023362E">
        <w:rPr>
          <w:rStyle w:val="Strong"/>
          <w:rFonts w:eastAsia="Calibri"/>
          <w:b w:val="0"/>
          <w:i/>
          <w:color w:val="000000"/>
          <w:szCs w:val="16"/>
        </w:rPr>
        <w:t xml:space="preserve"> Espinoza Gonzáles Vs. Perú</w:t>
      </w:r>
      <w:r w:rsidRPr="0023362E">
        <w:rPr>
          <w:rStyle w:val="Strong"/>
          <w:rFonts w:eastAsia="Calibri"/>
          <w:b w:val="0"/>
          <w:color w:val="000000"/>
          <w:szCs w:val="16"/>
        </w:rPr>
        <w:t>, párr. 300.</w:t>
      </w:r>
      <w:r w:rsidRPr="0023362E">
        <w:rPr>
          <w:rStyle w:val="Strong"/>
          <w:rFonts w:eastAsia="Calibri"/>
          <w:color w:val="000000"/>
          <w:szCs w:val="16"/>
        </w:rPr>
        <w:t xml:space="preserve"> </w:t>
      </w:r>
    </w:p>
  </w:footnote>
  <w:footnote w:id="236">
    <w:p w:rsidR="00E65148" w:rsidRPr="0023362E" w:rsidRDefault="00E65148" w:rsidP="004C57E7">
      <w:pPr>
        <w:pStyle w:val="FootnoteText"/>
        <w:tabs>
          <w:tab w:val="left" w:pos="567"/>
        </w:tabs>
        <w:rPr>
          <w:szCs w:val="16"/>
          <w:lang w:val="es-PR"/>
        </w:rPr>
      </w:pPr>
      <w:r w:rsidRPr="0023362E">
        <w:rPr>
          <w:rStyle w:val="FootnoteReference"/>
          <w:szCs w:val="16"/>
        </w:rPr>
        <w:footnoteRef/>
      </w:r>
      <w:r w:rsidRPr="0023362E">
        <w:rPr>
          <w:szCs w:val="16"/>
          <w:lang w:val="es-PR"/>
        </w:rPr>
        <w:t xml:space="preserve"> </w:t>
      </w:r>
      <w:r w:rsidRPr="0023362E">
        <w:rPr>
          <w:szCs w:val="16"/>
          <w:lang w:val="es-PR"/>
        </w:rPr>
        <w:tab/>
      </w:r>
      <w:r w:rsidRPr="0023362E">
        <w:rPr>
          <w:i/>
          <w:szCs w:val="16"/>
          <w:lang w:val="es-PR"/>
        </w:rPr>
        <w:t>Cfr.</w:t>
      </w:r>
      <w:r w:rsidRPr="00CF4A86">
        <w:rPr>
          <w:i/>
          <w:szCs w:val="16"/>
          <w:lang w:val="es-PR"/>
        </w:rPr>
        <w:t xml:space="preserve"> </w:t>
      </w:r>
      <w:r w:rsidRPr="00CF4A86">
        <w:rPr>
          <w:i/>
          <w:szCs w:val="16"/>
        </w:rPr>
        <w:t>Caso</w:t>
      </w:r>
      <w:r w:rsidRPr="0023362E">
        <w:rPr>
          <w:i/>
          <w:szCs w:val="16"/>
        </w:rPr>
        <w:t xml:space="preserve"> </w:t>
      </w:r>
      <w:proofErr w:type="spellStart"/>
      <w:r w:rsidRPr="0023362E">
        <w:rPr>
          <w:i/>
          <w:szCs w:val="16"/>
        </w:rPr>
        <w:t>Ticona</w:t>
      </w:r>
      <w:proofErr w:type="spellEnd"/>
      <w:r w:rsidRPr="0023362E">
        <w:rPr>
          <w:i/>
          <w:szCs w:val="16"/>
        </w:rPr>
        <w:t xml:space="preserve"> Estrada y otros Vs. Bolivia. Fondo, Reparaciones y Costas. </w:t>
      </w:r>
      <w:r w:rsidRPr="0023362E">
        <w:rPr>
          <w:szCs w:val="16"/>
        </w:rPr>
        <w:t>Sentencia de 27 de noviembre de 2008. Serie C No. 191, párr. 110</w:t>
      </w:r>
      <w:r w:rsidRPr="0023362E">
        <w:rPr>
          <w:szCs w:val="16"/>
          <w:lang w:val="es-PR"/>
        </w:rPr>
        <w:t>,</w:t>
      </w:r>
      <w:r w:rsidRPr="0023362E">
        <w:rPr>
          <w:i/>
          <w:szCs w:val="16"/>
          <w:lang w:val="es-PR"/>
        </w:rPr>
        <w:t xml:space="preserve"> </w:t>
      </w:r>
      <w:r w:rsidRPr="0023362E">
        <w:rPr>
          <w:szCs w:val="16"/>
          <w:lang w:val="es-PR"/>
        </w:rPr>
        <w:t xml:space="preserve">y </w:t>
      </w:r>
      <w:r w:rsidRPr="008D2D9F">
        <w:rPr>
          <w:rStyle w:val="Strong"/>
          <w:rFonts w:eastAsia="Calibri"/>
          <w:b w:val="0"/>
          <w:i/>
          <w:color w:val="000000"/>
          <w:szCs w:val="16"/>
        </w:rPr>
        <w:t>Caso</w:t>
      </w:r>
      <w:r w:rsidRPr="0023362E">
        <w:rPr>
          <w:rStyle w:val="Strong"/>
          <w:rFonts w:eastAsia="Calibri"/>
          <w:b w:val="0"/>
          <w:i/>
          <w:color w:val="000000"/>
          <w:szCs w:val="16"/>
        </w:rPr>
        <w:t xml:space="preserve"> Espinoza Gonzáles Vs. Perú</w:t>
      </w:r>
      <w:r w:rsidRPr="0023362E">
        <w:rPr>
          <w:rStyle w:val="Strong"/>
          <w:rFonts w:eastAsia="Calibri"/>
          <w:b w:val="0"/>
          <w:color w:val="000000"/>
          <w:szCs w:val="16"/>
        </w:rPr>
        <w:t>, párr. 301</w:t>
      </w:r>
      <w:r w:rsidRPr="007162FA">
        <w:rPr>
          <w:szCs w:val="16"/>
          <w:lang w:val="es-PR"/>
        </w:rPr>
        <w:t>.</w:t>
      </w:r>
    </w:p>
  </w:footnote>
  <w:footnote w:id="237">
    <w:p w:rsidR="00E65148" w:rsidRPr="0023362E" w:rsidRDefault="00E65148" w:rsidP="004C57E7">
      <w:pPr>
        <w:pStyle w:val="FootnoteText"/>
        <w:tabs>
          <w:tab w:val="left" w:pos="567"/>
        </w:tabs>
        <w:rPr>
          <w:b/>
          <w:szCs w:val="16"/>
          <w:lang w:val="es-PR"/>
        </w:rPr>
      </w:pPr>
      <w:r w:rsidRPr="0023362E">
        <w:rPr>
          <w:rStyle w:val="FootnoteReference"/>
          <w:szCs w:val="16"/>
        </w:rPr>
        <w:footnoteRef/>
      </w:r>
      <w:r w:rsidRPr="0023362E">
        <w:rPr>
          <w:szCs w:val="16"/>
          <w:lang w:val="es-PR"/>
        </w:rPr>
        <w:t xml:space="preserve"> </w:t>
      </w:r>
      <w:r w:rsidRPr="0023362E">
        <w:rPr>
          <w:szCs w:val="16"/>
          <w:lang w:val="es-PR"/>
        </w:rPr>
        <w:tab/>
      </w:r>
      <w:r w:rsidRPr="0023362E">
        <w:rPr>
          <w:i/>
          <w:szCs w:val="16"/>
          <w:lang w:val="es-PR"/>
        </w:rPr>
        <w:t>Cfr.</w:t>
      </w:r>
      <w:r w:rsidRPr="00CF4A86">
        <w:rPr>
          <w:i/>
          <w:szCs w:val="16"/>
          <w:lang w:val="es-PR"/>
        </w:rPr>
        <w:t xml:space="preserve"> Caso</w:t>
      </w:r>
      <w:r w:rsidRPr="0023362E">
        <w:rPr>
          <w:i/>
          <w:szCs w:val="16"/>
          <w:lang w:val="es-PR"/>
        </w:rPr>
        <w:t xml:space="preserve"> Velásquez Rodríguez. Reparaciones </w:t>
      </w:r>
      <w:r>
        <w:rPr>
          <w:i/>
          <w:szCs w:val="16"/>
          <w:lang w:val="es-PR"/>
        </w:rPr>
        <w:t xml:space="preserve">y </w:t>
      </w:r>
      <w:r w:rsidRPr="0023362E">
        <w:rPr>
          <w:i/>
          <w:szCs w:val="16"/>
        </w:rPr>
        <w:t>Costas</w:t>
      </w:r>
      <w:r w:rsidRPr="0099283D">
        <w:rPr>
          <w:rStyle w:val="Strong"/>
          <w:rFonts w:eastAsia="Calibri"/>
          <w:b w:val="0"/>
          <w:color w:val="000000"/>
          <w:szCs w:val="16"/>
          <w:shd w:val="clear" w:color="auto" w:fill="FFFFFF"/>
        </w:rPr>
        <w:t>,</w:t>
      </w:r>
      <w:r w:rsidRPr="0023362E">
        <w:rPr>
          <w:i/>
          <w:szCs w:val="16"/>
          <w:lang w:val="es-PR"/>
        </w:rPr>
        <w:t xml:space="preserve"> </w:t>
      </w:r>
      <w:proofErr w:type="spellStart"/>
      <w:r w:rsidRPr="0023362E">
        <w:rPr>
          <w:szCs w:val="16"/>
          <w:lang w:val="es-PR"/>
        </w:rPr>
        <w:t>párrs</w:t>
      </w:r>
      <w:proofErr w:type="spellEnd"/>
      <w:r w:rsidRPr="0023362E">
        <w:rPr>
          <w:szCs w:val="16"/>
          <w:lang w:val="es-PR"/>
        </w:rPr>
        <w:t>. 25 a 27, y</w:t>
      </w:r>
      <w:r w:rsidRPr="0023362E">
        <w:rPr>
          <w:i/>
          <w:szCs w:val="16"/>
          <w:lang w:val="es-PR"/>
        </w:rPr>
        <w:t xml:space="preserve"> </w:t>
      </w:r>
      <w:r w:rsidRPr="00CF4A86">
        <w:rPr>
          <w:rStyle w:val="Strong"/>
          <w:rFonts w:eastAsia="Calibri"/>
          <w:b w:val="0"/>
          <w:i/>
          <w:color w:val="000000"/>
          <w:szCs w:val="16"/>
        </w:rPr>
        <w:t>Caso</w:t>
      </w:r>
      <w:r w:rsidRPr="0099283D">
        <w:rPr>
          <w:rStyle w:val="Strong"/>
          <w:rFonts w:eastAsia="Calibri"/>
          <w:b w:val="0"/>
          <w:color w:val="000000"/>
          <w:szCs w:val="16"/>
        </w:rPr>
        <w:t xml:space="preserve"> </w:t>
      </w:r>
      <w:r w:rsidRPr="0099283D">
        <w:rPr>
          <w:rStyle w:val="Strong"/>
          <w:rFonts w:eastAsia="Calibri"/>
          <w:b w:val="0"/>
          <w:i/>
          <w:color w:val="000000"/>
          <w:szCs w:val="16"/>
        </w:rPr>
        <w:t>Omar Humberto Maldonado</w:t>
      </w:r>
      <w:r w:rsidRPr="0023362E">
        <w:rPr>
          <w:rStyle w:val="Strong"/>
          <w:rFonts w:eastAsia="Calibri"/>
          <w:b w:val="0"/>
          <w:i/>
          <w:color w:val="000000"/>
          <w:szCs w:val="16"/>
        </w:rPr>
        <w:t xml:space="preserve"> Vargas y otros Vs. Chile</w:t>
      </w:r>
      <w:r w:rsidRPr="0023362E">
        <w:rPr>
          <w:rStyle w:val="Strong"/>
          <w:rFonts w:eastAsia="Calibri"/>
          <w:b w:val="0"/>
          <w:color w:val="000000"/>
          <w:szCs w:val="16"/>
        </w:rPr>
        <w:t xml:space="preserve">, párr. 152. </w:t>
      </w:r>
    </w:p>
  </w:footnote>
  <w:footnote w:id="238">
    <w:p w:rsidR="00E65148" w:rsidRPr="0023362E" w:rsidRDefault="00E65148" w:rsidP="004C57E7">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23362E">
        <w:rPr>
          <w:i/>
          <w:szCs w:val="16"/>
        </w:rPr>
        <w:t>Cfr. mutatis mutandis</w:t>
      </w:r>
      <w:r w:rsidRPr="0023362E">
        <w:rPr>
          <w:szCs w:val="16"/>
        </w:rPr>
        <w:t xml:space="preserve">, </w:t>
      </w:r>
      <w:r w:rsidRPr="00CF4A86">
        <w:rPr>
          <w:i/>
          <w:szCs w:val="16"/>
        </w:rPr>
        <w:t>Caso</w:t>
      </w:r>
      <w:r w:rsidRPr="0023362E">
        <w:rPr>
          <w:szCs w:val="16"/>
        </w:rPr>
        <w:t xml:space="preserve"> </w:t>
      </w:r>
      <w:proofErr w:type="spellStart"/>
      <w:r w:rsidRPr="0023362E">
        <w:rPr>
          <w:i/>
          <w:szCs w:val="16"/>
        </w:rPr>
        <w:t>Gelman</w:t>
      </w:r>
      <w:proofErr w:type="spellEnd"/>
      <w:r w:rsidRPr="0023362E">
        <w:rPr>
          <w:i/>
          <w:szCs w:val="16"/>
        </w:rPr>
        <w:t xml:space="preserve"> Vs. Uruguay</w:t>
      </w:r>
      <w:r w:rsidRPr="0023362E">
        <w:rPr>
          <w:szCs w:val="16"/>
        </w:rPr>
        <w:t xml:space="preserve">. </w:t>
      </w:r>
      <w:r w:rsidRPr="0023362E">
        <w:rPr>
          <w:i/>
          <w:szCs w:val="16"/>
        </w:rPr>
        <w:t xml:space="preserve">Fondo y Reparaciones. </w:t>
      </w:r>
      <w:r w:rsidRPr="0023362E">
        <w:rPr>
          <w:szCs w:val="16"/>
        </w:rPr>
        <w:t xml:space="preserve">Sentencia de 24 de febrero de 2011. Serie C No. 221, párr. 183. Ver también </w:t>
      </w:r>
      <w:r w:rsidRPr="00CF4A86">
        <w:rPr>
          <w:i/>
          <w:szCs w:val="16"/>
        </w:rPr>
        <w:t>Caso</w:t>
      </w:r>
      <w:r w:rsidRPr="008D2D9F">
        <w:rPr>
          <w:i/>
          <w:szCs w:val="16"/>
        </w:rPr>
        <w:t xml:space="preserve"> </w:t>
      </w:r>
      <w:r w:rsidRPr="0023362E">
        <w:rPr>
          <w:i/>
          <w:szCs w:val="16"/>
        </w:rPr>
        <w:t xml:space="preserve">García Lucero y </w:t>
      </w:r>
      <w:r>
        <w:rPr>
          <w:i/>
          <w:szCs w:val="16"/>
        </w:rPr>
        <w:t>otro</w:t>
      </w:r>
      <w:r w:rsidRPr="008310B2">
        <w:rPr>
          <w:i/>
          <w:szCs w:val="16"/>
        </w:rPr>
        <w:t>s</w:t>
      </w:r>
      <w:r w:rsidRPr="0023362E">
        <w:rPr>
          <w:i/>
          <w:szCs w:val="16"/>
        </w:rPr>
        <w:t xml:space="preserve"> Vs. Chile</w:t>
      </w:r>
      <w:r>
        <w:rPr>
          <w:szCs w:val="16"/>
        </w:rPr>
        <w:t>.</w:t>
      </w:r>
    </w:p>
  </w:footnote>
  <w:footnote w:id="239">
    <w:p w:rsidR="00E65148" w:rsidRPr="0023362E" w:rsidRDefault="00E65148" w:rsidP="004C57E7">
      <w:pPr>
        <w:pStyle w:val="FootnoteText"/>
        <w:rPr>
          <w:b/>
          <w:szCs w:val="16"/>
        </w:rPr>
      </w:pPr>
      <w:r w:rsidRPr="0023362E">
        <w:rPr>
          <w:rStyle w:val="FootnoteReference"/>
          <w:szCs w:val="16"/>
        </w:rPr>
        <w:footnoteRef/>
      </w:r>
      <w:r w:rsidRPr="0023362E">
        <w:rPr>
          <w:szCs w:val="16"/>
        </w:rPr>
        <w:t xml:space="preserve"> </w:t>
      </w:r>
      <w:r w:rsidRPr="0023362E">
        <w:rPr>
          <w:szCs w:val="16"/>
        </w:rPr>
        <w:tab/>
      </w:r>
      <w:r w:rsidRPr="0023362E">
        <w:rPr>
          <w:i/>
          <w:szCs w:val="16"/>
        </w:rPr>
        <w:t xml:space="preserve">Cfr. </w:t>
      </w:r>
      <w:r w:rsidRPr="00CF4A86">
        <w:rPr>
          <w:rFonts w:cs="Verdana"/>
          <w:i/>
          <w:iCs/>
          <w:color w:val="000000"/>
          <w:szCs w:val="16"/>
        </w:rPr>
        <w:t>Caso</w:t>
      </w:r>
      <w:r w:rsidRPr="0023362E">
        <w:rPr>
          <w:rFonts w:cs="Verdana"/>
          <w:i/>
          <w:iCs/>
          <w:color w:val="000000"/>
          <w:szCs w:val="16"/>
        </w:rPr>
        <w:t xml:space="preserve"> Heliodoro Portugal Vs. Panamá. Excepciones Preliminares, Fondo, Reparaciones y Costas. </w:t>
      </w:r>
      <w:r w:rsidRPr="0023362E">
        <w:rPr>
          <w:rFonts w:cs="Verdana"/>
          <w:color w:val="000000"/>
          <w:szCs w:val="16"/>
        </w:rPr>
        <w:t>Sentencia de 12 de agosto de 2008. Serie C No. 186, párr. 146, y</w:t>
      </w:r>
      <w:r w:rsidRPr="008D2D9F">
        <w:rPr>
          <w:rFonts w:cs="Verdana"/>
          <w:i/>
          <w:color w:val="000000"/>
          <w:szCs w:val="16"/>
        </w:rPr>
        <w:t xml:space="preserve"> </w:t>
      </w:r>
      <w:r w:rsidRPr="00CF4A86">
        <w:rPr>
          <w:rFonts w:cs="Verdana"/>
          <w:i/>
          <w:color w:val="000000"/>
          <w:szCs w:val="16"/>
        </w:rPr>
        <w:t>Caso</w:t>
      </w:r>
      <w:r w:rsidRPr="0023362E">
        <w:rPr>
          <w:rFonts w:cs="Verdana"/>
          <w:i/>
          <w:color w:val="000000"/>
          <w:szCs w:val="16"/>
        </w:rPr>
        <w:t xml:space="preserve"> </w:t>
      </w:r>
      <w:r w:rsidRPr="0023362E">
        <w:rPr>
          <w:rStyle w:val="Strong"/>
          <w:rFonts w:eastAsia="Calibri"/>
          <w:b w:val="0"/>
          <w:i/>
          <w:szCs w:val="16"/>
        </w:rPr>
        <w:t>Veliz Franco y otros Vs. Guatemala. Excepciones Preliminares, Fondo, Reparaciones y Costas.</w:t>
      </w:r>
      <w:r w:rsidRPr="0023362E">
        <w:rPr>
          <w:rStyle w:val="Strong"/>
          <w:rFonts w:eastAsia="Calibri"/>
          <w:b w:val="0"/>
          <w:szCs w:val="16"/>
        </w:rPr>
        <w:t xml:space="preserve"> Sentencia de 19 de mayo de 2014. Serie C No. 277, párr. 250.</w:t>
      </w:r>
    </w:p>
  </w:footnote>
  <w:footnote w:id="240">
    <w:p w:rsidR="00E65148" w:rsidRPr="0023362E" w:rsidRDefault="00E65148" w:rsidP="004C57E7">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23362E">
        <w:rPr>
          <w:i/>
          <w:szCs w:val="16"/>
        </w:rPr>
        <w:t xml:space="preserve">Cfr. </w:t>
      </w:r>
      <w:r w:rsidRPr="00CF4A86">
        <w:rPr>
          <w:i/>
          <w:szCs w:val="16"/>
        </w:rPr>
        <w:t>Caso</w:t>
      </w:r>
      <w:r w:rsidRPr="0023362E">
        <w:rPr>
          <w:szCs w:val="16"/>
        </w:rPr>
        <w:t xml:space="preserve"> </w:t>
      </w:r>
      <w:r w:rsidRPr="0023362E">
        <w:rPr>
          <w:i/>
          <w:szCs w:val="16"/>
        </w:rPr>
        <w:t>Juan Humberto Sánchez Vs. Honduras</w:t>
      </w:r>
      <w:r w:rsidRPr="0023362E">
        <w:rPr>
          <w:szCs w:val="16"/>
        </w:rPr>
        <w:t xml:space="preserve">. </w:t>
      </w:r>
      <w:r w:rsidRPr="0023362E">
        <w:rPr>
          <w:i/>
          <w:szCs w:val="16"/>
        </w:rPr>
        <w:t>Excepción Preliminar, Fondo, Reparaciones y Costas</w:t>
      </w:r>
      <w:r w:rsidRPr="0023362E">
        <w:rPr>
          <w:szCs w:val="16"/>
        </w:rPr>
        <w:t xml:space="preserve">. Sentencia de 7 de junio de 2003. Serie C No 99, párr. 186, y </w:t>
      </w:r>
      <w:r w:rsidRPr="00CF4A86">
        <w:rPr>
          <w:i/>
          <w:szCs w:val="16"/>
        </w:rPr>
        <w:t>Caso</w:t>
      </w:r>
      <w:r w:rsidRPr="0023362E">
        <w:rPr>
          <w:i/>
          <w:szCs w:val="16"/>
        </w:rPr>
        <w:t xml:space="preserve"> </w:t>
      </w:r>
      <w:r w:rsidRPr="0023362E">
        <w:rPr>
          <w:rStyle w:val="Strong"/>
          <w:rFonts w:eastAsia="Calibri"/>
          <w:b w:val="0"/>
          <w:i/>
          <w:color w:val="000000"/>
          <w:szCs w:val="16"/>
        </w:rPr>
        <w:t>Omar Humberto Maldonado Vargas y otros Vs. Chile</w:t>
      </w:r>
      <w:r w:rsidRPr="0023362E">
        <w:rPr>
          <w:rStyle w:val="Strong"/>
          <w:rFonts w:eastAsia="Calibri"/>
          <w:b w:val="0"/>
          <w:color w:val="000000"/>
          <w:szCs w:val="16"/>
        </w:rPr>
        <w:t>, párr. 155.</w:t>
      </w:r>
    </w:p>
  </w:footnote>
  <w:footnote w:id="241">
    <w:p w:rsidR="00E65148" w:rsidRPr="0023362E" w:rsidRDefault="00E65148">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8D2D9F">
        <w:rPr>
          <w:i/>
          <w:szCs w:val="16"/>
        </w:rPr>
        <w:t>Cfr.</w:t>
      </w:r>
      <w:r w:rsidRPr="00A87E48">
        <w:rPr>
          <w:i/>
          <w:szCs w:val="16"/>
        </w:rPr>
        <w:t xml:space="preserve"> </w:t>
      </w:r>
      <w:r w:rsidRPr="008D2D9F">
        <w:rPr>
          <w:szCs w:val="16"/>
        </w:rPr>
        <w:t>Principios Básicos sobre la Función de los Abogados instaurado por la Organización de Naciones Unidas, párr. 16</w:t>
      </w:r>
      <w:r w:rsidRPr="00504CC9">
        <w:rPr>
          <w:szCs w:val="16"/>
        </w:rPr>
        <w:t>.</w:t>
      </w:r>
    </w:p>
  </w:footnote>
  <w:footnote w:id="242">
    <w:p w:rsidR="00E65148" w:rsidRPr="0023362E" w:rsidRDefault="00E65148" w:rsidP="000964B6">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8D2D9F">
        <w:rPr>
          <w:szCs w:val="16"/>
        </w:rPr>
        <w:t xml:space="preserve">Informe del Relator Especial sobre la independencia de los magistrados y abogados, Leandro </w:t>
      </w:r>
      <w:proofErr w:type="spellStart"/>
      <w:r w:rsidRPr="008D2D9F">
        <w:rPr>
          <w:szCs w:val="16"/>
        </w:rPr>
        <w:t>Despouy</w:t>
      </w:r>
      <w:proofErr w:type="spellEnd"/>
      <w:r w:rsidRPr="008D2D9F">
        <w:rPr>
          <w:szCs w:val="16"/>
        </w:rPr>
        <w:t xml:space="preserve">. Consejo de Derechos Humanos. </w:t>
      </w:r>
    </w:p>
  </w:footnote>
  <w:footnote w:id="243">
    <w:p w:rsidR="00E65148" w:rsidRPr="0023362E" w:rsidRDefault="00E65148" w:rsidP="004C57E7">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23362E">
        <w:rPr>
          <w:i/>
          <w:szCs w:val="16"/>
        </w:rPr>
        <w:t xml:space="preserve">Cfr. </w:t>
      </w:r>
      <w:r w:rsidRPr="00CF4A86">
        <w:rPr>
          <w:i/>
          <w:szCs w:val="16"/>
        </w:rPr>
        <w:t>Caso</w:t>
      </w:r>
      <w:r w:rsidRPr="00204A10">
        <w:rPr>
          <w:szCs w:val="16"/>
        </w:rPr>
        <w:t xml:space="preserve"> </w:t>
      </w:r>
      <w:r w:rsidRPr="0023362E">
        <w:rPr>
          <w:i/>
          <w:szCs w:val="16"/>
        </w:rPr>
        <w:t>Cantoral Benavides Vs. Perú</w:t>
      </w:r>
      <w:r>
        <w:rPr>
          <w:szCs w:val="16"/>
        </w:rPr>
        <w:t xml:space="preserve">. </w:t>
      </w:r>
      <w:r w:rsidRPr="00A87E48">
        <w:rPr>
          <w:i/>
          <w:szCs w:val="16"/>
        </w:rPr>
        <w:t>Reparaciones y Costas</w:t>
      </w:r>
      <w:r>
        <w:rPr>
          <w:szCs w:val="16"/>
        </w:rPr>
        <w:t>. Sentencia de 3 de diciembre de 2001. Serie C No 88,</w:t>
      </w:r>
      <w:r w:rsidRPr="0023362E">
        <w:rPr>
          <w:szCs w:val="16"/>
        </w:rPr>
        <w:t xml:space="preserve"> párr. 79, y </w:t>
      </w:r>
      <w:r w:rsidRPr="00CF4A86">
        <w:rPr>
          <w:i/>
          <w:szCs w:val="16"/>
        </w:rPr>
        <w:t>Caso</w:t>
      </w:r>
      <w:r w:rsidRPr="008D2D9F">
        <w:rPr>
          <w:i/>
          <w:szCs w:val="16"/>
        </w:rPr>
        <w:t xml:space="preserve"> </w:t>
      </w:r>
      <w:r w:rsidRPr="0023362E">
        <w:rPr>
          <w:i/>
          <w:szCs w:val="16"/>
        </w:rPr>
        <w:t>Veliz Franco y otros Vs. Guatemala</w:t>
      </w:r>
      <w:r w:rsidRPr="0023362E">
        <w:rPr>
          <w:szCs w:val="16"/>
        </w:rPr>
        <w:t xml:space="preserve">, párr. 256.     </w:t>
      </w:r>
    </w:p>
  </w:footnote>
  <w:footnote w:id="244">
    <w:p w:rsidR="00E65148" w:rsidRPr="0023362E" w:rsidRDefault="00E65148">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23362E">
        <w:rPr>
          <w:rFonts w:eastAsia="Verdana" w:cs="Verdana"/>
          <w:i/>
          <w:szCs w:val="16"/>
          <w:lang w:val="es-ES"/>
        </w:rPr>
        <w:t>C</w:t>
      </w:r>
      <w:r w:rsidRPr="0023362E">
        <w:rPr>
          <w:rFonts w:eastAsia="Verdana" w:cs="Verdana"/>
          <w:i/>
          <w:spacing w:val="-1"/>
          <w:szCs w:val="16"/>
          <w:lang w:val="es-ES"/>
        </w:rPr>
        <w:t>f</w:t>
      </w:r>
      <w:r w:rsidRPr="0023362E">
        <w:rPr>
          <w:rFonts w:eastAsia="Verdana" w:cs="Verdana"/>
          <w:i/>
          <w:spacing w:val="1"/>
          <w:szCs w:val="16"/>
          <w:lang w:val="es-ES"/>
        </w:rPr>
        <w:t>r</w:t>
      </w:r>
      <w:r w:rsidRPr="0023362E">
        <w:rPr>
          <w:rFonts w:eastAsia="Verdana" w:cs="Verdana"/>
          <w:i/>
          <w:szCs w:val="16"/>
          <w:lang w:val="es-ES"/>
        </w:rPr>
        <w:t>.</w:t>
      </w:r>
      <w:r w:rsidRPr="0023362E">
        <w:rPr>
          <w:rFonts w:eastAsia="Verdana" w:cs="Verdana"/>
          <w:i/>
          <w:spacing w:val="13"/>
          <w:szCs w:val="16"/>
          <w:lang w:val="es-ES"/>
        </w:rPr>
        <w:t xml:space="preserve"> </w:t>
      </w:r>
      <w:r w:rsidRPr="00CF4A86">
        <w:rPr>
          <w:rFonts w:eastAsia="Verdana" w:cs="Verdana"/>
          <w:i/>
          <w:szCs w:val="16"/>
          <w:lang w:val="es-ES"/>
        </w:rPr>
        <w:t>C</w:t>
      </w:r>
      <w:r w:rsidRPr="00CF4A86">
        <w:rPr>
          <w:rFonts w:eastAsia="Verdana" w:cs="Verdana"/>
          <w:i/>
          <w:spacing w:val="-1"/>
          <w:szCs w:val="16"/>
          <w:lang w:val="es-ES"/>
        </w:rPr>
        <w:t>a</w:t>
      </w:r>
      <w:r w:rsidRPr="00CF4A86">
        <w:rPr>
          <w:rFonts w:eastAsia="Verdana" w:cs="Verdana"/>
          <w:i/>
          <w:szCs w:val="16"/>
          <w:lang w:val="es-ES"/>
        </w:rPr>
        <w:t>so</w:t>
      </w:r>
      <w:r w:rsidRPr="0023362E">
        <w:rPr>
          <w:rFonts w:eastAsia="Verdana" w:cs="Verdana"/>
          <w:i/>
          <w:spacing w:val="14"/>
          <w:szCs w:val="16"/>
          <w:lang w:val="es-ES"/>
        </w:rPr>
        <w:t xml:space="preserve"> </w:t>
      </w:r>
      <w:r w:rsidRPr="0023362E">
        <w:rPr>
          <w:rFonts w:eastAsia="Verdana" w:cs="Verdana"/>
          <w:i/>
          <w:szCs w:val="16"/>
          <w:lang w:val="es-ES"/>
        </w:rPr>
        <w:t>Ba</w:t>
      </w:r>
      <w:r w:rsidRPr="0023362E">
        <w:rPr>
          <w:rFonts w:eastAsia="Verdana" w:cs="Verdana"/>
          <w:i/>
          <w:spacing w:val="-1"/>
          <w:szCs w:val="16"/>
          <w:lang w:val="es-ES"/>
        </w:rPr>
        <w:t>r</w:t>
      </w:r>
      <w:r w:rsidRPr="0023362E">
        <w:rPr>
          <w:rFonts w:eastAsia="Verdana" w:cs="Verdana"/>
          <w:i/>
          <w:spacing w:val="1"/>
          <w:szCs w:val="16"/>
          <w:lang w:val="es-ES"/>
        </w:rPr>
        <w:t>r</w:t>
      </w:r>
      <w:r w:rsidRPr="0023362E">
        <w:rPr>
          <w:rFonts w:eastAsia="Verdana" w:cs="Verdana"/>
          <w:i/>
          <w:spacing w:val="-1"/>
          <w:szCs w:val="16"/>
          <w:lang w:val="es-ES"/>
        </w:rPr>
        <w:t>i</w:t>
      </w:r>
      <w:r w:rsidRPr="0023362E">
        <w:rPr>
          <w:rFonts w:eastAsia="Verdana" w:cs="Verdana"/>
          <w:i/>
          <w:spacing w:val="1"/>
          <w:szCs w:val="16"/>
          <w:lang w:val="es-ES"/>
        </w:rPr>
        <w:t>o</w:t>
      </w:r>
      <w:r w:rsidRPr="0023362E">
        <w:rPr>
          <w:rFonts w:eastAsia="Verdana" w:cs="Verdana"/>
          <w:i/>
          <w:szCs w:val="16"/>
          <w:lang w:val="es-ES"/>
        </w:rPr>
        <w:t>s</w:t>
      </w:r>
      <w:r w:rsidRPr="0023362E">
        <w:rPr>
          <w:rFonts w:eastAsia="Verdana" w:cs="Verdana"/>
          <w:i/>
          <w:spacing w:val="11"/>
          <w:szCs w:val="16"/>
          <w:lang w:val="es-ES"/>
        </w:rPr>
        <w:t xml:space="preserve"> </w:t>
      </w:r>
      <w:r w:rsidRPr="0023362E">
        <w:rPr>
          <w:rFonts w:eastAsia="Verdana" w:cs="Verdana"/>
          <w:i/>
          <w:spacing w:val="1"/>
          <w:szCs w:val="16"/>
          <w:lang w:val="es-ES"/>
        </w:rPr>
        <w:t>A</w:t>
      </w:r>
      <w:r w:rsidRPr="0023362E">
        <w:rPr>
          <w:rFonts w:eastAsia="Verdana" w:cs="Verdana"/>
          <w:i/>
          <w:spacing w:val="-1"/>
          <w:szCs w:val="16"/>
          <w:lang w:val="es-ES"/>
        </w:rPr>
        <w:t>lt</w:t>
      </w:r>
      <w:r w:rsidRPr="0023362E">
        <w:rPr>
          <w:rFonts w:eastAsia="Verdana" w:cs="Verdana"/>
          <w:i/>
          <w:spacing w:val="1"/>
          <w:szCs w:val="16"/>
          <w:lang w:val="es-ES"/>
        </w:rPr>
        <w:t>o</w:t>
      </w:r>
      <w:r w:rsidRPr="0023362E">
        <w:rPr>
          <w:rFonts w:eastAsia="Verdana" w:cs="Verdana"/>
          <w:i/>
          <w:szCs w:val="16"/>
          <w:lang w:val="es-ES"/>
        </w:rPr>
        <w:t>s</w:t>
      </w:r>
      <w:r w:rsidRPr="0023362E">
        <w:rPr>
          <w:rFonts w:eastAsia="Verdana" w:cs="Verdana"/>
          <w:i/>
          <w:spacing w:val="13"/>
          <w:szCs w:val="16"/>
          <w:lang w:val="es-ES"/>
        </w:rPr>
        <w:t xml:space="preserve"> </w:t>
      </w:r>
      <w:r w:rsidRPr="0023362E">
        <w:rPr>
          <w:rFonts w:eastAsia="Verdana" w:cs="Verdana"/>
          <w:i/>
          <w:spacing w:val="1"/>
          <w:szCs w:val="16"/>
          <w:lang w:val="es-ES"/>
        </w:rPr>
        <w:t>V</w:t>
      </w:r>
      <w:r w:rsidRPr="0023362E">
        <w:rPr>
          <w:rFonts w:eastAsia="Verdana" w:cs="Verdana"/>
          <w:i/>
          <w:szCs w:val="16"/>
          <w:lang w:val="es-ES"/>
        </w:rPr>
        <w:t>s.</w:t>
      </w:r>
      <w:r w:rsidRPr="0023362E">
        <w:rPr>
          <w:rFonts w:eastAsia="Verdana" w:cs="Verdana"/>
          <w:i/>
          <w:spacing w:val="13"/>
          <w:szCs w:val="16"/>
          <w:lang w:val="es-ES"/>
        </w:rPr>
        <w:t xml:space="preserve"> </w:t>
      </w:r>
      <w:r w:rsidRPr="0023362E">
        <w:rPr>
          <w:rFonts w:eastAsia="Verdana" w:cs="Verdana"/>
          <w:i/>
          <w:spacing w:val="-1"/>
          <w:szCs w:val="16"/>
          <w:lang w:val="es-ES"/>
        </w:rPr>
        <w:t>P</w:t>
      </w:r>
      <w:r w:rsidRPr="0023362E">
        <w:rPr>
          <w:rFonts w:eastAsia="Verdana" w:cs="Verdana"/>
          <w:i/>
          <w:szCs w:val="16"/>
          <w:lang w:val="es-ES"/>
        </w:rPr>
        <w:t>e</w:t>
      </w:r>
      <w:r w:rsidRPr="0023362E">
        <w:rPr>
          <w:rFonts w:eastAsia="Verdana" w:cs="Verdana"/>
          <w:i/>
          <w:spacing w:val="1"/>
          <w:szCs w:val="16"/>
          <w:lang w:val="es-ES"/>
        </w:rPr>
        <w:t>r</w:t>
      </w:r>
      <w:r w:rsidRPr="0023362E">
        <w:rPr>
          <w:rFonts w:eastAsia="Verdana" w:cs="Verdana"/>
          <w:i/>
          <w:spacing w:val="-1"/>
          <w:szCs w:val="16"/>
          <w:lang w:val="es-ES"/>
        </w:rPr>
        <w:t>ú</w:t>
      </w:r>
      <w:r w:rsidRPr="0023362E">
        <w:rPr>
          <w:rFonts w:eastAsia="Verdana" w:cs="Verdana"/>
          <w:i/>
          <w:szCs w:val="16"/>
          <w:lang w:val="es-ES"/>
        </w:rPr>
        <w:t>.</w:t>
      </w:r>
      <w:r w:rsidRPr="0023362E">
        <w:rPr>
          <w:rFonts w:eastAsia="Verdana" w:cs="Verdana"/>
          <w:i/>
          <w:spacing w:val="15"/>
          <w:szCs w:val="16"/>
          <w:lang w:val="es-ES"/>
        </w:rPr>
        <w:t xml:space="preserve"> </w:t>
      </w:r>
      <w:r w:rsidRPr="0023362E">
        <w:rPr>
          <w:rFonts w:eastAsia="Verdana" w:cs="Verdana"/>
          <w:i/>
          <w:spacing w:val="1"/>
          <w:szCs w:val="16"/>
          <w:lang w:val="es-ES"/>
        </w:rPr>
        <w:t>R</w:t>
      </w:r>
      <w:r w:rsidRPr="0023362E">
        <w:rPr>
          <w:rFonts w:eastAsia="Verdana" w:cs="Verdana"/>
          <w:i/>
          <w:szCs w:val="16"/>
          <w:lang w:val="es-ES"/>
        </w:rPr>
        <w:t>e</w:t>
      </w:r>
      <w:r w:rsidRPr="0023362E">
        <w:rPr>
          <w:rFonts w:eastAsia="Verdana" w:cs="Verdana"/>
          <w:i/>
          <w:spacing w:val="1"/>
          <w:szCs w:val="16"/>
          <w:lang w:val="es-ES"/>
        </w:rPr>
        <w:t>p</w:t>
      </w:r>
      <w:r w:rsidRPr="0023362E">
        <w:rPr>
          <w:rFonts w:eastAsia="Verdana" w:cs="Verdana"/>
          <w:i/>
          <w:spacing w:val="-3"/>
          <w:szCs w:val="16"/>
          <w:lang w:val="es-ES"/>
        </w:rPr>
        <w:t>a</w:t>
      </w:r>
      <w:r w:rsidRPr="0023362E">
        <w:rPr>
          <w:rFonts w:eastAsia="Verdana" w:cs="Verdana"/>
          <w:i/>
          <w:spacing w:val="1"/>
          <w:szCs w:val="16"/>
          <w:lang w:val="es-ES"/>
        </w:rPr>
        <w:t>r</w:t>
      </w:r>
      <w:r w:rsidRPr="0023362E">
        <w:rPr>
          <w:rFonts w:eastAsia="Verdana" w:cs="Verdana"/>
          <w:i/>
          <w:spacing w:val="-1"/>
          <w:szCs w:val="16"/>
          <w:lang w:val="es-ES"/>
        </w:rPr>
        <w:t>a</w:t>
      </w:r>
      <w:r w:rsidRPr="0023362E">
        <w:rPr>
          <w:rFonts w:eastAsia="Verdana" w:cs="Verdana"/>
          <w:i/>
          <w:szCs w:val="16"/>
          <w:lang w:val="es-ES"/>
        </w:rPr>
        <w:t>c</w:t>
      </w:r>
      <w:r w:rsidRPr="0023362E">
        <w:rPr>
          <w:rFonts w:eastAsia="Verdana" w:cs="Verdana"/>
          <w:i/>
          <w:spacing w:val="-1"/>
          <w:szCs w:val="16"/>
          <w:lang w:val="es-ES"/>
        </w:rPr>
        <w:t>i</w:t>
      </w:r>
      <w:r w:rsidRPr="0023362E">
        <w:rPr>
          <w:rFonts w:eastAsia="Verdana" w:cs="Verdana"/>
          <w:i/>
          <w:spacing w:val="1"/>
          <w:szCs w:val="16"/>
          <w:lang w:val="es-ES"/>
        </w:rPr>
        <w:t>o</w:t>
      </w:r>
      <w:r w:rsidRPr="0023362E">
        <w:rPr>
          <w:rFonts w:eastAsia="Verdana" w:cs="Verdana"/>
          <w:i/>
          <w:spacing w:val="-1"/>
          <w:szCs w:val="16"/>
          <w:lang w:val="es-ES"/>
        </w:rPr>
        <w:t>n</w:t>
      </w:r>
      <w:r w:rsidRPr="0023362E">
        <w:rPr>
          <w:rFonts w:eastAsia="Verdana" w:cs="Verdana"/>
          <w:i/>
          <w:szCs w:val="16"/>
          <w:lang w:val="es-ES"/>
        </w:rPr>
        <w:t>es</w:t>
      </w:r>
      <w:r w:rsidRPr="0023362E">
        <w:rPr>
          <w:rFonts w:eastAsia="Verdana" w:cs="Verdana"/>
          <w:i/>
          <w:spacing w:val="12"/>
          <w:szCs w:val="16"/>
          <w:lang w:val="es-ES"/>
        </w:rPr>
        <w:t xml:space="preserve"> </w:t>
      </w:r>
      <w:r w:rsidRPr="0023362E">
        <w:rPr>
          <w:rFonts w:eastAsia="Verdana" w:cs="Verdana"/>
          <w:i/>
          <w:szCs w:val="16"/>
          <w:lang w:val="es-ES"/>
        </w:rPr>
        <w:t>y</w:t>
      </w:r>
      <w:r w:rsidRPr="0023362E">
        <w:rPr>
          <w:rFonts w:eastAsia="Verdana" w:cs="Verdana"/>
          <w:i/>
          <w:spacing w:val="14"/>
          <w:szCs w:val="16"/>
          <w:lang w:val="es-ES"/>
        </w:rPr>
        <w:t xml:space="preserve"> </w:t>
      </w:r>
      <w:r w:rsidRPr="0023362E">
        <w:rPr>
          <w:rFonts w:eastAsia="Verdana" w:cs="Verdana"/>
          <w:i/>
          <w:szCs w:val="16"/>
          <w:lang w:val="es-ES"/>
        </w:rPr>
        <w:t>C</w:t>
      </w:r>
      <w:r w:rsidRPr="0023362E">
        <w:rPr>
          <w:rFonts w:eastAsia="Verdana" w:cs="Verdana"/>
          <w:i/>
          <w:spacing w:val="1"/>
          <w:szCs w:val="16"/>
          <w:lang w:val="es-ES"/>
        </w:rPr>
        <w:t>o</w:t>
      </w:r>
      <w:r w:rsidRPr="0023362E">
        <w:rPr>
          <w:rFonts w:eastAsia="Verdana" w:cs="Verdana"/>
          <w:i/>
          <w:szCs w:val="16"/>
          <w:lang w:val="es-ES"/>
        </w:rPr>
        <w:t>s</w:t>
      </w:r>
      <w:r w:rsidRPr="0023362E">
        <w:rPr>
          <w:rFonts w:eastAsia="Verdana" w:cs="Verdana"/>
          <w:i/>
          <w:spacing w:val="-1"/>
          <w:szCs w:val="16"/>
          <w:lang w:val="es-ES"/>
        </w:rPr>
        <w:t>ta</w:t>
      </w:r>
      <w:r w:rsidRPr="0023362E">
        <w:rPr>
          <w:rFonts w:eastAsia="Verdana" w:cs="Verdana"/>
          <w:i/>
          <w:spacing w:val="1"/>
          <w:szCs w:val="16"/>
          <w:lang w:val="es-ES"/>
        </w:rPr>
        <w:t>s</w:t>
      </w:r>
      <w:r w:rsidRPr="0023362E">
        <w:rPr>
          <w:rFonts w:eastAsia="Verdana" w:cs="Verdana"/>
          <w:szCs w:val="16"/>
          <w:lang w:val="es-ES"/>
        </w:rPr>
        <w:t>.</w:t>
      </w:r>
      <w:r w:rsidRPr="0023362E">
        <w:rPr>
          <w:rFonts w:eastAsia="Verdana" w:cs="Verdana"/>
          <w:spacing w:val="12"/>
          <w:szCs w:val="16"/>
          <w:lang w:val="es-ES"/>
        </w:rPr>
        <w:t xml:space="preserve"> </w:t>
      </w:r>
      <w:r w:rsidRPr="0023362E">
        <w:rPr>
          <w:rFonts w:eastAsia="Verdana" w:cs="Verdana"/>
          <w:spacing w:val="-2"/>
          <w:szCs w:val="16"/>
          <w:lang w:val="es-ES"/>
        </w:rPr>
        <w:t>S</w:t>
      </w:r>
      <w:r w:rsidRPr="0023362E">
        <w:rPr>
          <w:rFonts w:eastAsia="Verdana" w:cs="Verdana"/>
          <w:szCs w:val="16"/>
          <w:lang w:val="es-ES"/>
        </w:rPr>
        <w:t>e</w:t>
      </w:r>
      <w:r w:rsidRPr="0023362E">
        <w:rPr>
          <w:rFonts w:eastAsia="Verdana" w:cs="Verdana"/>
          <w:spacing w:val="-1"/>
          <w:szCs w:val="16"/>
          <w:lang w:val="es-ES"/>
        </w:rPr>
        <w:t>nt</w:t>
      </w:r>
      <w:r w:rsidRPr="0023362E">
        <w:rPr>
          <w:rFonts w:eastAsia="Verdana" w:cs="Verdana"/>
          <w:szCs w:val="16"/>
          <w:lang w:val="es-ES"/>
        </w:rPr>
        <w:t>e</w:t>
      </w:r>
      <w:r w:rsidRPr="0023362E">
        <w:rPr>
          <w:rFonts w:eastAsia="Verdana" w:cs="Verdana"/>
          <w:spacing w:val="-1"/>
          <w:szCs w:val="16"/>
          <w:lang w:val="es-ES"/>
        </w:rPr>
        <w:t>n</w:t>
      </w:r>
      <w:r w:rsidRPr="0023362E">
        <w:rPr>
          <w:rFonts w:eastAsia="Verdana" w:cs="Verdana"/>
          <w:szCs w:val="16"/>
          <w:lang w:val="es-ES"/>
        </w:rPr>
        <w:t>c</w:t>
      </w:r>
      <w:r w:rsidRPr="0023362E">
        <w:rPr>
          <w:rFonts w:eastAsia="Verdana" w:cs="Verdana"/>
          <w:spacing w:val="-1"/>
          <w:szCs w:val="16"/>
          <w:lang w:val="es-ES"/>
        </w:rPr>
        <w:t>i</w:t>
      </w:r>
      <w:r w:rsidRPr="0023362E">
        <w:rPr>
          <w:rFonts w:eastAsia="Verdana" w:cs="Verdana"/>
          <w:szCs w:val="16"/>
          <w:lang w:val="es-ES"/>
        </w:rPr>
        <w:t>a</w:t>
      </w:r>
      <w:r w:rsidRPr="0023362E">
        <w:rPr>
          <w:rFonts w:eastAsia="Verdana" w:cs="Verdana"/>
          <w:spacing w:val="13"/>
          <w:szCs w:val="16"/>
          <w:lang w:val="es-ES"/>
        </w:rPr>
        <w:t xml:space="preserve"> </w:t>
      </w:r>
      <w:r w:rsidRPr="0023362E">
        <w:rPr>
          <w:rFonts w:eastAsia="Verdana" w:cs="Verdana"/>
          <w:szCs w:val="16"/>
          <w:lang w:val="es-ES"/>
        </w:rPr>
        <w:t>de</w:t>
      </w:r>
      <w:r w:rsidRPr="0023362E">
        <w:rPr>
          <w:rFonts w:eastAsia="Verdana" w:cs="Verdana"/>
          <w:spacing w:val="13"/>
          <w:szCs w:val="16"/>
          <w:lang w:val="es-ES"/>
        </w:rPr>
        <w:t xml:space="preserve"> </w:t>
      </w:r>
      <w:r w:rsidRPr="0023362E">
        <w:rPr>
          <w:rFonts w:eastAsia="Verdana" w:cs="Verdana"/>
          <w:spacing w:val="1"/>
          <w:szCs w:val="16"/>
          <w:lang w:val="es-ES"/>
        </w:rPr>
        <w:t>3</w:t>
      </w:r>
      <w:r w:rsidRPr="0023362E">
        <w:rPr>
          <w:rFonts w:eastAsia="Verdana" w:cs="Verdana"/>
          <w:szCs w:val="16"/>
          <w:lang w:val="es-ES"/>
        </w:rPr>
        <w:t>0</w:t>
      </w:r>
      <w:r w:rsidRPr="0023362E">
        <w:rPr>
          <w:rFonts w:eastAsia="Verdana" w:cs="Verdana"/>
          <w:spacing w:val="14"/>
          <w:szCs w:val="16"/>
          <w:lang w:val="es-ES"/>
        </w:rPr>
        <w:t xml:space="preserve"> </w:t>
      </w:r>
      <w:r w:rsidRPr="0023362E">
        <w:rPr>
          <w:rFonts w:eastAsia="Verdana" w:cs="Verdana"/>
          <w:szCs w:val="16"/>
          <w:lang w:val="es-ES"/>
        </w:rPr>
        <w:t>de</w:t>
      </w:r>
      <w:r w:rsidRPr="0023362E">
        <w:rPr>
          <w:rFonts w:eastAsia="Verdana" w:cs="Verdana"/>
          <w:spacing w:val="13"/>
          <w:szCs w:val="16"/>
          <w:lang w:val="es-ES"/>
        </w:rPr>
        <w:t xml:space="preserve"> </w:t>
      </w:r>
      <w:r w:rsidRPr="0023362E">
        <w:rPr>
          <w:rFonts w:eastAsia="Verdana" w:cs="Verdana"/>
          <w:spacing w:val="-1"/>
          <w:szCs w:val="16"/>
          <w:lang w:val="es-ES"/>
        </w:rPr>
        <w:t>n</w:t>
      </w:r>
      <w:r w:rsidRPr="0023362E">
        <w:rPr>
          <w:rFonts w:eastAsia="Verdana" w:cs="Verdana"/>
          <w:spacing w:val="-2"/>
          <w:szCs w:val="16"/>
          <w:lang w:val="es-ES"/>
        </w:rPr>
        <w:t>o</w:t>
      </w:r>
      <w:r w:rsidRPr="0023362E">
        <w:rPr>
          <w:rFonts w:eastAsia="Verdana" w:cs="Verdana"/>
          <w:spacing w:val="1"/>
          <w:szCs w:val="16"/>
          <w:lang w:val="es-ES"/>
        </w:rPr>
        <w:t>v</w:t>
      </w:r>
      <w:r w:rsidRPr="0023362E">
        <w:rPr>
          <w:rFonts w:eastAsia="Verdana" w:cs="Verdana"/>
          <w:spacing w:val="-1"/>
          <w:szCs w:val="16"/>
          <w:lang w:val="es-ES"/>
        </w:rPr>
        <w:t>i</w:t>
      </w:r>
      <w:r w:rsidRPr="0023362E">
        <w:rPr>
          <w:rFonts w:eastAsia="Verdana" w:cs="Verdana"/>
          <w:szCs w:val="16"/>
          <w:lang w:val="es-ES"/>
        </w:rPr>
        <w:t>em</w:t>
      </w:r>
      <w:r w:rsidRPr="0023362E">
        <w:rPr>
          <w:rFonts w:eastAsia="Verdana" w:cs="Verdana"/>
          <w:spacing w:val="-2"/>
          <w:szCs w:val="16"/>
          <w:lang w:val="es-ES"/>
        </w:rPr>
        <w:t>b</w:t>
      </w:r>
      <w:r w:rsidRPr="0023362E">
        <w:rPr>
          <w:rFonts w:eastAsia="Verdana" w:cs="Verdana"/>
          <w:spacing w:val="1"/>
          <w:szCs w:val="16"/>
          <w:lang w:val="es-ES"/>
        </w:rPr>
        <w:t>r</w:t>
      </w:r>
      <w:r w:rsidRPr="0023362E">
        <w:rPr>
          <w:rFonts w:eastAsia="Verdana" w:cs="Verdana"/>
          <w:szCs w:val="16"/>
          <w:lang w:val="es-ES"/>
        </w:rPr>
        <w:t>e</w:t>
      </w:r>
      <w:r w:rsidRPr="0023362E">
        <w:rPr>
          <w:rFonts w:eastAsia="Verdana" w:cs="Verdana"/>
          <w:spacing w:val="11"/>
          <w:szCs w:val="16"/>
          <w:lang w:val="es-ES"/>
        </w:rPr>
        <w:t xml:space="preserve"> </w:t>
      </w:r>
      <w:r w:rsidRPr="0023362E">
        <w:rPr>
          <w:rFonts w:eastAsia="Verdana" w:cs="Verdana"/>
          <w:szCs w:val="16"/>
          <w:lang w:val="es-ES"/>
        </w:rPr>
        <w:t>de</w:t>
      </w:r>
      <w:r w:rsidRPr="0023362E">
        <w:rPr>
          <w:rFonts w:eastAsia="Verdana" w:cs="Verdana"/>
          <w:spacing w:val="13"/>
          <w:szCs w:val="16"/>
          <w:lang w:val="es-ES"/>
        </w:rPr>
        <w:t xml:space="preserve"> </w:t>
      </w:r>
      <w:r w:rsidRPr="0023362E">
        <w:rPr>
          <w:rFonts w:eastAsia="Verdana" w:cs="Verdana"/>
          <w:spacing w:val="1"/>
          <w:szCs w:val="16"/>
          <w:lang w:val="es-ES"/>
        </w:rPr>
        <w:t>2</w:t>
      </w:r>
      <w:r w:rsidRPr="0023362E">
        <w:rPr>
          <w:rFonts w:eastAsia="Verdana" w:cs="Verdana"/>
          <w:spacing w:val="-1"/>
          <w:szCs w:val="16"/>
          <w:lang w:val="es-ES"/>
        </w:rPr>
        <w:t>0</w:t>
      </w:r>
      <w:r w:rsidRPr="0023362E">
        <w:rPr>
          <w:rFonts w:eastAsia="Verdana" w:cs="Verdana"/>
          <w:spacing w:val="1"/>
          <w:szCs w:val="16"/>
          <w:lang w:val="es-ES"/>
        </w:rPr>
        <w:t>01</w:t>
      </w:r>
      <w:r w:rsidRPr="0023362E">
        <w:rPr>
          <w:rFonts w:eastAsia="Verdana" w:cs="Verdana"/>
          <w:szCs w:val="16"/>
          <w:lang w:val="es-ES"/>
        </w:rPr>
        <w:t>.</w:t>
      </w:r>
      <w:r w:rsidRPr="0023362E">
        <w:rPr>
          <w:rFonts w:eastAsia="Verdana" w:cs="Verdana"/>
          <w:spacing w:val="12"/>
          <w:szCs w:val="16"/>
          <w:lang w:val="es-ES"/>
        </w:rPr>
        <w:t xml:space="preserve"> </w:t>
      </w:r>
      <w:r w:rsidRPr="0023362E">
        <w:rPr>
          <w:rFonts w:eastAsia="Verdana" w:cs="Verdana"/>
          <w:szCs w:val="16"/>
          <w:lang w:val="es-ES"/>
        </w:rPr>
        <w:t>S</w:t>
      </w:r>
      <w:r w:rsidRPr="0023362E">
        <w:rPr>
          <w:rFonts w:eastAsia="Verdana" w:cs="Verdana"/>
          <w:spacing w:val="-2"/>
          <w:szCs w:val="16"/>
          <w:lang w:val="es-ES"/>
        </w:rPr>
        <w:t>e</w:t>
      </w:r>
      <w:r w:rsidRPr="0023362E">
        <w:rPr>
          <w:rFonts w:eastAsia="Verdana" w:cs="Verdana"/>
          <w:spacing w:val="1"/>
          <w:szCs w:val="16"/>
          <w:lang w:val="es-ES"/>
        </w:rPr>
        <w:t>r</w:t>
      </w:r>
      <w:r w:rsidRPr="0023362E">
        <w:rPr>
          <w:rFonts w:eastAsia="Verdana" w:cs="Verdana"/>
          <w:spacing w:val="-1"/>
          <w:szCs w:val="16"/>
          <w:lang w:val="es-ES"/>
        </w:rPr>
        <w:t>i</w:t>
      </w:r>
      <w:r w:rsidRPr="0023362E">
        <w:rPr>
          <w:rFonts w:eastAsia="Verdana" w:cs="Verdana"/>
          <w:szCs w:val="16"/>
          <w:lang w:val="es-ES"/>
        </w:rPr>
        <w:t>e</w:t>
      </w:r>
      <w:r w:rsidRPr="0023362E">
        <w:rPr>
          <w:rFonts w:eastAsia="Verdana" w:cs="Verdana"/>
          <w:spacing w:val="13"/>
          <w:szCs w:val="16"/>
          <w:lang w:val="es-ES"/>
        </w:rPr>
        <w:t xml:space="preserve"> </w:t>
      </w:r>
      <w:r w:rsidRPr="0023362E">
        <w:rPr>
          <w:rFonts w:eastAsia="Verdana" w:cs="Verdana"/>
          <w:szCs w:val="16"/>
          <w:lang w:val="es-ES"/>
        </w:rPr>
        <w:t>C</w:t>
      </w:r>
      <w:r w:rsidRPr="0023362E">
        <w:rPr>
          <w:rFonts w:eastAsia="Verdana" w:cs="Verdana"/>
          <w:spacing w:val="13"/>
          <w:szCs w:val="16"/>
          <w:lang w:val="es-ES"/>
        </w:rPr>
        <w:t xml:space="preserve"> </w:t>
      </w:r>
      <w:r w:rsidRPr="0023362E">
        <w:rPr>
          <w:rFonts w:eastAsia="Verdana" w:cs="Verdana"/>
          <w:szCs w:val="16"/>
          <w:lang w:val="es-ES"/>
        </w:rPr>
        <w:t>No.</w:t>
      </w:r>
      <w:r w:rsidRPr="0023362E">
        <w:rPr>
          <w:rFonts w:eastAsia="Verdana" w:cs="Verdana"/>
          <w:spacing w:val="12"/>
          <w:szCs w:val="16"/>
          <w:lang w:val="es-ES"/>
        </w:rPr>
        <w:t xml:space="preserve"> </w:t>
      </w:r>
      <w:r w:rsidRPr="0023362E">
        <w:rPr>
          <w:rFonts w:eastAsia="Verdana" w:cs="Verdana"/>
          <w:spacing w:val="-1"/>
          <w:szCs w:val="16"/>
          <w:lang w:val="es-ES"/>
        </w:rPr>
        <w:t>8</w:t>
      </w:r>
      <w:r w:rsidRPr="0023362E">
        <w:rPr>
          <w:rFonts w:eastAsia="Verdana" w:cs="Verdana"/>
          <w:spacing w:val="1"/>
          <w:szCs w:val="16"/>
          <w:lang w:val="es-ES"/>
        </w:rPr>
        <w:t>7</w:t>
      </w:r>
      <w:r w:rsidRPr="0023362E">
        <w:rPr>
          <w:rFonts w:eastAsia="Verdana" w:cs="Verdana"/>
          <w:szCs w:val="16"/>
          <w:lang w:val="es-ES"/>
        </w:rPr>
        <w:t xml:space="preserve">, </w:t>
      </w:r>
      <w:proofErr w:type="spellStart"/>
      <w:r w:rsidRPr="0023362E">
        <w:rPr>
          <w:rFonts w:eastAsia="Verdana" w:cs="Verdana"/>
          <w:szCs w:val="16"/>
          <w:lang w:val="es-ES"/>
        </w:rPr>
        <w:t>p</w:t>
      </w:r>
      <w:r w:rsidRPr="0023362E">
        <w:rPr>
          <w:rFonts w:eastAsia="Verdana" w:cs="Verdana"/>
          <w:spacing w:val="-1"/>
          <w:szCs w:val="16"/>
          <w:lang w:val="es-ES"/>
        </w:rPr>
        <w:t>ár</w:t>
      </w:r>
      <w:r w:rsidRPr="0023362E">
        <w:rPr>
          <w:rFonts w:eastAsia="Verdana" w:cs="Verdana"/>
          <w:spacing w:val="1"/>
          <w:szCs w:val="16"/>
          <w:lang w:val="es-ES"/>
        </w:rPr>
        <w:t>r</w:t>
      </w:r>
      <w:r w:rsidRPr="0023362E">
        <w:rPr>
          <w:rFonts w:eastAsia="Verdana" w:cs="Verdana"/>
          <w:szCs w:val="16"/>
          <w:lang w:val="es-ES"/>
        </w:rPr>
        <w:t>s</w:t>
      </w:r>
      <w:proofErr w:type="spellEnd"/>
      <w:r w:rsidRPr="0023362E">
        <w:rPr>
          <w:rFonts w:eastAsia="Verdana" w:cs="Verdana"/>
          <w:szCs w:val="16"/>
          <w:lang w:val="es-ES"/>
        </w:rPr>
        <w:t>.</w:t>
      </w:r>
      <w:r w:rsidRPr="0023362E">
        <w:rPr>
          <w:rFonts w:eastAsia="Verdana" w:cs="Verdana"/>
          <w:spacing w:val="-2"/>
          <w:szCs w:val="16"/>
          <w:lang w:val="es-ES"/>
        </w:rPr>
        <w:t xml:space="preserve"> </w:t>
      </w:r>
      <w:r w:rsidRPr="0023362E">
        <w:rPr>
          <w:rFonts w:eastAsia="Verdana" w:cs="Verdana"/>
          <w:spacing w:val="1"/>
          <w:szCs w:val="16"/>
          <w:lang w:val="es-ES"/>
        </w:rPr>
        <w:t>4</w:t>
      </w:r>
      <w:r w:rsidRPr="0023362E">
        <w:rPr>
          <w:rFonts w:eastAsia="Verdana" w:cs="Verdana"/>
          <w:szCs w:val="16"/>
          <w:lang w:val="es-ES"/>
        </w:rPr>
        <w:t>2 y</w:t>
      </w:r>
      <w:r w:rsidRPr="0023362E">
        <w:rPr>
          <w:rFonts w:eastAsia="Verdana" w:cs="Verdana"/>
          <w:spacing w:val="-3"/>
          <w:szCs w:val="16"/>
          <w:lang w:val="es-ES"/>
        </w:rPr>
        <w:t xml:space="preserve"> </w:t>
      </w:r>
      <w:r w:rsidRPr="0023362E">
        <w:rPr>
          <w:rFonts w:eastAsia="Verdana" w:cs="Verdana"/>
          <w:spacing w:val="1"/>
          <w:szCs w:val="16"/>
          <w:lang w:val="es-ES"/>
        </w:rPr>
        <w:t>45</w:t>
      </w:r>
      <w:r w:rsidRPr="0023362E">
        <w:rPr>
          <w:rFonts w:eastAsia="Verdana" w:cs="Verdana"/>
          <w:szCs w:val="16"/>
          <w:lang w:val="es-ES"/>
        </w:rPr>
        <w:t>,</w:t>
      </w:r>
      <w:r w:rsidRPr="0023362E">
        <w:rPr>
          <w:rFonts w:eastAsia="Verdana" w:cs="Verdana"/>
          <w:spacing w:val="-2"/>
          <w:szCs w:val="16"/>
          <w:lang w:val="es-ES"/>
        </w:rPr>
        <w:t xml:space="preserve"> </w:t>
      </w:r>
      <w:r w:rsidRPr="0023362E">
        <w:rPr>
          <w:rFonts w:eastAsia="Verdana" w:cs="Verdana"/>
          <w:szCs w:val="16"/>
          <w:lang w:val="es-ES"/>
        </w:rPr>
        <w:t>y</w:t>
      </w:r>
      <w:r w:rsidRPr="0023362E">
        <w:rPr>
          <w:rFonts w:eastAsia="Verdana" w:cs="Verdana"/>
          <w:spacing w:val="1"/>
          <w:szCs w:val="16"/>
          <w:lang w:val="es-ES"/>
        </w:rPr>
        <w:t xml:space="preserve"> </w:t>
      </w:r>
      <w:r w:rsidRPr="00CF4A86">
        <w:rPr>
          <w:rFonts w:eastAsia="Verdana" w:cs="Verdana"/>
          <w:i/>
          <w:spacing w:val="1"/>
          <w:szCs w:val="16"/>
          <w:lang w:val="es-ES"/>
        </w:rPr>
        <w:t>Caso</w:t>
      </w:r>
      <w:r w:rsidRPr="0023362E">
        <w:rPr>
          <w:rFonts w:eastAsia="Verdana" w:cs="Verdana"/>
          <w:spacing w:val="1"/>
          <w:szCs w:val="16"/>
          <w:lang w:val="es-ES"/>
        </w:rPr>
        <w:t xml:space="preserve"> </w:t>
      </w:r>
      <w:r w:rsidRPr="0023362E">
        <w:rPr>
          <w:rFonts w:eastAsia="Verdana" w:cs="Verdana"/>
          <w:i/>
          <w:spacing w:val="1"/>
          <w:szCs w:val="16"/>
          <w:lang w:val="es-ES"/>
        </w:rPr>
        <w:t>Cruz Sánchez y otros Vs. Perú</w:t>
      </w:r>
      <w:r w:rsidRPr="0023362E">
        <w:rPr>
          <w:rFonts w:eastAsia="Verdana" w:cs="Verdana"/>
          <w:szCs w:val="16"/>
          <w:lang w:val="es-ES"/>
        </w:rPr>
        <w:t>,</w:t>
      </w:r>
      <w:r w:rsidRPr="0023362E">
        <w:rPr>
          <w:rFonts w:eastAsia="Verdana" w:cs="Verdana"/>
          <w:spacing w:val="-2"/>
          <w:szCs w:val="16"/>
          <w:lang w:val="es-ES"/>
        </w:rPr>
        <w:t xml:space="preserve"> </w:t>
      </w:r>
      <w:r w:rsidRPr="0023362E">
        <w:rPr>
          <w:rFonts w:eastAsia="Verdana" w:cs="Verdana"/>
          <w:szCs w:val="16"/>
          <w:lang w:val="es-ES"/>
        </w:rPr>
        <w:t>p</w:t>
      </w:r>
      <w:r w:rsidRPr="0023362E">
        <w:rPr>
          <w:rFonts w:eastAsia="Verdana" w:cs="Verdana"/>
          <w:spacing w:val="-1"/>
          <w:szCs w:val="16"/>
          <w:lang w:val="es-ES"/>
        </w:rPr>
        <w:t>ár</w:t>
      </w:r>
      <w:r w:rsidRPr="0023362E">
        <w:rPr>
          <w:rFonts w:eastAsia="Verdana" w:cs="Verdana"/>
          <w:spacing w:val="1"/>
          <w:szCs w:val="16"/>
          <w:lang w:val="es-ES"/>
        </w:rPr>
        <w:t>r</w:t>
      </w:r>
      <w:r w:rsidRPr="0023362E">
        <w:rPr>
          <w:rFonts w:eastAsia="Verdana" w:cs="Verdana"/>
          <w:szCs w:val="16"/>
          <w:lang w:val="es-ES"/>
        </w:rPr>
        <w:t>.</w:t>
      </w:r>
      <w:r w:rsidRPr="0023362E">
        <w:rPr>
          <w:rFonts w:eastAsia="Verdana" w:cs="Verdana"/>
          <w:spacing w:val="-2"/>
          <w:szCs w:val="16"/>
          <w:lang w:val="es-ES"/>
        </w:rPr>
        <w:t xml:space="preserve"> 4</w:t>
      </w:r>
      <w:r w:rsidRPr="0023362E">
        <w:rPr>
          <w:rFonts w:eastAsia="Verdana" w:cs="Verdana"/>
          <w:spacing w:val="-1"/>
          <w:szCs w:val="16"/>
          <w:lang w:val="es-ES"/>
        </w:rPr>
        <w:t>63</w:t>
      </w:r>
      <w:r w:rsidRPr="0023362E">
        <w:rPr>
          <w:rFonts w:eastAsia="Verdana" w:cs="Verdana"/>
          <w:szCs w:val="16"/>
          <w:lang w:val="es-ES"/>
        </w:rPr>
        <w:t>.</w:t>
      </w:r>
    </w:p>
  </w:footnote>
  <w:footnote w:id="245">
    <w:p w:rsidR="00E65148" w:rsidRPr="0023362E" w:rsidRDefault="00E65148">
      <w:pPr>
        <w:pStyle w:val="FootnoteText"/>
        <w:rPr>
          <w:szCs w:val="16"/>
        </w:rPr>
      </w:pPr>
      <w:r w:rsidRPr="0023362E">
        <w:rPr>
          <w:rStyle w:val="FootnoteReference"/>
          <w:szCs w:val="16"/>
        </w:rPr>
        <w:footnoteRef/>
      </w:r>
      <w:r w:rsidRPr="0023362E">
        <w:rPr>
          <w:szCs w:val="16"/>
        </w:rPr>
        <w:t xml:space="preserve"> </w:t>
      </w:r>
      <w:r w:rsidRPr="0023362E">
        <w:rPr>
          <w:szCs w:val="16"/>
        </w:rPr>
        <w:tab/>
      </w:r>
      <w:r w:rsidRPr="008D2D9F">
        <w:rPr>
          <w:rFonts w:eastAsia="Verdana" w:cs="Verdana"/>
          <w:spacing w:val="4"/>
          <w:szCs w:val="16"/>
        </w:rPr>
        <w:t>La Corte nota lo señalado por el Perú respecto al Sistema Integral de Salud según el cual el SSI tiene la finalidad de pro</w:t>
      </w:r>
      <w:r>
        <w:rPr>
          <w:rFonts w:eastAsia="Verdana" w:cs="Verdana"/>
          <w:spacing w:val="4"/>
          <w:szCs w:val="16"/>
        </w:rPr>
        <w:t>teger la salud de los peruanos “</w:t>
      </w:r>
      <w:r w:rsidRPr="008D2D9F">
        <w:rPr>
          <w:rFonts w:eastAsia="Verdana" w:cs="Verdana"/>
          <w:spacing w:val="4"/>
          <w:szCs w:val="16"/>
        </w:rPr>
        <w:t>priorizando aquellas poblaciones vulnerables que se encuentran en situación de pobreza y pobreza extrema, contando dicho sistema con atención tanto médica como psicológica</w:t>
      </w:r>
      <w:r>
        <w:rPr>
          <w:rFonts w:eastAsia="Verdana" w:cs="Verdana"/>
          <w:spacing w:val="4"/>
          <w:szCs w:val="16"/>
        </w:rPr>
        <w:t>”</w:t>
      </w:r>
      <w:r w:rsidRPr="008D2D9F">
        <w:rPr>
          <w:rFonts w:eastAsia="Verdana" w:cs="Verdana"/>
          <w:spacing w:val="4"/>
          <w:szCs w:val="16"/>
        </w:rPr>
        <w:t>.</w:t>
      </w:r>
    </w:p>
  </w:footnote>
  <w:footnote w:id="246">
    <w:p w:rsidR="00E65148" w:rsidRPr="0023362E" w:rsidRDefault="00E65148" w:rsidP="004C57E7">
      <w:pPr>
        <w:autoSpaceDE w:val="0"/>
        <w:autoSpaceDN w:val="0"/>
        <w:adjustRightInd w:val="0"/>
        <w:rPr>
          <w:sz w:val="16"/>
          <w:szCs w:val="16"/>
        </w:rPr>
      </w:pPr>
      <w:r w:rsidRPr="0023362E">
        <w:rPr>
          <w:rStyle w:val="FootnoteReference"/>
          <w:sz w:val="16"/>
          <w:szCs w:val="16"/>
        </w:rPr>
        <w:footnoteRef/>
      </w:r>
      <w:r w:rsidRPr="0023362E">
        <w:rPr>
          <w:sz w:val="16"/>
          <w:szCs w:val="16"/>
        </w:rPr>
        <w:t xml:space="preserve"> </w:t>
      </w:r>
      <w:r>
        <w:rPr>
          <w:sz w:val="16"/>
          <w:szCs w:val="16"/>
        </w:rPr>
        <w:tab/>
      </w:r>
      <w:r w:rsidRPr="0023362E">
        <w:rPr>
          <w:sz w:val="16"/>
          <w:szCs w:val="16"/>
        </w:rPr>
        <w:t xml:space="preserve"> Dicho informe pericial fue elaborado por un perito contable judicial, el cual fue</w:t>
      </w:r>
      <w:r>
        <w:rPr>
          <w:sz w:val="16"/>
          <w:szCs w:val="16"/>
        </w:rPr>
        <w:t xml:space="preserve"> </w:t>
      </w:r>
      <w:r w:rsidRPr="0023362E">
        <w:rPr>
          <w:sz w:val="16"/>
          <w:szCs w:val="16"/>
        </w:rPr>
        <w:t xml:space="preserve">como presentado como anexo 1B del escrito de solicitudes y argumentos. </w:t>
      </w:r>
    </w:p>
  </w:footnote>
  <w:footnote w:id="247">
    <w:p w:rsidR="00E65148" w:rsidRPr="0023362E" w:rsidRDefault="00E65148" w:rsidP="004C57E7">
      <w:pPr>
        <w:pStyle w:val="FootnoteText"/>
        <w:rPr>
          <w:szCs w:val="16"/>
        </w:rPr>
      </w:pPr>
      <w:r w:rsidRPr="0023362E">
        <w:rPr>
          <w:rStyle w:val="FootnoteReference"/>
          <w:szCs w:val="16"/>
        </w:rPr>
        <w:footnoteRef/>
      </w:r>
      <w:r w:rsidRPr="0023362E">
        <w:rPr>
          <w:szCs w:val="16"/>
        </w:rPr>
        <w:t xml:space="preserve"> </w:t>
      </w:r>
      <w:r>
        <w:rPr>
          <w:szCs w:val="16"/>
        </w:rPr>
        <w:tab/>
      </w:r>
      <w:r w:rsidRPr="0023362E">
        <w:rPr>
          <w:szCs w:val="16"/>
        </w:rPr>
        <w:t>A solicitud de la Corte, el 17 de febrero de 2015 el representante aclaró que “el monto hasta el mes de [a]</w:t>
      </w:r>
      <w:proofErr w:type="spellStart"/>
      <w:r w:rsidRPr="0023362E">
        <w:rPr>
          <w:szCs w:val="16"/>
        </w:rPr>
        <w:t>bril</w:t>
      </w:r>
      <w:proofErr w:type="spellEnd"/>
      <w:r w:rsidRPr="0023362E">
        <w:rPr>
          <w:szCs w:val="16"/>
        </w:rPr>
        <w:t xml:space="preserve"> de 2014 era de S [Nuevos Soles] 17[,</w:t>
      </w:r>
      <w:proofErr w:type="gramStart"/>
      <w:r w:rsidRPr="0023362E">
        <w:rPr>
          <w:szCs w:val="16"/>
        </w:rPr>
        <w:t>]743</w:t>
      </w:r>
      <w:proofErr w:type="gramEnd"/>
      <w:r w:rsidRPr="0023362E">
        <w:rPr>
          <w:szCs w:val="16"/>
        </w:rPr>
        <w:t xml:space="preserve">[,]649.89, equivalente en USD [(dólares de Estados Unidos de América)] 5[,]789,119.00”. Consideró </w:t>
      </w:r>
      <w:r>
        <w:rPr>
          <w:szCs w:val="16"/>
        </w:rPr>
        <w:t xml:space="preserve">que al fijar la suma correspondiente </w:t>
      </w:r>
      <w:r w:rsidRPr="0023362E">
        <w:rPr>
          <w:szCs w:val="16"/>
        </w:rPr>
        <w:t xml:space="preserve">“se tome en cuenta la fecha en que la […] Corte adjudique el monto de la reparación y la cotización se base de acuerdo al ente oficial del Estado Peruano, la Superintendencia de Banca y Seguros”. </w:t>
      </w:r>
    </w:p>
  </w:footnote>
  <w:footnote w:id="248">
    <w:p w:rsidR="00E65148" w:rsidRPr="0023362E" w:rsidRDefault="00E65148" w:rsidP="008D2D9F">
      <w:pPr>
        <w:pStyle w:val="FootnoteText"/>
        <w:rPr>
          <w:szCs w:val="16"/>
        </w:rPr>
      </w:pPr>
      <w:r w:rsidRPr="0023362E">
        <w:rPr>
          <w:rStyle w:val="FootnoteReference"/>
          <w:szCs w:val="16"/>
        </w:rPr>
        <w:footnoteRef/>
      </w:r>
      <w:r>
        <w:rPr>
          <w:szCs w:val="16"/>
        </w:rPr>
        <w:t xml:space="preserve"> </w:t>
      </w:r>
      <w:r>
        <w:rPr>
          <w:szCs w:val="16"/>
        </w:rPr>
        <w:tab/>
      </w:r>
      <w:r w:rsidRPr="0023362E">
        <w:rPr>
          <w:szCs w:val="16"/>
        </w:rPr>
        <w:t xml:space="preserve">El representante expresó que para arribar a esa cifra “no se han considerado o sumado los intereses legales y compensatorios que corresponden y que se generan en el lapso de tiempo dejados de percibir, señalando […] que estos se liquidaran en la oportunidad que correspondan […] conforme a la tabla e indicadores oficiales del Banco Central del Perú”. </w:t>
      </w:r>
    </w:p>
  </w:footnote>
  <w:footnote w:id="249">
    <w:p w:rsidR="00E65148" w:rsidRPr="0023362E" w:rsidRDefault="00E65148" w:rsidP="004C57E7">
      <w:pPr>
        <w:pStyle w:val="FootnoteText"/>
        <w:rPr>
          <w:szCs w:val="16"/>
        </w:rPr>
      </w:pPr>
      <w:r w:rsidRPr="0023362E">
        <w:rPr>
          <w:rStyle w:val="FootnoteReference"/>
          <w:szCs w:val="16"/>
        </w:rPr>
        <w:footnoteRef/>
      </w:r>
      <w:r w:rsidRPr="0023362E">
        <w:rPr>
          <w:szCs w:val="16"/>
        </w:rPr>
        <w:t xml:space="preserve"> </w:t>
      </w:r>
      <w:r>
        <w:rPr>
          <w:szCs w:val="16"/>
        </w:rPr>
        <w:tab/>
      </w:r>
      <w:r w:rsidRPr="0023362E">
        <w:rPr>
          <w:szCs w:val="16"/>
        </w:rPr>
        <w:t xml:space="preserve">No obstante hacer referencia a lo que, a su entender, hubiera correspondido al señor Galindo, el representante mencionó también que la cifra indicada “es la suma total de ingresos que [é]l y sus familiares hubieran recibido a lo largo de su vida laboral”. </w:t>
      </w:r>
    </w:p>
  </w:footnote>
  <w:footnote w:id="250">
    <w:p w:rsidR="00E65148" w:rsidRPr="0023362E" w:rsidRDefault="00E65148" w:rsidP="004C57E7">
      <w:pPr>
        <w:pStyle w:val="FootnoteText"/>
        <w:rPr>
          <w:szCs w:val="16"/>
        </w:rPr>
      </w:pPr>
      <w:r w:rsidRPr="0023362E">
        <w:rPr>
          <w:rStyle w:val="FootnoteReference"/>
          <w:szCs w:val="16"/>
        </w:rPr>
        <w:footnoteRef/>
      </w:r>
      <w:r w:rsidRPr="0023362E">
        <w:rPr>
          <w:szCs w:val="16"/>
        </w:rPr>
        <w:t xml:space="preserve"> </w:t>
      </w:r>
      <w:r w:rsidRPr="0023362E">
        <w:rPr>
          <w:szCs w:val="16"/>
        </w:rPr>
        <w:tab/>
      </w:r>
      <w:r>
        <w:rPr>
          <w:szCs w:val="16"/>
        </w:rPr>
        <w:t>E</w:t>
      </w:r>
      <w:r w:rsidRPr="0023362E">
        <w:rPr>
          <w:szCs w:val="16"/>
        </w:rPr>
        <w:t>n los alegatos finales escritos el Estado expresó que “</w:t>
      </w:r>
      <w:r w:rsidRPr="0023362E">
        <w:rPr>
          <w:szCs w:val="16"/>
          <w:lang w:val="es-ES"/>
        </w:rPr>
        <w:t xml:space="preserve">los montos solicitados exceden los montos fijados por la Corte en su jurisprudencia constante y evidencian un altísimo deseo de beneficio económico antes que la búsqueda de una reparación en el sentido comprendido en el sistema interamericano”. En este mismo sentido consideró que la Corte ha señalado en múltiples ocasiones que el proceso ante la Corte no es un medio para buscar el enriquecimiento de las víctimas, sin embargo aseguran que no se ha intentado obtener compensación de los daños por medio de los mecanismos ordinarios de reparación civil. </w:t>
      </w:r>
    </w:p>
  </w:footnote>
  <w:footnote w:id="251">
    <w:p w:rsidR="00E65148" w:rsidRPr="0023362E" w:rsidRDefault="00E65148" w:rsidP="004C57E7">
      <w:pPr>
        <w:contextualSpacing/>
        <w:rPr>
          <w:sz w:val="16"/>
          <w:szCs w:val="16"/>
        </w:rPr>
      </w:pPr>
      <w:r w:rsidRPr="0023362E">
        <w:rPr>
          <w:rStyle w:val="FootnoteReference"/>
          <w:sz w:val="16"/>
          <w:szCs w:val="16"/>
        </w:rPr>
        <w:footnoteRef/>
      </w:r>
      <w:r w:rsidRPr="0023362E">
        <w:rPr>
          <w:sz w:val="16"/>
          <w:szCs w:val="16"/>
        </w:rPr>
        <w:t xml:space="preserve"> </w:t>
      </w:r>
      <w:r w:rsidRPr="0023362E">
        <w:rPr>
          <w:sz w:val="16"/>
          <w:szCs w:val="16"/>
        </w:rPr>
        <w:tab/>
        <w:t>E</w:t>
      </w:r>
      <w:r w:rsidRPr="0023362E">
        <w:rPr>
          <w:rFonts w:eastAsiaTheme="minorHAnsi" w:cs="Times"/>
          <w:sz w:val="16"/>
          <w:szCs w:val="16"/>
        </w:rPr>
        <w:t>l Estado expresó, en sus alegatos escritos, que “la Gerencia General del Poder Judicial especifica que ‘</w:t>
      </w:r>
      <w:r w:rsidRPr="0023362E">
        <w:rPr>
          <w:rFonts w:cs="Times"/>
          <w:sz w:val="16"/>
          <w:szCs w:val="16"/>
        </w:rPr>
        <w:t>En el caso de los [m]</w:t>
      </w:r>
      <w:proofErr w:type="spellStart"/>
      <w:r w:rsidRPr="0023362E">
        <w:rPr>
          <w:rFonts w:cs="Times"/>
          <w:sz w:val="16"/>
          <w:szCs w:val="16"/>
        </w:rPr>
        <w:t>agistrados</w:t>
      </w:r>
      <w:proofErr w:type="spellEnd"/>
      <w:r w:rsidRPr="0023362E">
        <w:rPr>
          <w:rFonts w:cs="Times"/>
          <w:sz w:val="16"/>
          <w:szCs w:val="16"/>
        </w:rPr>
        <w:t xml:space="preserve"> [p]</w:t>
      </w:r>
      <w:proofErr w:type="spellStart"/>
      <w:r w:rsidRPr="0023362E">
        <w:rPr>
          <w:rFonts w:cs="Times"/>
          <w:sz w:val="16"/>
          <w:szCs w:val="16"/>
        </w:rPr>
        <w:t>rovisionales</w:t>
      </w:r>
      <w:proofErr w:type="spellEnd"/>
      <w:r w:rsidRPr="0023362E">
        <w:rPr>
          <w:rFonts w:cs="Times"/>
          <w:sz w:val="16"/>
          <w:szCs w:val="16"/>
        </w:rPr>
        <w:t xml:space="preserve"> el ejercicio de la función superior en grado está condicionada únicamente al retorno del titular o a la provisión de la plaza correspondiente. De acuerdo con lo que establece el Art. 245 de la Ley Organiza del Poder Judicial termina el cargo de [m]</w:t>
      </w:r>
      <w:proofErr w:type="spellStart"/>
      <w:r w:rsidRPr="0023362E">
        <w:rPr>
          <w:rFonts w:cs="Times"/>
          <w:sz w:val="16"/>
          <w:szCs w:val="16"/>
        </w:rPr>
        <w:t>agistrado</w:t>
      </w:r>
      <w:proofErr w:type="spellEnd"/>
      <w:r w:rsidRPr="0023362E">
        <w:rPr>
          <w:rFonts w:cs="Times"/>
          <w:sz w:val="16"/>
          <w:szCs w:val="16"/>
        </w:rPr>
        <w:t xml:space="preserve"> por muerte, cesantía o jubilación, renuncia, destitución, separación, incompatibilidad o inhabilitación física o mental. </w:t>
      </w:r>
      <w:r w:rsidRPr="003364AB">
        <w:rPr>
          <w:rFonts w:cs="Times"/>
          <w:sz w:val="16"/>
          <w:szCs w:val="16"/>
        </w:rPr>
        <w:t>Tratándose de [m]</w:t>
      </w:r>
      <w:proofErr w:type="spellStart"/>
      <w:r w:rsidRPr="003364AB">
        <w:rPr>
          <w:rFonts w:cs="Times"/>
          <w:sz w:val="16"/>
          <w:szCs w:val="16"/>
        </w:rPr>
        <w:t>agistrados</w:t>
      </w:r>
      <w:proofErr w:type="spellEnd"/>
      <w:r w:rsidRPr="003364AB">
        <w:rPr>
          <w:rFonts w:cs="Times"/>
          <w:sz w:val="16"/>
          <w:szCs w:val="16"/>
        </w:rPr>
        <w:t xml:space="preserve"> [p]</w:t>
      </w:r>
      <w:proofErr w:type="spellStart"/>
      <w:r w:rsidRPr="003364AB">
        <w:rPr>
          <w:rFonts w:cs="Times"/>
          <w:sz w:val="16"/>
          <w:szCs w:val="16"/>
        </w:rPr>
        <w:t>rovisionales</w:t>
      </w:r>
      <w:proofErr w:type="spellEnd"/>
      <w:r w:rsidRPr="003364AB">
        <w:rPr>
          <w:rFonts w:cs="Times"/>
          <w:sz w:val="16"/>
          <w:szCs w:val="16"/>
        </w:rPr>
        <w:t xml:space="preserve"> </w:t>
      </w:r>
      <w:r w:rsidRPr="003364AB">
        <w:rPr>
          <w:rFonts w:cs="Helvetica"/>
          <w:sz w:val="16"/>
          <w:szCs w:val="16"/>
        </w:rPr>
        <w:t>y [s]</w:t>
      </w:r>
      <w:proofErr w:type="spellStart"/>
      <w:r w:rsidRPr="003364AB">
        <w:rPr>
          <w:rFonts w:cs="Times"/>
          <w:sz w:val="16"/>
          <w:szCs w:val="16"/>
        </w:rPr>
        <w:t>uplentes</w:t>
      </w:r>
      <w:proofErr w:type="spellEnd"/>
      <w:r w:rsidRPr="003364AB">
        <w:rPr>
          <w:rFonts w:cs="Times"/>
          <w:sz w:val="16"/>
          <w:szCs w:val="16"/>
        </w:rPr>
        <w:t xml:space="preserve"> cesan en el ejercicio de sus funciones, además, cuando la plaza que temporalmente ocupan es cubierta. Esto es así ya que su nombramiento es provisorio</w:t>
      </w:r>
      <w:r>
        <w:rPr>
          <w:rFonts w:cs="Times"/>
          <w:sz w:val="16"/>
          <w:szCs w:val="16"/>
        </w:rPr>
        <w:t>’”</w:t>
      </w:r>
      <w:r w:rsidRPr="00AC5F08">
        <w:rPr>
          <w:rFonts w:cs="Times"/>
          <w:sz w:val="16"/>
          <w:szCs w:val="16"/>
        </w:rPr>
        <w:t>.</w:t>
      </w:r>
    </w:p>
  </w:footnote>
  <w:footnote w:id="252">
    <w:p w:rsidR="00E65148" w:rsidRPr="0023362E" w:rsidRDefault="00E65148" w:rsidP="004C57E7">
      <w:pPr>
        <w:pStyle w:val="FootnoteText"/>
        <w:rPr>
          <w:szCs w:val="16"/>
        </w:rPr>
      </w:pPr>
      <w:r w:rsidRPr="0023362E">
        <w:rPr>
          <w:rStyle w:val="FootnoteReference"/>
          <w:szCs w:val="16"/>
        </w:rPr>
        <w:footnoteRef/>
      </w:r>
      <w:r w:rsidRPr="0023362E">
        <w:rPr>
          <w:szCs w:val="16"/>
        </w:rPr>
        <w:t xml:space="preserve"> </w:t>
      </w:r>
      <w:r w:rsidRPr="0023362E">
        <w:rPr>
          <w:szCs w:val="16"/>
        </w:rPr>
        <w:tab/>
        <w:t xml:space="preserve">Advirtió el Estado que al señor Galindo le fueron entregadas las boletas de pago de diciembre de 1994, pero que no las aportó como prueba al proceso, ni fueron utilizadas para el peritaje. </w:t>
      </w:r>
    </w:p>
  </w:footnote>
  <w:footnote w:id="253">
    <w:p w:rsidR="00E65148" w:rsidRPr="0023362E" w:rsidRDefault="00E65148" w:rsidP="004C57E7">
      <w:pPr>
        <w:tabs>
          <w:tab w:val="left" w:pos="426"/>
        </w:tabs>
        <w:autoSpaceDE w:val="0"/>
        <w:autoSpaceDN w:val="0"/>
        <w:adjustRightInd w:val="0"/>
        <w:contextualSpacing/>
        <w:rPr>
          <w:b/>
          <w:sz w:val="16"/>
          <w:szCs w:val="16"/>
        </w:rPr>
      </w:pPr>
      <w:r w:rsidRPr="0023362E">
        <w:rPr>
          <w:rStyle w:val="FootnoteReference"/>
          <w:rFonts w:eastAsiaTheme="majorEastAsia"/>
          <w:sz w:val="16"/>
          <w:szCs w:val="16"/>
        </w:rPr>
        <w:footnoteRef/>
      </w:r>
      <w:r w:rsidRPr="0023362E">
        <w:rPr>
          <w:sz w:val="16"/>
          <w:szCs w:val="16"/>
        </w:rPr>
        <w:t xml:space="preserve"> </w:t>
      </w:r>
      <w:r w:rsidRPr="0023362E">
        <w:rPr>
          <w:sz w:val="16"/>
          <w:szCs w:val="16"/>
        </w:rPr>
        <w:tab/>
      </w:r>
      <w:r w:rsidRPr="0023362E">
        <w:rPr>
          <w:i/>
          <w:sz w:val="16"/>
          <w:szCs w:val="16"/>
        </w:rPr>
        <w:t xml:space="preserve">Cfr. </w:t>
      </w:r>
      <w:r w:rsidRPr="00755889">
        <w:rPr>
          <w:i/>
          <w:sz w:val="16"/>
          <w:szCs w:val="16"/>
        </w:rPr>
        <w:t>Caso</w:t>
      </w:r>
      <w:r w:rsidRPr="008D2D9F">
        <w:rPr>
          <w:i/>
          <w:sz w:val="16"/>
          <w:szCs w:val="16"/>
        </w:rPr>
        <w:t xml:space="preserve"> </w:t>
      </w:r>
      <w:r w:rsidRPr="0023362E">
        <w:rPr>
          <w:i/>
          <w:sz w:val="16"/>
          <w:szCs w:val="16"/>
        </w:rPr>
        <w:t>Chaparro Álvarez y Lapo Íñiguez</w:t>
      </w:r>
      <w:r w:rsidRPr="0023362E">
        <w:rPr>
          <w:sz w:val="16"/>
          <w:szCs w:val="16"/>
          <w:lang w:val="es-PR"/>
        </w:rPr>
        <w:t>, párr. 277,</w:t>
      </w:r>
      <w:r w:rsidRPr="0023362E">
        <w:rPr>
          <w:i/>
          <w:sz w:val="16"/>
          <w:szCs w:val="16"/>
        </w:rPr>
        <w:t xml:space="preserve"> </w:t>
      </w:r>
      <w:r w:rsidRPr="0023362E">
        <w:rPr>
          <w:sz w:val="16"/>
          <w:szCs w:val="16"/>
        </w:rPr>
        <w:t>y</w:t>
      </w:r>
      <w:r w:rsidRPr="00755889">
        <w:rPr>
          <w:i/>
          <w:sz w:val="16"/>
          <w:szCs w:val="16"/>
        </w:rPr>
        <w:t xml:space="preserve"> </w:t>
      </w:r>
      <w:r w:rsidRPr="00755889">
        <w:rPr>
          <w:rStyle w:val="Strong"/>
          <w:b w:val="0"/>
          <w:i/>
          <w:color w:val="000000"/>
          <w:sz w:val="16"/>
          <w:szCs w:val="16"/>
          <w:shd w:val="clear" w:color="auto" w:fill="FFFFFF"/>
        </w:rPr>
        <w:t>Caso</w:t>
      </w:r>
      <w:r w:rsidRPr="0023362E">
        <w:rPr>
          <w:rStyle w:val="Strong"/>
          <w:b w:val="0"/>
          <w:i/>
          <w:color w:val="000000"/>
          <w:sz w:val="16"/>
          <w:szCs w:val="16"/>
          <w:shd w:val="clear" w:color="auto" w:fill="FFFFFF"/>
        </w:rPr>
        <w:t xml:space="preserve"> </w:t>
      </w:r>
      <w:r w:rsidRPr="00B6290E">
        <w:rPr>
          <w:rStyle w:val="Strong"/>
          <w:b w:val="0"/>
          <w:i/>
          <w:color w:val="000000"/>
          <w:sz w:val="16"/>
          <w:szCs w:val="16"/>
          <w:shd w:val="clear" w:color="auto" w:fill="FFFFFF"/>
        </w:rPr>
        <w:t>Omar Humberto Maldonado</w:t>
      </w:r>
      <w:r w:rsidRPr="0023362E">
        <w:rPr>
          <w:rStyle w:val="Strong"/>
          <w:b w:val="0"/>
          <w:i/>
          <w:color w:val="000000"/>
          <w:sz w:val="16"/>
          <w:szCs w:val="16"/>
          <w:shd w:val="clear" w:color="auto" w:fill="FFFFFF"/>
        </w:rPr>
        <w:t xml:space="preserve"> y otros Vs. Chile</w:t>
      </w:r>
      <w:r w:rsidRPr="0023362E">
        <w:rPr>
          <w:rStyle w:val="Strong"/>
          <w:b w:val="0"/>
          <w:color w:val="000000"/>
          <w:sz w:val="16"/>
          <w:szCs w:val="16"/>
          <w:shd w:val="clear" w:color="auto" w:fill="FFFFFF"/>
        </w:rPr>
        <w:t>, párr. 1</w:t>
      </w:r>
      <w:r>
        <w:rPr>
          <w:rStyle w:val="Strong"/>
          <w:b w:val="0"/>
          <w:color w:val="000000"/>
          <w:sz w:val="16"/>
          <w:szCs w:val="16"/>
          <w:shd w:val="clear" w:color="auto" w:fill="FFFFFF"/>
        </w:rPr>
        <w:t>82</w:t>
      </w:r>
      <w:r>
        <w:rPr>
          <w:rStyle w:val="Strong"/>
          <w:b w:val="0"/>
          <w:i/>
          <w:color w:val="000000"/>
          <w:sz w:val="16"/>
          <w:szCs w:val="16"/>
          <w:shd w:val="clear" w:color="auto" w:fill="FFFFFF"/>
        </w:rPr>
        <w:t>.</w:t>
      </w:r>
    </w:p>
  </w:footnote>
  <w:footnote w:id="254">
    <w:p w:rsidR="00E65148" w:rsidRPr="00524196" w:rsidRDefault="00E65148" w:rsidP="006C12FC">
      <w:pPr>
        <w:pStyle w:val="FootnoteText"/>
        <w:spacing w:beforeLines="60" w:before="144"/>
        <w:rPr>
          <w:szCs w:val="16"/>
          <w:u w:val="single"/>
        </w:rPr>
      </w:pPr>
      <w:r w:rsidRPr="0023362E">
        <w:rPr>
          <w:rStyle w:val="FootnoteReference"/>
          <w:szCs w:val="16"/>
        </w:rPr>
        <w:footnoteRef/>
      </w:r>
      <w:r w:rsidRPr="0023362E">
        <w:rPr>
          <w:szCs w:val="16"/>
        </w:rPr>
        <w:t xml:space="preserve"> </w:t>
      </w:r>
      <w:r w:rsidRPr="0023362E">
        <w:rPr>
          <w:szCs w:val="16"/>
        </w:rPr>
        <w:tab/>
      </w:r>
      <w:r w:rsidRPr="0023362E">
        <w:rPr>
          <w:i/>
          <w:szCs w:val="16"/>
        </w:rPr>
        <w:t xml:space="preserve">Cfr. Caso </w:t>
      </w:r>
      <w:proofErr w:type="spellStart"/>
      <w:r w:rsidRPr="0023362E">
        <w:rPr>
          <w:i/>
          <w:szCs w:val="16"/>
        </w:rPr>
        <w:t>Ibsen</w:t>
      </w:r>
      <w:proofErr w:type="spellEnd"/>
      <w:r w:rsidRPr="0023362E">
        <w:rPr>
          <w:i/>
          <w:szCs w:val="16"/>
        </w:rPr>
        <w:t xml:space="preserve"> Cárdenas e </w:t>
      </w:r>
      <w:proofErr w:type="spellStart"/>
      <w:r w:rsidRPr="0023362E">
        <w:rPr>
          <w:i/>
          <w:szCs w:val="16"/>
        </w:rPr>
        <w:t>Ibsen</w:t>
      </w:r>
      <w:proofErr w:type="spellEnd"/>
      <w:r w:rsidRPr="0023362E">
        <w:rPr>
          <w:i/>
          <w:szCs w:val="16"/>
        </w:rPr>
        <w:t xml:space="preserve"> Peña Vs. Bolivia. Fondo, Reparaciones y Costas</w:t>
      </w:r>
      <w:r w:rsidRPr="0023362E">
        <w:rPr>
          <w:szCs w:val="16"/>
        </w:rPr>
        <w:t xml:space="preserve">. Sentencia de 1 de septiembre de 2010. Serie C No. 217, párr. 291, y </w:t>
      </w:r>
      <w:r w:rsidRPr="0023362E">
        <w:rPr>
          <w:i/>
          <w:szCs w:val="16"/>
        </w:rPr>
        <w:t>Caso Go</w:t>
      </w:r>
      <w:r>
        <w:rPr>
          <w:i/>
          <w:szCs w:val="16"/>
        </w:rPr>
        <w:t xml:space="preserve">nzales </w:t>
      </w:r>
      <w:proofErr w:type="spellStart"/>
      <w:r>
        <w:rPr>
          <w:i/>
          <w:szCs w:val="16"/>
        </w:rPr>
        <w:t>Lluy</w:t>
      </w:r>
      <w:proofErr w:type="spellEnd"/>
      <w:r>
        <w:rPr>
          <w:i/>
          <w:szCs w:val="16"/>
        </w:rPr>
        <w:t xml:space="preserve"> y otros Vs. Ecuador</w:t>
      </w:r>
      <w:r w:rsidRPr="0023362E">
        <w:rPr>
          <w:szCs w:val="16"/>
        </w:rPr>
        <w:t>, párr. 421</w:t>
      </w:r>
      <w:r w:rsidRPr="0023362E">
        <w:rPr>
          <w:i/>
          <w:szCs w:val="16"/>
        </w:rPr>
        <w:t xml:space="preserve">. </w:t>
      </w:r>
    </w:p>
  </w:footnote>
  <w:footnote w:id="255">
    <w:p w:rsidR="00E65148" w:rsidRPr="00B605BE" w:rsidRDefault="00E65148" w:rsidP="007E3DB6">
      <w:pPr>
        <w:pStyle w:val="FootnoteText"/>
        <w:tabs>
          <w:tab w:val="left" w:pos="426"/>
        </w:tabs>
        <w:rPr>
          <w:spacing w:val="-4"/>
          <w:szCs w:val="16"/>
          <w:lang w:val="es-VE"/>
        </w:rPr>
      </w:pPr>
      <w:r w:rsidRPr="00B605BE">
        <w:rPr>
          <w:rStyle w:val="FootnoteReference"/>
          <w:spacing w:val="-4"/>
          <w:szCs w:val="16"/>
        </w:rPr>
        <w:footnoteRef/>
      </w:r>
      <w:r w:rsidRPr="00B605BE">
        <w:rPr>
          <w:spacing w:val="-4"/>
          <w:szCs w:val="16"/>
          <w:lang w:val="es-VE"/>
        </w:rPr>
        <w:t xml:space="preserve"> </w:t>
      </w:r>
      <w:r w:rsidRPr="00B605BE">
        <w:rPr>
          <w:spacing w:val="-4"/>
          <w:szCs w:val="16"/>
          <w:lang w:val="es-VE"/>
        </w:rPr>
        <w:tab/>
      </w:r>
      <w:r w:rsidRPr="00B605BE">
        <w:rPr>
          <w:i/>
          <w:spacing w:val="-4"/>
          <w:szCs w:val="16"/>
          <w:lang w:val="es-CR"/>
        </w:rPr>
        <w:t xml:space="preserve">Cfr. </w:t>
      </w:r>
      <w:r w:rsidRPr="00B605BE">
        <w:rPr>
          <w:bCs/>
          <w:i/>
          <w:spacing w:val="-4"/>
          <w:szCs w:val="16"/>
          <w:lang w:val="es-VE"/>
        </w:rPr>
        <w:t xml:space="preserve">Caso Velásquez Rodríguez Vs. Honduras. </w:t>
      </w:r>
      <w:r w:rsidRPr="00C33609">
        <w:rPr>
          <w:bCs/>
          <w:spacing w:val="-4"/>
          <w:szCs w:val="16"/>
          <w:lang w:val="es-VE"/>
        </w:rPr>
        <w:t>Fondo. Sentencia</w:t>
      </w:r>
      <w:r w:rsidRPr="00B605BE">
        <w:rPr>
          <w:bCs/>
          <w:spacing w:val="-4"/>
          <w:szCs w:val="16"/>
          <w:lang w:val="es-VE"/>
        </w:rPr>
        <w:t xml:space="preserve"> de 29 de julio de 1988. Serie C No. 4</w:t>
      </w:r>
      <w:r w:rsidRPr="00B605BE">
        <w:rPr>
          <w:i/>
          <w:spacing w:val="-4"/>
          <w:szCs w:val="16"/>
          <w:lang w:val="es-VE"/>
        </w:rPr>
        <w:t xml:space="preserve">, </w:t>
      </w:r>
      <w:proofErr w:type="spellStart"/>
      <w:r w:rsidRPr="00B605BE">
        <w:rPr>
          <w:spacing w:val="-4"/>
          <w:szCs w:val="16"/>
          <w:lang w:val="es-VE"/>
        </w:rPr>
        <w:t>párrs</w:t>
      </w:r>
      <w:proofErr w:type="spellEnd"/>
      <w:r w:rsidRPr="00B605BE">
        <w:rPr>
          <w:spacing w:val="-4"/>
          <w:szCs w:val="16"/>
          <w:lang w:val="es-VE"/>
        </w:rPr>
        <w:t xml:space="preserve">. 127 y 128, </w:t>
      </w:r>
      <w:r w:rsidRPr="00B605BE">
        <w:rPr>
          <w:color w:val="000000"/>
          <w:spacing w:val="-4"/>
          <w:szCs w:val="16"/>
          <w:lang w:val="es-CR"/>
        </w:rPr>
        <w:t xml:space="preserve">y </w:t>
      </w:r>
      <w:r w:rsidRPr="00B605BE">
        <w:rPr>
          <w:i/>
          <w:color w:val="000000"/>
          <w:spacing w:val="-4"/>
          <w:szCs w:val="16"/>
          <w:lang w:val="es-CR"/>
        </w:rPr>
        <w:t xml:space="preserve">Caso J. Vs. Perú. </w:t>
      </w:r>
      <w:r w:rsidRPr="00C33609">
        <w:rPr>
          <w:color w:val="000000"/>
          <w:spacing w:val="-4"/>
          <w:szCs w:val="16"/>
          <w:lang w:val="es-CR"/>
        </w:rPr>
        <w:t>Excepción Preliminar, Fondo, Reparaciones y Costas. Sentencia de 27 de noviembre de 2013.</w:t>
      </w:r>
      <w:r w:rsidRPr="00B605BE">
        <w:rPr>
          <w:color w:val="000000"/>
          <w:spacing w:val="-4"/>
          <w:szCs w:val="16"/>
          <w:lang w:val="es-CR"/>
        </w:rPr>
        <w:t xml:space="preserve"> Serie C No. 275, párr. 305</w:t>
      </w:r>
    </w:p>
  </w:footnote>
  <w:footnote w:id="256">
    <w:p w:rsidR="00E65148" w:rsidRPr="00B605BE" w:rsidRDefault="00E65148" w:rsidP="007E3DB6">
      <w:pPr>
        <w:pStyle w:val="FootnoteText"/>
        <w:tabs>
          <w:tab w:val="left" w:pos="426"/>
        </w:tabs>
        <w:ind w:right="-90"/>
        <w:rPr>
          <w:spacing w:val="-4"/>
          <w:szCs w:val="16"/>
          <w:lang w:val="es-CR"/>
        </w:rPr>
      </w:pPr>
      <w:r w:rsidRPr="00B605BE">
        <w:rPr>
          <w:rStyle w:val="FootnoteReference"/>
          <w:rFonts w:eastAsia="Times"/>
          <w:spacing w:val="-4"/>
          <w:szCs w:val="16"/>
        </w:rPr>
        <w:footnoteRef/>
      </w:r>
      <w:r w:rsidRPr="00B605BE">
        <w:rPr>
          <w:spacing w:val="-4"/>
          <w:szCs w:val="16"/>
          <w:lang w:val="es-CR"/>
        </w:rPr>
        <w:t xml:space="preserve"> </w:t>
      </w:r>
      <w:r w:rsidRPr="00B605BE">
        <w:rPr>
          <w:spacing w:val="-4"/>
          <w:szCs w:val="16"/>
          <w:lang w:val="es-CR"/>
        </w:rPr>
        <w:tab/>
      </w:r>
      <w:r w:rsidRPr="00B605BE">
        <w:rPr>
          <w:i/>
          <w:spacing w:val="-4"/>
          <w:szCs w:val="16"/>
          <w:lang w:val="es-CR"/>
        </w:rPr>
        <w:t>Cfr</w:t>
      </w:r>
      <w:r w:rsidRPr="00B605BE">
        <w:rPr>
          <w:spacing w:val="-4"/>
          <w:szCs w:val="16"/>
          <w:lang w:val="es-CR"/>
        </w:rPr>
        <w:t xml:space="preserve">. </w:t>
      </w:r>
      <w:r w:rsidRPr="00B605BE">
        <w:rPr>
          <w:i/>
          <w:spacing w:val="-4"/>
          <w:szCs w:val="16"/>
          <w:lang w:val="es-CR"/>
        </w:rPr>
        <w:t>Caso Velásquez Rodríguez</w:t>
      </w:r>
      <w:r>
        <w:rPr>
          <w:bCs/>
          <w:i/>
          <w:spacing w:val="-4"/>
          <w:szCs w:val="16"/>
          <w:lang w:val="es-VE"/>
        </w:rPr>
        <w:t xml:space="preserve"> Vs. Honduras</w:t>
      </w:r>
      <w:r w:rsidRPr="00B605BE">
        <w:rPr>
          <w:i/>
          <w:spacing w:val="-4"/>
          <w:szCs w:val="16"/>
          <w:lang w:val="es-VE"/>
        </w:rPr>
        <w:t xml:space="preserve">, </w:t>
      </w:r>
      <w:r w:rsidRPr="00B605BE">
        <w:rPr>
          <w:spacing w:val="-4"/>
          <w:szCs w:val="16"/>
          <w:lang w:val="es-CR"/>
        </w:rPr>
        <w:t xml:space="preserve">párr. 129, </w:t>
      </w:r>
      <w:r w:rsidRPr="00B605BE">
        <w:rPr>
          <w:color w:val="000000"/>
          <w:spacing w:val="-4"/>
          <w:szCs w:val="16"/>
          <w:lang w:val="es-CR"/>
        </w:rPr>
        <w:t xml:space="preserve">y </w:t>
      </w:r>
      <w:r w:rsidRPr="00B605BE">
        <w:rPr>
          <w:i/>
          <w:color w:val="000000"/>
          <w:spacing w:val="-4"/>
          <w:szCs w:val="16"/>
          <w:lang w:val="es-CR"/>
        </w:rPr>
        <w:t>Caso J. Vs. Perú</w:t>
      </w:r>
      <w:r w:rsidRPr="00B605BE">
        <w:rPr>
          <w:color w:val="000000"/>
          <w:spacing w:val="-4"/>
          <w:szCs w:val="16"/>
          <w:lang w:val="es-CR"/>
        </w:rPr>
        <w:t xml:space="preserve">, párr. 305. </w:t>
      </w:r>
    </w:p>
  </w:footnote>
  <w:footnote w:id="257">
    <w:p w:rsidR="00E65148" w:rsidRPr="000E08DB" w:rsidRDefault="00E65148" w:rsidP="007E3DB6">
      <w:pPr>
        <w:pStyle w:val="Footnotes"/>
        <w:tabs>
          <w:tab w:val="left" w:pos="426"/>
        </w:tabs>
        <w:spacing w:before="0" w:after="0"/>
        <w:jc w:val="both"/>
        <w:rPr>
          <w:szCs w:val="16"/>
        </w:rPr>
      </w:pPr>
      <w:r w:rsidRPr="008B6AC9">
        <w:rPr>
          <w:rStyle w:val="FootnoteReference"/>
          <w:szCs w:val="16"/>
        </w:rPr>
        <w:footnoteRef/>
      </w:r>
      <w:r w:rsidRPr="008B6AC9">
        <w:rPr>
          <w:b/>
          <w:szCs w:val="16"/>
        </w:rPr>
        <w:t xml:space="preserve"> </w:t>
      </w:r>
      <w:r w:rsidRPr="008B6AC9">
        <w:rPr>
          <w:i/>
          <w:szCs w:val="16"/>
        </w:rPr>
        <w:t xml:space="preserve"> Cfr</w:t>
      </w:r>
      <w:r w:rsidRPr="008B6AC9">
        <w:rPr>
          <w:szCs w:val="16"/>
        </w:rPr>
        <w:t>.</w:t>
      </w:r>
      <w:r w:rsidRPr="008B6AC9">
        <w:rPr>
          <w:b/>
          <w:bCs/>
          <w:szCs w:val="16"/>
        </w:rPr>
        <w:t xml:space="preserve"> </w:t>
      </w:r>
      <w:r w:rsidRPr="008B6AC9">
        <w:rPr>
          <w:i/>
          <w:szCs w:val="16"/>
        </w:rPr>
        <w:t xml:space="preserve">Caso de la “Panel Blanca” (Paniagua Morales y otros) Vs. Guatemala. </w:t>
      </w:r>
      <w:r w:rsidRPr="008B6AC9">
        <w:rPr>
          <w:szCs w:val="16"/>
        </w:rPr>
        <w:t xml:space="preserve">Fondo. Sentencia de 8 de marzo de 1998. Serie C No. 37, </w:t>
      </w:r>
      <w:proofErr w:type="spellStart"/>
      <w:r w:rsidRPr="008B6AC9">
        <w:rPr>
          <w:szCs w:val="16"/>
        </w:rPr>
        <w:t>párrs</w:t>
      </w:r>
      <w:proofErr w:type="spellEnd"/>
      <w:r w:rsidRPr="008B6AC9">
        <w:rPr>
          <w:szCs w:val="16"/>
        </w:rPr>
        <w:t xml:space="preserve">. 69 a 76; </w:t>
      </w:r>
      <w:r w:rsidRPr="008B6AC9">
        <w:rPr>
          <w:i/>
          <w:szCs w:val="16"/>
        </w:rPr>
        <w:t xml:space="preserve">Caso Gonzales </w:t>
      </w:r>
      <w:proofErr w:type="spellStart"/>
      <w:r w:rsidRPr="008B6AC9">
        <w:rPr>
          <w:i/>
          <w:szCs w:val="16"/>
        </w:rPr>
        <w:t>Lluy</w:t>
      </w:r>
      <w:proofErr w:type="spellEnd"/>
      <w:r w:rsidRPr="008B6AC9">
        <w:rPr>
          <w:i/>
          <w:szCs w:val="16"/>
        </w:rPr>
        <w:t xml:space="preserve"> y otros Vs. Ecuador. </w:t>
      </w:r>
      <w:r w:rsidRPr="008B6AC9">
        <w:rPr>
          <w:szCs w:val="16"/>
        </w:rPr>
        <w:t xml:space="preserve">Excepciones Preliminares, Fondo, Reparaciones y Costas. Sentencia de 01 de septiembre de 2015. Serie C No. 298, párr. 63, y </w:t>
      </w:r>
      <w:r w:rsidRPr="008B6AC9">
        <w:rPr>
          <w:bCs/>
          <w:i/>
          <w:szCs w:val="16"/>
          <w:lang w:val="es-CR"/>
        </w:rPr>
        <w:t xml:space="preserve">Caso Omar Humberto Maldonado </w:t>
      </w:r>
      <w:r w:rsidRPr="006D52AA">
        <w:rPr>
          <w:bCs/>
          <w:i/>
          <w:szCs w:val="16"/>
          <w:lang w:val="es-CR"/>
        </w:rPr>
        <w:t xml:space="preserve">Vargas y otros Vs. Chile. </w:t>
      </w:r>
      <w:r w:rsidRPr="00363913">
        <w:rPr>
          <w:rStyle w:val="Strong"/>
          <w:b w:val="0"/>
          <w:szCs w:val="16"/>
        </w:rPr>
        <w:t>Fondo, Reparaciones y Costas. Sentencia de 02 de septiembre de 2015. Serie C No. 300</w:t>
      </w:r>
      <w:r w:rsidRPr="006D52AA">
        <w:rPr>
          <w:bCs/>
          <w:szCs w:val="16"/>
          <w:lang w:val="es-CR"/>
        </w:rPr>
        <w:t>, párr. 16. Esta última decisión fue cita</w:t>
      </w:r>
      <w:r>
        <w:rPr>
          <w:bCs/>
          <w:szCs w:val="16"/>
          <w:lang w:val="es-CR"/>
        </w:rPr>
        <w:t>da por la Corte en el párrafo 92</w:t>
      </w:r>
      <w:r w:rsidRPr="006D52AA">
        <w:rPr>
          <w:bCs/>
          <w:szCs w:val="16"/>
          <w:lang w:val="es-CR"/>
        </w:rPr>
        <w:t xml:space="preserve"> de la Sentencia sobre el caso </w:t>
      </w:r>
      <w:r w:rsidRPr="006D52AA">
        <w:rPr>
          <w:bCs/>
          <w:i/>
          <w:szCs w:val="16"/>
          <w:lang w:val="es-CR"/>
        </w:rPr>
        <w:t xml:space="preserve">Galindo Cárdenas y otros vs. Perú, </w:t>
      </w:r>
      <w:r w:rsidRPr="006D52AA">
        <w:rPr>
          <w:bCs/>
          <w:szCs w:val="16"/>
          <w:lang w:val="es-CR"/>
        </w:rPr>
        <w:t xml:space="preserve">respecto de la que se emite el presente voto. Debe aclararse que a diferencia de lo ocurrido en el caso </w:t>
      </w:r>
      <w:r>
        <w:rPr>
          <w:bCs/>
          <w:i/>
          <w:szCs w:val="16"/>
          <w:lang w:val="es-CR"/>
        </w:rPr>
        <w:t>Galindo Cárdenas y otros</w:t>
      </w:r>
      <w:r w:rsidRPr="006D52AA">
        <w:rPr>
          <w:bCs/>
          <w:i/>
          <w:szCs w:val="16"/>
          <w:lang w:val="es-CR"/>
        </w:rPr>
        <w:t xml:space="preserve"> vs. Perú</w:t>
      </w:r>
      <w:r w:rsidRPr="006D52AA">
        <w:rPr>
          <w:bCs/>
          <w:szCs w:val="16"/>
          <w:lang w:val="es-CR"/>
        </w:rPr>
        <w:t xml:space="preserve">, en el caso </w:t>
      </w:r>
      <w:r w:rsidRPr="006D52AA">
        <w:rPr>
          <w:bCs/>
          <w:i/>
          <w:szCs w:val="16"/>
          <w:lang w:val="es-CR"/>
        </w:rPr>
        <w:t>Omar Humberto Maldonado Vargas y otros Vs. Chile</w:t>
      </w:r>
      <w:r w:rsidRPr="006D52AA">
        <w:rPr>
          <w:bCs/>
          <w:szCs w:val="16"/>
          <w:lang w:val="es-CR"/>
        </w:rPr>
        <w:t xml:space="preserve">, como surge del párrafo 19 de esa Sentencia, el Estado reconoció que hubo actos de tortura. Eso diferencia a ese caso del caso </w:t>
      </w:r>
      <w:r>
        <w:rPr>
          <w:bCs/>
          <w:i/>
          <w:szCs w:val="16"/>
          <w:lang w:val="es-CR"/>
        </w:rPr>
        <w:t>Galindo Cárdenas y otros</w:t>
      </w:r>
      <w:r w:rsidRPr="006D52AA">
        <w:rPr>
          <w:bCs/>
          <w:i/>
          <w:szCs w:val="16"/>
          <w:lang w:val="es-CR"/>
        </w:rPr>
        <w:t xml:space="preserve"> vs. Perú</w:t>
      </w:r>
      <w:r w:rsidRPr="006D52AA">
        <w:rPr>
          <w:bCs/>
          <w:szCs w:val="16"/>
          <w:lang w:val="es-CR"/>
        </w:rPr>
        <w:t xml:space="preserve">. No </w:t>
      </w:r>
      <w:r w:rsidRPr="000E08DB">
        <w:rPr>
          <w:bCs/>
          <w:szCs w:val="16"/>
          <w:lang w:val="es-CR"/>
        </w:rPr>
        <w:t xml:space="preserve">obstante, la remisión efectuada en la Sentencia sobre ese último caso a la decisión sobre el caso </w:t>
      </w:r>
      <w:r w:rsidRPr="000E08DB">
        <w:rPr>
          <w:bCs/>
          <w:i/>
          <w:szCs w:val="16"/>
          <w:lang w:val="es-CR"/>
        </w:rPr>
        <w:t xml:space="preserve">Omar Humberto Maldonado Vargas y otros Vs. Chile </w:t>
      </w:r>
      <w:r w:rsidRPr="000E08DB">
        <w:rPr>
          <w:bCs/>
          <w:szCs w:val="16"/>
          <w:lang w:val="es-CR"/>
        </w:rPr>
        <w:t>en cuanto a la valoración de las declaraciones de las presuntas víctimas reitera jurisprudencia constante y no se ve afectada por la diferencia entre ambos casos.</w:t>
      </w:r>
    </w:p>
  </w:footnote>
  <w:footnote w:id="258">
    <w:p w:rsidR="00E65148" w:rsidRPr="00B605BE" w:rsidRDefault="00E65148" w:rsidP="007E3DB6">
      <w:pPr>
        <w:pStyle w:val="FootnoteText"/>
        <w:rPr>
          <w:szCs w:val="16"/>
          <w:lang w:val="es-CR"/>
        </w:rPr>
      </w:pPr>
      <w:r w:rsidRPr="000E08DB">
        <w:rPr>
          <w:rStyle w:val="FootnoteReference"/>
          <w:szCs w:val="16"/>
        </w:rPr>
        <w:footnoteRef/>
      </w:r>
      <w:r w:rsidRPr="000E08DB">
        <w:rPr>
          <w:szCs w:val="16"/>
        </w:rPr>
        <w:t xml:space="preserve"> </w:t>
      </w:r>
      <w:proofErr w:type="spellStart"/>
      <w:r w:rsidRPr="000E08DB">
        <w:rPr>
          <w:i/>
          <w:szCs w:val="16"/>
          <w:lang w:val="es-CR"/>
        </w:rPr>
        <w:t>Cfr</w:t>
      </w:r>
      <w:proofErr w:type="spellEnd"/>
      <w:r w:rsidRPr="000E08DB">
        <w:rPr>
          <w:i/>
          <w:szCs w:val="16"/>
          <w:lang w:val="es-CR"/>
        </w:rPr>
        <w:t xml:space="preserve"> Caso de</w:t>
      </w:r>
      <w:r w:rsidRPr="006D52AA">
        <w:rPr>
          <w:i/>
          <w:szCs w:val="16"/>
          <w:lang w:val="es-CR"/>
        </w:rPr>
        <w:t xml:space="preserve"> personas dominicanas y haitianas expulsadas Vs. República Dominicana</w:t>
      </w:r>
      <w:r w:rsidRPr="00B605BE">
        <w:rPr>
          <w:i/>
          <w:szCs w:val="16"/>
          <w:lang w:val="es-CR"/>
        </w:rPr>
        <w:t xml:space="preserve">. </w:t>
      </w:r>
      <w:r w:rsidRPr="00C33609">
        <w:rPr>
          <w:szCs w:val="16"/>
          <w:lang w:val="es-CR"/>
        </w:rPr>
        <w:t>Excepciones Preliminares, Fondo, Reparaciones y Costas.</w:t>
      </w:r>
      <w:r w:rsidRPr="00B605BE">
        <w:rPr>
          <w:i/>
          <w:szCs w:val="16"/>
          <w:lang w:val="es-CR"/>
        </w:rPr>
        <w:t xml:space="preserve"> </w:t>
      </w:r>
      <w:r w:rsidRPr="00B605BE">
        <w:rPr>
          <w:szCs w:val="16"/>
          <w:lang w:val="es-CR"/>
        </w:rPr>
        <w:t xml:space="preserve">Sentencia de 28 de agosto de 2014. Serie C No. 282, </w:t>
      </w:r>
      <w:proofErr w:type="spellStart"/>
      <w:r w:rsidRPr="00B605BE">
        <w:rPr>
          <w:szCs w:val="16"/>
          <w:lang w:val="es-CR"/>
        </w:rPr>
        <w:t>párrs</w:t>
      </w:r>
      <w:proofErr w:type="spellEnd"/>
      <w:r w:rsidRPr="00B605BE">
        <w:rPr>
          <w:szCs w:val="16"/>
          <w:lang w:val="es-CR"/>
        </w:rPr>
        <w:t xml:space="preserve">. 192 a 198.  </w:t>
      </w:r>
    </w:p>
  </w:footnote>
  <w:footnote w:id="259">
    <w:p w:rsidR="00E65148" w:rsidRPr="008B6AC9" w:rsidRDefault="00E65148" w:rsidP="007E3DB6">
      <w:pPr>
        <w:pStyle w:val="FootnoteText"/>
        <w:rPr>
          <w:b/>
          <w:szCs w:val="16"/>
        </w:rPr>
      </w:pPr>
      <w:r w:rsidRPr="006D52AA">
        <w:rPr>
          <w:rStyle w:val="FootnoteReference"/>
          <w:szCs w:val="16"/>
        </w:rPr>
        <w:footnoteRef/>
      </w:r>
      <w:r w:rsidRPr="006D52AA">
        <w:rPr>
          <w:szCs w:val="16"/>
        </w:rPr>
        <w:t xml:space="preserve"> </w:t>
      </w:r>
      <w:r>
        <w:rPr>
          <w:szCs w:val="16"/>
        </w:rPr>
        <w:tab/>
      </w:r>
      <w:r w:rsidRPr="006D52AA">
        <w:rPr>
          <w:szCs w:val="16"/>
        </w:rPr>
        <w:t xml:space="preserve">Al respecto, de conformidad a las conclusiones a las que arribó la Corte en su Sentencia sobre el caso </w:t>
      </w:r>
      <w:r w:rsidRPr="00363913">
        <w:rPr>
          <w:rStyle w:val="Strong"/>
          <w:b w:val="0"/>
          <w:i/>
          <w:szCs w:val="16"/>
        </w:rPr>
        <w:t xml:space="preserve">Wong Ho </w:t>
      </w:r>
      <w:proofErr w:type="spellStart"/>
      <w:r w:rsidRPr="00363913">
        <w:rPr>
          <w:rStyle w:val="Strong"/>
          <w:b w:val="0"/>
          <w:i/>
          <w:szCs w:val="16"/>
        </w:rPr>
        <w:t>Wing</w:t>
      </w:r>
      <w:proofErr w:type="spellEnd"/>
      <w:r w:rsidRPr="00363913">
        <w:rPr>
          <w:rStyle w:val="Strong"/>
          <w:b w:val="0"/>
          <w:i/>
          <w:szCs w:val="16"/>
        </w:rPr>
        <w:t xml:space="preserve"> vs. Perú</w:t>
      </w:r>
      <w:r w:rsidRPr="00363913">
        <w:rPr>
          <w:rStyle w:val="Strong"/>
          <w:b w:val="0"/>
          <w:szCs w:val="16"/>
        </w:rPr>
        <w:t>, surge que alegatos que aduzcan una violación a la integridad personal meramente como consecuencia de la arbitrariedad en la privación de libertad no son suficientes para sustentar una infracción al derecho a la integridad personal, pues dichos argumentos “se refieren a lo que la Corte ha llamado un efecto colateral de la situación de privación de libertad”. En la misma Sentencia la Corte advirtió que en casos en que el Tribunal</w:t>
      </w:r>
      <w:r w:rsidRPr="006D52AA">
        <w:rPr>
          <w:rStyle w:val="Strong"/>
          <w:szCs w:val="16"/>
        </w:rPr>
        <w:t xml:space="preserve"> “</w:t>
      </w:r>
      <w:r w:rsidRPr="006D52AA">
        <w:rPr>
          <w:spacing w:val="-2"/>
          <w:szCs w:val="16"/>
        </w:rPr>
        <w:t xml:space="preserve">ha dicho que la restricción del </w:t>
      </w:r>
      <w:r w:rsidRPr="008B6AC9">
        <w:rPr>
          <w:spacing w:val="-2"/>
          <w:szCs w:val="16"/>
        </w:rPr>
        <w:t>derecho a la integridad personal, entre otros, no tiene justificación fundada en la privación de libertad y está prohibida por el Derecho Internacional”; es decir, cuando ligó afectaciones a la integridad personal a la privación de la libertad, “se trataba de casos en que las condiciones de privación de libertad eran crueles, inhumanas o degradantes, e incluso provocaron la muerte o lesiones, muchas veces graves, a una cantidad considerable de reclusos”</w:t>
      </w:r>
      <w:r w:rsidRPr="008B6AC9">
        <w:rPr>
          <w:rStyle w:val="Strong"/>
          <w:i/>
          <w:szCs w:val="16"/>
        </w:rPr>
        <w:t xml:space="preserve"> </w:t>
      </w:r>
      <w:r w:rsidRPr="00363913">
        <w:rPr>
          <w:rStyle w:val="Strong"/>
          <w:b w:val="0"/>
          <w:i/>
          <w:szCs w:val="16"/>
        </w:rPr>
        <w:t xml:space="preserve">(Caso Wong Ho </w:t>
      </w:r>
      <w:proofErr w:type="spellStart"/>
      <w:r w:rsidRPr="00363913">
        <w:rPr>
          <w:rStyle w:val="Strong"/>
          <w:b w:val="0"/>
          <w:i/>
          <w:szCs w:val="16"/>
        </w:rPr>
        <w:t>Wing</w:t>
      </w:r>
      <w:proofErr w:type="spellEnd"/>
      <w:r w:rsidRPr="00363913">
        <w:rPr>
          <w:rStyle w:val="Strong"/>
          <w:b w:val="0"/>
          <w:i/>
          <w:szCs w:val="16"/>
        </w:rPr>
        <w:t xml:space="preserve"> Vs. Perú.</w:t>
      </w:r>
      <w:r w:rsidRPr="00363913">
        <w:rPr>
          <w:rStyle w:val="Strong"/>
          <w:b w:val="0"/>
          <w:szCs w:val="16"/>
        </w:rPr>
        <w:t xml:space="preserve"> Excepción Preliminar, Fondo, Reparaciones y Costas. Sentencia de 30 de junio de 2015. Serie C No. 297, </w:t>
      </w:r>
      <w:proofErr w:type="spellStart"/>
      <w:r w:rsidRPr="00363913">
        <w:rPr>
          <w:rStyle w:val="Strong"/>
          <w:b w:val="0"/>
          <w:szCs w:val="16"/>
        </w:rPr>
        <w:t>párrs</w:t>
      </w:r>
      <w:proofErr w:type="spellEnd"/>
      <w:r w:rsidRPr="00363913">
        <w:rPr>
          <w:rStyle w:val="Strong"/>
          <w:b w:val="0"/>
          <w:szCs w:val="16"/>
        </w:rPr>
        <w:t>. 294 y 295).</w:t>
      </w:r>
    </w:p>
  </w:footnote>
  <w:footnote w:id="260">
    <w:p w:rsidR="00E65148" w:rsidRPr="008B6AC9" w:rsidRDefault="00E65148" w:rsidP="007E3DB6">
      <w:pPr>
        <w:pStyle w:val="FootnoteText"/>
        <w:rPr>
          <w:szCs w:val="16"/>
          <w:lang w:val="es-CR"/>
        </w:rPr>
      </w:pPr>
      <w:r w:rsidRPr="008B6AC9">
        <w:rPr>
          <w:rStyle w:val="FootnoteReference"/>
          <w:szCs w:val="16"/>
        </w:rPr>
        <w:footnoteRef/>
      </w:r>
      <w:r w:rsidRPr="008B6AC9">
        <w:rPr>
          <w:szCs w:val="16"/>
        </w:rPr>
        <w:t xml:space="preserve"> </w:t>
      </w:r>
      <w:r w:rsidRPr="008B6AC9">
        <w:rPr>
          <w:szCs w:val="16"/>
        </w:rPr>
        <w:tab/>
      </w:r>
      <w:r w:rsidRPr="008B6AC9">
        <w:rPr>
          <w:i/>
          <w:szCs w:val="16"/>
        </w:rPr>
        <w:t>Cfr. Caso Cabrera García y Montiel Flores Vs. México. Excepción Preliminar, Fondo, Reparaciones y Costas</w:t>
      </w:r>
      <w:r w:rsidRPr="008B6AC9">
        <w:rPr>
          <w:szCs w:val="16"/>
        </w:rPr>
        <w:t xml:space="preserve">. Sentencia de 26 de noviembre de 2010 Serie C No. 220, </w:t>
      </w:r>
      <w:proofErr w:type="spellStart"/>
      <w:r w:rsidRPr="008B6AC9">
        <w:rPr>
          <w:szCs w:val="16"/>
          <w:lang w:val="es-CR"/>
        </w:rPr>
        <w:t>párrs</w:t>
      </w:r>
      <w:proofErr w:type="spellEnd"/>
      <w:r w:rsidRPr="008B6AC9">
        <w:rPr>
          <w:szCs w:val="16"/>
          <w:lang w:val="es-CR"/>
        </w:rPr>
        <w:t>. 26, 108 y 121.</w:t>
      </w:r>
    </w:p>
  </w:footnote>
  <w:footnote w:id="261">
    <w:p w:rsidR="00E65148" w:rsidRPr="008B6AC9" w:rsidRDefault="00E65148" w:rsidP="007E3DB6">
      <w:pPr>
        <w:pStyle w:val="FootnoteText"/>
        <w:rPr>
          <w:lang w:val="es-ES"/>
        </w:rPr>
      </w:pPr>
      <w:r w:rsidRPr="008B6AC9">
        <w:rPr>
          <w:rStyle w:val="FootnoteReference"/>
        </w:rPr>
        <w:footnoteRef/>
      </w:r>
      <w:r w:rsidRPr="008B6AC9">
        <w:t xml:space="preserve"> </w:t>
      </w:r>
      <w:r w:rsidRPr="008B6AC9">
        <w:tab/>
      </w:r>
      <w:r w:rsidRPr="008B6AC9">
        <w:rPr>
          <w:i/>
          <w:lang w:val="es-ES"/>
        </w:rPr>
        <w:t>Cfr.</w:t>
      </w:r>
      <w:r w:rsidRPr="008B6AC9">
        <w:rPr>
          <w:lang w:val="es-ES"/>
        </w:rPr>
        <w:t xml:space="preserve"> </w:t>
      </w:r>
      <w:r w:rsidRPr="008B6AC9">
        <w:rPr>
          <w:i/>
          <w:lang w:val="es-ES"/>
        </w:rPr>
        <w:t>Caso J. Vs. Perú</w:t>
      </w:r>
      <w:r w:rsidRPr="008B6AC9">
        <w:rPr>
          <w:lang w:val="es-ES"/>
        </w:rPr>
        <w:t xml:space="preserve">, </w:t>
      </w:r>
      <w:proofErr w:type="spellStart"/>
      <w:r w:rsidRPr="008B6AC9">
        <w:rPr>
          <w:lang w:val="es-ES"/>
        </w:rPr>
        <w:t>párrs</w:t>
      </w:r>
      <w:proofErr w:type="spellEnd"/>
      <w:r w:rsidRPr="008B6AC9">
        <w:rPr>
          <w:lang w:val="es-ES"/>
        </w:rPr>
        <w:t>. 313, 321, 322, 328, 333, 334 y 340.</w:t>
      </w:r>
    </w:p>
  </w:footnote>
  <w:footnote w:id="262">
    <w:p w:rsidR="00E65148" w:rsidRPr="008B6AC9" w:rsidRDefault="00E65148" w:rsidP="007E3DB6">
      <w:pPr>
        <w:pStyle w:val="FootnoteText"/>
        <w:tabs>
          <w:tab w:val="left" w:pos="426"/>
        </w:tabs>
        <w:ind w:right="-90"/>
        <w:rPr>
          <w:spacing w:val="-4"/>
          <w:szCs w:val="16"/>
          <w:lang w:val="es-CR"/>
        </w:rPr>
      </w:pPr>
      <w:r w:rsidRPr="008B6AC9">
        <w:rPr>
          <w:rStyle w:val="FootnoteReference"/>
          <w:spacing w:val="-4"/>
          <w:szCs w:val="16"/>
        </w:rPr>
        <w:footnoteRef/>
      </w:r>
      <w:r w:rsidRPr="008B6AC9">
        <w:rPr>
          <w:spacing w:val="-4"/>
          <w:szCs w:val="16"/>
          <w:lang w:val="es-GT"/>
        </w:rPr>
        <w:t xml:space="preserve"> </w:t>
      </w:r>
      <w:r w:rsidRPr="008B6AC9">
        <w:rPr>
          <w:spacing w:val="-4"/>
          <w:szCs w:val="16"/>
          <w:lang w:val="es-GT"/>
        </w:rPr>
        <w:tab/>
      </w:r>
      <w:r w:rsidRPr="008B6AC9">
        <w:rPr>
          <w:i/>
          <w:spacing w:val="-4"/>
          <w:szCs w:val="16"/>
          <w:lang w:val="es-GT"/>
        </w:rPr>
        <w:t xml:space="preserve">Cfr. Caso Loayza Tamayo Vs. Perú. </w:t>
      </w:r>
      <w:r w:rsidRPr="008B6AC9">
        <w:rPr>
          <w:spacing w:val="-4"/>
          <w:szCs w:val="16"/>
          <w:lang w:val="es-GT"/>
        </w:rPr>
        <w:t>Fondo</w:t>
      </w:r>
      <w:r w:rsidRPr="008B6AC9">
        <w:rPr>
          <w:i/>
          <w:spacing w:val="-4"/>
          <w:szCs w:val="16"/>
          <w:lang w:val="es-GT"/>
        </w:rPr>
        <w:t xml:space="preserve">. </w:t>
      </w:r>
      <w:r w:rsidRPr="008B6AC9">
        <w:rPr>
          <w:spacing w:val="-4"/>
          <w:szCs w:val="16"/>
          <w:lang w:val="es-GT"/>
        </w:rPr>
        <w:t>Sentencia de 17 de septiembre de 1997. Serie C No. 33</w:t>
      </w:r>
      <w:r w:rsidRPr="008B6AC9">
        <w:rPr>
          <w:i/>
          <w:spacing w:val="-4"/>
          <w:szCs w:val="16"/>
          <w:lang w:val="es-GT"/>
        </w:rPr>
        <w:t xml:space="preserve">, </w:t>
      </w:r>
      <w:proofErr w:type="spellStart"/>
      <w:r w:rsidRPr="008B6AC9">
        <w:rPr>
          <w:spacing w:val="-4"/>
          <w:szCs w:val="16"/>
          <w:lang w:val="es-GT"/>
        </w:rPr>
        <w:t>párrs</w:t>
      </w:r>
      <w:proofErr w:type="spellEnd"/>
      <w:r w:rsidRPr="008B6AC9">
        <w:rPr>
          <w:spacing w:val="-4"/>
          <w:szCs w:val="16"/>
          <w:lang w:val="es-GT"/>
        </w:rPr>
        <w:t xml:space="preserve">. 57 y 58, y </w:t>
      </w:r>
      <w:r w:rsidRPr="008B6AC9">
        <w:rPr>
          <w:i/>
          <w:spacing w:val="-4"/>
          <w:szCs w:val="16"/>
          <w:lang w:val="es-CR"/>
        </w:rPr>
        <w:t>Caso J. Vs. Perú</w:t>
      </w:r>
      <w:r w:rsidRPr="008B6AC9">
        <w:rPr>
          <w:spacing w:val="-4"/>
          <w:szCs w:val="16"/>
          <w:lang w:val="es-CR"/>
        </w:rPr>
        <w:t xml:space="preserve">, párr. 362. </w:t>
      </w:r>
    </w:p>
    <w:p w:rsidR="00E65148" w:rsidRDefault="00E65148" w:rsidP="007E3DB6">
      <w:pPr>
        <w:tabs>
          <w:tab w:val="left" w:pos="426"/>
        </w:tabs>
        <w:spacing w:before="120" w:after="120"/>
        <w:rPr>
          <w:rFonts w:eastAsia="Times New Roman"/>
          <w:b/>
          <w:i/>
          <w:spacing w:val="-4"/>
          <w:sz w:val="16"/>
          <w:szCs w:val="16"/>
          <w:lang w:val="es-GT"/>
        </w:rPr>
      </w:pPr>
    </w:p>
  </w:footnote>
  <w:footnote w:id="263">
    <w:p w:rsidR="00E65148" w:rsidRPr="008B6AC9" w:rsidRDefault="00E65148" w:rsidP="007E3DB6">
      <w:pPr>
        <w:pStyle w:val="FootnoteText"/>
        <w:rPr>
          <w:szCs w:val="16"/>
          <w:lang w:val="es-CR"/>
        </w:rPr>
      </w:pPr>
      <w:r w:rsidRPr="00CF14F9">
        <w:rPr>
          <w:rStyle w:val="FootnoteReference"/>
          <w:szCs w:val="16"/>
        </w:rPr>
        <w:footnoteRef/>
      </w:r>
      <w:r>
        <w:rPr>
          <w:szCs w:val="16"/>
          <w:lang w:val="es-CR"/>
        </w:rPr>
        <w:t xml:space="preserve"> </w:t>
      </w:r>
      <w:r>
        <w:rPr>
          <w:szCs w:val="16"/>
          <w:lang w:val="es-CR"/>
        </w:rPr>
        <w:tab/>
      </w:r>
      <w:r w:rsidRPr="008B6AC9">
        <w:rPr>
          <w:i/>
          <w:szCs w:val="16"/>
          <w:lang w:val="es-CR"/>
        </w:rPr>
        <w:t>Cfr.</w:t>
      </w:r>
      <w:r w:rsidRPr="008B6AC9">
        <w:rPr>
          <w:b/>
          <w:szCs w:val="16"/>
          <w:lang w:val="es-CR"/>
        </w:rPr>
        <w:t xml:space="preserve"> </w:t>
      </w:r>
      <w:r w:rsidRPr="008B6AC9">
        <w:rPr>
          <w:i/>
          <w:szCs w:val="16"/>
          <w:lang w:val="es-CR"/>
        </w:rPr>
        <w:t xml:space="preserve">Caso del Penal Miguel Castro </w:t>
      </w:r>
      <w:proofErr w:type="spellStart"/>
      <w:r w:rsidRPr="008B6AC9">
        <w:rPr>
          <w:i/>
          <w:szCs w:val="16"/>
          <w:lang w:val="es-CR"/>
        </w:rPr>
        <w:t>Castro</w:t>
      </w:r>
      <w:proofErr w:type="spellEnd"/>
      <w:r w:rsidRPr="008B6AC9">
        <w:rPr>
          <w:i/>
          <w:szCs w:val="16"/>
          <w:lang w:val="es-CR"/>
        </w:rPr>
        <w:t xml:space="preserve"> </w:t>
      </w:r>
      <w:r w:rsidRPr="008B6AC9">
        <w:rPr>
          <w:rFonts w:eastAsiaTheme="minorHAnsi" w:cs="Verdana"/>
          <w:bCs/>
          <w:i/>
          <w:szCs w:val="16"/>
        </w:rPr>
        <w:t>Vs. Perú</w:t>
      </w:r>
      <w:r w:rsidRPr="008B6AC9">
        <w:rPr>
          <w:rFonts w:eastAsiaTheme="minorHAnsi" w:cs="Verdana"/>
          <w:bCs/>
          <w:szCs w:val="16"/>
        </w:rPr>
        <w:t>. Fondo, Reparaciones y Costas. Sentencia de 25 de noviembre de 2006. Serie C No. 160</w:t>
      </w:r>
      <w:r w:rsidRPr="008B6AC9">
        <w:rPr>
          <w:szCs w:val="16"/>
          <w:lang w:val="es-CR"/>
        </w:rPr>
        <w:t xml:space="preserve">, párr. 347; </w:t>
      </w:r>
      <w:r w:rsidRPr="008B6AC9">
        <w:rPr>
          <w:i/>
          <w:szCs w:val="16"/>
          <w:lang w:val="es-CR"/>
        </w:rPr>
        <w:t xml:space="preserve">Caso </w:t>
      </w:r>
      <w:proofErr w:type="spellStart"/>
      <w:r w:rsidRPr="008B6AC9">
        <w:rPr>
          <w:i/>
          <w:szCs w:val="16"/>
          <w:lang w:val="es-CR"/>
        </w:rPr>
        <w:t>Escué</w:t>
      </w:r>
      <w:proofErr w:type="spellEnd"/>
      <w:r w:rsidRPr="008B6AC9">
        <w:rPr>
          <w:i/>
          <w:szCs w:val="16"/>
          <w:lang w:val="es-CR"/>
        </w:rPr>
        <w:t xml:space="preserve"> Zapata </w:t>
      </w:r>
      <w:r w:rsidRPr="008B6AC9">
        <w:rPr>
          <w:rFonts w:eastAsiaTheme="minorHAnsi" w:cs="Verdana"/>
          <w:bCs/>
          <w:i/>
          <w:szCs w:val="16"/>
        </w:rPr>
        <w:t>Vs. Colombia</w:t>
      </w:r>
      <w:r w:rsidRPr="008B6AC9">
        <w:rPr>
          <w:rFonts w:eastAsiaTheme="minorHAnsi" w:cs="Verdana"/>
          <w:bCs/>
          <w:szCs w:val="16"/>
        </w:rPr>
        <w:t>. Fondo, Reparaciones y Costas. Sentencia de 4 de julio de 2007. Serie C No. 165</w:t>
      </w:r>
      <w:r w:rsidRPr="008B6AC9">
        <w:rPr>
          <w:szCs w:val="16"/>
          <w:lang w:val="es-CR"/>
        </w:rPr>
        <w:t xml:space="preserve">, párr. 75, y </w:t>
      </w:r>
      <w:r w:rsidRPr="008B6AC9">
        <w:rPr>
          <w:i/>
          <w:szCs w:val="16"/>
          <w:lang w:val="es-CR"/>
        </w:rPr>
        <w:t xml:space="preserve">Caso Bueno Alves </w:t>
      </w:r>
      <w:r w:rsidRPr="008B6AC9">
        <w:rPr>
          <w:rFonts w:eastAsiaTheme="minorHAnsi" w:cs="Verdana"/>
          <w:bCs/>
          <w:i/>
          <w:szCs w:val="16"/>
        </w:rPr>
        <w:t>Vs. Argentina</w:t>
      </w:r>
      <w:r w:rsidRPr="008B6AC9">
        <w:rPr>
          <w:rFonts w:eastAsiaTheme="minorHAnsi" w:cs="Verdana"/>
          <w:bCs/>
          <w:szCs w:val="16"/>
        </w:rPr>
        <w:t>. Fondo, Reparaciones y Costas. Sentencia de 11 de mayo de 2007. Serie C No. 164</w:t>
      </w:r>
      <w:r w:rsidRPr="008B6AC9">
        <w:rPr>
          <w:szCs w:val="16"/>
          <w:lang w:val="es-CR"/>
        </w:rPr>
        <w:t>, párr. 90.</w:t>
      </w:r>
    </w:p>
  </w:footnote>
  <w:footnote w:id="264">
    <w:p w:rsidR="00E65148" w:rsidRPr="008B6AC9" w:rsidRDefault="00E65148" w:rsidP="007E3DB6">
      <w:pPr>
        <w:pStyle w:val="FootnoteText"/>
        <w:rPr>
          <w:szCs w:val="16"/>
          <w:lang w:val="es-CR"/>
        </w:rPr>
      </w:pPr>
      <w:r w:rsidRPr="008B6AC9">
        <w:rPr>
          <w:rStyle w:val="FootnoteReference"/>
          <w:szCs w:val="16"/>
        </w:rPr>
        <w:footnoteRef/>
      </w:r>
      <w:r w:rsidRPr="008B6AC9">
        <w:rPr>
          <w:szCs w:val="16"/>
          <w:lang w:val="es-CR"/>
        </w:rPr>
        <w:tab/>
      </w:r>
      <w:r w:rsidRPr="008B6AC9">
        <w:rPr>
          <w:i/>
          <w:szCs w:val="16"/>
          <w:lang w:val="es-CR"/>
        </w:rPr>
        <w:t>Cfr.</w:t>
      </w:r>
      <w:r w:rsidRPr="008B6AC9">
        <w:rPr>
          <w:b/>
          <w:szCs w:val="16"/>
          <w:lang w:val="es-CR"/>
        </w:rPr>
        <w:t xml:space="preserve"> </w:t>
      </w:r>
      <w:r w:rsidRPr="008B6AC9">
        <w:rPr>
          <w:i/>
          <w:szCs w:val="16"/>
          <w:lang w:val="es-CR"/>
        </w:rPr>
        <w:t xml:space="preserve">Caso Gutiérrez Soler </w:t>
      </w:r>
      <w:r w:rsidRPr="008B6AC9">
        <w:rPr>
          <w:rFonts w:eastAsiaTheme="minorHAnsi" w:cs="Verdana"/>
          <w:bCs/>
          <w:i/>
          <w:szCs w:val="16"/>
        </w:rPr>
        <w:t>Vs. Colombia</w:t>
      </w:r>
      <w:r w:rsidRPr="008B6AC9">
        <w:rPr>
          <w:rFonts w:eastAsiaTheme="minorHAnsi" w:cs="Verdana"/>
          <w:bCs/>
          <w:szCs w:val="16"/>
        </w:rPr>
        <w:t>. Sentencia de 12 de septiembre de 2005. Serie C No. 132</w:t>
      </w:r>
      <w:r w:rsidRPr="008B6AC9">
        <w:rPr>
          <w:szCs w:val="16"/>
          <w:lang w:val="es-CR"/>
        </w:rPr>
        <w:t xml:space="preserve">, párr. 54; </w:t>
      </w:r>
      <w:r w:rsidRPr="008B6AC9">
        <w:rPr>
          <w:i/>
          <w:szCs w:val="16"/>
          <w:lang w:val="es-CR"/>
        </w:rPr>
        <w:t xml:space="preserve">Caso </w:t>
      </w:r>
      <w:proofErr w:type="spellStart"/>
      <w:r w:rsidRPr="008B6AC9">
        <w:rPr>
          <w:i/>
          <w:szCs w:val="16"/>
          <w:lang w:val="es-CR"/>
        </w:rPr>
        <w:t>Bayarri</w:t>
      </w:r>
      <w:proofErr w:type="spellEnd"/>
      <w:r w:rsidRPr="008B6AC9">
        <w:rPr>
          <w:i/>
          <w:szCs w:val="16"/>
          <w:lang w:val="es-CR"/>
        </w:rPr>
        <w:t xml:space="preserve"> </w:t>
      </w:r>
      <w:r w:rsidRPr="008B6AC9">
        <w:rPr>
          <w:rFonts w:eastAsiaTheme="minorHAnsi" w:cs="Verdana"/>
          <w:bCs/>
          <w:i/>
          <w:szCs w:val="16"/>
        </w:rPr>
        <w:t>Vs. Argentina</w:t>
      </w:r>
      <w:r w:rsidRPr="008B6AC9">
        <w:rPr>
          <w:rFonts w:eastAsiaTheme="minorHAnsi" w:cs="Verdana"/>
          <w:bCs/>
          <w:szCs w:val="16"/>
        </w:rPr>
        <w:t>. Excepción Preliminar, Fondo, Reparaciones y Costas. Sentencia de 30 de octubre de 2008. Serie C No. 187</w:t>
      </w:r>
      <w:r w:rsidRPr="008B6AC9">
        <w:rPr>
          <w:szCs w:val="16"/>
          <w:lang w:val="es-CR"/>
        </w:rPr>
        <w:t xml:space="preserve">, párr. 92; </w:t>
      </w:r>
      <w:r w:rsidRPr="008B6AC9">
        <w:rPr>
          <w:i/>
          <w:szCs w:val="16"/>
          <w:lang w:val="es-CR"/>
        </w:rPr>
        <w:t>Caso Bueno Alves Vs. Argentina</w:t>
      </w:r>
      <w:r w:rsidRPr="008B6AC9">
        <w:rPr>
          <w:szCs w:val="16"/>
          <w:lang w:val="es-CR"/>
        </w:rPr>
        <w:t xml:space="preserve">, párr. 88, y </w:t>
      </w:r>
      <w:r w:rsidRPr="008B6AC9">
        <w:rPr>
          <w:i/>
          <w:szCs w:val="16"/>
          <w:lang w:val="es-CR"/>
        </w:rPr>
        <w:t>Caso Vélez Loor Vs. Panamá</w:t>
      </w:r>
      <w:r w:rsidRPr="008B6AC9">
        <w:rPr>
          <w:szCs w:val="16"/>
          <w:lang w:val="es-CR"/>
        </w:rPr>
        <w:t xml:space="preserve">. Excepciones Preliminares, Fondo, Reparaciones y Costas. Sentencia de 23 de noviembre de 2010 Serie C No. 218, párr. 240. </w:t>
      </w:r>
    </w:p>
  </w:footnote>
  <w:footnote w:id="265">
    <w:p w:rsidR="00E65148" w:rsidRPr="008B6AC9" w:rsidRDefault="00E65148" w:rsidP="007E3DB6">
      <w:pPr>
        <w:pStyle w:val="FootnoteText"/>
        <w:rPr>
          <w:szCs w:val="16"/>
        </w:rPr>
      </w:pPr>
      <w:r w:rsidRPr="004A2F61">
        <w:rPr>
          <w:rStyle w:val="FootnoteReference"/>
          <w:szCs w:val="16"/>
        </w:rPr>
        <w:footnoteRef/>
      </w:r>
      <w:r w:rsidRPr="004A2F61">
        <w:rPr>
          <w:szCs w:val="16"/>
        </w:rPr>
        <w:t xml:space="preserve"> </w:t>
      </w:r>
      <w:r>
        <w:rPr>
          <w:szCs w:val="16"/>
        </w:rPr>
        <w:tab/>
      </w:r>
      <w:r w:rsidRPr="008B6AC9">
        <w:rPr>
          <w:rFonts w:cs="Arial"/>
          <w:i/>
          <w:iCs/>
          <w:szCs w:val="16"/>
        </w:rPr>
        <w:t xml:space="preserve">Cfr. Caso </w:t>
      </w:r>
      <w:proofErr w:type="spellStart"/>
      <w:r w:rsidRPr="008B6AC9">
        <w:rPr>
          <w:rFonts w:cs="Arial"/>
          <w:i/>
          <w:iCs/>
          <w:szCs w:val="16"/>
        </w:rPr>
        <w:t>Ximenes</w:t>
      </w:r>
      <w:proofErr w:type="spellEnd"/>
      <w:r w:rsidRPr="008B6AC9">
        <w:rPr>
          <w:rFonts w:cs="Arial"/>
          <w:i/>
          <w:iCs/>
          <w:szCs w:val="16"/>
        </w:rPr>
        <w:t xml:space="preserve"> </w:t>
      </w:r>
      <w:proofErr w:type="spellStart"/>
      <w:r w:rsidRPr="008B6AC9">
        <w:rPr>
          <w:rFonts w:cs="Arial"/>
          <w:i/>
          <w:iCs/>
          <w:szCs w:val="16"/>
        </w:rPr>
        <w:t>Lopes</w:t>
      </w:r>
      <w:proofErr w:type="spellEnd"/>
      <w:r w:rsidRPr="008B6AC9">
        <w:rPr>
          <w:rFonts w:cs="Arial"/>
          <w:i/>
          <w:iCs/>
          <w:szCs w:val="16"/>
        </w:rPr>
        <w:t xml:space="preserve"> Vs. Brasil. </w:t>
      </w:r>
      <w:r w:rsidRPr="008B6AC9">
        <w:rPr>
          <w:rFonts w:cs="Arial"/>
          <w:szCs w:val="16"/>
        </w:rPr>
        <w:t>Sentencia de 4 de julio de 2006.Serie C No. 149, párr. 147, y</w:t>
      </w:r>
      <w:r w:rsidRPr="008B6AC9">
        <w:rPr>
          <w:rStyle w:val="apple-converted-space"/>
          <w:rFonts w:cs="Arial"/>
          <w:szCs w:val="16"/>
        </w:rPr>
        <w:t> </w:t>
      </w:r>
      <w:r w:rsidRPr="008B6AC9">
        <w:rPr>
          <w:rFonts w:cs="Arial"/>
          <w:i/>
          <w:iCs/>
          <w:szCs w:val="16"/>
        </w:rPr>
        <w:t xml:space="preserve">Caso J. Vs. Perú, </w:t>
      </w:r>
      <w:r w:rsidRPr="008B6AC9">
        <w:rPr>
          <w:rFonts w:cs="Arial"/>
          <w:szCs w:val="16"/>
        </w:rPr>
        <w:t>párr. 341.</w:t>
      </w:r>
    </w:p>
  </w:footnote>
  <w:footnote w:id="266">
    <w:p w:rsidR="00E65148" w:rsidRPr="008B6AC9" w:rsidRDefault="00E65148" w:rsidP="007E3DB6">
      <w:pPr>
        <w:pStyle w:val="FootnoteText"/>
        <w:rPr>
          <w:i/>
        </w:rPr>
      </w:pPr>
      <w:r w:rsidRPr="008B6AC9">
        <w:rPr>
          <w:rStyle w:val="FootnoteReference"/>
          <w:szCs w:val="16"/>
        </w:rPr>
        <w:footnoteRef/>
      </w:r>
      <w:r w:rsidRPr="008B6AC9">
        <w:rPr>
          <w:szCs w:val="16"/>
        </w:rPr>
        <w:t xml:space="preserve"> </w:t>
      </w:r>
      <w:r w:rsidRPr="008B6AC9">
        <w:rPr>
          <w:szCs w:val="16"/>
        </w:rPr>
        <w:tab/>
      </w:r>
      <w:r w:rsidRPr="008B6AC9">
        <w:rPr>
          <w:i/>
          <w:szCs w:val="16"/>
        </w:rPr>
        <w:t>Cfr. Caso Espinoza Gonzáles Vs. Perú</w:t>
      </w:r>
      <w:r w:rsidRPr="008B6AC9">
        <w:rPr>
          <w:szCs w:val="16"/>
        </w:rPr>
        <w:t xml:space="preserve">, párrafo 239. En relación con las citas precedentes, debe aclararse que respecto al caso </w:t>
      </w:r>
      <w:r w:rsidRPr="008B6AC9">
        <w:rPr>
          <w:i/>
          <w:szCs w:val="16"/>
        </w:rPr>
        <w:t>Galindo Cárdenas y otros vs. Perú</w:t>
      </w:r>
      <w:r w:rsidRPr="008B6AC9">
        <w:rPr>
          <w:szCs w:val="16"/>
        </w:rPr>
        <w:t xml:space="preserve">, no se alegó la violación de la Convención Interamericana para Prevenir y Sancionar la Tortura. Ese tratado, de todos modos, fue ratificado por Perú el 28 de marzo de 1991 y estaba en vigor al momento de los hechos del presente caso. Por lo tanto, los precedentes citados resultas pertinentes a efectos de dar cuenta de las características generales que, de conformidad a la jurisprudencia de la Corte, tiene la obligación de investigar actos de torturas de acuerdo a normas vinculantes para Perú. </w:t>
      </w:r>
      <w:r w:rsidRPr="008B6AC9">
        <w:rPr>
          <w:i/>
          <w:szCs w:val="16"/>
        </w:rPr>
        <w:t xml:space="preserve"> </w:t>
      </w:r>
    </w:p>
  </w:footnote>
  <w:footnote w:id="267">
    <w:p w:rsidR="00E65148" w:rsidRPr="008B6AC9" w:rsidRDefault="00E65148" w:rsidP="007E3DB6">
      <w:pPr>
        <w:tabs>
          <w:tab w:val="left" w:pos="567"/>
          <w:tab w:val="left" w:pos="1134"/>
          <w:tab w:val="num" w:pos="18282"/>
          <w:tab w:val="num" w:pos="20172"/>
        </w:tabs>
        <w:rPr>
          <w:sz w:val="16"/>
          <w:szCs w:val="16"/>
          <w:lang w:val="es-CR"/>
        </w:rPr>
      </w:pPr>
      <w:r w:rsidRPr="008B6AC9">
        <w:rPr>
          <w:rStyle w:val="FootnoteReference"/>
          <w:sz w:val="16"/>
          <w:szCs w:val="16"/>
        </w:rPr>
        <w:footnoteRef/>
      </w:r>
      <w:r w:rsidRPr="008B6AC9">
        <w:rPr>
          <w:sz w:val="16"/>
          <w:szCs w:val="16"/>
        </w:rPr>
        <w:t xml:space="preserve"> </w:t>
      </w:r>
      <w:r w:rsidRPr="008B6AC9">
        <w:rPr>
          <w:sz w:val="16"/>
          <w:szCs w:val="16"/>
        </w:rPr>
        <w:tab/>
      </w:r>
      <w:r w:rsidRPr="008B6AC9">
        <w:rPr>
          <w:sz w:val="16"/>
          <w:szCs w:val="16"/>
          <w:lang w:val="es-MX"/>
        </w:rPr>
        <w:t>Dichas presentaciones se encuentran mencionadas en los párrafos 140 a 142, que se incluyen, en el apartado de hechos:</w:t>
      </w:r>
    </w:p>
    <w:p w:rsidR="00E65148" w:rsidRPr="008B6AC9" w:rsidRDefault="00E65148" w:rsidP="007E3DB6">
      <w:pPr>
        <w:pStyle w:val="Estilo1"/>
        <w:numPr>
          <w:ilvl w:val="0"/>
          <w:numId w:val="0"/>
        </w:numPr>
        <w:spacing w:after="0"/>
        <w:rPr>
          <w:sz w:val="16"/>
          <w:szCs w:val="16"/>
          <w:lang w:val="es-CR"/>
        </w:rPr>
      </w:pPr>
      <w:r w:rsidRPr="008B6AC9">
        <w:rPr>
          <w:sz w:val="16"/>
          <w:szCs w:val="16"/>
          <w:lang w:val="es-CR"/>
        </w:rPr>
        <w:t>“140. El 30 de noviembre de 1994 el señor Galindo solicitó a la Comisión de Derechos Humanos del Congreso Constituyente Democrático que se investigara la conducta del Jefe del Comando Político-Militar de la ciudad de Huánuco, del Jefe de la JECOTE-Huánuco, y del Fiscal Provincial de Huánuco. Ese requerimiento fue reiterado el 23 de enero de 1995.</w:t>
      </w:r>
    </w:p>
    <w:p w:rsidR="00E65148" w:rsidRPr="008B6AC9" w:rsidRDefault="00E65148" w:rsidP="007E3DB6">
      <w:pPr>
        <w:pStyle w:val="Estilo1"/>
        <w:numPr>
          <w:ilvl w:val="0"/>
          <w:numId w:val="0"/>
        </w:numPr>
        <w:tabs>
          <w:tab w:val="clear" w:pos="567"/>
          <w:tab w:val="left" w:pos="142"/>
        </w:tabs>
        <w:spacing w:after="0"/>
        <w:rPr>
          <w:sz w:val="16"/>
          <w:szCs w:val="16"/>
          <w:lang w:val="es-CR"/>
        </w:rPr>
      </w:pPr>
      <w:r w:rsidRPr="008B6AC9">
        <w:rPr>
          <w:sz w:val="16"/>
          <w:szCs w:val="16"/>
          <w:lang w:val="es-CR"/>
        </w:rPr>
        <w:t xml:space="preserve">141. El 13 de diciembre de 1994 el señor Galindo solicitó al Fiscal Provincial de la Primera Fiscalía Penal de Huánuco “copias certificadas” de la “investigación policial-militar con intervención del Ministerio Público” a la que había sido sometido. Al hacerlo indicó, entre otras circunstancias, que “[s]e [le] recluyó en una base militar, donde </w:t>
      </w:r>
      <w:proofErr w:type="spellStart"/>
      <w:proofErr w:type="gramStart"/>
      <w:r w:rsidRPr="008B6AC9">
        <w:rPr>
          <w:sz w:val="16"/>
          <w:szCs w:val="16"/>
          <w:lang w:val="es-CR"/>
        </w:rPr>
        <w:t>sufr</w:t>
      </w:r>
      <w:proofErr w:type="spellEnd"/>
      <w:r w:rsidRPr="008B6AC9">
        <w:rPr>
          <w:sz w:val="16"/>
          <w:szCs w:val="16"/>
          <w:lang w:val="es-CR"/>
        </w:rPr>
        <w:t>[</w:t>
      </w:r>
      <w:proofErr w:type="spellStart"/>
      <w:proofErr w:type="gramEnd"/>
      <w:r w:rsidRPr="008B6AC9">
        <w:rPr>
          <w:sz w:val="16"/>
          <w:szCs w:val="16"/>
          <w:lang w:val="es-CR"/>
        </w:rPr>
        <w:t>ió</w:t>
      </w:r>
      <w:proofErr w:type="spellEnd"/>
      <w:r w:rsidRPr="008B6AC9">
        <w:rPr>
          <w:sz w:val="16"/>
          <w:szCs w:val="16"/>
          <w:lang w:val="es-CR"/>
        </w:rPr>
        <w:t xml:space="preserve">] tortura psicológica e incomunicación inicialmente”. </w:t>
      </w:r>
      <w:r w:rsidRPr="008B6AC9">
        <w:rPr>
          <w:iCs/>
          <w:sz w:val="16"/>
          <w:szCs w:val="16"/>
          <w:lang w:val="es-CR"/>
        </w:rPr>
        <w:t xml:space="preserve">El 22 de diciembre de 1994, en un documento presentado al Órgano de Control Interno del Poder Judicial, el señor Galindo consignó que sufrió “permanente maltrato psicológico”, indicó que “durante las noches en la ventana de [su] habitación se hacían disparos de fusil, así como que en horas de la madrugada, interrumpían [su] sueño y tranquilidad con gritos destemplados de personas que eran castigadas”. </w:t>
      </w:r>
    </w:p>
    <w:p w:rsidR="00E65148" w:rsidRPr="008B6AC9" w:rsidRDefault="00E65148" w:rsidP="007E3DB6">
      <w:pPr>
        <w:pStyle w:val="Estilo1"/>
        <w:numPr>
          <w:ilvl w:val="0"/>
          <w:numId w:val="0"/>
        </w:numPr>
        <w:tabs>
          <w:tab w:val="clear" w:pos="567"/>
          <w:tab w:val="left" w:pos="142"/>
        </w:tabs>
        <w:spacing w:after="0"/>
        <w:rPr>
          <w:sz w:val="16"/>
          <w:szCs w:val="16"/>
          <w:lang w:val="es-CR"/>
        </w:rPr>
      </w:pPr>
      <w:r w:rsidRPr="008B6AC9">
        <w:rPr>
          <w:sz w:val="16"/>
          <w:szCs w:val="16"/>
          <w:lang w:val="es-CR"/>
        </w:rPr>
        <w:t>142. El 16 de enero de 1995 el señor Galindo presentó un escrito en la Fiscalía General de la Nación, dirigido a la Presidenta de la Junta de Fiscales Supremos del Ministerio Público, donde se reiteró lo señalado en el escrito de 13 de diciembre de 1994 en cuanto a la “tortura psicológica” e “</w:t>
      </w:r>
      <w:proofErr w:type="spellStart"/>
      <w:r w:rsidRPr="008B6AC9">
        <w:rPr>
          <w:sz w:val="16"/>
          <w:szCs w:val="16"/>
          <w:lang w:val="es-CR"/>
        </w:rPr>
        <w:t>incomunic</w:t>
      </w:r>
      <w:proofErr w:type="spellEnd"/>
      <w:r w:rsidRPr="008B6AC9">
        <w:rPr>
          <w:sz w:val="16"/>
          <w:szCs w:val="16"/>
          <w:lang w:val="es-CR"/>
        </w:rPr>
        <w:t>[</w:t>
      </w:r>
      <w:proofErr w:type="spellStart"/>
      <w:r w:rsidRPr="008B6AC9">
        <w:rPr>
          <w:sz w:val="16"/>
          <w:szCs w:val="16"/>
          <w:lang w:val="es-CR"/>
        </w:rPr>
        <w:t>ación</w:t>
      </w:r>
      <w:proofErr w:type="spellEnd"/>
      <w:r w:rsidRPr="008B6AC9">
        <w:rPr>
          <w:sz w:val="16"/>
          <w:szCs w:val="16"/>
          <w:lang w:val="es-CR"/>
        </w:rPr>
        <w:t>] inicial”. En el escrito de 16 de enero de 1995 el señor Galindo “</w:t>
      </w:r>
      <w:proofErr w:type="spellStart"/>
      <w:r w:rsidRPr="008B6AC9">
        <w:rPr>
          <w:sz w:val="16"/>
          <w:szCs w:val="16"/>
          <w:lang w:val="es-CR"/>
        </w:rPr>
        <w:t>solicit</w:t>
      </w:r>
      <w:proofErr w:type="spellEnd"/>
      <w:r w:rsidRPr="008B6AC9">
        <w:rPr>
          <w:sz w:val="16"/>
          <w:szCs w:val="16"/>
          <w:lang w:val="es-CR"/>
        </w:rPr>
        <w:t>[</w:t>
      </w:r>
      <w:proofErr w:type="spellStart"/>
      <w:r w:rsidRPr="008B6AC9">
        <w:rPr>
          <w:sz w:val="16"/>
          <w:szCs w:val="16"/>
          <w:lang w:val="es-CR"/>
        </w:rPr>
        <w:t>ó</w:t>
      </w:r>
      <w:proofErr w:type="spellEnd"/>
      <w:r w:rsidRPr="008B6AC9">
        <w:rPr>
          <w:sz w:val="16"/>
          <w:szCs w:val="16"/>
          <w:lang w:val="es-CR"/>
        </w:rPr>
        <w:t>] una exhaustiva y diligente investigación y posterior pronunciamiento, sobre los hechos, así como la inconducta funcional” de “funcionarios del Ministerio Público de Huánuco” a los que aludió.</w:t>
      </w:r>
    </w:p>
  </w:footnote>
  <w:footnote w:id="268">
    <w:p w:rsidR="00E65148" w:rsidRPr="008B6AC9" w:rsidRDefault="00E65148" w:rsidP="007E3DB6">
      <w:pPr>
        <w:pStyle w:val="FootnoteText"/>
      </w:pPr>
      <w:r w:rsidRPr="008B6AC9">
        <w:rPr>
          <w:rStyle w:val="FootnoteReference"/>
        </w:rPr>
        <w:footnoteRef/>
      </w:r>
      <w:r w:rsidRPr="008B6AC9">
        <w:t xml:space="preserve">  A efectos de explicar más lo dicho, puede citarse como ejemplo lo ocurrido en el caso </w:t>
      </w:r>
      <w:r w:rsidRPr="008B6AC9">
        <w:rPr>
          <w:i/>
        </w:rPr>
        <w:t>García Lucero y otras vs. Chile</w:t>
      </w:r>
      <w:r w:rsidRPr="008B6AC9">
        <w:t xml:space="preserve">, también conocido por la Corte. En la Sentencia respectiva se determinó que el Estado debió investigar señalamientos sobre hechos que podrían constituir tortura con base en presentaciones no judiciales hechas por la víctima. No obstante, a diferencia de lo que ocurre en el presente caso </w:t>
      </w:r>
      <w:r w:rsidRPr="008B6AC9">
        <w:rPr>
          <w:i/>
        </w:rPr>
        <w:t>Galindo Cárdenas y otros vs. Perú</w:t>
      </w:r>
      <w:r w:rsidRPr="008B6AC9">
        <w:t xml:space="preserve">, esas presentaciones incluían una descripción que sí permitía, razonablemente, apreciar las características de los hechos. Así, en la Sentencia sobre el caso </w:t>
      </w:r>
      <w:r w:rsidRPr="008B6AC9">
        <w:rPr>
          <w:i/>
        </w:rPr>
        <w:t xml:space="preserve">García Lucero y otros vs. Chile </w:t>
      </w:r>
      <w:r w:rsidRPr="008B6AC9">
        <w:t xml:space="preserve">puede leerse lo siguiente. “Con el propósito de ser reconocido como ‘exonerado político’, el señor García Lucero remitió desde Londres, Reino Unido, una carta de fecha 23 de diciembre de 1993 al Programa de Reconocimiento al Exonerado Político en Chile […]. Mediante comunicación de 1 de diciembre de 1994 el Estado acusó recibo de los ‘antecedentes’ sobre la solicitud del señor García Lucero relativa a la Ley No. 19.234. En la carta, entre otras manifestaciones, el señor García Lucero se refirió a la tortura que sufrió ‘mientras </w:t>
      </w:r>
      <w:proofErr w:type="spellStart"/>
      <w:r w:rsidRPr="008B6AC9">
        <w:t>estuv</w:t>
      </w:r>
      <w:proofErr w:type="spellEnd"/>
      <w:r w:rsidRPr="008B6AC9">
        <w:t xml:space="preserve">[o] detenido’ y a las ‘lesiones ocasionadas por las torturas recibidas’. Señaló que [l]e volaron todos los dientes de arriba a patadas; [l]e quebraron el brazo izquierdo a </w:t>
      </w:r>
      <w:proofErr w:type="gramStart"/>
      <w:r w:rsidRPr="008B6AC9">
        <w:t>culetazos[</w:t>
      </w:r>
      <w:proofErr w:type="gramEnd"/>
      <w:r w:rsidRPr="008B6AC9">
        <w:t xml:space="preserve">,] y de un culetazo en la sien [l]e desfiguraron la frente y casi </w:t>
      </w:r>
      <w:proofErr w:type="spellStart"/>
      <w:r w:rsidRPr="008B6AC9">
        <w:t>pierd</w:t>
      </w:r>
      <w:proofErr w:type="spellEnd"/>
      <w:r w:rsidRPr="008B6AC9">
        <w:t xml:space="preserve">[e] un ojo. </w:t>
      </w:r>
      <w:proofErr w:type="spellStart"/>
      <w:r w:rsidRPr="008B6AC9">
        <w:t>Tuv</w:t>
      </w:r>
      <w:proofErr w:type="spellEnd"/>
      <w:r w:rsidRPr="008B6AC9">
        <w:t xml:space="preserve">[o] que ser operado de emergencia de hernia (en la ingle) en una tienda de campaña en ‘Chacabuco’ por un médico de la FACH. Esta hernia [l]e apareció porque fu[e] colgado de las muñecas; un saco mojado de cemento amarrado a cada uno de [sus] tobillos (este hecho ocurrió en el Estadio Nacional). También [fue] puesto en un barril de agua que estaba conectado a la electricidad, y dado golpes de corriente, etc. etc. Los innumerables golpes en la cabeza (durante toda una noche) con una luma de goma, [l]e </w:t>
      </w:r>
      <w:proofErr w:type="spellStart"/>
      <w:proofErr w:type="gramStart"/>
      <w:r w:rsidRPr="008B6AC9">
        <w:t>produj</w:t>
      </w:r>
      <w:proofErr w:type="spellEnd"/>
      <w:r w:rsidRPr="008B6AC9">
        <w:t>[</w:t>
      </w:r>
      <w:proofErr w:type="spellStart"/>
      <w:proofErr w:type="gramEnd"/>
      <w:r w:rsidRPr="008B6AC9">
        <w:t>eron</w:t>
      </w:r>
      <w:proofErr w:type="spellEnd"/>
      <w:r w:rsidRPr="008B6AC9">
        <w:t xml:space="preserve">] serios problemas de salud que significaron no poder trabajar […] en Inglaterra, donde </w:t>
      </w:r>
      <w:proofErr w:type="spellStart"/>
      <w:r w:rsidRPr="008B6AC9">
        <w:t>est</w:t>
      </w:r>
      <w:proofErr w:type="spellEnd"/>
      <w:r w:rsidRPr="008B6AC9">
        <w:t xml:space="preserve">[á] registrado como inválido. También </w:t>
      </w:r>
      <w:proofErr w:type="spellStart"/>
      <w:r w:rsidRPr="008B6AC9">
        <w:t>tuv</w:t>
      </w:r>
      <w:proofErr w:type="spellEnd"/>
      <w:r w:rsidRPr="008B6AC9">
        <w:t xml:space="preserve">[o] que ser operado [en Inglaterra] de un tendón en [su] pierna derecha. Esto también como consecuencia de haber sido colgado mientras </w:t>
      </w:r>
      <w:proofErr w:type="spellStart"/>
      <w:r w:rsidRPr="008B6AC9">
        <w:t>estuv</w:t>
      </w:r>
      <w:proofErr w:type="spellEnd"/>
      <w:r w:rsidRPr="008B6AC9">
        <w:t xml:space="preserve">[o] detenido, como </w:t>
      </w:r>
      <w:proofErr w:type="spellStart"/>
      <w:r w:rsidRPr="008B6AC9">
        <w:t>explic</w:t>
      </w:r>
      <w:proofErr w:type="spellEnd"/>
      <w:r w:rsidRPr="008B6AC9">
        <w:t>[</w:t>
      </w:r>
      <w:proofErr w:type="spellStart"/>
      <w:r w:rsidRPr="008B6AC9">
        <w:t>ó</w:t>
      </w:r>
      <w:proofErr w:type="spellEnd"/>
      <w:r w:rsidRPr="008B6AC9">
        <w:t>]”. (</w:t>
      </w:r>
      <w:r w:rsidRPr="008B6AC9">
        <w:rPr>
          <w:i/>
        </w:rPr>
        <w:t xml:space="preserve">Caso García Lucero y otras Vs. Chile. </w:t>
      </w:r>
      <w:r w:rsidRPr="008B6AC9">
        <w:t xml:space="preserve">Excepción Preliminar, Fondo y Reparaciones. Sentencia de 28 de agosto de 2013. Serie C No. 267, párr. 75). </w:t>
      </w:r>
    </w:p>
  </w:footnote>
  <w:footnote w:id="269">
    <w:p w:rsidR="00E65148" w:rsidRPr="008B6AC9" w:rsidRDefault="00E65148" w:rsidP="007E3DB6">
      <w:pPr>
        <w:pStyle w:val="ListParagraph"/>
        <w:ind w:left="0"/>
        <w:rPr>
          <w:sz w:val="16"/>
          <w:szCs w:val="16"/>
        </w:rPr>
      </w:pPr>
      <w:r w:rsidRPr="008B6AC9">
        <w:rPr>
          <w:sz w:val="16"/>
          <w:szCs w:val="16"/>
          <w:vertAlign w:val="superscript"/>
        </w:rPr>
        <w:footnoteRef/>
      </w:r>
      <w:r w:rsidRPr="008B6AC9">
        <w:rPr>
          <w:sz w:val="16"/>
          <w:szCs w:val="16"/>
        </w:rPr>
        <w:t xml:space="preserve"> </w:t>
      </w:r>
      <w:r w:rsidRPr="008B6AC9">
        <w:rPr>
          <w:sz w:val="16"/>
          <w:szCs w:val="16"/>
        </w:rPr>
        <w:tab/>
        <w:t>A saber:</w:t>
      </w:r>
    </w:p>
    <w:p w:rsidR="00E65148" w:rsidRPr="008B6AC9" w:rsidRDefault="00E65148" w:rsidP="007E3DB6">
      <w:pPr>
        <w:pStyle w:val="ListParagraph"/>
        <w:ind w:left="0"/>
        <w:rPr>
          <w:sz w:val="16"/>
          <w:szCs w:val="16"/>
          <w:lang w:val="es-CR"/>
        </w:rPr>
      </w:pPr>
      <w:r w:rsidRPr="008B6AC9">
        <w:rPr>
          <w:sz w:val="16"/>
          <w:szCs w:val="16"/>
        </w:rPr>
        <w:t xml:space="preserve"> </w:t>
      </w:r>
      <w:r w:rsidRPr="008B6AC9">
        <w:rPr>
          <w:sz w:val="16"/>
          <w:szCs w:val="16"/>
          <w:lang w:val="es-CR"/>
        </w:rPr>
        <w:t xml:space="preserve">150. El 14 de septiembre de 2012 la Coordinación de la Fiscalía Superior Penal Nacional y Fiscalías Penales </w:t>
      </w:r>
      <w:proofErr w:type="spellStart"/>
      <w:r w:rsidRPr="008B6AC9">
        <w:rPr>
          <w:sz w:val="16"/>
          <w:szCs w:val="16"/>
          <w:lang w:val="es-CR"/>
        </w:rPr>
        <w:t>Supraprovinciales</w:t>
      </w:r>
      <w:proofErr w:type="spellEnd"/>
      <w:r w:rsidRPr="008B6AC9">
        <w:rPr>
          <w:sz w:val="16"/>
          <w:szCs w:val="16"/>
          <w:lang w:val="es-CR"/>
        </w:rPr>
        <w:t xml:space="preserve"> (en adelante también “Coordinación de la Fiscalía”) consideró que la Fiscalía competente debía realizar una investigación preliminar en el Distrito Judicial de Huánuco. </w:t>
      </w:r>
    </w:p>
    <w:p w:rsidR="00E65148" w:rsidRPr="008B6AC9" w:rsidRDefault="00E65148" w:rsidP="007E3DB6">
      <w:pPr>
        <w:pStyle w:val="Estilo1"/>
        <w:numPr>
          <w:ilvl w:val="0"/>
          <w:numId w:val="0"/>
        </w:numPr>
        <w:spacing w:after="0"/>
        <w:rPr>
          <w:sz w:val="16"/>
          <w:szCs w:val="16"/>
          <w:lang w:val="es-CR"/>
        </w:rPr>
      </w:pPr>
      <w:r w:rsidRPr="008B6AC9">
        <w:rPr>
          <w:sz w:val="16"/>
          <w:szCs w:val="16"/>
          <w:lang w:val="es-CR"/>
        </w:rPr>
        <w:t xml:space="preserve">151. El 24 de septiembre de 2012 la Coordinación de la Fiscalía puso en conocimiento del Fiscal de la Nación “las acciones realizadas […] y la propuesta respecto al [c]aso </w:t>
      </w:r>
      <w:proofErr w:type="gramStart"/>
      <w:r w:rsidRPr="008B6AC9">
        <w:rPr>
          <w:sz w:val="16"/>
          <w:szCs w:val="16"/>
          <w:lang w:val="es-CR"/>
        </w:rPr>
        <w:t>de[</w:t>
      </w:r>
      <w:proofErr w:type="gramEnd"/>
      <w:r w:rsidRPr="008B6AC9">
        <w:rPr>
          <w:sz w:val="16"/>
          <w:szCs w:val="16"/>
          <w:lang w:val="es-CR"/>
        </w:rPr>
        <w:t>l señor] Galindo”.</w:t>
      </w:r>
    </w:p>
    <w:p w:rsidR="00E65148" w:rsidRPr="008B6AC9" w:rsidRDefault="00E65148" w:rsidP="007E3DB6">
      <w:pPr>
        <w:pStyle w:val="Estilo1"/>
        <w:numPr>
          <w:ilvl w:val="0"/>
          <w:numId w:val="0"/>
        </w:numPr>
        <w:spacing w:after="0"/>
        <w:rPr>
          <w:sz w:val="16"/>
          <w:szCs w:val="16"/>
          <w:lang w:val="es-CR"/>
        </w:rPr>
      </w:pPr>
      <w:r w:rsidRPr="008B6AC9">
        <w:rPr>
          <w:sz w:val="16"/>
          <w:szCs w:val="16"/>
          <w:lang w:val="es-CR"/>
        </w:rPr>
        <w:t>152. El 19 de marzo de 2013 la Fiscalía Especializada en Delitos de Terrorismo y Lesa Humanidad (en adelante “Fiscalía Especializada”) informó que el Fiscal Superior- Presidente de la Junta de Fiscales Superiores del Distrito Judicial de Huánuco, comunicó a dicha Fiscalía la procedencia de “avocarse en la instrucción preliminar” con relación a hechos del presente caso referidos a la permanencia del señor Galindo bajo custodia estatal entre octubre y noviembre de 1994 y la aplicación de la Ley de Arrepentimiento.</w:t>
      </w:r>
      <w:r w:rsidRPr="008B6AC9">
        <w:rPr>
          <w:b/>
          <w:sz w:val="16"/>
          <w:szCs w:val="16"/>
          <w:lang w:val="es-CR"/>
        </w:rPr>
        <w:t xml:space="preserve"> </w:t>
      </w:r>
      <w:r w:rsidRPr="008B6AC9">
        <w:rPr>
          <w:sz w:val="16"/>
          <w:szCs w:val="16"/>
          <w:lang w:val="es-CR"/>
        </w:rPr>
        <w:t>En ese sentido, dispuso “llevar a […] cabo las diligencias preliminares en sede policial por el plazo máximo de 50 días”, “</w:t>
      </w:r>
      <w:proofErr w:type="spellStart"/>
      <w:r w:rsidRPr="008B6AC9">
        <w:rPr>
          <w:sz w:val="16"/>
          <w:szCs w:val="16"/>
          <w:lang w:val="es-CR"/>
        </w:rPr>
        <w:t>recib</w:t>
      </w:r>
      <w:proofErr w:type="spellEnd"/>
      <w:r w:rsidRPr="008B6AC9">
        <w:rPr>
          <w:sz w:val="16"/>
          <w:szCs w:val="16"/>
          <w:lang w:val="es-CR"/>
        </w:rPr>
        <w:t xml:space="preserve">[ir] la declaración” del señor Galindo Cárdenas, recabar “copia certificada del expediente” relativo al “acogimiento de la Ley de Arrepentimiento”, solicitar información al Ministerio de Defensa respecto a la identidad de los oficiales y sub oficiales que estuvieron en la Base Militar de Huánuco durante 1994, y realizar las demás diligencias necesarias para el esclarecimiento de los hechos. </w:t>
      </w:r>
    </w:p>
    <w:p w:rsidR="00E65148" w:rsidRPr="00590C9F" w:rsidRDefault="00E65148" w:rsidP="007E3DB6">
      <w:pPr>
        <w:pStyle w:val="FootnoteText"/>
        <w:rPr>
          <w:lang w:val="es-CR"/>
        </w:rPr>
      </w:pPr>
    </w:p>
  </w:footnote>
  <w:footnote w:id="270">
    <w:p w:rsidR="00E65148" w:rsidRPr="008B6AC9" w:rsidRDefault="00E65148" w:rsidP="007E3DB6">
      <w:pPr>
        <w:pStyle w:val="NormalWeb"/>
        <w:spacing w:before="0" w:beforeAutospacing="0" w:after="120" w:afterAutospacing="0"/>
        <w:jc w:val="both"/>
        <w:rPr>
          <w:rFonts w:cs="Calibri"/>
          <w:color w:val="auto"/>
          <w:sz w:val="16"/>
          <w:szCs w:val="16"/>
          <w:lang w:val="es-ES"/>
        </w:rPr>
      </w:pPr>
      <w:r w:rsidRPr="008B6AC9">
        <w:rPr>
          <w:rStyle w:val="FootnoteReference"/>
          <w:rFonts w:cs="Calibri"/>
          <w:color w:val="auto"/>
          <w:sz w:val="16"/>
          <w:szCs w:val="16"/>
        </w:rPr>
        <w:footnoteRef/>
      </w:r>
      <w:r w:rsidRPr="008B6AC9">
        <w:rPr>
          <w:rFonts w:cs="Calibri"/>
          <w:color w:val="auto"/>
          <w:sz w:val="16"/>
          <w:szCs w:val="16"/>
          <w:lang w:val="es-ES"/>
        </w:rPr>
        <w:t xml:space="preserve"> Art. </w:t>
      </w:r>
      <w:r w:rsidRPr="008B6AC9">
        <w:rPr>
          <w:rFonts w:cs="Calibri"/>
          <w:bCs/>
          <w:color w:val="auto"/>
          <w:sz w:val="16"/>
          <w:szCs w:val="16"/>
          <w:lang w:val="es-ES"/>
        </w:rPr>
        <w:t xml:space="preserve">66.2 de la Convención Americana sobre Derechos Humanos: </w:t>
      </w:r>
      <w:r w:rsidRPr="008B6AC9">
        <w:rPr>
          <w:rFonts w:cs="Calibri"/>
          <w:color w:val="auto"/>
          <w:sz w:val="16"/>
          <w:szCs w:val="16"/>
          <w:lang w:val="es-ES"/>
        </w:rPr>
        <w:t>“Si el fallo no expresare en todo o en parte la opinión unánime de los jueces, cualquiera de éstos tendrá derecho a que se agregue al fallo su opinión disidente o individual”;  Art. 24.3 del Estatuto de la Corte: “Las decisiones, juicios y opiniones de la Corte se comunicarán en sesiones públicas y se notificarán por escrito a las partes. Además, se publicarán conjuntamente con los votos y opiniones separados de los jueces y con cualesquiera otros datos o antecedentes que la Corte considere conveniente” y Art. 65.2 del Reglamento de la Corte:</w:t>
      </w:r>
      <w:r w:rsidRPr="008B6AC9">
        <w:rPr>
          <w:rFonts w:eastAsia="Calibri" w:cs="Calibri"/>
          <w:color w:val="auto"/>
          <w:sz w:val="16"/>
          <w:szCs w:val="16"/>
          <w:lang w:val="es-ES"/>
        </w:rPr>
        <w:t xml:space="preserve"> “Todo Juez que haya participado en el examen de un caso tiene derecho a unir a la sentencia su voto concurrente o disidente que deberá ser razonado. Estos votos deberán ser </w:t>
      </w:r>
      <w:r w:rsidRPr="008B6AC9">
        <w:rPr>
          <w:rFonts w:eastAsia="Batang" w:cs="Calibri"/>
          <w:color w:val="auto"/>
          <w:sz w:val="16"/>
          <w:szCs w:val="16"/>
          <w:lang w:val="es-CR" w:eastAsia="es-MX"/>
        </w:rPr>
        <w:t>presentados</w:t>
      </w:r>
      <w:r w:rsidRPr="008B6AC9">
        <w:rPr>
          <w:rFonts w:eastAsia="Calibri" w:cs="Calibri"/>
          <w:color w:val="auto"/>
          <w:sz w:val="16"/>
          <w:szCs w:val="16"/>
          <w:lang w:val="es-ES"/>
        </w:rPr>
        <w:t xml:space="preserve"> dentro del plazo fijado por la Presidencia, de modo que puedan ser conocidos por los Jueces antes de la notificación de la sentencia. Dichos votos sólo podrán referirse a lo tratado en las sentencias.”</w:t>
      </w:r>
    </w:p>
  </w:footnote>
  <w:footnote w:id="271">
    <w:p w:rsidR="00E65148" w:rsidRPr="007B4873" w:rsidRDefault="00E65148" w:rsidP="007E3DB6">
      <w:pPr>
        <w:pStyle w:val="FootnoteText"/>
      </w:pPr>
      <w:r w:rsidRPr="000C6018">
        <w:rPr>
          <w:rStyle w:val="FootnoteReference"/>
        </w:rPr>
        <w:footnoteRef/>
      </w:r>
      <w:r w:rsidRPr="007B4873">
        <w:t xml:space="preserve"> En adelante la Sentencia.</w:t>
      </w:r>
    </w:p>
  </w:footnote>
  <w:footnote w:id="272">
    <w:p w:rsidR="00E65148" w:rsidRPr="007B4873" w:rsidRDefault="00E65148" w:rsidP="007E3DB6">
      <w:pPr>
        <w:pStyle w:val="FootnoteText"/>
      </w:pPr>
      <w:r w:rsidRPr="000C6018">
        <w:rPr>
          <w:rStyle w:val="FootnoteReference"/>
        </w:rPr>
        <w:footnoteRef/>
      </w:r>
      <w:r w:rsidRPr="007B4873">
        <w:t xml:space="preserve"> En adelante la Convención.</w:t>
      </w:r>
    </w:p>
  </w:footnote>
  <w:footnote w:id="273">
    <w:p w:rsidR="00E65148" w:rsidRPr="007B4873" w:rsidRDefault="00E65148" w:rsidP="007E3DB6">
      <w:pPr>
        <w:pStyle w:val="FootnoteText"/>
      </w:pPr>
      <w:r w:rsidRPr="000C6018">
        <w:rPr>
          <w:rStyle w:val="FootnoteReference"/>
        </w:rPr>
        <w:footnoteRef/>
      </w:r>
      <w:r w:rsidRPr="007B4873">
        <w:t xml:space="preserve"> En adelante el Estado.</w:t>
      </w:r>
    </w:p>
  </w:footnote>
  <w:footnote w:id="274">
    <w:p w:rsidR="00E65148" w:rsidRPr="007B4873" w:rsidRDefault="00E65148" w:rsidP="007E3DB6">
      <w:pPr>
        <w:spacing w:after="120"/>
        <w:rPr>
          <w:spacing w:val="-2"/>
          <w:sz w:val="16"/>
          <w:szCs w:val="16"/>
        </w:rPr>
      </w:pPr>
      <w:r w:rsidRPr="007B4873">
        <w:rPr>
          <w:rStyle w:val="FootnoteReference"/>
          <w:sz w:val="16"/>
          <w:szCs w:val="16"/>
        </w:rPr>
        <w:footnoteRef/>
      </w:r>
      <w:r w:rsidRPr="007B4873">
        <w:rPr>
          <w:sz w:val="16"/>
          <w:szCs w:val="16"/>
        </w:rPr>
        <w:t xml:space="preserve"> Voto Individual Disidente del Juez Eduardo Vio Grossi, </w:t>
      </w:r>
      <w:r w:rsidRPr="007B4873">
        <w:rPr>
          <w:i/>
          <w:sz w:val="16"/>
          <w:szCs w:val="16"/>
        </w:rPr>
        <w:t xml:space="preserve">Caso </w:t>
      </w:r>
      <w:r w:rsidRPr="007B4873">
        <w:rPr>
          <w:i/>
          <w:spacing w:val="-2"/>
          <w:sz w:val="16"/>
          <w:szCs w:val="16"/>
        </w:rPr>
        <w:t>Comunidad Campesina Santa Bárbara VS. Perú</w:t>
      </w:r>
      <w:r w:rsidRPr="007B4873">
        <w:rPr>
          <w:spacing w:val="-2"/>
          <w:sz w:val="16"/>
          <w:szCs w:val="16"/>
        </w:rPr>
        <w:t xml:space="preserve">, Sentencia de 1 de septiembre de 2015, (Excepciones Preliminares, Fondo, Reparaciones y Costas); </w:t>
      </w:r>
      <w:r w:rsidRPr="007B4873">
        <w:rPr>
          <w:rFonts w:cs="Calibri"/>
          <w:sz w:val="16"/>
          <w:szCs w:val="16"/>
        </w:rPr>
        <w:t xml:space="preserve">Voto Individual Disidente del Juez Eduardo Vio Grossi, </w:t>
      </w:r>
      <w:r w:rsidRPr="007B4873">
        <w:rPr>
          <w:rFonts w:cs="Calibri"/>
          <w:i/>
          <w:sz w:val="16"/>
          <w:szCs w:val="16"/>
        </w:rPr>
        <w:t xml:space="preserve">Caso Wong Ho </w:t>
      </w:r>
      <w:proofErr w:type="spellStart"/>
      <w:r w:rsidRPr="007B4873">
        <w:rPr>
          <w:rFonts w:cs="Calibri"/>
          <w:i/>
          <w:sz w:val="16"/>
          <w:szCs w:val="16"/>
        </w:rPr>
        <w:t>Wing</w:t>
      </w:r>
      <w:proofErr w:type="spellEnd"/>
      <w:r w:rsidRPr="007B4873">
        <w:rPr>
          <w:rFonts w:cs="Calibri"/>
          <w:i/>
          <w:sz w:val="16"/>
          <w:szCs w:val="16"/>
        </w:rPr>
        <w:t xml:space="preserve"> Vs. Perú</w:t>
      </w:r>
      <w:r w:rsidRPr="007B4873">
        <w:rPr>
          <w:rFonts w:cs="Calibri"/>
          <w:sz w:val="16"/>
          <w:szCs w:val="16"/>
        </w:rPr>
        <w:t xml:space="preserve">, Sentencia de 30 de junio de 2015, </w:t>
      </w:r>
      <w:r w:rsidRPr="007B4873">
        <w:rPr>
          <w:rFonts w:cs="Calibri"/>
          <w:snapToGrid w:val="0"/>
          <w:sz w:val="16"/>
          <w:szCs w:val="16"/>
        </w:rPr>
        <w:t xml:space="preserve">(Excepción Preliminar, Fondo, Reparaciones y Costas); </w:t>
      </w:r>
      <w:r w:rsidRPr="007B4873">
        <w:rPr>
          <w:rFonts w:cs="Calibri"/>
          <w:sz w:val="16"/>
          <w:szCs w:val="16"/>
        </w:rPr>
        <w:t xml:space="preserve">Voto Individual Disidente del Juez Eduardo Vio Grossi, </w:t>
      </w:r>
      <w:r w:rsidRPr="007B4873">
        <w:rPr>
          <w:rFonts w:cs="Calibri"/>
          <w:i/>
          <w:sz w:val="16"/>
          <w:szCs w:val="16"/>
        </w:rPr>
        <w:t>Caso Cruz Sánchez y Otros Vs. Perú</w:t>
      </w:r>
      <w:r w:rsidRPr="007B4873">
        <w:rPr>
          <w:rFonts w:cs="Calibri"/>
          <w:sz w:val="16"/>
          <w:szCs w:val="16"/>
        </w:rPr>
        <w:t xml:space="preserve">, Sentencia de 17 de abril de 2015. </w:t>
      </w:r>
      <w:r w:rsidRPr="007B4873">
        <w:rPr>
          <w:rFonts w:cs="Calibri"/>
          <w:snapToGrid w:val="0"/>
          <w:sz w:val="16"/>
          <w:szCs w:val="16"/>
        </w:rPr>
        <w:t xml:space="preserve">(Excepciones Preliminares, Fondo, Reparaciones y Costas), Voto Individual Disidente del Juez Eduardo Vio Grossi, </w:t>
      </w:r>
      <w:r w:rsidRPr="007B4873">
        <w:rPr>
          <w:rFonts w:cs="Calibri"/>
          <w:i/>
          <w:snapToGrid w:val="0"/>
          <w:sz w:val="16"/>
          <w:szCs w:val="16"/>
        </w:rPr>
        <w:t xml:space="preserve">Caso </w:t>
      </w:r>
      <w:proofErr w:type="spellStart"/>
      <w:r w:rsidRPr="007B4873">
        <w:rPr>
          <w:rFonts w:cs="Calibri"/>
          <w:i/>
          <w:snapToGrid w:val="0"/>
          <w:sz w:val="16"/>
          <w:szCs w:val="16"/>
        </w:rPr>
        <w:t>Liakat</w:t>
      </w:r>
      <w:proofErr w:type="spellEnd"/>
      <w:r w:rsidRPr="007B4873">
        <w:rPr>
          <w:rFonts w:cs="Calibri"/>
          <w:i/>
          <w:snapToGrid w:val="0"/>
          <w:sz w:val="16"/>
          <w:szCs w:val="16"/>
        </w:rPr>
        <w:t xml:space="preserve"> </w:t>
      </w:r>
      <w:proofErr w:type="spellStart"/>
      <w:r w:rsidRPr="007B4873">
        <w:rPr>
          <w:rFonts w:cs="Calibri"/>
          <w:i/>
          <w:snapToGrid w:val="0"/>
          <w:sz w:val="16"/>
          <w:szCs w:val="16"/>
        </w:rPr>
        <w:t>AliBux</w:t>
      </w:r>
      <w:proofErr w:type="spellEnd"/>
      <w:r w:rsidRPr="007B4873">
        <w:rPr>
          <w:rFonts w:cs="Calibri"/>
          <w:i/>
          <w:snapToGrid w:val="0"/>
          <w:sz w:val="16"/>
          <w:szCs w:val="16"/>
        </w:rPr>
        <w:t xml:space="preserve"> Vs </w:t>
      </w:r>
      <w:proofErr w:type="spellStart"/>
      <w:r w:rsidRPr="007B4873">
        <w:rPr>
          <w:rFonts w:cs="Calibri"/>
          <w:i/>
          <w:snapToGrid w:val="0"/>
          <w:sz w:val="16"/>
          <w:szCs w:val="16"/>
        </w:rPr>
        <w:t>Suriname</w:t>
      </w:r>
      <w:proofErr w:type="spellEnd"/>
      <w:r w:rsidRPr="007B4873">
        <w:rPr>
          <w:rFonts w:cs="Calibri"/>
          <w:snapToGrid w:val="0"/>
          <w:sz w:val="16"/>
          <w:szCs w:val="16"/>
        </w:rPr>
        <w:t>, Sentencia de 30 de enero de 2014, (Excepciones Preliminares, Fondo, Reparaciones y Costas) y</w:t>
      </w:r>
      <w:r w:rsidRPr="007B4873">
        <w:rPr>
          <w:rFonts w:cs="Calibri"/>
          <w:caps/>
          <w:snapToGrid w:val="0"/>
          <w:sz w:val="16"/>
          <w:szCs w:val="16"/>
        </w:rPr>
        <w:t xml:space="preserve"> </w:t>
      </w:r>
      <w:r w:rsidRPr="007B4873">
        <w:rPr>
          <w:rFonts w:cs="Calibri"/>
          <w:sz w:val="16"/>
          <w:szCs w:val="16"/>
        </w:rPr>
        <w:t xml:space="preserve">Voto Individual Disidente del juez Eduardo Vio Grossi, </w:t>
      </w:r>
      <w:r w:rsidRPr="007B4873">
        <w:rPr>
          <w:rFonts w:cs="Calibri"/>
          <w:i/>
          <w:sz w:val="16"/>
          <w:szCs w:val="16"/>
        </w:rPr>
        <w:t>Caso Díaz Peña Vs. Venezuela</w:t>
      </w:r>
      <w:r w:rsidRPr="007B4873">
        <w:rPr>
          <w:rFonts w:cs="Calibri"/>
          <w:sz w:val="16"/>
          <w:szCs w:val="16"/>
        </w:rPr>
        <w:t xml:space="preserve">, Sentencia de 26 de junio de 2012 (Excepción Preliminar, Fondo, Reparaciones y Costas). </w:t>
      </w:r>
    </w:p>
  </w:footnote>
  <w:footnote w:id="275">
    <w:p w:rsidR="00E65148" w:rsidRPr="007B4873" w:rsidRDefault="00E65148" w:rsidP="007E3DB6">
      <w:pPr>
        <w:autoSpaceDE w:val="0"/>
        <w:autoSpaceDN w:val="0"/>
        <w:adjustRightInd w:val="0"/>
        <w:spacing w:after="120"/>
        <w:rPr>
          <w:rFonts w:cs="Verdana"/>
          <w:sz w:val="16"/>
          <w:szCs w:val="16"/>
          <w:lang w:eastAsia="es-CL"/>
        </w:rPr>
      </w:pPr>
      <w:r w:rsidRPr="007B4873">
        <w:rPr>
          <w:rStyle w:val="FootnoteReference"/>
          <w:sz w:val="16"/>
          <w:szCs w:val="16"/>
        </w:rPr>
        <w:footnoteRef/>
      </w:r>
      <w:r w:rsidRPr="007B4873">
        <w:rPr>
          <w:sz w:val="16"/>
          <w:szCs w:val="16"/>
        </w:rPr>
        <w:t xml:space="preserve"> Ver nota Nº 1.</w:t>
      </w:r>
    </w:p>
  </w:footnote>
  <w:footnote w:id="276">
    <w:p w:rsidR="00E65148" w:rsidRPr="007B4873" w:rsidRDefault="00E65148" w:rsidP="007E3DB6">
      <w:pPr>
        <w:rPr>
          <w:rFonts w:cs="Calibri"/>
          <w:sz w:val="16"/>
          <w:szCs w:val="16"/>
        </w:rPr>
      </w:pPr>
      <w:r w:rsidRPr="007B4873">
        <w:rPr>
          <w:rStyle w:val="FootnoteReference"/>
          <w:rFonts w:cs="Calibri"/>
          <w:sz w:val="16"/>
          <w:szCs w:val="16"/>
        </w:rPr>
        <w:footnoteRef/>
      </w:r>
      <w:r w:rsidRPr="007B4873">
        <w:rPr>
          <w:rFonts w:cs="Calibri"/>
          <w:sz w:val="16"/>
          <w:szCs w:val="16"/>
        </w:rPr>
        <w:t xml:space="preserve"> Ver nota Nº 5. </w:t>
      </w:r>
    </w:p>
    <w:p w:rsidR="00E65148" w:rsidRPr="007B4873" w:rsidRDefault="00E65148" w:rsidP="007E3DB6">
      <w:pPr>
        <w:rPr>
          <w:sz w:val="16"/>
          <w:szCs w:val="16"/>
        </w:rPr>
      </w:pPr>
    </w:p>
  </w:footnote>
  <w:footnote w:id="277">
    <w:p w:rsidR="00E65148" w:rsidRPr="008B6AC9" w:rsidRDefault="00E65148" w:rsidP="007E3DB6">
      <w:pPr>
        <w:pStyle w:val="FootnoteText"/>
        <w:rPr>
          <w:shd w:val="clear" w:color="auto" w:fill="FFFFFF"/>
        </w:rPr>
      </w:pPr>
      <w:r w:rsidRPr="008B6AC9">
        <w:rPr>
          <w:rStyle w:val="FootnoteReference"/>
        </w:rPr>
        <w:footnoteRef/>
      </w:r>
      <w:r w:rsidRPr="008B6AC9">
        <w:t xml:space="preserve"> </w:t>
      </w:r>
      <w:r w:rsidRPr="008B6AC9">
        <w:rPr>
          <w:lang w:val="es-ES"/>
        </w:rPr>
        <w:t>En el mismo sentido, art. 95.2 del Reglamento de la Corte Internacional de Justicia: “</w:t>
      </w:r>
      <w:r w:rsidRPr="008B6AC9">
        <w:rPr>
          <w:shd w:val="clear" w:color="auto" w:fill="FFFFFF"/>
        </w:rPr>
        <w:t xml:space="preserve">Cualquier juez podrá, si así lo desea, agregar al fallo su opinión separada o disidente el juez que desee hacer constar su acuerdo o disentimiento sin explicar los motivos podrá hacerlo en la forma de una declaración. La misma regla se aplicará a las providencias dictadas por la Corte.” </w:t>
      </w:r>
    </w:p>
    <w:p w:rsidR="00E65148" w:rsidRPr="008B6AC9" w:rsidRDefault="00E65148" w:rsidP="007E3DB6">
      <w:pPr>
        <w:pStyle w:val="FootnoteText"/>
        <w:rPr>
          <w:shd w:val="clear" w:color="auto" w:fill="FFFFFF"/>
        </w:rPr>
      </w:pPr>
      <w:r w:rsidRPr="008B6AC9">
        <w:rPr>
          <w:shd w:val="clear" w:color="auto" w:fill="FFFFFF"/>
        </w:rPr>
        <w:t>Igualmente, art. 74.2 del Reglamento del Tribunal Europeo de Derechos Humanos: “</w:t>
      </w:r>
      <w:proofErr w:type="spellStart"/>
      <w:r w:rsidRPr="008B6AC9">
        <w:t>Tout</w:t>
      </w:r>
      <w:proofErr w:type="spellEnd"/>
      <w:r w:rsidRPr="008B6AC9">
        <w:t xml:space="preserve"> </w:t>
      </w:r>
      <w:proofErr w:type="spellStart"/>
      <w:r w:rsidRPr="008B6AC9">
        <w:t>juge</w:t>
      </w:r>
      <w:proofErr w:type="spellEnd"/>
      <w:r w:rsidRPr="008B6AC9">
        <w:t xml:space="preserve"> </w:t>
      </w:r>
      <w:proofErr w:type="spellStart"/>
      <w:r w:rsidRPr="008B6AC9">
        <w:t>qui</w:t>
      </w:r>
      <w:proofErr w:type="spellEnd"/>
      <w:r w:rsidRPr="008B6AC9">
        <w:t xml:space="preserve"> a </w:t>
      </w:r>
      <w:proofErr w:type="spellStart"/>
      <w:r w:rsidRPr="008B6AC9">
        <w:t>pris</w:t>
      </w:r>
      <w:proofErr w:type="spellEnd"/>
      <w:r w:rsidRPr="008B6AC9">
        <w:t xml:space="preserve"> </w:t>
      </w:r>
      <w:proofErr w:type="spellStart"/>
      <w:r w:rsidRPr="008B6AC9">
        <w:t>part</w:t>
      </w:r>
      <w:proofErr w:type="spellEnd"/>
      <w:r w:rsidRPr="008B6AC9">
        <w:t xml:space="preserve"> à </w:t>
      </w:r>
      <w:proofErr w:type="spellStart"/>
      <w:r w:rsidRPr="008B6AC9">
        <w:t>l’examen</w:t>
      </w:r>
      <w:proofErr w:type="spellEnd"/>
      <w:r w:rsidRPr="008B6AC9">
        <w:t xml:space="preserve"> de </w:t>
      </w:r>
      <w:proofErr w:type="spellStart"/>
      <w:r w:rsidRPr="008B6AC9">
        <w:t>l’affaire</w:t>
      </w:r>
      <w:proofErr w:type="spellEnd"/>
      <w:r w:rsidRPr="008B6AC9">
        <w:t xml:space="preserve"> par une chambre </w:t>
      </w:r>
      <w:proofErr w:type="spellStart"/>
      <w:r w:rsidRPr="008B6AC9">
        <w:t>ou</w:t>
      </w:r>
      <w:proofErr w:type="spellEnd"/>
      <w:r w:rsidRPr="008B6AC9">
        <w:t xml:space="preserve"> </w:t>
      </w:r>
      <w:proofErr w:type="spellStart"/>
      <w:r w:rsidRPr="008B6AC9">
        <w:t>par</w:t>
      </w:r>
      <w:proofErr w:type="spellEnd"/>
      <w:r w:rsidRPr="008B6AC9">
        <w:t xml:space="preserve"> la Grande Chambre a le </w:t>
      </w:r>
      <w:proofErr w:type="spellStart"/>
      <w:r w:rsidRPr="008B6AC9">
        <w:t>droit</w:t>
      </w:r>
      <w:proofErr w:type="spellEnd"/>
      <w:r w:rsidRPr="008B6AC9">
        <w:t xml:space="preserve"> de </w:t>
      </w:r>
      <w:proofErr w:type="spellStart"/>
      <w:r w:rsidRPr="008B6AC9">
        <w:t>joindre</w:t>
      </w:r>
      <w:proofErr w:type="spellEnd"/>
      <w:r w:rsidRPr="008B6AC9">
        <w:t xml:space="preserve"> à </w:t>
      </w:r>
      <w:proofErr w:type="spellStart"/>
      <w:r w:rsidRPr="008B6AC9">
        <w:t>l’arrêt</w:t>
      </w:r>
      <w:proofErr w:type="spellEnd"/>
      <w:r w:rsidRPr="008B6AC9">
        <w:t xml:space="preserve"> </w:t>
      </w:r>
      <w:proofErr w:type="spellStart"/>
      <w:r w:rsidRPr="008B6AC9">
        <w:t>soit</w:t>
      </w:r>
      <w:proofErr w:type="spellEnd"/>
      <w:r w:rsidRPr="008B6AC9">
        <w:t xml:space="preserve"> </w:t>
      </w:r>
      <w:proofErr w:type="spellStart"/>
      <w:r w:rsidRPr="008B6AC9">
        <w:t>l’exposé</w:t>
      </w:r>
      <w:proofErr w:type="spellEnd"/>
      <w:r w:rsidRPr="008B6AC9">
        <w:t xml:space="preserve"> de son </w:t>
      </w:r>
      <w:proofErr w:type="spellStart"/>
      <w:r w:rsidRPr="008B6AC9">
        <w:t>opinion</w:t>
      </w:r>
      <w:proofErr w:type="spellEnd"/>
      <w:r w:rsidRPr="008B6AC9">
        <w:t xml:space="preserve"> </w:t>
      </w:r>
      <w:proofErr w:type="spellStart"/>
      <w:r w:rsidRPr="008B6AC9">
        <w:t>séparée</w:t>
      </w:r>
      <w:proofErr w:type="spellEnd"/>
      <w:r w:rsidRPr="008B6AC9">
        <w:t xml:space="preserve">, concordante </w:t>
      </w:r>
      <w:proofErr w:type="spellStart"/>
      <w:r w:rsidRPr="008B6AC9">
        <w:t>ou</w:t>
      </w:r>
      <w:proofErr w:type="spellEnd"/>
      <w:r w:rsidRPr="008B6AC9">
        <w:t xml:space="preserve"> </w:t>
      </w:r>
      <w:proofErr w:type="spellStart"/>
      <w:r w:rsidRPr="008B6AC9">
        <w:t>dissidente</w:t>
      </w:r>
      <w:proofErr w:type="spellEnd"/>
      <w:r w:rsidRPr="008B6AC9">
        <w:t xml:space="preserve">, </w:t>
      </w:r>
      <w:proofErr w:type="spellStart"/>
      <w:r w:rsidRPr="008B6AC9">
        <w:t>soit</w:t>
      </w:r>
      <w:proofErr w:type="spellEnd"/>
      <w:r w:rsidRPr="008B6AC9">
        <w:t xml:space="preserve"> une simple </w:t>
      </w:r>
      <w:proofErr w:type="spellStart"/>
      <w:r w:rsidRPr="008B6AC9">
        <w:t>déclaration</w:t>
      </w:r>
      <w:proofErr w:type="spellEnd"/>
      <w:r w:rsidRPr="008B6AC9">
        <w:t xml:space="preserve"> de </w:t>
      </w:r>
      <w:proofErr w:type="spellStart"/>
      <w:r w:rsidRPr="008B6AC9">
        <w:t>dissentiment</w:t>
      </w:r>
      <w:proofErr w:type="spellEnd"/>
      <w:r w:rsidRPr="008B6AC9">
        <w:t>.”</w:t>
      </w:r>
    </w:p>
  </w:footnote>
  <w:footnote w:id="278">
    <w:p w:rsidR="00E65148" w:rsidRPr="008B6AC9" w:rsidRDefault="00E65148" w:rsidP="007E3DB6">
      <w:pPr>
        <w:pStyle w:val="NormalWeb"/>
        <w:spacing w:before="0" w:beforeAutospacing="0" w:after="0" w:afterAutospacing="0"/>
        <w:jc w:val="both"/>
        <w:rPr>
          <w:rFonts w:cs="Tahoma"/>
          <w:color w:val="auto"/>
          <w:sz w:val="16"/>
          <w:szCs w:val="16"/>
          <w:lang w:val="es-ES"/>
        </w:rPr>
      </w:pPr>
      <w:r w:rsidRPr="008B6AC9">
        <w:rPr>
          <w:rStyle w:val="FootnoteReference"/>
          <w:color w:val="auto"/>
          <w:sz w:val="16"/>
          <w:szCs w:val="16"/>
        </w:rPr>
        <w:footnoteRef/>
      </w:r>
      <w:r w:rsidRPr="008B6AC9">
        <w:rPr>
          <w:color w:val="auto"/>
          <w:sz w:val="16"/>
          <w:szCs w:val="16"/>
          <w:lang w:val="es-ES"/>
        </w:rPr>
        <w:t xml:space="preserve"> Art 33:”</w:t>
      </w:r>
      <w:r w:rsidRPr="008B6AC9">
        <w:rPr>
          <w:rFonts w:cs="Tahoma"/>
          <w:color w:val="auto"/>
          <w:sz w:val="16"/>
          <w:szCs w:val="16"/>
          <w:lang w:val="es-ES"/>
        </w:rPr>
        <w:t xml:space="preserve">Son competentes para conocer de los asuntos relacionados con el cumplimiento de los compromisos contraídos por los Estados Partes en esta Convención: </w:t>
      </w:r>
    </w:p>
    <w:p w:rsidR="00E65148" w:rsidRPr="008B6AC9" w:rsidRDefault="00E65148" w:rsidP="007E3DB6">
      <w:pPr>
        <w:pStyle w:val="NormalWeb"/>
        <w:spacing w:before="0" w:beforeAutospacing="0" w:after="0" w:afterAutospacing="0"/>
        <w:jc w:val="both"/>
        <w:rPr>
          <w:rFonts w:cs="Tahoma"/>
          <w:color w:val="auto"/>
          <w:sz w:val="16"/>
          <w:szCs w:val="16"/>
          <w:lang w:val="es-ES"/>
        </w:rPr>
      </w:pPr>
      <w:r w:rsidRPr="008B6AC9">
        <w:rPr>
          <w:rFonts w:cs="Tahoma"/>
          <w:color w:val="auto"/>
          <w:sz w:val="16"/>
          <w:szCs w:val="16"/>
          <w:lang w:val="es-ES"/>
        </w:rPr>
        <w:t>a) la Comisión Interamericana de Derechos Humanos, llamada en adelante la Comisión, y  </w:t>
      </w:r>
    </w:p>
    <w:p w:rsidR="00E65148" w:rsidRPr="008B6AC9" w:rsidRDefault="00E65148" w:rsidP="007E3DB6">
      <w:pPr>
        <w:pStyle w:val="NormalWeb"/>
        <w:spacing w:before="0" w:beforeAutospacing="0" w:after="120" w:afterAutospacing="0"/>
        <w:jc w:val="both"/>
        <w:rPr>
          <w:rFonts w:cs="Tahoma"/>
          <w:color w:val="auto"/>
          <w:sz w:val="16"/>
          <w:szCs w:val="16"/>
          <w:lang w:val="es-ES"/>
        </w:rPr>
      </w:pPr>
      <w:r w:rsidRPr="008B6AC9">
        <w:rPr>
          <w:rFonts w:cs="Tahoma"/>
          <w:color w:val="auto"/>
          <w:sz w:val="16"/>
          <w:szCs w:val="16"/>
          <w:lang w:val="es-ES"/>
        </w:rPr>
        <w:t>b) la Corte Interamericana de Derechos Humanos, llamada en adelante la Corte.”</w:t>
      </w:r>
    </w:p>
  </w:footnote>
  <w:footnote w:id="279">
    <w:p w:rsidR="00E65148" w:rsidRPr="008B6AC9" w:rsidRDefault="00E65148" w:rsidP="007E3DB6">
      <w:pPr>
        <w:pStyle w:val="NormalWeb"/>
        <w:spacing w:before="0" w:beforeAutospacing="0" w:after="120" w:afterAutospacing="0"/>
        <w:jc w:val="both"/>
        <w:rPr>
          <w:rFonts w:cs="Calibri"/>
          <w:color w:val="auto"/>
          <w:sz w:val="16"/>
          <w:szCs w:val="16"/>
          <w:lang w:val="es-ES"/>
        </w:rPr>
      </w:pPr>
      <w:r w:rsidRPr="008B6AC9">
        <w:rPr>
          <w:rStyle w:val="FootnoteReference"/>
          <w:rFonts w:cs="Calibri"/>
          <w:color w:val="auto"/>
          <w:sz w:val="16"/>
          <w:szCs w:val="16"/>
        </w:rPr>
        <w:footnoteRef/>
      </w:r>
      <w:r w:rsidRPr="008B6AC9">
        <w:rPr>
          <w:rFonts w:cs="Calibri"/>
          <w:color w:val="auto"/>
          <w:sz w:val="16"/>
          <w:szCs w:val="16"/>
          <w:lang w:val="es-ES"/>
        </w:rPr>
        <w:t xml:space="preserve"> Art. 62.3 de la Convención: “La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 </w:t>
      </w:r>
    </w:p>
  </w:footnote>
  <w:footnote w:id="280">
    <w:p w:rsidR="00E65148" w:rsidRPr="008B6AC9" w:rsidRDefault="00E65148" w:rsidP="007E3DB6">
      <w:pPr>
        <w:pStyle w:val="NormalWeb"/>
        <w:spacing w:before="0" w:beforeAutospacing="0" w:after="0" w:afterAutospacing="0"/>
        <w:jc w:val="both"/>
        <w:rPr>
          <w:rFonts w:cs="Tahoma"/>
          <w:color w:val="auto"/>
          <w:sz w:val="16"/>
          <w:szCs w:val="16"/>
          <w:lang w:val="es-ES"/>
        </w:rPr>
      </w:pPr>
      <w:r w:rsidRPr="008B6AC9">
        <w:rPr>
          <w:rStyle w:val="FootnoteReference"/>
          <w:rFonts w:cs="Calibri"/>
          <w:color w:val="auto"/>
          <w:sz w:val="16"/>
          <w:szCs w:val="16"/>
        </w:rPr>
        <w:footnoteRef/>
      </w:r>
      <w:r w:rsidRPr="008B6AC9">
        <w:rPr>
          <w:rFonts w:cs="Calibri"/>
          <w:color w:val="auto"/>
          <w:sz w:val="16"/>
          <w:szCs w:val="16"/>
          <w:lang w:val="es-ES"/>
        </w:rPr>
        <w:t xml:space="preserve"> Art. 41 de la Convención: “</w:t>
      </w:r>
      <w:r w:rsidRPr="008B6AC9">
        <w:rPr>
          <w:rFonts w:cs="Tahoma"/>
          <w:color w:val="auto"/>
          <w:sz w:val="16"/>
          <w:szCs w:val="16"/>
          <w:lang w:val="es-ES"/>
        </w:rPr>
        <w:t xml:space="preserve">La Comisión tiene la función principal de promover la observancia y la defensa de los derechos humanos, y en el ejercicio de su mandato tiene las siguientes funciones y atribuciones: </w:t>
      </w:r>
    </w:p>
    <w:p w:rsidR="00E65148" w:rsidRPr="008B6AC9" w:rsidRDefault="00E65148" w:rsidP="007E3DB6">
      <w:pPr>
        <w:pStyle w:val="NormalWeb"/>
        <w:spacing w:before="0" w:beforeAutospacing="0" w:after="0" w:afterAutospacing="0"/>
        <w:jc w:val="both"/>
        <w:rPr>
          <w:rFonts w:cs="Tahoma"/>
          <w:color w:val="auto"/>
          <w:sz w:val="16"/>
          <w:szCs w:val="16"/>
          <w:lang w:val="es-ES"/>
        </w:rPr>
      </w:pPr>
      <w:r w:rsidRPr="008B6AC9">
        <w:rPr>
          <w:rFonts w:cs="Tahoma"/>
          <w:color w:val="auto"/>
          <w:sz w:val="16"/>
          <w:szCs w:val="16"/>
          <w:lang w:val="es-ES"/>
        </w:rPr>
        <w:t xml:space="preserve">a) estimular la conciencia de los derechos humanos en los pueblos de América; </w:t>
      </w:r>
    </w:p>
    <w:p w:rsidR="00E65148" w:rsidRPr="008B6AC9" w:rsidRDefault="00E65148" w:rsidP="007E3DB6">
      <w:pPr>
        <w:pStyle w:val="NormalWeb"/>
        <w:spacing w:before="0" w:beforeAutospacing="0" w:after="0" w:afterAutospacing="0"/>
        <w:jc w:val="both"/>
        <w:rPr>
          <w:rFonts w:cs="Tahoma"/>
          <w:color w:val="auto"/>
          <w:sz w:val="16"/>
          <w:szCs w:val="16"/>
          <w:lang w:val="es-ES"/>
        </w:rPr>
      </w:pPr>
      <w:r w:rsidRPr="008B6AC9">
        <w:rPr>
          <w:rFonts w:cs="Tahoma"/>
          <w:color w:val="auto"/>
          <w:sz w:val="16"/>
          <w:szCs w:val="16"/>
          <w:lang w:val="es-ES"/>
        </w:rPr>
        <w:t xml:space="preserve">b) formular recomendaciones, cuando lo estime conveniente, a los gobiernos de los Estados miembros para que adopten medidas progresivas en favor de los derechos humanos dentro del marco de sus leyes internas y sus preceptos constitucionales, al igual que disposiciones apropiadas para fomentar el debido respeto a esos derechos; </w:t>
      </w:r>
    </w:p>
    <w:p w:rsidR="00E65148" w:rsidRPr="008B6AC9" w:rsidRDefault="00E65148" w:rsidP="007E3DB6">
      <w:pPr>
        <w:pStyle w:val="NormalWeb"/>
        <w:spacing w:before="0" w:beforeAutospacing="0" w:after="0" w:afterAutospacing="0"/>
        <w:jc w:val="both"/>
        <w:rPr>
          <w:rFonts w:cs="Tahoma"/>
          <w:color w:val="auto"/>
          <w:sz w:val="16"/>
          <w:szCs w:val="16"/>
          <w:lang w:val="es-ES"/>
        </w:rPr>
      </w:pPr>
      <w:r w:rsidRPr="008B6AC9">
        <w:rPr>
          <w:rFonts w:cs="Tahoma"/>
          <w:color w:val="auto"/>
          <w:sz w:val="16"/>
          <w:szCs w:val="16"/>
          <w:lang w:val="es-ES"/>
        </w:rPr>
        <w:t xml:space="preserve">c) preparar los estudios e informes que considere convenientes para el desempeño de sus funciones; </w:t>
      </w:r>
    </w:p>
    <w:p w:rsidR="00E65148" w:rsidRPr="008B6AC9" w:rsidRDefault="00E65148" w:rsidP="007E3DB6">
      <w:pPr>
        <w:pStyle w:val="NormalWeb"/>
        <w:spacing w:before="0" w:beforeAutospacing="0" w:after="0" w:afterAutospacing="0"/>
        <w:jc w:val="both"/>
        <w:rPr>
          <w:rFonts w:cs="Tahoma"/>
          <w:color w:val="auto"/>
          <w:sz w:val="16"/>
          <w:szCs w:val="16"/>
          <w:lang w:val="es-ES"/>
        </w:rPr>
      </w:pPr>
      <w:r w:rsidRPr="008B6AC9">
        <w:rPr>
          <w:rFonts w:cs="Tahoma"/>
          <w:color w:val="auto"/>
          <w:sz w:val="16"/>
          <w:szCs w:val="16"/>
          <w:lang w:val="es-ES"/>
        </w:rPr>
        <w:t xml:space="preserve">d) solicitar de los gobiernos de los Estados miembros que le proporcionen informes sobre las medidas que adopten en materia de derechos humanos; </w:t>
      </w:r>
    </w:p>
    <w:p w:rsidR="00E65148" w:rsidRPr="008B6AC9" w:rsidRDefault="00E65148" w:rsidP="007E3DB6">
      <w:pPr>
        <w:pStyle w:val="NormalWeb"/>
        <w:spacing w:before="0" w:beforeAutospacing="0" w:after="0" w:afterAutospacing="0"/>
        <w:jc w:val="both"/>
        <w:rPr>
          <w:rFonts w:cs="Tahoma"/>
          <w:color w:val="auto"/>
          <w:sz w:val="16"/>
          <w:szCs w:val="16"/>
          <w:lang w:val="es-ES"/>
        </w:rPr>
      </w:pPr>
      <w:r w:rsidRPr="008B6AC9">
        <w:rPr>
          <w:rFonts w:cs="Tahoma"/>
          <w:color w:val="auto"/>
          <w:sz w:val="16"/>
          <w:szCs w:val="16"/>
          <w:lang w:val="es-ES"/>
        </w:rPr>
        <w:t xml:space="preserve">e) atender las consultas que, por medio de la Secretaría General de la Organización de los Estados Americanos, le formulen los Estados miembros en cuestiones relacionadas con los derechos humanos y, dentro de sus posibilidades, les prestará el asesoramiento que éstos le soliciten; </w:t>
      </w:r>
    </w:p>
    <w:p w:rsidR="00E65148" w:rsidRPr="008B6AC9" w:rsidRDefault="00E65148" w:rsidP="007E3DB6">
      <w:pPr>
        <w:pStyle w:val="NormalWeb"/>
        <w:spacing w:before="0" w:beforeAutospacing="0" w:after="0" w:afterAutospacing="0"/>
        <w:jc w:val="both"/>
        <w:rPr>
          <w:rFonts w:cs="Tahoma"/>
          <w:color w:val="auto"/>
          <w:sz w:val="16"/>
          <w:szCs w:val="16"/>
          <w:lang w:val="es-ES"/>
        </w:rPr>
      </w:pPr>
      <w:r w:rsidRPr="008B6AC9">
        <w:rPr>
          <w:rFonts w:cs="Tahoma"/>
          <w:color w:val="auto"/>
          <w:sz w:val="16"/>
          <w:szCs w:val="16"/>
          <w:lang w:val="es-ES"/>
        </w:rPr>
        <w:t xml:space="preserve">f) actuar respecto de las peticiones y otras comunicaciones en ejercicio de su autoridad de conformidad con lo dispuesto en los artículos 44 al 51 de esta Convención, y </w:t>
      </w:r>
    </w:p>
    <w:p w:rsidR="00E65148" w:rsidRPr="007E3DB6" w:rsidRDefault="00E65148" w:rsidP="007E3DB6">
      <w:pPr>
        <w:pStyle w:val="NormalWeb"/>
        <w:spacing w:before="0" w:beforeAutospacing="0" w:after="120" w:afterAutospacing="0"/>
        <w:jc w:val="both"/>
        <w:rPr>
          <w:rFonts w:cs="Tahoma"/>
          <w:sz w:val="16"/>
          <w:szCs w:val="16"/>
          <w:lang w:val="es-ES"/>
        </w:rPr>
      </w:pPr>
      <w:r w:rsidRPr="008B6AC9">
        <w:rPr>
          <w:rFonts w:cs="Tahoma"/>
          <w:color w:val="auto"/>
          <w:sz w:val="16"/>
          <w:szCs w:val="16"/>
          <w:lang w:val="es-ES"/>
        </w:rPr>
        <w:t>g) rendir un informe anual a la Asamblea General de la Organización de los Estados Americanos.”</w:t>
      </w:r>
    </w:p>
  </w:footnote>
  <w:footnote w:id="281">
    <w:p w:rsidR="00E65148" w:rsidRPr="008B6AC9" w:rsidRDefault="00E65148" w:rsidP="007E3DB6">
      <w:pPr>
        <w:rPr>
          <w:rFonts w:eastAsia="Times New Roman"/>
          <w:sz w:val="16"/>
          <w:szCs w:val="16"/>
          <w:lang w:eastAsia="es-CL"/>
        </w:rPr>
      </w:pPr>
      <w:r w:rsidRPr="008B6AC9">
        <w:rPr>
          <w:rStyle w:val="FootnoteReference"/>
          <w:sz w:val="16"/>
          <w:szCs w:val="16"/>
        </w:rPr>
        <w:footnoteRef/>
      </w:r>
      <w:r w:rsidRPr="008B6AC9">
        <w:rPr>
          <w:sz w:val="16"/>
          <w:szCs w:val="16"/>
        </w:rPr>
        <w:t xml:space="preserve"> Art. 31 de la Convención de Viena sobre el Derecho de los Tratados</w:t>
      </w:r>
      <w:proofErr w:type="gramStart"/>
      <w:r w:rsidRPr="008B6AC9">
        <w:rPr>
          <w:sz w:val="16"/>
          <w:szCs w:val="16"/>
        </w:rPr>
        <w:t>: ”</w:t>
      </w:r>
      <w:proofErr w:type="gramEnd"/>
      <w:r w:rsidRPr="008B6AC9">
        <w:rPr>
          <w:rFonts w:eastAsia="Times New Roman"/>
          <w:bCs/>
          <w:sz w:val="16"/>
          <w:szCs w:val="16"/>
          <w:lang w:eastAsia="es-CL"/>
        </w:rPr>
        <w:t>Regla general de interpretación.</w:t>
      </w:r>
    </w:p>
    <w:p w:rsidR="00E65148" w:rsidRPr="008B6AC9" w:rsidRDefault="00E65148" w:rsidP="007E3DB6">
      <w:pPr>
        <w:rPr>
          <w:rFonts w:eastAsia="Times New Roman"/>
          <w:sz w:val="16"/>
          <w:szCs w:val="16"/>
          <w:lang w:eastAsia="es-CL"/>
        </w:rPr>
      </w:pPr>
      <w:r w:rsidRPr="008B6AC9">
        <w:rPr>
          <w:rFonts w:eastAsia="Times New Roman"/>
          <w:sz w:val="16"/>
          <w:szCs w:val="16"/>
          <w:lang w:eastAsia="es-CL"/>
        </w:rPr>
        <w:t xml:space="preserve">1. Un tratado deberá interpretarse de buena fe conforme al sentido corriente que haya de atribuirse a los términos del tratado en el contexto de estos y teniendo en cuenta su objeto y fin. 2. Para los efectos de la interpretación de un tratado. el contexto comprenderá, además del texto, incluidos su preámbulo y anexos: </w:t>
      </w:r>
    </w:p>
    <w:p w:rsidR="00E65148" w:rsidRPr="008B6AC9" w:rsidRDefault="00E65148" w:rsidP="007E3DB6">
      <w:pPr>
        <w:rPr>
          <w:rFonts w:eastAsia="Times New Roman"/>
          <w:sz w:val="16"/>
          <w:szCs w:val="16"/>
          <w:lang w:eastAsia="es-CL"/>
        </w:rPr>
      </w:pPr>
      <w:r w:rsidRPr="008B6AC9">
        <w:rPr>
          <w:rFonts w:eastAsia="Times New Roman"/>
          <w:sz w:val="16"/>
          <w:szCs w:val="16"/>
          <w:lang w:eastAsia="es-CL"/>
        </w:rPr>
        <w:t>a) todo acuerdo que se refiera al tratado y haya sido concertado entre todas las partes con motivo de la celebración del tratado:</w:t>
      </w:r>
    </w:p>
    <w:p w:rsidR="00E65148" w:rsidRPr="008B6AC9" w:rsidRDefault="00E65148" w:rsidP="007E3DB6">
      <w:pPr>
        <w:rPr>
          <w:rFonts w:eastAsia="Times New Roman"/>
          <w:sz w:val="16"/>
          <w:szCs w:val="16"/>
          <w:lang w:eastAsia="es-CL"/>
        </w:rPr>
      </w:pPr>
      <w:r w:rsidRPr="008B6AC9">
        <w:rPr>
          <w:rFonts w:eastAsia="Times New Roman"/>
          <w:sz w:val="16"/>
          <w:szCs w:val="16"/>
          <w:lang w:eastAsia="es-CL"/>
        </w:rPr>
        <w:t xml:space="preserve">b) todo instrumento formulado por una o más partes con motivo de la celebración del tratado y aceptado por las demás como instrumento referente al tratado; </w:t>
      </w:r>
    </w:p>
    <w:p w:rsidR="00E65148" w:rsidRPr="008B6AC9" w:rsidRDefault="00E65148" w:rsidP="007E3DB6">
      <w:pPr>
        <w:rPr>
          <w:rFonts w:eastAsia="Times New Roman"/>
          <w:sz w:val="16"/>
          <w:szCs w:val="16"/>
          <w:lang w:eastAsia="es-CL"/>
        </w:rPr>
      </w:pPr>
      <w:r w:rsidRPr="008B6AC9">
        <w:rPr>
          <w:rFonts w:eastAsia="Times New Roman"/>
          <w:sz w:val="16"/>
          <w:szCs w:val="16"/>
          <w:lang w:eastAsia="es-CL"/>
        </w:rPr>
        <w:t xml:space="preserve">3. Juntamente con el contexto, habrá de tenerse en cuenta: </w:t>
      </w:r>
    </w:p>
    <w:p w:rsidR="00E65148" w:rsidRPr="008B6AC9" w:rsidRDefault="00E65148" w:rsidP="007E3DB6">
      <w:pPr>
        <w:rPr>
          <w:rFonts w:eastAsia="Times New Roman"/>
          <w:sz w:val="16"/>
          <w:szCs w:val="16"/>
          <w:lang w:eastAsia="es-CL"/>
        </w:rPr>
      </w:pPr>
      <w:r w:rsidRPr="008B6AC9">
        <w:rPr>
          <w:rFonts w:eastAsia="Times New Roman"/>
          <w:sz w:val="16"/>
          <w:szCs w:val="16"/>
          <w:lang w:eastAsia="es-CL"/>
        </w:rPr>
        <w:t>a) todo acuerdo ulterior entre las partes acerca de la interpretación del tratado o de la aplicación de sus disposiciones;</w:t>
      </w:r>
    </w:p>
    <w:p w:rsidR="00E65148" w:rsidRPr="008B6AC9" w:rsidRDefault="00E65148" w:rsidP="007E3DB6">
      <w:pPr>
        <w:rPr>
          <w:rFonts w:eastAsia="Times New Roman"/>
          <w:sz w:val="16"/>
          <w:szCs w:val="16"/>
          <w:lang w:eastAsia="es-CL"/>
        </w:rPr>
      </w:pPr>
      <w:r w:rsidRPr="008B6AC9">
        <w:rPr>
          <w:rFonts w:eastAsia="Times New Roman"/>
          <w:sz w:val="16"/>
          <w:szCs w:val="16"/>
          <w:lang w:eastAsia="es-CL"/>
        </w:rPr>
        <w:t>b) toda práctica ulteriormente seguida en la aplicación del tratado por la cual conste el acuerdo de las partes acerca de la interpretación del tratado;</w:t>
      </w:r>
    </w:p>
    <w:p w:rsidR="00E65148" w:rsidRPr="008B6AC9" w:rsidRDefault="00E65148" w:rsidP="007E3DB6">
      <w:pPr>
        <w:rPr>
          <w:rFonts w:eastAsia="Times New Roman"/>
          <w:sz w:val="16"/>
          <w:szCs w:val="16"/>
          <w:lang w:eastAsia="es-CL"/>
        </w:rPr>
      </w:pPr>
      <w:r w:rsidRPr="008B6AC9">
        <w:rPr>
          <w:rFonts w:eastAsia="Times New Roman"/>
          <w:sz w:val="16"/>
          <w:szCs w:val="16"/>
          <w:lang w:eastAsia="es-CL"/>
        </w:rPr>
        <w:t>c) toda forma pertinente de derecho internacional aplicable en las relaciones entre las partes.</w:t>
      </w:r>
    </w:p>
    <w:p w:rsidR="00E65148" w:rsidRPr="008B6AC9" w:rsidRDefault="00E65148" w:rsidP="007E3DB6">
      <w:pPr>
        <w:spacing w:after="120"/>
        <w:rPr>
          <w:rFonts w:eastAsia="Times New Roman"/>
          <w:sz w:val="16"/>
          <w:szCs w:val="16"/>
          <w:lang w:eastAsia="es-CL"/>
        </w:rPr>
      </w:pPr>
      <w:r w:rsidRPr="008B6AC9">
        <w:rPr>
          <w:rFonts w:eastAsia="Times New Roman"/>
          <w:sz w:val="16"/>
          <w:szCs w:val="16"/>
          <w:lang w:eastAsia="es-CL"/>
        </w:rPr>
        <w:t>4. Se dará a un término un sentido especial si consta que tal fue la intención de las partes.”</w:t>
      </w:r>
    </w:p>
  </w:footnote>
  <w:footnote w:id="282">
    <w:p w:rsidR="00E65148" w:rsidRPr="008B6AC9" w:rsidRDefault="00E65148" w:rsidP="007E3DB6">
      <w:pPr>
        <w:pStyle w:val="FootnoteText"/>
      </w:pPr>
      <w:r w:rsidRPr="008B6AC9">
        <w:rPr>
          <w:rStyle w:val="FootnoteReference"/>
        </w:rPr>
        <w:footnoteRef/>
      </w:r>
      <w:r w:rsidRPr="008B6AC9">
        <w:t xml:space="preserve"> Ver Nota precedente.</w:t>
      </w:r>
    </w:p>
  </w:footnote>
  <w:footnote w:id="283">
    <w:p w:rsidR="00E65148" w:rsidRPr="008B6AC9" w:rsidRDefault="00E65148" w:rsidP="007E3DB6">
      <w:pPr>
        <w:pStyle w:val="FootnoteText"/>
      </w:pPr>
      <w:r w:rsidRPr="008B6AC9">
        <w:rPr>
          <w:rStyle w:val="FootnoteReference"/>
        </w:rPr>
        <w:footnoteRef/>
      </w:r>
      <w:r w:rsidRPr="008B6AC9">
        <w:t xml:space="preserve"> </w:t>
      </w:r>
      <w:r w:rsidRPr="008B6AC9">
        <w:rPr>
          <w:i/>
          <w:snapToGrid w:val="0"/>
        </w:rPr>
        <w:t>Caso Cruz Sánchez y Otros Vs. Perú, cit.,</w:t>
      </w:r>
      <w:r w:rsidRPr="008B6AC9">
        <w:rPr>
          <w:snapToGrid w:val="0"/>
        </w:rPr>
        <w:t xml:space="preserve"> párr. 37.</w:t>
      </w:r>
    </w:p>
  </w:footnote>
  <w:footnote w:id="284">
    <w:p w:rsidR="00E65148" w:rsidRPr="008B6AC9" w:rsidRDefault="00E65148" w:rsidP="007E3DB6">
      <w:pPr>
        <w:pStyle w:val="FootnoteText"/>
      </w:pPr>
      <w:r w:rsidRPr="008B6AC9">
        <w:rPr>
          <w:rStyle w:val="FootnoteReference"/>
        </w:rPr>
        <w:footnoteRef/>
      </w:r>
      <w:r w:rsidRPr="008B6AC9">
        <w:t xml:space="preserve"> </w:t>
      </w:r>
      <w:r w:rsidRPr="008B6AC9">
        <w:rPr>
          <w:i/>
        </w:rPr>
        <w:t>Caso Díaz Peña Vs. Venezuela, cit.,</w:t>
      </w:r>
      <w:r w:rsidRPr="008B6AC9">
        <w:t xml:space="preserve"> párr. 43.</w:t>
      </w:r>
    </w:p>
  </w:footnote>
  <w:footnote w:id="285">
    <w:p w:rsidR="00E65148" w:rsidRPr="008B6AC9" w:rsidRDefault="00E65148" w:rsidP="007E3DB6">
      <w:pPr>
        <w:pStyle w:val="NormalWeb"/>
        <w:spacing w:before="0" w:beforeAutospacing="0" w:after="0" w:afterAutospacing="0"/>
        <w:jc w:val="both"/>
        <w:rPr>
          <w:color w:val="auto"/>
          <w:sz w:val="16"/>
          <w:szCs w:val="16"/>
          <w:lang w:val="es-ES"/>
        </w:rPr>
      </w:pPr>
      <w:r w:rsidRPr="008B6AC9">
        <w:rPr>
          <w:rStyle w:val="FootnoteReference"/>
          <w:color w:val="auto"/>
          <w:sz w:val="16"/>
          <w:szCs w:val="16"/>
        </w:rPr>
        <w:footnoteRef/>
      </w:r>
      <w:r w:rsidRPr="008B6AC9">
        <w:rPr>
          <w:color w:val="auto"/>
          <w:sz w:val="16"/>
          <w:szCs w:val="16"/>
          <w:lang w:val="es-ES"/>
        </w:rPr>
        <w:t xml:space="preserve"> Convención, </w:t>
      </w:r>
      <w:r w:rsidRPr="008B6AC9">
        <w:rPr>
          <w:bCs/>
          <w:color w:val="auto"/>
          <w:sz w:val="16"/>
          <w:szCs w:val="16"/>
          <w:lang w:val="es-ES"/>
        </w:rPr>
        <w:t>art. 68: “</w:t>
      </w:r>
      <w:r w:rsidRPr="008B6AC9">
        <w:rPr>
          <w:color w:val="auto"/>
          <w:sz w:val="16"/>
          <w:szCs w:val="16"/>
          <w:lang w:val="es-ES"/>
        </w:rPr>
        <w:t xml:space="preserve">1.Los Estados Partes en la Convención se comprometen a cumplir la decisión de la Corte en todo caso en que sean partes. </w:t>
      </w:r>
    </w:p>
    <w:p w:rsidR="00E65148" w:rsidRPr="008B6AC9" w:rsidRDefault="00E65148" w:rsidP="007E3DB6">
      <w:pPr>
        <w:pStyle w:val="NormalWeb"/>
        <w:spacing w:before="0" w:beforeAutospacing="0" w:after="0" w:afterAutospacing="0"/>
        <w:jc w:val="both"/>
        <w:rPr>
          <w:color w:val="auto"/>
          <w:sz w:val="16"/>
          <w:szCs w:val="16"/>
          <w:lang w:val="es-ES"/>
        </w:rPr>
      </w:pPr>
      <w:r w:rsidRPr="008B6AC9">
        <w:rPr>
          <w:color w:val="auto"/>
          <w:sz w:val="16"/>
          <w:szCs w:val="16"/>
          <w:lang w:val="es-ES"/>
        </w:rPr>
        <w:t xml:space="preserve">2. La parte del fallo que disponga indemnización compensatoria se podrá ejecutar en el respectivo país por el procedimiento interno vigente para la ejecución de sentencias contra el Estado.”  </w:t>
      </w:r>
    </w:p>
    <w:p w:rsidR="00E65148" w:rsidRPr="008B6AC9" w:rsidRDefault="00E65148" w:rsidP="007E3DB6">
      <w:pPr>
        <w:pStyle w:val="NormalWeb"/>
        <w:spacing w:before="0" w:beforeAutospacing="0" w:after="120" w:afterAutospacing="0"/>
        <w:jc w:val="both"/>
        <w:rPr>
          <w:color w:val="auto"/>
          <w:sz w:val="16"/>
          <w:szCs w:val="16"/>
          <w:lang w:val="es-ES"/>
        </w:rPr>
      </w:pPr>
      <w:r w:rsidRPr="008B6AC9">
        <w:rPr>
          <w:color w:val="auto"/>
          <w:sz w:val="16"/>
          <w:szCs w:val="16"/>
          <w:lang w:val="es-ES"/>
        </w:rPr>
        <w:t>Y art.65: “</w:t>
      </w:r>
      <w:r w:rsidRPr="008B6AC9">
        <w:rPr>
          <w:rFonts w:cs="Tahoma"/>
          <w:color w:val="auto"/>
          <w:sz w:val="16"/>
          <w:szCs w:val="16"/>
          <w:lang w:val="es-ES"/>
        </w:rPr>
        <w:t>La  Corte someterá a la consideración de la Asamblea General de la Organización en cada período ordinario de sesiones un informe sobre su labor en el año anterior.  De manera especial y con las recomendaciones pertinentes, señalará los casos en que un Estado no haya dado cumplimiento a sus fallos.”</w:t>
      </w:r>
    </w:p>
  </w:footnote>
  <w:footnote w:id="286">
    <w:p w:rsidR="00E65148" w:rsidRPr="008B6AC9" w:rsidRDefault="00E65148" w:rsidP="007E3DB6">
      <w:pPr>
        <w:pStyle w:val="NormalWeb"/>
        <w:spacing w:before="0" w:beforeAutospacing="0" w:after="0" w:afterAutospacing="0"/>
        <w:jc w:val="both"/>
        <w:rPr>
          <w:rFonts w:cs="Tahoma"/>
          <w:bCs/>
          <w:color w:val="auto"/>
          <w:sz w:val="16"/>
          <w:szCs w:val="16"/>
          <w:lang w:val="es-ES"/>
        </w:rPr>
      </w:pPr>
      <w:r w:rsidRPr="008B6AC9">
        <w:rPr>
          <w:rStyle w:val="FootnoteReference"/>
          <w:color w:val="auto"/>
          <w:sz w:val="16"/>
          <w:szCs w:val="16"/>
        </w:rPr>
        <w:footnoteRef/>
      </w:r>
      <w:r w:rsidRPr="008B6AC9">
        <w:rPr>
          <w:color w:val="auto"/>
          <w:sz w:val="16"/>
          <w:szCs w:val="16"/>
          <w:lang w:val="es-ES"/>
        </w:rPr>
        <w:t xml:space="preserve"> Convención, </w:t>
      </w:r>
      <w:r w:rsidRPr="008B6AC9">
        <w:rPr>
          <w:rFonts w:cs="Tahoma"/>
          <w:color w:val="auto"/>
          <w:sz w:val="16"/>
          <w:szCs w:val="16"/>
          <w:lang w:val="es-ES"/>
        </w:rPr>
        <w:t>artículo 31: “Reconocimiento de Otros Derechos. Podrán ser incluidos en el régimen de protección de esta Convención otros derechos y libertades que sean reconocidos de acuerdo con los procedimientos establecidos en los artículos 76 y 77”</w:t>
      </w:r>
      <w:r w:rsidRPr="008B6AC9">
        <w:rPr>
          <w:color w:val="auto"/>
          <w:sz w:val="16"/>
          <w:szCs w:val="16"/>
          <w:lang w:val="es-ES"/>
        </w:rPr>
        <w:t>;</w:t>
      </w:r>
      <w:r w:rsidRPr="008B6AC9">
        <w:rPr>
          <w:rFonts w:cs="Tahoma"/>
          <w:bCs/>
          <w:color w:val="auto"/>
          <w:sz w:val="16"/>
          <w:szCs w:val="16"/>
          <w:lang w:val="es-ES"/>
        </w:rPr>
        <w:t xml:space="preserve"> </w:t>
      </w:r>
    </w:p>
    <w:p w:rsidR="00E65148" w:rsidRPr="008B6AC9" w:rsidRDefault="00E65148" w:rsidP="007E3DB6">
      <w:pPr>
        <w:pStyle w:val="NormalWeb"/>
        <w:spacing w:before="0" w:beforeAutospacing="0" w:after="0" w:afterAutospacing="0"/>
        <w:jc w:val="both"/>
        <w:rPr>
          <w:rFonts w:cs="Tahoma"/>
          <w:color w:val="auto"/>
          <w:sz w:val="16"/>
          <w:szCs w:val="16"/>
          <w:lang w:val="es-ES"/>
        </w:rPr>
      </w:pPr>
      <w:r w:rsidRPr="008B6AC9">
        <w:rPr>
          <w:rFonts w:cs="Tahoma"/>
          <w:bCs/>
          <w:color w:val="auto"/>
          <w:sz w:val="16"/>
          <w:szCs w:val="16"/>
          <w:lang w:val="es-ES"/>
        </w:rPr>
        <w:t>art. 76: “</w:t>
      </w:r>
      <w:r w:rsidRPr="008B6AC9">
        <w:rPr>
          <w:rFonts w:cs="Tahoma"/>
          <w:color w:val="auto"/>
          <w:sz w:val="16"/>
          <w:szCs w:val="16"/>
          <w:lang w:val="es-ES"/>
        </w:rPr>
        <w:t xml:space="preserve">1. Cualquier Estado parte directamente y la Comisión o la Corte por conducto del Secretario General, pueden someter a la Asamblea General, para lo que estime conveniente, una propuesta de enmienda a esta Convención. </w:t>
      </w:r>
    </w:p>
    <w:p w:rsidR="00E65148" w:rsidRPr="008B6AC9" w:rsidRDefault="00E65148" w:rsidP="007E3DB6">
      <w:pPr>
        <w:pStyle w:val="NormalWeb"/>
        <w:spacing w:before="0" w:beforeAutospacing="0" w:after="0" w:afterAutospacing="0"/>
        <w:jc w:val="both"/>
        <w:rPr>
          <w:color w:val="auto"/>
          <w:sz w:val="16"/>
          <w:szCs w:val="16"/>
          <w:lang w:val="es-ES"/>
        </w:rPr>
      </w:pPr>
      <w:r w:rsidRPr="008B6AC9">
        <w:rPr>
          <w:rFonts w:cs="Tahoma"/>
          <w:color w:val="auto"/>
          <w:sz w:val="16"/>
          <w:szCs w:val="16"/>
          <w:lang w:val="es-ES"/>
        </w:rPr>
        <w:t xml:space="preserve">2. Las enmiendas entrarán en  vigor para los Estados </w:t>
      </w:r>
      <w:proofErr w:type="spellStart"/>
      <w:r w:rsidRPr="008B6AC9">
        <w:rPr>
          <w:rFonts w:cs="Tahoma"/>
          <w:color w:val="auto"/>
          <w:sz w:val="16"/>
          <w:szCs w:val="16"/>
          <w:lang w:val="es-ES"/>
        </w:rPr>
        <w:t>ratificantes</w:t>
      </w:r>
      <w:proofErr w:type="spellEnd"/>
      <w:r w:rsidRPr="008B6AC9">
        <w:rPr>
          <w:rFonts w:cs="Tahoma"/>
          <w:color w:val="auto"/>
          <w:sz w:val="16"/>
          <w:szCs w:val="16"/>
          <w:lang w:val="es-ES"/>
        </w:rPr>
        <w:t xml:space="preserve"> de las mismas en la fecha en que se haya depositado el respectivo instrumento de ratificación que corresponda al número de los dos tercios de los Estados Partes en esta Convención.  En cuanto al resto de los Estados Partes, entrarán en vigor en la fecha en que depositen sus respectivos instrumentos de ratificación.”; y</w:t>
      </w:r>
      <w:r w:rsidRPr="008B6AC9">
        <w:rPr>
          <w:color w:val="auto"/>
          <w:sz w:val="16"/>
          <w:szCs w:val="16"/>
          <w:lang w:val="es-ES"/>
        </w:rPr>
        <w:t xml:space="preserve"> </w:t>
      </w:r>
    </w:p>
    <w:p w:rsidR="00E65148" w:rsidRPr="008B6AC9" w:rsidRDefault="00E65148" w:rsidP="007E3DB6">
      <w:pPr>
        <w:pStyle w:val="NormalWeb"/>
        <w:spacing w:before="0" w:beforeAutospacing="0" w:after="0" w:afterAutospacing="0"/>
        <w:jc w:val="both"/>
        <w:rPr>
          <w:rFonts w:cs="Tahoma"/>
          <w:color w:val="auto"/>
          <w:sz w:val="16"/>
          <w:szCs w:val="16"/>
          <w:lang w:val="es-ES"/>
        </w:rPr>
      </w:pPr>
      <w:r w:rsidRPr="008B6AC9">
        <w:rPr>
          <w:rFonts w:cs="Tahoma"/>
          <w:bCs/>
          <w:color w:val="auto"/>
          <w:sz w:val="16"/>
          <w:szCs w:val="16"/>
          <w:lang w:val="es-ES"/>
        </w:rPr>
        <w:t>art. 77</w:t>
      </w:r>
      <w:r w:rsidRPr="008B6AC9">
        <w:rPr>
          <w:color w:val="auto"/>
          <w:sz w:val="16"/>
          <w:szCs w:val="16"/>
          <w:lang w:val="es-ES"/>
        </w:rPr>
        <w:t>:</w:t>
      </w:r>
      <w:r w:rsidRPr="008B6AC9">
        <w:rPr>
          <w:rFonts w:cs="Tahoma"/>
          <w:color w:val="auto"/>
          <w:sz w:val="16"/>
          <w:szCs w:val="16"/>
          <w:lang w:val="es-ES"/>
        </w:rPr>
        <w:t xml:space="preserve"> “1. De acuerdo con la facultad establecida en el artículo 31, cualquier Estado parte y la Comisión podrán someter a la consideración de los Estados Partes reunidos con ocasión de la Asamblea General, proyectos de protocolos adicionales a esta Convención, con la finalidad de incluir progresivamente en el régimen de protección de la misma otros derechos y libertades.</w:t>
      </w:r>
    </w:p>
    <w:p w:rsidR="00E65148" w:rsidRPr="008B6AC9" w:rsidRDefault="00E65148" w:rsidP="007E3DB6">
      <w:pPr>
        <w:pStyle w:val="NormalWeb"/>
        <w:spacing w:before="0" w:beforeAutospacing="0" w:after="120" w:afterAutospacing="0"/>
        <w:jc w:val="both"/>
        <w:rPr>
          <w:rFonts w:cs="Tahoma"/>
          <w:bCs/>
          <w:color w:val="auto"/>
          <w:sz w:val="16"/>
          <w:szCs w:val="16"/>
          <w:lang w:val="es-ES"/>
        </w:rPr>
      </w:pPr>
      <w:r w:rsidRPr="008B6AC9">
        <w:rPr>
          <w:rFonts w:cs="Tahoma"/>
          <w:color w:val="auto"/>
          <w:sz w:val="16"/>
          <w:szCs w:val="16"/>
          <w:lang w:val="es-ES"/>
        </w:rPr>
        <w:t xml:space="preserve">2. Cada protocolo debe fijar las modalidades de su entrada en vigor, y se aplicará sólo entre los Estados Partes en el mismo.” </w:t>
      </w:r>
    </w:p>
  </w:footnote>
  <w:footnote w:id="287">
    <w:p w:rsidR="00E65148" w:rsidRPr="00134451" w:rsidRDefault="00E65148" w:rsidP="007E3DB6">
      <w:pPr>
        <w:rPr>
          <w:rFonts w:eastAsia="Times New Roman"/>
          <w:sz w:val="16"/>
          <w:szCs w:val="16"/>
          <w:lang w:eastAsia="es-CL"/>
        </w:rPr>
      </w:pPr>
      <w:r w:rsidRPr="007B4873">
        <w:rPr>
          <w:rStyle w:val="FootnoteReference"/>
          <w:sz w:val="16"/>
          <w:szCs w:val="16"/>
        </w:rPr>
        <w:footnoteRef/>
      </w:r>
      <w:r w:rsidRPr="007B4873">
        <w:rPr>
          <w:sz w:val="16"/>
          <w:szCs w:val="16"/>
        </w:rPr>
        <w:t xml:space="preserve"> </w:t>
      </w:r>
      <w:r w:rsidRPr="00134451">
        <w:rPr>
          <w:sz w:val="16"/>
          <w:szCs w:val="16"/>
        </w:rPr>
        <w:t xml:space="preserve">Convención de Viena sobre el Derecho de los Tratados, art. </w:t>
      </w:r>
      <w:r w:rsidRPr="00134451">
        <w:rPr>
          <w:rFonts w:eastAsia="Times New Roman"/>
          <w:bCs/>
          <w:sz w:val="16"/>
          <w:szCs w:val="16"/>
          <w:lang w:eastAsia="es-CL"/>
        </w:rPr>
        <w:t xml:space="preserve">39: “Norma general concerniente a la enmienda de los </w:t>
      </w:r>
      <w:proofErr w:type="spellStart"/>
      <w:r w:rsidRPr="00134451">
        <w:rPr>
          <w:rFonts w:eastAsia="Times New Roman"/>
          <w:bCs/>
          <w:sz w:val="16"/>
          <w:szCs w:val="16"/>
          <w:lang w:eastAsia="es-CL"/>
        </w:rPr>
        <w:t>tratados.</w:t>
      </w:r>
      <w:r w:rsidRPr="00134451">
        <w:rPr>
          <w:rFonts w:eastAsia="Times New Roman"/>
          <w:sz w:val="16"/>
          <w:szCs w:val="16"/>
          <w:lang w:eastAsia="es-CL"/>
        </w:rPr>
        <w:t>Un</w:t>
      </w:r>
      <w:proofErr w:type="spellEnd"/>
      <w:r w:rsidRPr="00134451">
        <w:rPr>
          <w:rFonts w:eastAsia="Times New Roman"/>
          <w:sz w:val="16"/>
          <w:szCs w:val="16"/>
          <w:lang w:eastAsia="es-CL"/>
        </w:rPr>
        <w:t xml:space="preserve"> tratado podrá ser enmendado por acuerdo entre las partes. Se aplicarán a tal acuerdo las normas enunciadas en la Parte II, salvo en la medida en que el tratado disponga otra cosa”; </w:t>
      </w:r>
    </w:p>
    <w:p w:rsidR="00E65148" w:rsidRPr="00134451" w:rsidRDefault="00E65148" w:rsidP="007E3DB6">
      <w:pPr>
        <w:rPr>
          <w:rFonts w:eastAsia="Times New Roman"/>
          <w:sz w:val="16"/>
          <w:szCs w:val="16"/>
          <w:lang w:eastAsia="es-CL"/>
        </w:rPr>
      </w:pPr>
      <w:r w:rsidRPr="00134451">
        <w:rPr>
          <w:rFonts w:eastAsia="Times New Roman"/>
          <w:sz w:val="16"/>
          <w:szCs w:val="16"/>
          <w:lang w:eastAsia="es-CL"/>
        </w:rPr>
        <w:t xml:space="preserve">art </w:t>
      </w:r>
      <w:r w:rsidRPr="00134451">
        <w:rPr>
          <w:rFonts w:eastAsia="Times New Roman"/>
          <w:bCs/>
          <w:sz w:val="16"/>
          <w:szCs w:val="16"/>
          <w:lang w:eastAsia="es-CL"/>
        </w:rPr>
        <w:t xml:space="preserve">40: “Enmienda </w:t>
      </w:r>
      <w:r>
        <w:rPr>
          <w:rFonts w:eastAsia="Times New Roman"/>
          <w:bCs/>
          <w:sz w:val="16"/>
          <w:szCs w:val="16"/>
          <w:lang w:eastAsia="es-CL"/>
        </w:rPr>
        <w:t xml:space="preserve">de los tratados multilaterales. </w:t>
      </w:r>
      <w:r w:rsidRPr="00134451">
        <w:rPr>
          <w:rFonts w:eastAsia="Times New Roman"/>
          <w:sz w:val="16"/>
          <w:szCs w:val="16"/>
          <w:lang w:eastAsia="es-CL"/>
        </w:rPr>
        <w:t xml:space="preserve">1. Salvo que el tratado disponga otra cosa, la enmienda de los tratados multilaterales se regirá por los párrafos siguientes. </w:t>
      </w:r>
    </w:p>
    <w:p w:rsidR="00E65148" w:rsidRPr="00134451" w:rsidRDefault="00E65148" w:rsidP="007E3DB6">
      <w:pPr>
        <w:rPr>
          <w:rFonts w:eastAsia="Times New Roman"/>
          <w:sz w:val="16"/>
          <w:szCs w:val="16"/>
          <w:lang w:eastAsia="es-CL"/>
        </w:rPr>
      </w:pPr>
      <w:r w:rsidRPr="00134451">
        <w:rPr>
          <w:rFonts w:eastAsia="Times New Roman"/>
          <w:sz w:val="16"/>
          <w:szCs w:val="16"/>
          <w:lang w:eastAsia="es-CL"/>
        </w:rPr>
        <w:t xml:space="preserve">2. Toda propuesta de enmienda de un tratado multilateral en las relaciones entre todas las partes habrá de ser notificada a todos los Estados contratantes, cada uno de los cuales tendrá derecho a participar: </w:t>
      </w:r>
    </w:p>
    <w:p w:rsidR="00E65148" w:rsidRPr="00134451" w:rsidRDefault="00E65148" w:rsidP="007E3DB6">
      <w:pPr>
        <w:rPr>
          <w:rFonts w:eastAsia="Times New Roman"/>
          <w:sz w:val="16"/>
          <w:szCs w:val="16"/>
          <w:lang w:eastAsia="es-CL"/>
        </w:rPr>
      </w:pPr>
      <w:r w:rsidRPr="00134451">
        <w:rPr>
          <w:rFonts w:eastAsia="Times New Roman"/>
          <w:sz w:val="16"/>
          <w:szCs w:val="16"/>
          <w:lang w:eastAsia="es-CL"/>
        </w:rPr>
        <w:t xml:space="preserve">a) en la decisión sobre las medidas que haya que adoptar con relación a tal propuesta: </w:t>
      </w:r>
    </w:p>
    <w:p w:rsidR="00E65148" w:rsidRPr="00134451" w:rsidRDefault="00E65148" w:rsidP="007E3DB6">
      <w:pPr>
        <w:rPr>
          <w:rFonts w:eastAsia="Times New Roman"/>
          <w:sz w:val="16"/>
          <w:szCs w:val="16"/>
          <w:lang w:eastAsia="es-CL"/>
        </w:rPr>
      </w:pPr>
      <w:r w:rsidRPr="00134451">
        <w:rPr>
          <w:rFonts w:eastAsia="Times New Roman"/>
          <w:sz w:val="16"/>
          <w:szCs w:val="16"/>
          <w:lang w:eastAsia="es-CL"/>
        </w:rPr>
        <w:t xml:space="preserve">b) en la negociación y la celebración de cualquier acuerdo que tenga por objeto enmendar el tratado. </w:t>
      </w:r>
    </w:p>
    <w:p w:rsidR="00E65148" w:rsidRPr="00134451" w:rsidRDefault="00E65148" w:rsidP="007E3DB6">
      <w:pPr>
        <w:rPr>
          <w:rFonts w:eastAsia="Times New Roman"/>
          <w:sz w:val="16"/>
          <w:szCs w:val="16"/>
          <w:lang w:eastAsia="es-CL"/>
        </w:rPr>
      </w:pPr>
      <w:r w:rsidRPr="00134451">
        <w:rPr>
          <w:rFonts w:eastAsia="Times New Roman"/>
          <w:sz w:val="16"/>
          <w:szCs w:val="16"/>
          <w:lang w:eastAsia="es-CL"/>
        </w:rPr>
        <w:t xml:space="preserve">3. Todo Estado facultado para llegar a ser parte en el tratado estará también facultado para llegar a ser parte en el tratado en su forma enmendada. </w:t>
      </w:r>
    </w:p>
    <w:p w:rsidR="00E65148" w:rsidRPr="00134451" w:rsidRDefault="00E65148" w:rsidP="007E3DB6">
      <w:pPr>
        <w:rPr>
          <w:rFonts w:eastAsia="Times New Roman"/>
          <w:sz w:val="16"/>
          <w:szCs w:val="16"/>
          <w:lang w:eastAsia="es-CL"/>
        </w:rPr>
      </w:pPr>
      <w:r w:rsidRPr="00134451">
        <w:rPr>
          <w:rFonts w:eastAsia="Times New Roman"/>
          <w:sz w:val="16"/>
          <w:szCs w:val="16"/>
          <w:lang w:eastAsia="es-CL"/>
        </w:rPr>
        <w:t xml:space="preserve">4. El acuerdo en virtud del cual se enmiende el tratado no obligará a ningún Estado que sea ya parte en el tratado que no llegue a serlo en ese acuerdo, con respecto a tal Estado se aplicará el apartado b) del párrafo 4 del artículo 30. </w:t>
      </w:r>
    </w:p>
    <w:p w:rsidR="00E65148" w:rsidRPr="00134451" w:rsidRDefault="00E65148" w:rsidP="007E3DB6">
      <w:pPr>
        <w:rPr>
          <w:rFonts w:eastAsia="Times New Roman"/>
          <w:sz w:val="16"/>
          <w:szCs w:val="16"/>
          <w:lang w:eastAsia="es-CL"/>
        </w:rPr>
      </w:pPr>
      <w:r w:rsidRPr="00134451">
        <w:rPr>
          <w:rFonts w:eastAsia="Times New Roman"/>
          <w:sz w:val="16"/>
          <w:szCs w:val="16"/>
          <w:lang w:eastAsia="es-CL"/>
        </w:rPr>
        <w:t>5. Todo Estado que llegue a ser parte en el tratado después de la entrada en vigor del acuerdo en virtud del cual se enmiende el tratado será considerado, de no haber manifestado ese Estado una intención diferente:</w:t>
      </w:r>
    </w:p>
    <w:p w:rsidR="00E65148" w:rsidRPr="00134451" w:rsidRDefault="00E65148" w:rsidP="007E3DB6">
      <w:pPr>
        <w:rPr>
          <w:rFonts w:eastAsia="Times New Roman"/>
          <w:sz w:val="16"/>
          <w:szCs w:val="16"/>
          <w:lang w:eastAsia="es-CL"/>
        </w:rPr>
      </w:pPr>
      <w:r w:rsidRPr="00134451">
        <w:rPr>
          <w:rFonts w:eastAsia="Times New Roman"/>
          <w:sz w:val="16"/>
          <w:szCs w:val="16"/>
          <w:lang w:eastAsia="es-CL"/>
        </w:rPr>
        <w:t xml:space="preserve"> a) parte en el tratado en su forma enmendada; y </w:t>
      </w:r>
    </w:p>
    <w:p w:rsidR="00E65148" w:rsidRPr="00134451" w:rsidRDefault="00E65148" w:rsidP="007E3DB6">
      <w:pPr>
        <w:spacing w:after="120"/>
        <w:rPr>
          <w:rFonts w:eastAsia="Times New Roman"/>
          <w:sz w:val="16"/>
          <w:szCs w:val="16"/>
          <w:lang w:eastAsia="es-CL"/>
        </w:rPr>
      </w:pPr>
      <w:r w:rsidRPr="00134451">
        <w:rPr>
          <w:rFonts w:eastAsia="Times New Roman"/>
          <w:sz w:val="16"/>
          <w:szCs w:val="16"/>
          <w:lang w:eastAsia="es-CL"/>
        </w:rPr>
        <w:t>b) parte en el tratado no enmendado con respecto a toda parte en el tratado que no esté obligada por el acuerdo en virtud del cual se enmiende el tratado.”</w:t>
      </w:r>
    </w:p>
  </w:footnote>
  <w:footnote w:id="288">
    <w:p w:rsidR="00E65148" w:rsidRPr="00134451" w:rsidRDefault="00E65148" w:rsidP="007E3DB6">
      <w:pPr>
        <w:pStyle w:val="FootnoteText"/>
      </w:pPr>
      <w:r w:rsidRPr="00134451">
        <w:rPr>
          <w:rStyle w:val="FootnoteReference"/>
        </w:rPr>
        <w:footnoteRef/>
      </w:r>
      <w:r w:rsidRPr="00134451">
        <w:t xml:space="preserve"> Art. 68 de la Convención, ya citado.</w:t>
      </w:r>
    </w:p>
  </w:footnote>
  <w:footnote w:id="289">
    <w:p w:rsidR="00E65148" w:rsidRPr="00134451" w:rsidRDefault="00E65148" w:rsidP="007E3DB6">
      <w:pPr>
        <w:spacing w:after="120"/>
        <w:rPr>
          <w:rFonts w:cs="Calibri"/>
          <w:sz w:val="16"/>
          <w:szCs w:val="16"/>
          <w:lang w:eastAsia="es-CL"/>
        </w:rPr>
      </w:pPr>
      <w:r w:rsidRPr="00134451">
        <w:rPr>
          <w:rStyle w:val="FootnoteReference"/>
          <w:sz w:val="16"/>
          <w:szCs w:val="16"/>
        </w:rPr>
        <w:footnoteRef/>
      </w:r>
      <w:r w:rsidRPr="00134451">
        <w:rPr>
          <w:sz w:val="16"/>
          <w:szCs w:val="16"/>
        </w:rPr>
        <w:t xml:space="preserve"> </w:t>
      </w:r>
      <w:r w:rsidRPr="00134451">
        <w:rPr>
          <w:rFonts w:cs="Calibri"/>
          <w:bCs/>
          <w:iCs/>
          <w:sz w:val="16"/>
          <w:szCs w:val="16"/>
          <w:lang w:eastAsia="es-CL"/>
        </w:rPr>
        <w:t xml:space="preserve">Art. 59 del Estatuto de la Corte Internacional de Justicia: </w:t>
      </w:r>
      <w:r w:rsidRPr="00134451">
        <w:rPr>
          <w:rFonts w:cs="Calibri"/>
          <w:sz w:val="16"/>
          <w:szCs w:val="16"/>
          <w:lang w:eastAsia="es-CL"/>
        </w:rPr>
        <w:t>“La decisión de la Corte no es obligatoria sino para las partes en litigio y respecto del caso que ha sido decidido.”</w:t>
      </w:r>
    </w:p>
  </w:footnote>
  <w:footnote w:id="290">
    <w:p w:rsidR="00E65148" w:rsidRPr="00134451" w:rsidRDefault="00E65148" w:rsidP="007E3DB6">
      <w:pPr>
        <w:rPr>
          <w:rFonts w:cs="Calibri"/>
          <w:sz w:val="16"/>
          <w:szCs w:val="16"/>
          <w:lang w:eastAsia="es-CL"/>
        </w:rPr>
      </w:pPr>
      <w:r w:rsidRPr="00134451">
        <w:rPr>
          <w:rStyle w:val="FootnoteReference"/>
          <w:rFonts w:cs="Calibri"/>
          <w:sz w:val="16"/>
          <w:szCs w:val="16"/>
        </w:rPr>
        <w:footnoteRef/>
      </w:r>
      <w:r w:rsidRPr="00134451">
        <w:rPr>
          <w:rFonts w:cs="Calibri"/>
          <w:sz w:val="16"/>
          <w:szCs w:val="16"/>
        </w:rPr>
        <w:t xml:space="preserve"> </w:t>
      </w:r>
      <w:r w:rsidRPr="00134451">
        <w:rPr>
          <w:rFonts w:cs="Calibri"/>
          <w:bCs/>
          <w:iCs/>
          <w:sz w:val="16"/>
          <w:szCs w:val="16"/>
          <w:lang w:eastAsia="es-CL"/>
        </w:rPr>
        <w:t>Art. 38 del mismo Estatuto: “</w:t>
      </w:r>
      <w:r w:rsidRPr="00134451">
        <w:rPr>
          <w:rFonts w:cs="Calibri"/>
          <w:sz w:val="16"/>
          <w:szCs w:val="16"/>
          <w:lang w:eastAsia="es-CL"/>
        </w:rPr>
        <w:t xml:space="preserve">1.La Corte, cuya función es decidir conforme al derecho internacional las controversias que le sean sometidas, deberá aplicar: </w:t>
      </w:r>
    </w:p>
    <w:p w:rsidR="00E65148" w:rsidRPr="00134451" w:rsidRDefault="00E65148" w:rsidP="007E3DB6">
      <w:pPr>
        <w:rPr>
          <w:rFonts w:cs="Calibri"/>
          <w:sz w:val="16"/>
          <w:szCs w:val="16"/>
          <w:lang w:eastAsia="es-CL"/>
        </w:rPr>
      </w:pPr>
      <w:r w:rsidRPr="00134451">
        <w:rPr>
          <w:rFonts w:cs="Calibri"/>
          <w:sz w:val="16"/>
          <w:szCs w:val="16"/>
          <w:lang w:eastAsia="es-CL"/>
        </w:rPr>
        <w:t>a. las convenciones internacionales, sean generales o particulares, que establecen reglas expresamente reconocidas por los Estados litigantes;</w:t>
      </w:r>
    </w:p>
    <w:p w:rsidR="00E65148" w:rsidRPr="00134451" w:rsidRDefault="00E65148" w:rsidP="007E3DB6">
      <w:pPr>
        <w:rPr>
          <w:rFonts w:cs="Calibri"/>
          <w:sz w:val="16"/>
          <w:szCs w:val="16"/>
          <w:lang w:eastAsia="es-CL"/>
        </w:rPr>
      </w:pPr>
      <w:r w:rsidRPr="00134451">
        <w:rPr>
          <w:rFonts w:cs="Calibri"/>
          <w:sz w:val="16"/>
          <w:szCs w:val="16"/>
          <w:lang w:eastAsia="es-CL"/>
        </w:rPr>
        <w:t xml:space="preserve">b. la costumbre internacional como prueba de una práctica generalmente aceptada como derecho; </w:t>
      </w:r>
    </w:p>
    <w:p w:rsidR="00E65148" w:rsidRPr="00134451" w:rsidRDefault="00E65148" w:rsidP="007E3DB6">
      <w:pPr>
        <w:rPr>
          <w:rFonts w:cs="Calibri"/>
          <w:sz w:val="16"/>
          <w:szCs w:val="16"/>
          <w:lang w:eastAsia="es-CL"/>
        </w:rPr>
      </w:pPr>
      <w:r w:rsidRPr="00134451">
        <w:rPr>
          <w:rFonts w:cs="Calibri"/>
          <w:sz w:val="16"/>
          <w:szCs w:val="16"/>
          <w:lang w:eastAsia="es-CL"/>
        </w:rPr>
        <w:t xml:space="preserve">c. los principios generales de derecho reconocidos por las naciones civilizadas; </w:t>
      </w:r>
    </w:p>
    <w:p w:rsidR="00E65148" w:rsidRPr="00134451" w:rsidRDefault="00E65148" w:rsidP="007E3DB6">
      <w:pPr>
        <w:rPr>
          <w:rFonts w:cs="Calibri"/>
          <w:sz w:val="16"/>
          <w:szCs w:val="16"/>
          <w:lang w:eastAsia="es-CL"/>
        </w:rPr>
      </w:pPr>
      <w:r w:rsidRPr="00134451">
        <w:rPr>
          <w:rFonts w:cs="Calibri"/>
          <w:sz w:val="16"/>
          <w:szCs w:val="16"/>
          <w:lang w:eastAsia="es-CL"/>
        </w:rPr>
        <w:t xml:space="preserve">d. las decisiones judiciales y las doctrinas de los publicistas de mayor competencia de las distintas naciones, como medio auxiliar para la determinación de las reglas de derecho, sin perjuicio de lo dispuesto en el Artículo 59. </w:t>
      </w:r>
    </w:p>
    <w:p w:rsidR="00E65148" w:rsidRPr="007B4873" w:rsidRDefault="00E65148" w:rsidP="007E3DB6">
      <w:pPr>
        <w:spacing w:after="120"/>
        <w:rPr>
          <w:rFonts w:cs="Calibri"/>
          <w:sz w:val="16"/>
          <w:szCs w:val="16"/>
          <w:lang w:eastAsia="es-CL"/>
        </w:rPr>
      </w:pPr>
      <w:r w:rsidRPr="00134451">
        <w:rPr>
          <w:rFonts w:cs="Calibri"/>
          <w:sz w:val="16"/>
          <w:szCs w:val="16"/>
          <w:lang w:eastAsia="es-CL"/>
        </w:rPr>
        <w:t>2. La presente disposición no restringe la facultad de la Corte para decidir un litigio </w:t>
      </w:r>
      <w:r w:rsidRPr="00134451">
        <w:rPr>
          <w:rFonts w:cs="Calibri"/>
          <w:iCs/>
          <w:sz w:val="16"/>
          <w:szCs w:val="16"/>
          <w:lang w:eastAsia="es-CL"/>
        </w:rPr>
        <w:t>ex aequo et bono</w:t>
      </w:r>
      <w:r w:rsidRPr="00134451">
        <w:rPr>
          <w:rFonts w:cs="Calibri"/>
          <w:sz w:val="16"/>
          <w:szCs w:val="16"/>
          <w:lang w:eastAsia="es-CL"/>
        </w:rPr>
        <w:t>, si las partes así lo conviniere.”</w:t>
      </w:r>
    </w:p>
  </w:footnote>
  <w:footnote w:id="291">
    <w:p w:rsidR="00E65148" w:rsidRPr="007B4873" w:rsidRDefault="00E65148" w:rsidP="007E3DB6">
      <w:pPr>
        <w:pStyle w:val="FootnoteText"/>
      </w:pPr>
      <w:r w:rsidRPr="000C6018">
        <w:rPr>
          <w:rStyle w:val="FootnoteReference"/>
        </w:rPr>
        <w:footnoteRef/>
      </w:r>
      <w:r w:rsidRPr="007B4873">
        <w:t xml:space="preserve"> Ver nota Nº 9.</w:t>
      </w:r>
    </w:p>
  </w:footnote>
  <w:footnote w:id="292">
    <w:p w:rsidR="00E65148" w:rsidRPr="007B4873" w:rsidRDefault="00E65148" w:rsidP="007E3DB6">
      <w:pPr>
        <w:pStyle w:val="FootnoteText"/>
        <w:rPr>
          <w:lang w:val="es-MX"/>
        </w:rPr>
      </w:pPr>
      <w:r w:rsidRPr="000C6018">
        <w:rPr>
          <w:rStyle w:val="FootnoteReference"/>
        </w:rPr>
        <w:footnoteRef/>
      </w:r>
      <w:r w:rsidRPr="000C6018">
        <w:t xml:space="preserve"> </w:t>
      </w:r>
      <w:r w:rsidRPr="00134451">
        <w:t>Tampoco está contemplado en el Estatuto ni en el Reglamento de la Corte Internacional de Justicia. En tal ámbito, sería, por ende, únicamente de carácter jurisprudencial.</w:t>
      </w:r>
    </w:p>
  </w:footnote>
  <w:footnote w:id="293">
    <w:p w:rsidR="00E65148" w:rsidRPr="00134451" w:rsidRDefault="00E65148" w:rsidP="007E3DB6">
      <w:pPr>
        <w:pStyle w:val="FootnoteText"/>
      </w:pPr>
      <w:r w:rsidRPr="000C6018">
        <w:rPr>
          <w:rStyle w:val="FootnoteReference"/>
        </w:rPr>
        <w:footnoteRef/>
      </w:r>
      <w:r w:rsidRPr="007B4873">
        <w:t xml:space="preserve"> </w:t>
      </w:r>
      <w:r w:rsidRPr="00134451">
        <w:t xml:space="preserve">“Condiciones de admisibilidad 1. Al Tribunal no podrá recurrirse sino después de agotar las vías de recursos internas, tal como se entiende según los principios de derecho internacional generalmente reconocidos y en el plazo de seis meses a partir de la fecha de la decisión interna definitiva. </w:t>
      </w:r>
    </w:p>
    <w:p w:rsidR="00E65148" w:rsidRPr="00134451" w:rsidRDefault="00E65148" w:rsidP="007E3DB6">
      <w:pPr>
        <w:pStyle w:val="FootnoteText"/>
      </w:pPr>
      <w:r w:rsidRPr="00695A13">
        <w:rPr>
          <w:i/>
        </w:rPr>
        <w:t xml:space="preserve">2. </w:t>
      </w:r>
      <w:r w:rsidRPr="00134451">
        <w:t>El Tribunal no admitirá ninguna demanda individual entablada en aplicación del artículo 34 cuando:</w:t>
      </w:r>
    </w:p>
    <w:p w:rsidR="00E65148" w:rsidRPr="00134451" w:rsidRDefault="00E65148" w:rsidP="007E3DB6">
      <w:pPr>
        <w:pStyle w:val="FootnoteText"/>
      </w:pPr>
      <w:r w:rsidRPr="00134451">
        <w:t xml:space="preserve">a) sea anónima; o </w:t>
      </w:r>
    </w:p>
    <w:p w:rsidR="00E65148" w:rsidRPr="00134451" w:rsidRDefault="00E65148" w:rsidP="007E3DB6">
      <w:pPr>
        <w:pStyle w:val="FootnoteText"/>
      </w:pPr>
      <w:r w:rsidRPr="00134451">
        <w:t xml:space="preserve">b) sea esencialmente la misma que una demanda examinada anteriormente por el Tribunal o ya sometida a otra instancia internacional de investigación o de acuerdo, y no contenga hechos nuevos. </w:t>
      </w:r>
    </w:p>
    <w:p w:rsidR="00E65148" w:rsidRPr="00134451" w:rsidRDefault="00E65148" w:rsidP="007E3DB6">
      <w:pPr>
        <w:pStyle w:val="FootnoteText"/>
      </w:pPr>
      <w:r w:rsidRPr="00134451">
        <w:t>3. El Tribunal declarará inadmisible cualquier demanda individual presentada en virtud del artículo 34 si considera que: a) la demanda es incompatible con las disposiciones del Convenio o de sus Protocolos, manifiestamente mal fundada o abusiva; o</w:t>
      </w:r>
    </w:p>
    <w:p w:rsidR="00E65148" w:rsidRPr="00134451" w:rsidRDefault="00E65148" w:rsidP="007E3DB6">
      <w:pPr>
        <w:pStyle w:val="FootnoteText"/>
      </w:pPr>
      <w:r w:rsidRPr="00134451">
        <w:t xml:space="preserve"> b) el demandante no ha sufrido un perjuicio importante, a menos que el respeto de los derechos humanos garantizados por el Convenio y por sus Protocolos exija un examen del fondo de la demanda, y con la condición de que no podrá rechazarse por este motivo ningún asunto que no haya sido debidamente examinado por un Tribunal nacional. </w:t>
      </w:r>
    </w:p>
    <w:p w:rsidR="00E65148" w:rsidRPr="007B4873" w:rsidRDefault="00E65148" w:rsidP="007E3DB6">
      <w:pPr>
        <w:pStyle w:val="FootnoteText"/>
      </w:pPr>
      <w:r w:rsidRPr="00134451">
        <w:t>4. El Tribunal rechazará cualquier demanda que considere inadmisible en aplicación del presente artículo. Podrá decidirlo así en cualquier fase del procedimiento.”</w:t>
      </w:r>
    </w:p>
  </w:footnote>
  <w:footnote w:id="294">
    <w:p w:rsidR="00E65148" w:rsidRPr="007B4873" w:rsidRDefault="00E65148" w:rsidP="007E3DB6">
      <w:pPr>
        <w:pStyle w:val="FootnoteText"/>
        <w:rPr>
          <w:lang w:val="es-MX"/>
        </w:rPr>
      </w:pPr>
      <w:r w:rsidRPr="000C6018">
        <w:rPr>
          <w:rStyle w:val="FootnoteReference"/>
        </w:rPr>
        <w:footnoteRef/>
      </w:r>
      <w:r w:rsidRPr="000C6018">
        <w:t xml:space="preserve"> </w:t>
      </w:r>
      <w:r w:rsidRPr="007B4873">
        <w:t>Art. 61.1 de la Convención: “Sólo los Estados Partes y la Comisión tienen derecho a someter un caso a la decisión de la Corte.”</w:t>
      </w:r>
    </w:p>
  </w:footnote>
  <w:footnote w:id="295">
    <w:p w:rsidR="00E65148" w:rsidRPr="008B6AC9" w:rsidRDefault="00E65148" w:rsidP="007E3DB6">
      <w:pPr>
        <w:pStyle w:val="NormalWeb"/>
        <w:spacing w:before="0" w:beforeAutospacing="0" w:after="0" w:afterAutospacing="0"/>
        <w:ind w:right="75"/>
        <w:jc w:val="both"/>
        <w:rPr>
          <w:color w:val="auto"/>
          <w:sz w:val="16"/>
          <w:szCs w:val="16"/>
          <w:lang w:val="es-ES"/>
        </w:rPr>
      </w:pPr>
      <w:r w:rsidRPr="008B6AC9">
        <w:rPr>
          <w:rStyle w:val="FootnoteReference"/>
          <w:color w:val="auto"/>
          <w:sz w:val="16"/>
          <w:szCs w:val="16"/>
        </w:rPr>
        <w:footnoteRef/>
      </w:r>
      <w:r w:rsidRPr="008B6AC9">
        <w:rPr>
          <w:color w:val="auto"/>
          <w:sz w:val="16"/>
          <w:szCs w:val="16"/>
          <w:lang w:val="es-ES"/>
        </w:rPr>
        <w:t xml:space="preserve"> </w:t>
      </w:r>
      <w:proofErr w:type="spellStart"/>
      <w:r w:rsidRPr="008B6AC9">
        <w:rPr>
          <w:color w:val="auto"/>
          <w:sz w:val="16"/>
          <w:szCs w:val="16"/>
          <w:lang w:val="es-ES"/>
        </w:rPr>
        <w:t>Párrs</w:t>
      </w:r>
      <w:proofErr w:type="spellEnd"/>
      <w:r w:rsidRPr="008B6AC9">
        <w:rPr>
          <w:color w:val="auto"/>
          <w:sz w:val="16"/>
          <w:szCs w:val="16"/>
          <w:lang w:val="es-ES"/>
        </w:rPr>
        <w:t>. 2 y 3 :“</w:t>
      </w:r>
      <w:r w:rsidRPr="008B6AC9">
        <w:rPr>
          <w:rFonts w:cs="Tahoma"/>
          <w:color w:val="auto"/>
          <w:sz w:val="16"/>
          <w:szCs w:val="16"/>
          <w:lang w:val="es-ES"/>
        </w:rPr>
        <w:t xml:space="preserve">Reafirmando su propósito de consolidar en este Continente, dentro del cuadro de las instituciones democráticas, un régimen de libertad personal y de justicia social, fundado en el respeto de los derechos esenciales del hombre; </w:t>
      </w:r>
    </w:p>
    <w:p w:rsidR="00E65148" w:rsidRPr="007E3DB6" w:rsidRDefault="00E65148" w:rsidP="007E3DB6">
      <w:pPr>
        <w:pStyle w:val="NormalWeb"/>
        <w:spacing w:before="0" w:beforeAutospacing="0" w:after="120" w:afterAutospacing="0"/>
        <w:jc w:val="both"/>
        <w:rPr>
          <w:i/>
          <w:sz w:val="16"/>
          <w:szCs w:val="16"/>
          <w:lang w:val="es-ES"/>
        </w:rPr>
      </w:pPr>
      <w:r w:rsidRPr="008B6AC9">
        <w:rPr>
          <w:rFonts w:cs="Tahoma"/>
          <w:color w:val="auto"/>
          <w:sz w:val="16"/>
          <w:szCs w:val="16"/>
          <w:lang w:val="es-ES"/>
        </w:rPr>
        <w:t>Reconociendo que los derechos esenciales del hombre no nacen del hecho de ser nacional de determinado Estado, sino que tienen como fundamento los atributos de la persona humana, razón por la cual justifican una protección internacional, de naturaleza convencional coadyuvante o complementaria de la que ofrece el derecho interno de los Estados americanos;”</w:t>
      </w:r>
      <w:r w:rsidRPr="008B6AC9">
        <w:rPr>
          <w:rFonts w:cs="Tahoma"/>
          <w:i/>
          <w:color w:val="auto"/>
          <w:sz w:val="16"/>
          <w:szCs w:val="16"/>
          <w:lang w:val="es-ES"/>
        </w:rPr>
        <w:t xml:space="preserve"> </w:t>
      </w:r>
    </w:p>
  </w:footnote>
  <w:footnote w:id="296">
    <w:p w:rsidR="00E65148" w:rsidRPr="007B4873" w:rsidRDefault="00E65148" w:rsidP="007E3DB6">
      <w:pPr>
        <w:rPr>
          <w:rFonts w:cs="Calibri"/>
          <w:sz w:val="16"/>
          <w:szCs w:val="16"/>
        </w:rPr>
      </w:pPr>
      <w:r w:rsidRPr="007B4873">
        <w:rPr>
          <w:rStyle w:val="FootnoteReference"/>
          <w:rFonts w:cs="Calibri"/>
          <w:sz w:val="16"/>
          <w:szCs w:val="16"/>
        </w:rPr>
        <w:footnoteRef/>
      </w:r>
      <w:r w:rsidRPr="007B4873">
        <w:rPr>
          <w:rFonts w:cs="Calibri"/>
          <w:sz w:val="16"/>
          <w:szCs w:val="16"/>
        </w:rPr>
        <w:t xml:space="preserve"> </w:t>
      </w:r>
      <w:proofErr w:type="spellStart"/>
      <w:r w:rsidRPr="007B4873">
        <w:rPr>
          <w:rFonts w:cs="Calibri"/>
          <w:i/>
          <w:sz w:val="16"/>
          <w:szCs w:val="16"/>
        </w:rPr>
        <w:t>Idem</w:t>
      </w:r>
      <w:proofErr w:type="spellEnd"/>
      <w:r>
        <w:rPr>
          <w:rFonts w:cs="Calibri"/>
          <w:sz w:val="16"/>
          <w:szCs w:val="16"/>
        </w:rPr>
        <w:t xml:space="preserve">. </w:t>
      </w:r>
      <w:r w:rsidRPr="007B4873">
        <w:rPr>
          <w:rFonts w:cs="Calibri"/>
          <w:sz w:val="16"/>
          <w:szCs w:val="16"/>
        </w:rPr>
        <w:t xml:space="preserve">Tal vez el artículo 8.1 de la Convención es el que mejor expresa el carácter subsidiario del Sistema Interamericano de Derechos Humanos, al señalar </w:t>
      </w:r>
      <w:proofErr w:type="spellStart"/>
      <w:r w:rsidRPr="007B4873">
        <w:rPr>
          <w:rFonts w:cs="Calibri"/>
          <w:sz w:val="16"/>
          <w:szCs w:val="16"/>
        </w:rPr>
        <w:t>que</w:t>
      </w:r>
      <w:r w:rsidRPr="00134451">
        <w:rPr>
          <w:rFonts w:cs="Calibri"/>
          <w:sz w:val="16"/>
          <w:szCs w:val="16"/>
        </w:rPr>
        <w:t>:“Toda</w:t>
      </w:r>
      <w:proofErr w:type="spellEnd"/>
      <w:r w:rsidRPr="00134451">
        <w:rPr>
          <w:rFonts w:cs="Calibri"/>
          <w:sz w:val="16"/>
          <w:szCs w:val="16"/>
        </w:rPr>
        <w:t xml:space="preserve">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r w:rsidRPr="007B4873">
        <w:rPr>
          <w:rFonts w:cs="Calibri"/>
          <w:sz w:val="16"/>
          <w:szCs w:val="16"/>
        </w:rPr>
        <w:t xml:space="preserve"> </w:t>
      </w:r>
    </w:p>
  </w:footnote>
  <w:footnote w:id="297">
    <w:p w:rsidR="00E65148" w:rsidRPr="008B6AC9" w:rsidRDefault="00E65148" w:rsidP="007E3DB6">
      <w:pPr>
        <w:pStyle w:val="NormalWeb"/>
        <w:spacing w:before="0" w:beforeAutospacing="0" w:after="200" w:afterAutospacing="0"/>
        <w:jc w:val="both"/>
        <w:rPr>
          <w:rFonts w:cs="Calibri"/>
          <w:color w:val="auto"/>
          <w:sz w:val="16"/>
          <w:szCs w:val="16"/>
          <w:lang w:val="es-ES"/>
        </w:rPr>
      </w:pPr>
      <w:r w:rsidRPr="008B6AC9">
        <w:rPr>
          <w:rStyle w:val="FootnoteReference"/>
          <w:rFonts w:cs="Calibri"/>
          <w:color w:val="auto"/>
          <w:sz w:val="16"/>
          <w:szCs w:val="16"/>
        </w:rPr>
        <w:footnoteRef/>
      </w:r>
      <w:r w:rsidRPr="008B6AC9">
        <w:rPr>
          <w:rFonts w:cs="Calibri"/>
          <w:color w:val="auto"/>
          <w:sz w:val="16"/>
          <w:szCs w:val="16"/>
          <w:lang w:val="es-ES"/>
        </w:rPr>
        <w:t xml:space="preserve"> “Los Estados americanos consagran en esta Carta la organización internacional que han desarrollado para lograr un orden de paz y de justicia, fomentar su solidaridad, robustecer su colaboración y defender su soberanía, su integridad territorial y su independencia. Dentro de las Naciones Unidas, la Organización de los Estados Americanos constituye un organismo regional”.</w:t>
      </w:r>
    </w:p>
  </w:footnote>
  <w:footnote w:id="298">
    <w:p w:rsidR="00E65148" w:rsidRPr="008B6AC9" w:rsidRDefault="00E65148" w:rsidP="007E3DB6">
      <w:pPr>
        <w:pStyle w:val="NormalWeb"/>
        <w:spacing w:before="0" w:beforeAutospacing="0" w:after="120" w:afterAutospacing="0"/>
        <w:jc w:val="both"/>
        <w:rPr>
          <w:rFonts w:cs="Calibri"/>
          <w:color w:val="auto"/>
          <w:sz w:val="16"/>
          <w:szCs w:val="16"/>
          <w:lang w:val="es-ES"/>
        </w:rPr>
      </w:pPr>
      <w:r w:rsidRPr="008B6AC9">
        <w:rPr>
          <w:rStyle w:val="FootnoteReference"/>
          <w:rFonts w:cs="Calibri"/>
          <w:color w:val="auto"/>
          <w:sz w:val="16"/>
          <w:szCs w:val="16"/>
        </w:rPr>
        <w:footnoteRef/>
      </w:r>
      <w:r w:rsidRPr="008B6AC9">
        <w:rPr>
          <w:rFonts w:cs="Calibri"/>
          <w:color w:val="auto"/>
          <w:sz w:val="16"/>
          <w:szCs w:val="16"/>
          <w:lang w:val="es-ES"/>
        </w:rPr>
        <w:t xml:space="preserve"> “Los Estados americanos reafirman los siguientes principios: …b) El orden internacional está esencialmente constituido por el respeto a la personalidad, soberanía e independencia de los Estados y por el fiel cumplimiento de las obligaciones emanadas de los tratados y de otras fuentes del derecho internacional”.</w:t>
      </w:r>
    </w:p>
  </w:footnote>
  <w:footnote w:id="299">
    <w:p w:rsidR="00E65148" w:rsidRPr="008B6AC9" w:rsidRDefault="00E65148" w:rsidP="007E3DB6">
      <w:pPr>
        <w:pStyle w:val="FootnoteText"/>
      </w:pPr>
      <w:r w:rsidRPr="008B6AC9">
        <w:rPr>
          <w:rStyle w:val="FootnoteReference"/>
        </w:rPr>
        <w:footnoteRef/>
      </w:r>
      <w:r w:rsidRPr="008B6AC9">
        <w:t xml:space="preserve"> Carta Democrática Interamericana adoptada en el Vigésimo Octavo Período Extraordinario de Sesiones de la Asamblea General de la Organización de los Estados Americanos, por Resolución de fecha 11 de septiembre de 2001.</w:t>
      </w:r>
    </w:p>
  </w:footnote>
  <w:footnote w:id="300">
    <w:p w:rsidR="00E65148" w:rsidRPr="008B6AC9" w:rsidRDefault="00E65148" w:rsidP="007E3DB6">
      <w:pPr>
        <w:pStyle w:val="NormalWeb"/>
        <w:spacing w:before="0" w:beforeAutospacing="0" w:after="120" w:afterAutospacing="0"/>
        <w:jc w:val="both"/>
        <w:rPr>
          <w:rFonts w:cs="Calibri"/>
          <w:color w:val="auto"/>
          <w:sz w:val="16"/>
          <w:szCs w:val="16"/>
          <w:lang w:val="es-ES"/>
        </w:rPr>
      </w:pPr>
      <w:r w:rsidRPr="008B6AC9">
        <w:rPr>
          <w:rStyle w:val="FootnoteReference"/>
          <w:rFonts w:cs="Calibri"/>
          <w:color w:val="auto"/>
          <w:sz w:val="16"/>
          <w:szCs w:val="16"/>
        </w:rPr>
        <w:footnoteRef/>
      </w:r>
      <w:r w:rsidRPr="008B6AC9">
        <w:rPr>
          <w:rFonts w:cs="Calibri"/>
          <w:color w:val="auto"/>
          <w:sz w:val="16"/>
          <w:szCs w:val="16"/>
          <w:lang w:val="es-ES"/>
        </w:rPr>
        <w:t xml:space="preserve"> </w:t>
      </w:r>
      <w:r w:rsidRPr="008B6AC9">
        <w:rPr>
          <w:rFonts w:cs="Calibri"/>
          <w:bCs/>
          <w:color w:val="auto"/>
          <w:sz w:val="16"/>
          <w:szCs w:val="16"/>
          <w:lang w:val="es-ES"/>
        </w:rPr>
        <w:t>Art. 44</w:t>
      </w:r>
      <w:r w:rsidRPr="008B6AC9">
        <w:rPr>
          <w:rFonts w:cs="Calibri"/>
          <w:color w:val="auto"/>
          <w:sz w:val="16"/>
          <w:szCs w:val="16"/>
          <w:lang w:val="es-ES"/>
        </w:rPr>
        <w:t xml:space="preserve"> de la Convención: “Cualquier persona o grupo de personas, o entidad no gubernamental legalmente reconocida en uno o más Estados miembros de la Organización, puede presentar a la Comisión peticiones que contengan denuncias o quejas de violación de esta Convención por un Estado parte.”</w:t>
      </w:r>
    </w:p>
    <w:p w:rsidR="00E65148" w:rsidRPr="008B6AC9" w:rsidRDefault="00E65148" w:rsidP="007E3DB6">
      <w:pPr>
        <w:pStyle w:val="NormalWeb"/>
        <w:spacing w:before="0" w:beforeAutospacing="0" w:after="120" w:afterAutospacing="0"/>
        <w:jc w:val="both"/>
        <w:rPr>
          <w:rFonts w:cs="Calibri"/>
          <w:color w:val="auto"/>
          <w:sz w:val="16"/>
          <w:szCs w:val="16"/>
          <w:lang w:val="es-ES"/>
        </w:rPr>
      </w:pPr>
      <w:r w:rsidRPr="008B6AC9">
        <w:rPr>
          <w:rFonts w:cs="Calibri"/>
          <w:color w:val="auto"/>
          <w:sz w:val="16"/>
          <w:szCs w:val="16"/>
          <w:lang w:val="es-ES"/>
        </w:rPr>
        <w:t>Art. 61.1 de la Convención, nota Nº 25.</w:t>
      </w:r>
    </w:p>
  </w:footnote>
  <w:footnote w:id="301">
    <w:p w:rsidR="00E65148" w:rsidRPr="007B4873" w:rsidRDefault="00E65148" w:rsidP="007E3DB6">
      <w:pPr>
        <w:pStyle w:val="FootnoteText"/>
      </w:pPr>
      <w:r w:rsidRPr="00F51559">
        <w:rPr>
          <w:rStyle w:val="FootnoteReference"/>
        </w:rPr>
        <w:footnoteRef/>
      </w:r>
      <w:r w:rsidRPr="00F51559">
        <w:t xml:space="preserve"> </w:t>
      </w:r>
      <w:r w:rsidRPr="007B4873">
        <w:t xml:space="preserve">En adelante, el Reglamento de la Comisión. </w:t>
      </w:r>
    </w:p>
  </w:footnote>
  <w:footnote w:id="302">
    <w:p w:rsidR="00E65148" w:rsidRPr="007B4873" w:rsidRDefault="00E65148" w:rsidP="007E3DB6">
      <w:pPr>
        <w:pStyle w:val="FootnoteText"/>
      </w:pPr>
      <w:r w:rsidRPr="00F51559">
        <w:rPr>
          <w:rStyle w:val="FootnoteReference"/>
        </w:rPr>
        <w:footnoteRef/>
      </w:r>
      <w:r w:rsidRPr="007B4873">
        <w:t xml:space="preserve"> </w:t>
      </w:r>
      <w:r w:rsidRPr="00F51559">
        <w:t>Aprobado por la Comisión en su 660a. sesión, celebrada el 8 de abril de 1980, en adelante el Reglamento de la Comisión</w:t>
      </w:r>
      <w:r w:rsidRPr="007B4873">
        <w:t>.</w:t>
      </w:r>
    </w:p>
  </w:footnote>
  <w:footnote w:id="303">
    <w:p w:rsidR="00E65148" w:rsidRPr="007B4873" w:rsidRDefault="00E65148" w:rsidP="007E3DB6">
      <w:pPr>
        <w:pStyle w:val="FootnoteText"/>
      </w:pPr>
      <w:r w:rsidRPr="00F51559">
        <w:rPr>
          <w:rStyle w:val="FootnoteReference"/>
        </w:rPr>
        <w:footnoteRef/>
      </w:r>
      <w:r w:rsidRPr="00F51559">
        <w:t xml:space="preserve"> </w:t>
      </w:r>
      <w:r w:rsidRPr="007B4873">
        <w:t>Nota</w:t>
      </w:r>
      <w:r>
        <w:t xml:space="preserve"> </w:t>
      </w:r>
      <w:r w:rsidRPr="005E5083">
        <w:t xml:space="preserve">de pie de página Nº 19. En adelante, cada vez que se haga referencia a un </w:t>
      </w:r>
      <w:proofErr w:type="spellStart"/>
      <w:r w:rsidRPr="005E5083">
        <w:t>Párr</w:t>
      </w:r>
      <w:proofErr w:type="spellEnd"/>
      <w:r w:rsidRPr="005E5083">
        <w:t xml:space="preserve"> o Nota de pie de página, se</w:t>
      </w:r>
      <w:r w:rsidRPr="007B4873">
        <w:t xml:space="preserve"> entenderá que es de la Sentencia.  </w:t>
      </w:r>
    </w:p>
  </w:footnote>
  <w:footnote w:id="304">
    <w:p w:rsidR="00E65148" w:rsidRPr="002C419F" w:rsidRDefault="00E65148" w:rsidP="007E3DB6">
      <w:pPr>
        <w:pStyle w:val="FootnoteText"/>
        <w:rPr>
          <w:lang w:val="en-US"/>
        </w:rPr>
      </w:pPr>
      <w:r w:rsidRPr="00E071B1">
        <w:rPr>
          <w:rStyle w:val="FootnoteReference"/>
        </w:rPr>
        <w:footnoteRef/>
      </w:r>
      <w:r w:rsidRPr="002C419F">
        <w:rPr>
          <w:lang w:val="en-US"/>
        </w:rPr>
        <w:t xml:space="preserve"> </w:t>
      </w:r>
      <w:proofErr w:type="spellStart"/>
      <w:proofErr w:type="gramStart"/>
      <w:r w:rsidRPr="002C419F">
        <w:rPr>
          <w:lang w:val="en-US"/>
        </w:rPr>
        <w:t>Párr</w:t>
      </w:r>
      <w:proofErr w:type="spellEnd"/>
      <w:r w:rsidRPr="002C419F">
        <w:rPr>
          <w:lang w:val="en-US"/>
        </w:rPr>
        <w:t>.</w:t>
      </w:r>
      <w:proofErr w:type="gramEnd"/>
      <w:r w:rsidRPr="002C419F">
        <w:rPr>
          <w:lang w:val="en-US"/>
        </w:rPr>
        <w:t xml:space="preserve"> 32.</w:t>
      </w:r>
    </w:p>
  </w:footnote>
  <w:footnote w:id="305">
    <w:p w:rsidR="00E65148" w:rsidRPr="007B4873" w:rsidRDefault="00E65148" w:rsidP="007E3DB6">
      <w:pPr>
        <w:spacing w:after="120"/>
        <w:rPr>
          <w:rFonts w:cs="Calibri"/>
          <w:snapToGrid w:val="0"/>
          <w:sz w:val="16"/>
          <w:szCs w:val="16"/>
          <w:lang w:val="pt-BR"/>
        </w:rPr>
      </w:pPr>
      <w:r w:rsidRPr="007B4873">
        <w:rPr>
          <w:rStyle w:val="FootnoteReference"/>
          <w:sz w:val="16"/>
          <w:szCs w:val="16"/>
        </w:rPr>
        <w:footnoteRef/>
      </w:r>
      <w:r w:rsidRPr="007B4873">
        <w:rPr>
          <w:sz w:val="16"/>
          <w:szCs w:val="16"/>
          <w:lang w:val="en-US"/>
        </w:rPr>
        <w:t xml:space="preserve"> </w:t>
      </w:r>
      <w:proofErr w:type="spellStart"/>
      <w:proofErr w:type="gramStart"/>
      <w:r w:rsidRPr="007B4873">
        <w:rPr>
          <w:sz w:val="16"/>
          <w:szCs w:val="16"/>
          <w:lang w:val="en-US"/>
        </w:rPr>
        <w:t>Párr</w:t>
      </w:r>
      <w:proofErr w:type="spellEnd"/>
      <w:r w:rsidRPr="007B4873">
        <w:rPr>
          <w:sz w:val="16"/>
          <w:szCs w:val="16"/>
          <w:lang w:val="en-US"/>
        </w:rPr>
        <w:t>.</w:t>
      </w:r>
      <w:proofErr w:type="gramEnd"/>
      <w:r w:rsidRPr="007B4873">
        <w:rPr>
          <w:sz w:val="16"/>
          <w:szCs w:val="16"/>
          <w:lang w:val="en-US"/>
        </w:rPr>
        <w:t xml:space="preserve"> </w:t>
      </w:r>
      <w:r w:rsidRPr="009E67E4">
        <w:rPr>
          <w:sz w:val="16"/>
          <w:szCs w:val="16"/>
          <w:lang w:val="en-US"/>
        </w:rPr>
        <w:t>31.</w:t>
      </w:r>
    </w:p>
  </w:footnote>
  <w:footnote w:id="306">
    <w:p w:rsidR="00E65148" w:rsidRPr="000C6018" w:rsidRDefault="00E65148" w:rsidP="007E3DB6">
      <w:pPr>
        <w:pStyle w:val="FootnoteText"/>
        <w:rPr>
          <w:lang w:val="es-CL"/>
        </w:rPr>
      </w:pPr>
      <w:r w:rsidRPr="000C6018">
        <w:rPr>
          <w:rStyle w:val="FootnoteReference"/>
        </w:rPr>
        <w:footnoteRef/>
      </w:r>
      <w:r w:rsidRPr="002C419F">
        <w:rPr>
          <w:lang w:val="en-US"/>
        </w:rPr>
        <w:t xml:space="preserve"> </w:t>
      </w:r>
      <w:proofErr w:type="spellStart"/>
      <w:r w:rsidRPr="002C419F">
        <w:rPr>
          <w:i/>
          <w:lang w:val="en-US"/>
        </w:rPr>
        <w:t>Caso</w:t>
      </w:r>
      <w:proofErr w:type="spellEnd"/>
      <w:r w:rsidRPr="002C419F">
        <w:rPr>
          <w:i/>
          <w:lang w:val="en-US"/>
        </w:rPr>
        <w:t xml:space="preserve"> Wong Ho Wing </w:t>
      </w:r>
      <w:proofErr w:type="gramStart"/>
      <w:r w:rsidRPr="002C419F">
        <w:rPr>
          <w:i/>
          <w:lang w:val="en-US"/>
        </w:rPr>
        <w:t>Vs</w:t>
      </w:r>
      <w:proofErr w:type="gramEnd"/>
      <w:r w:rsidRPr="002C419F">
        <w:rPr>
          <w:i/>
          <w:lang w:val="en-US"/>
        </w:rPr>
        <w:t xml:space="preserve">. </w:t>
      </w:r>
      <w:r w:rsidRPr="005E5083">
        <w:rPr>
          <w:i/>
        </w:rPr>
        <w:t>Perú, cit</w:t>
      </w:r>
      <w:r w:rsidRPr="000C6018">
        <w:t>., párr. 27.</w:t>
      </w:r>
    </w:p>
  </w:footnote>
  <w:footnote w:id="307">
    <w:p w:rsidR="00E65148" w:rsidRPr="007B4873" w:rsidRDefault="00E65148" w:rsidP="007E3DB6">
      <w:pPr>
        <w:pStyle w:val="FootnoteText"/>
      </w:pPr>
      <w:r w:rsidRPr="000C6018">
        <w:rPr>
          <w:rStyle w:val="FootnoteReference"/>
        </w:rPr>
        <w:footnoteRef/>
      </w:r>
      <w:r w:rsidRPr="007B4873">
        <w:t xml:space="preserve"> </w:t>
      </w:r>
      <w:r w:rsidRPr="007B4873">
        <w:rPr>
          <w:lang w:val="es-ES"/>
        </w:rPr>
        <w:t xml:space="preserve">Art. 1.1 de la Convención: </w:t>
      </w:r>
      <w:r w:rsidRPr="007B4873">
        <w:t>“</w:t>
      </w:r>
      <w:r w:rsidRPr="00E071B1">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308">
    <w:p w:rsidR="00E65148" w:rsidRPr="00443E0D" w:rsidRDefault="00E65148" w:rsidP="007E3DB6">
      <w:pPr>
        <w:pStyle w:val="FootnoteText"/>
      </w:pPr>
      <w:r w:rsidRPr="000C6018">
        <w:rPr>
          <w:rStyle w:val="FootnoteReference"/>
        </w:rPr>
        <w:footnoteRef/>
      </w:r>
      <w:r w:rsidRPr="000C6018">
        <w:t xml:space="preserve"> </w:t>
      </w:r>
      <w:r w:rsidRPr="007B4873">
        <w:t>En adelante la víctima.</w:t>
      </w:r>
    </w:p>
  </w:footnote>
  <w:footnote w:id="309">
    <w:p w:rsidR="00E65148" w:rsidRPr="007B4873" w:rsidRDefault="00E65148" w:rsidP="007E3DB6">
      <w:pPr>
        <w:spacing w:after="120"/>
        <w:rPr>
          <w:rFonts w:cs="Calibri"/>
          <w:iCs/>
          <w:sz w:val="16"/>
          <w:szCs w:val="16"/>
        </w:rPr>
      </w:pPr>
      <w:r w:rsidRPr="00443E0D">
        <w:rPr>
          <w:rStyle w:val="FootnoteReference"/>
          <w:rFonts w:cs="Calibri"/>
          <w:sz w:val="16"/>
          <w:szCs w:val="16"/>
        </w:rPr>
        <w:footnoteRef/>
      </w:r>
      <w:r w:rsidRPr="00443E0D">
        <w:rPr>
          <w:rFonts w:cs="Calibri"/>
          <w:sz w:val="16"/>
          <w:szCs w:val="16"/>
        </w:rPr>
        <w:t xml:space="preserve"> Art. 63.1 de la </w:t>
      </w:r>
      <w:proofErr w:type="spellStart"/>
      <w:r w:rsidRPr="00443E0D">
        <w:rPr>
          <w:rFonts w:cs="Calibri"/>
          <w:sz w:val="16"/>
          <w:szCs w:val="16"/>
        </w:rPr>
        <w:t>Convención:”Cuando</w:t>
      </w:r>
      <w:proofErr w:type="spellEnd"/>
      <w:r w:rsidRPr="00443E0D">
        <w:rPr>
          <w:rFonts w:cs="Calibri"/>
          <w:sz w:val="16"/>
          <w:szCs w:val="16"/>
        </w:rPr>
        <w:t xml:space="preserve">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310">
    <w:p w:rsidR="00E65148" w:rsidRPr="007B4873" w:rsidRDefault="00E65148" w:rsidP="007E3DB6">
      <w:pPr>
        <w:pStyle w:val="FootnoteText"/>
      </w:pPr>
      <w:r w:rsidRPr="000C6018">
        <w:rPr>
          <w:rStyle w:val="FootnoteReference"/>
        </w:rPr>
        <w:footnoteRef/>
      </w:r>
      <w:r w:rsidRPr="007B4873">
        <w:t xml:space="preserve"> </w:t>
      </w:r>
      <w:r w:rsidRPr="00695A13">
        <w:rPr>
          <w:i/>
          <w:snapToGrid w:val="0"/>
        </w:rPr>
        <w:t>Caso Cruz Sánchez y Otros Vs. Perú. cit.,</w:t>
      </w:r>
      <w:r w:rsidRPr="007B4873">
        <w:rPr>
          <w:snapToGrid w:val="0"/>
        </w:rPr>
        <w:t xml:space="preserve"> párr. 37</w:t>
      </w:r>
      <w:r>
        <w:rPr>
          <w:snapToGrid w:val="0"/>
        </w:rPr>
        <w:t>.</w:t>
      </w:r>
      <w:r w:rsidRPr="007B4873">
        <w:t xml:space="preserve">  </w:t>
      </w:r>
    </w:p>
  </w:footnote>
  <w:footnote w:id="311">
    <w:p w:rsidR="00E65148" w:rsidRPr="007B4873" w:rsidRDefault="00E65148" w:rsidP="007E3DB6">
      <w:pPr>
        <w:spacing w:after="120"/>
        <w:rPr>
          <w:rFonts w:cs="Calibri"/>
          <w:snapToGrid w:val="0"/>
          <w:sz w:val="16"/>
          <w:szCs w:val="16"/>
          <w:lang w:val="pt-BR"/>
        </w:rPr>
      </w:pPr>
      <w:r w:rsidRPr="007B4873">
        <w:rPr>
          <w:rStyle w:val="FootnoteReference"/>
          <w:sz w:val="16"/>
          <w:szCs w:val="16"/>
        </w:rPr>
        <w:footnoteRef/>
      </w:r>
      <w:r w:rsidRPr="007B4873">
        <w:rPr>
          <w:sz w:val="16"/>
          <w:szCs w:val="16"/>
        </w:rPr>
        <w:t xml:space="preserve"> </w:t>
      </w:r>
      <w:proofErr w:type="spellStart"/>
      <w:r w:rsidRPr="007B4873">
        <w:rPr>
          <w:i/>
          <w:sz w:val="16"/>
          <w:szCs w:val="16"/>
        </w:rPr>
        <w:t>Idem</w:t>
      </w:r>
      <w:proofErr w:type="spellEnd"/>
      <w:r w:rsidRPr="007B4873">
        <w:rPr>
          <w:sz w:val="16"/>
          <w:szCs w:val="16"/>
        </w:rPr>
        <w:t xml:space="preserve">, párr. </w:t>
      </w:r>
      <w:r w:rsidRPr="009E67E4">
        <w:rPr>
          <w:sz w:val="16"/>
          <w:szCs w:val="16"/>
        </w:rPr>
        <w:t>75</w:t>
      </w:r>
      <w:r w:rsidRPr="009E67E4">
        <w:rPr>
          <w:rFonts w:cs="Calibri"/>
          <w:caps/>
          <w:snapToGrid w:val="0"/>
          <w:sz w:val="16"/>
          <w:szCs w:val="16"/>
        </w:rPr>
        <w:t>.</w:t>
      </w:r>
    </w:p>
  </w:footnote>
  <w:footnote w:id="312">
    <w:p w:rsidR="00E65148" w:rsidRPr="007B4873" w:rsidRDefault="00E65148" w:rsidP="007E3DB6">
      <w:pPr>
        <w:pStyle w:val="FootnoteText"/>
      </w:pPr>
      <w:r w:rsidRPr="00E071B1">
        <w:rPr>
          <w:rStyle w:val="FootnoteReference"/>
        </w:rPr>
        <w:footnoteRef/>
      </w:r>
      <w:r w:rsidRPr="007B4873">
        <w:t xml:space="preserve"> Nota </w:t>
      </w:r>
      <w:r w:rsidRPr="005E5083">
        <w:t>de pie de página Nº 1.</w:t>
      </w:r>
      <w:r w:rsidRPr="007B4873">
        <w:t xml:space="preserve"> </w:t>
      </w:r>
    </w:p>
  </w:footnote>
  <w:footnote w:id="313">
    <w:p w:rsidR="00E65148" w:rsidRPr="007B4873" w:rsidRDefault="00E65148" w:rsidP="007E3DB6">
      <w:pPr>
        <w:pStyle w:val="FootnoteText"/>
      </w:pPr>
      <w:r w:rsidRPr="000950EB">
        <w:rPr>
          <w:rStyle w:val="FootnoteReference"/>
        </w:rPr>
        <w:footnoteRef/>
      </w:r>
      <w:r w:rsidRPr="000950EB">
        <w:t xml:space="preserve"> Informe de</w:t>
      </w:r>
      <w:r>
        <w:t xml:space="preserve"> 2 de enero de 1996 d</w:t>
      </w:r>
      <w:r w:rsidRPr="000950EB">
        <w:t>el señor Luis Antonio Galindo Cárdenas anexo a la petición presentada el 3 de enero de 1996.</w:t>
      </w:r>
    </w:p>
  </w:footnote>
  <w:footnote w:id="314">
    <w:p w:rsidR="00E65148" w:rsidRPr="00D370EF" w:rsidRDefault="00E65148" w:rsidP="007E3DB6">
      <w:pPr>
        <w:pStyle w:val="FootnoteText"/>
        <w:rPr>
          <w:strike/>
        </w:rPr>
      </w:pPr>
      <w:r w:rsidRPr="007B4873">
        <w:rPr>
          <w:rStyle w:val="FootnoteReference"/>
        </w:rPr>
        <w:footnoteRef/>
      </w:r>
      <w:r w:rsidRPr="007B4873">
        <w:t xml:space="preserve"> Párr. </w:t>
      </w:r>
      <w:r w:rsidRPr="009E67E4">
        <w:t>34.</w:t>
      </w:r>
    </w:p>
  </w:footnote>
  <w:footnote w:id="315">
    <w:p w:rsidR="00E65148" w:rsidRPr="009E67E4" w:rsidRDefault="00E65148" w:rsidP="007E3DB6">
      <w:pPr>
        <w:pStyle w:val="FootnoteText"/>
      </w:pPr>
      <w:r w:rsidRPr="000C6018">
        <w:rPr>
          <w:rStyle w:val="FootnoteReference"/>
        </w:rPr>
        <w:footnoteRef/>
      </w:r>
      <w:r w:rsidRPr="000C6018">
        <w:t xml:space="preserve"> </w:t>
      </w:r>
      <w:r w:rsidRPr="007B4873">
        <w:t>Párr</w:t>
      </w:r>
      <w:r w:rsidRPr="009E67E4">
        <w:t>.47.</w:t>
      </w:r>
    </w:p>
  </w:footnote>
  <w:footnote w:id="316">
    <w:p w:rsidR="00E65148" w:rsidRPr="007B4873" w:rsidRDefault="00E65148" w:rsidP="007E3DB6">
      <w:pPr>
        <w:pStyle w:val="FootnoteText"/>
      </w:pPr>
      <w:r w:rsidRPr="009E67E4">
        <w:rPr>
          <w:rStyle w:val="FootnoteReference"/>
        </w:rPr>
        <w:footnoteRef/>
      </w:r>
      <w:r w:rsidRPr="009E67E4">
        <w:t xml:space="preserve"> Párr.48.</w:t>
      </w:r>
    </w:p>
  </w:footnote>
  <w:footnote w:id="317">
    <w:p w:rsidR="00E65148" w:rsidRPr="007B4873" w:rsidRDefault="00E65148" w:rsidP="007E3DB6">
      <w:pPr>
        <w:pStyle w:val="FootnoteText"/>
      </w:pPr>
      <w:r w:rsidRPr="008A251C">
        <w:rPr>
          <w:rStyle w:val="FootnoteReference"/>
        </w:rPr>
        <w:footnoteRef/>
      </w:r>
      <w:r>
        <w:t xml:space="preserve"> Párr.</w:t>
      </w:r>
      <w:r w:rsidRPr="008A251C">
        <w:t xml:space="preserve"> 49.</w:t>
      </w:r>
    </w:p>
  </w:footnote>
  <w:footnote w:id="318">
    <w:p w:rsidR="00E65148" w:rsidRPr="007B4873" w:rsidRDefault="00E65148" w:rsidP="007E3DB6">
      <w:pPr>
        <w:pStyle w:val="FootnoteText"/>
      </w:pPr>
      <w:r w:rsidRPr="000C6018">
        <w:rPr>
          <w:rStyle w:val="FootnoteReference"/>
        </w:rPr>
        <w:footnoteRef/>
      </w:r>
      <w:r w:rsidRPr="007B4873">
        <w:t xml:space="preserve"> Nota </w:t>
      </w:r>
      <w:r w:rsidRPr="005E5083">
        <w:t>de pie de página</w:t>
      </w:r>
      <w:r>
        <w:t xml:space="preserve"> </w:t>
      </w:r>
      <w:r w:rsidRPr="00E071B1">
        <w:t xml:space="preserve">Nº </w:t>
      </w:r>
      <w:r w:rsidRPr="007B4873">
        <w:t>3</w:t>
      </w:r>
      <w:r>
        <w:t>2</w:t>
      </w:r>
      <w:r w:rsidRPr="007B4873">
        <w:t>.</w:t>
      </w:r>
    </w:p>
  </w:footnote>
  <w:footnote w:id="319">
    <w:p w:rsidR="00E65148" w:rsidRPr="007B4873" w:rsidRDefault="00E65148" w:rsidP="007E3DB6">
      <w:pPr>
        <w:pStyle w:val="FootnoteText"/>
      </w:pPr>
      <w:r w:rsidRPr="000C6018">
        <w:rPr>
          <w:rStyle w:val="FootnoteReference"/>
        </w:rPr>
        <w:footnoteRef/>
      </w:r>
      <w:r w:rsidRPr="007B4873">
        <w:t xml:space="preserve"> Párr.31.</w:t>
      </w:r>
    </w:p>
  </w:footnote>
  <w:footnote w:id="320">
    <w:p w:rsidR="00E65148" w:rsidRPr="007B4873" w:rsidRDefault="00E65148" w:rsidP="007E3DB6">
      <w:pPr>
        <w:pStyle w:val="FootnoteText"/>
      </w:pPr>
      <w:r w:rsidRPr="007B4873">
        <w:rPr>
          <w:rStyle w:val="FootnoteReference"/>
        </w:rPr>
        <w:footnoteRef/>
      </w:r>
      <w:r w:rsidRPr="007B4873">
        <w:t xml:space="preserve"> Párr.23.</w:t>
      </w:r>
    </w:p>
  </w:footnote>
  <w:footnote w:id="321">
    <w:p w:rsidR="00E65148" w:rsidRPr="007B4873" w:rsidRDefault="00E65148" w:rsidP="007E3DB6">
      <w:pPr>
        <w:pStyle w:val="FootnoteText"/>
      </w:pPr>
      <w:r w:rsidRPr="000C6018">
        <w:rPr>
          <w:rStyle w:val="FootnoteReference"/>
        </w:rPr>
        <w:footnoteRef/>
      </w:r>
      <w:r w:rsidRPr="007B4873">
        <w:t xml:space="preserve"> </w:t>
      </w:r>
      <w:proofErr w:type="spellStart"/>
      <w:r w:rsidRPr="00E62CFC">
        <w:t>Párrs</w:t>
      </w:r>
      <w:proofErr w:type="spellEnd"/>
      <w:r w:rsidRPr="00E62CFC">
        <w:t>. 29 a 55.</w:t>
      </w:r>
      <w:r w:rsidRPr="007B4873">
        <w:t xml:space="preserve"> </w:t>
      </w:r>
    </w:p>
  </w:footnote>
  <w:footnote w:id="322">
    <w:p w:rsidR="00E65148" w:rsidRPr="007B4873" w:rsidRDefault="00E65148" w:rsidP="007E3DB6">
      <w:pPr>
        <w:pStyle w:val="FootnoteText"/>
      </w:pPr>
      <w:r w:rsidRPr="000C6018">
        <w:rPr>
          <w:rStyle w:val="FootnoteReference"/>
        </w:rPr>
        <w:footnoteRef/>
      </w:r>
      <w:r w:rsidRPr="007B4873">
        <w:t xml:space="preserve"> Párr.</w:t>
      </w:r>
      <w:r w:rsidRPr="00E62CFC">
        <w:t>52.</w:t>
      </w:r>
    </w:p>
  </w:footnote>
  <w:footnote w:id="323">
    <w:p w:rsidR="00E65148" w:rsidRPr="005E5083" w:rsidRDefault="00E65148" w:rsidP="007E3DB6">
      <w:pPr>
        <w:pStyle w:val="FootnoteText"/>
      </w:pPr>
      <w:r w:rsidRPr="000C6018">
        <w:rPr>
          <w:rStyle w:val="FootnoteReference"/>
        </w:rPr>
        <w:footnoteRef/>
      </w:r>
      <w:r w:rsidRPr="007B4873">
        <w:t xml:space="preserve"> Nota </w:t>
      </w:r>
      <w:r w:rsidRPr="005E5083">
        <w:t>de pie de página Nº 32.</w:t>
      </w:r>
    </w:p>
  </w:footnote>
  <w:footnote w:id="324">
    <w:p w:rsidR="00E65148" w:rsidRPr="005E5083" w:rsidRDefault="00E65148" w:rsidP="007E3DB6">
      <w:pPr>
        <w:pStyle w:val="FootnoteText"/>
      </w:pPr>
      <w:r w:rsidRPr="005E5083">
        <w:rPr>
          <w:rStyle w:val="FootnoteReference"/>
        </w:rPr>
        <w:footnoteRef/>
      </w:r>
      <w:r w:rsidRPr="005E5083">
        <w:t xml:space="preserve"> Párr</w:t>
      </w:r>
      <w:r w:rsidRPr="00E62CFC">
        <w:t>.46.</w:t>
      </w:r>
    </w:p>
  </w:footnote>
  <w:footnote w:id="325">
    <w:p w:rsidR="00E65148" w:rsidRPr="007B4873" w:rsidRDefault="00E65148" w:rsidP="007E3DB6">
      <w:pPr>
        <w:pStyle w:val="FootnoteText"/>
      </w:pPr>
      <w:r w:rsidRPr="0097379E">
        <w:rPr>
          <w:rStyle w:val="FootnoteReference"/>
        </w:rPr>
        <w:footnoteRef/>
      </w:r>
      <w:r w:rsidRPr="0097379E">
        <w:t xml:space="preserve"> Nota de pie de página Nº 38 y párr.49</w:t>
      </w:r>
    </w:p>
  </w:footnote>
  <w:footnote w:id="326">
    <w:p w:rsidR="00E65148" w:rsidRPr="007B4873" w:rsidRDefault="00E65148" w:rsidP="007E3DB6">
      <w:pPr>
        <w:pStyle w:val="FootnoteText"/>
      </w:pPr>
      <w:r w:rsidRPr="000C6018">
        <w:rPr>
          <w:rStyle w:val="FootnoteReference"/>
        </w:rPr>
        <w:footnoteRef/>
      </w:r>
      <w:r w:rsidRPr="007B4873">
        <w:t xml:space="preserve"> Párr.49.</w:t>
      </w:r>
    </w:p>
  </w:footnote>
  <w:footnote w:id="327">
    <w:p w:rsidR="00E65148" w:rsidRPr="007B4873" w:rsidRDefault="00E65148" w:rsidP="007E3DB6">
      <w:pPr>
        <w:pStyle w:val="FootnoteText"/>
      </w:pPr>
      <w:r w:rsidRPr="000C6018">
        <w:rPr>
          <w:rStyle w:val="FootnoteReference"/>
        </w:rPr>
        <w:footnoteRef/>
      </w:r>
      <w:r w:rsidRPr="007B4873">
        <w:t xml:space="preserve"> Nota </w:t>
      </w:r>
      <w:r w:rsidRPr="00F47580">
        <w:t>de pie de página</w:t>
      </w:r>
      <w:r>
        <w:t xml:space="preserve"> </w:t>
      </w:r>
      <w:r w:rsidRPr="00F47580">
        <w:t>Nº</w:t>
      </w:r>
      <w:r w:rsidRPr="007B4873">
        <w:t xml:space="preserve"> 24.</w:t>
      </w:r>
    </w:p>
  </w:footnote>
  <w:footnote w:id="328">
    <w:p w:rsidR="00E65148" w:rsidRPr="007B4873" w:rsidRDefault="00E65148" w:rsidP="007E3DB6">
      <w:pPr>
        <w:pStyle w:val="FootnoteText"/>
      </w:pPr>
      <w:r w:rsidRPr="000C6018">
        <w:rPr>
          <w:rStyle w:val="FootnoteReference"/>
        </w:rPr>
        <w:footnoteRef/>
      </w:r>
      <w:r w:rsidRPr="007B4873">
        <w:t xml:space="preserve"> Nota</w:t>
      </w:r>
      <w:r>
        <w:t xml:space="preserve"> </w:t>
      </w:r>
      <w:r w:rsidRPr="005E5083">
        <w:t>de pie de página</w:t>
      </w:r>
      <w:r>
        <w:t xml:space="preserve"> </w:t>
      </w:r>
      <w:r w:rsidRPr="000C6018">
        <w:t xml:space="preserve">Nº </w:t>
      </w:r>
      <w:r w:rsidRPr="006B43DE">
        <w:t>41</w:t>
      </w:r>
      <w:r w:rsidRPr="007B4873">
        <w:t>.</w:t>
      </w:r>
    </w:p>
  </w:footnote>
  <w:footnote w:id="329">
    <w:p w:rsidR="00E65148" w:rsidRPr="00E62CFC" w:rsidRDefault="00E65148" w:rsidP="007E3DB6">
      <w:pPr>
        <w:pStyle w:val="FootnoteText"/>
      </w:pPr>
      <w:r w:rsidRPr="000C6018">
        <w:rPr>
          <w:rStyle w:val="FootnoteReference"/>
        </w:rPr>
        <w:footnoteRef/>
      </w:r>
      <w:r w:rsidRPr="007B4873">
        <w:t xml:space="preserve"> </w:t>
      </w:r>
      <w:r w:rsidRPr="00E62CFC">
        <w:t>Párr.52.</w:t>
      </w:r>
    </w:p>
  </w:footnote>
  <w:footnote w:id="330">
    <w:p w:rsidR="00E65148" w:rsidRPr="00FA2524" w:rsidRDefault="00E65148" w:rsidP="007E3DB6">
      <w:pPr>
        <w:pStyle w:val="FootnoteText"/>
      </w:pPr>
      <w:r w:rsidRPr="00E62CFC">
        <w:rPr>
          <w:rStyle w:val="FootnoteReference"/>
        </w:rPr>
        <w:footnoteRef/>
      </w:r>
      <w:r w:rsidRPr="00E62CFC">
        <w:t xml:space="preserve"> Párr.53.</w:t>
      </w:r>
    </w:p>
  </w:footnote>
  <w:footnote w:id="331">
    <w:p w:rsidR="00E65148" w:rsidRPr="00F47580" w:rsidRDefault="00E65148" w:rsidP="007E3DB6">
      <w:pPr>
        <w:pStyle w:val="FootnoteText"/>
      </w:pPr>
      <w:r w:rsidRPr="00F47580">
        <w:rPr>
          <w:rStyle w:val="FootnoteReference"/>
        </w:rPr>
        <w:footnoteRef/>
      </w:r>
      <w:r w:rsidRPr="00F47580">
        <w:t xml:space="preserve"> Nota Nº 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148994"/>
      <w:docPartObj>
        <w:docPartGallery w:val="Page Numbers (Top of Page)"/>
        <w:docPartUnique/>
      </w:docPartObj>
    </w:sdtPr>
    <w:sdtEndPr>
      <w:rPr>
        <w:noProof/>
      </w:rPr>
    </w:sdtEndPr>
    <w:sdtContent>
      <w:p w:rsidR="00E65148" w:rsidRDefault="00E65148">
        <w:pPr>
          <w:pStyle w:val="Header"/>
          <w:jc w:val="center"/>
        </w:pPr>
        <w:r>
          <w:fldChar w:fldCharType="begin"/>
        </w:r>
        <w:r>
          <w:instrText xml:space="preserve"> PAGE   \* MERGEFORMAT </w:instrText>
        </w:r>
        <w:r>
          <w:fldChar w:fldCharType="separate"/>
        </w:r>
        <w:r w:rsidR="00DC5A67">
          <w:rPr>
            <w:noProof/>
          </w:rPr>
          <w:t>3</w:t>
        </w:r>
        <w:r>
          <w:rPr>
            <w:noProof/>
          </w:rPr>
          <w:fldChar w:fldCharType="end"/>
        </w:r>
      </w:p>
    </w:sdtContent>
  </w:sdt>
  <w:p w:rsidR="00E65148" w:rsidRDefault="00E6514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4010846"/>
      <w:docPartObj>
        <w:docPartGallery w:val="Page Numbers (Top of Page)"/>
        <w:docPartUnique/>
      </w:docPartObj>
    </w:sdtPr>
    <w:sdtEndPr>
      <w:rPr>
        <w:noProof/>
      </w:rPr>
    </w:sdtEndPr>
    <w:sdtContent>
      <w:p w:rsidR="00E65148" w:rsidRDefault="00E65148">
        <w:pPr>
          <w:pStyle w:val="Header"/>
          <w:jc w:val="center"/>
        </w:pPr>
        <w:r>
          <w:fldChar w:fldCharType="begin"/>
        </w:r>
        <w:r>
          <w:instrText xml:space="preserve"> PAGE   \* MERGEFORMAT </w:instrText>
        </w:r>
        <w:r>
          <w:fldChar w:fldCharType="separate"/>
        </w:r>
        <w:r w:rsidR="00DC5A67">
          <w:rPr>
            <w:noProof/>
          </w:rPr>
          <w:t>24</w:t>
        </w:r>
        <w:r>
          <w:rPr>
            <w:noProof/>
          </w:rPr>
          <w:fldChar w:fldCharType="end"/>
        </w:r>
      </w:p>
    </w:sdtContent>
  </w:sdt>
  <w:p w:rsidR="00E65148" w:rsidRDefault="00E651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71C33"/>
    <w:multiLevelType w:val="hybridMultilevel"/>
    <w:tmpl w:val="5D8078B6"/>
    <w:lvl w:ilvl="0" w:tplc="7A408FC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0A1906E5"/>
    <w:multiLevelType w:val="hybridMultilevel"/>
    <w:tmpl w:val="489865D4"/>
    <w:lvl w:ilvl="0" w:tplc="6BE469C0">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0A6C01E2"/>
    <w:multiLevelType w:val="hybridMultilevel"/>
    <w:tmpl w:val="FF089C9E"/>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nsid w:val="11A46D19"/>
    <w:multiLevelType w:val="hybridMultilevel"/>
    <w:tmpl w:val="7194C4CE"/>
    <w:lvl w:ilvl="0" w:tplc="35B239B6">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12DD5043"/>
    <w:multiLevelType w:val="hybridMultilevel"/>
    <w:tmpl w:val="B366F260"/>
    <w:lvl w:ilvl="0" w:tplc="90DE25B0">
      <w:start w:val="18"/>
      <w:numFmt w:val="decimal"/>
      <w:lvlText w:val="%1."/>
      <w:lvlJc w:val="left"/>
      <w:pPr>
        <w:ind w:left="1065" w:hanging="705"/>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nsid w:val="1D2712CC"/>
    <w:multiLevelType w:val="hybridMultilevel"/>
    <w:tmpl w:val="B9102B52"/>
    <w:lvl w:ilvl="0" w:tplc="17126F94">
      <w:start w:val="5"/>
      <w:numFmt w:val="upperLetter"/>
      <w:lvlText w:val="%1)"/>
      <w:lvlJc w:val="left"/>
      <w:pPr>
        <w:ind w:left="36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nsid w:val="21074265"/>
    <w:multiLevelType w:val="hybridMultilevel"/>
    <w:tmpl w:val="7974C646"/>
    <w:lvl w:ilvl="0" w:tplc="F24620B8">
      <w:start w:val="1"/>
      <w:numFmt w:val="upperLetter"/>
      <w:lvlText w:val="%1)"/>
      <w:lvlJc w:val="left"/>
      <w:pPr>
        <w:ind w:left="1350" w:hanging="360"/>
      </w:pPr>
      <w:rPr>
        <w:b/>
        <w:i/>
      </w:rPr>
    </w:lvl>
    <w:lvl w:ilvl="1" w:tplc="28A0F1F0">
      <w:start w:val="1"/>
      <w:numFmt w:val="decimal"/>
      <w:lvlText w:val="%2."/>
      <w:lvlJc w:val="left"/>
      <w:pPr>
        <w:tabs>
          <w:tab w:val="num" w:pos="1440"/>
        </w:tabs>
        <w:ind w:left="1440" w:hanging="360"/>
      </w:pPr>
      <w:rPr>
        <w:sz w:val="20"/>
        <w:szCs w:val="20"/>
      </w:rPr>
    </w:lvl>
    <w:lvl w:ilvl="2" w:tplc="140A001B">
      <w:start w:val="1"/>
      <w:numFmt w:val="decimal"/>
      <w:lvlText w:val="%3."/>
      <w:lvlJc w:val="left"/>
      <w:pPr>
        <w:tabs>
          <w:tab w:val="num" w:pos="2160"/>
        </w:tabs>
        <w:ind w:left="2160" w:hanging="360"/>
      </w:pPr>
    </w:lvl>
    <w:lvl w:ilvl="3" w:tplc="140A000F">
      <w:start w:val="1"/>
      <w:numFmt w:val="decimal"/>
      <w:lvlText w:val="%4."/>
      <w:lvlJc w:val="left"/>
      <w:pPr>
        <w:tabs>
          <w:tab w:val="num" w:pos="2880"/>
        </w:tabs>
        <w:ind w:left="2880" w:hanging="360"/>
      </w:pPr>
    </w:lvl>
    <w:lvl w:ilvl="4" w:tplc="140A0019">
      <w:start w:val="1"/>
      <w:numFmt w:val="decimal"/>
      <w:lvlText w:val="%5."/>
      <w:lvlJc w:val="left"/>
      <w:pPr>
        <w:tabs>
          <w:tab w:val="num" w:pos="3600"/>
        </w:tabs>
        <w:ind w:left="3600" w:hanging="360"/>
      </w:pPr>
    </w:lvl>
    <w:lvl w:ilvl="5" w:tplc="140A001B">
      <w:start w:val="1"/>
      <w:numFmt w:val="decimal"/>
      <w:lvlText w:val="%6."/>
      <w:lvlJc w:val="left"/>
      <w:pPr>
        <w:tabs>
          <w:tab w:val="num" w:pos="4320"/>
        </w:tabs>
        <w:ind w:left="4320" w:hanging="360"/>
      </w:pPr>
    </w:lvl>
    <w:lvl w:ilvl="6" w:tplc="140A000F">
      <w:start w:val="1"/>
      <w:numFmt w:val="decimal"/>
      <w:lvlText w:val="%7."/>
      <w:lvlJc w:val="left"/>
      <w:pPr>
        <w:tabs>
          <w:tab w:val="num" w:pos="5040"/>
        </w:tabs>
        <w:ind w:left="5040" w:hanging="360"/>
      </w:pPr>
    </w:lvl>
    <w:lvl w:ilvl="7" w:tplc="140A0019">
      <w:start w:val="1"/>
      <w:numFmt w:val="decimal"/>
      <w:lvlText w:val="%8."/>
      <w:lvlJc w:val="left"/>
      <w:pPr>
        <w:tabs>
          <w:tab w:val="num" w:pos="5760"/>
        </w:tabs>
        <w:ind w:left="5760" w:hanging="360"/>
      </w:pPr>
    </w:lvl>
    <w:lvl w:ilvl="8" w:tplc="140A001B">
      <w:start w:val="1"/>
      <w:numFmt w:val="decimal"/>
      <w:lvlText w:val="%9."/>
      <w:lvlJc w:val="left"/>
      <w:pPr>
        <w:tabs>
          <w:tab w:val="num" w:pos="6480"/>
        </w:tabs>
        <w:ind w:left="6480" w:hanging="360"/>
      </w:pPr>
    </w:lvl>
  </w:abstractNum>
  <w:abstractNum w:abstractNumId="7">
    <w:nsid w:val="24F32ED2"/>
    <w:multiLevelType w:val="hybridMultilevel"/>
    <w:tmpl w:val="40B01E44"/>
    <w:lvl w:ilvl="0" w:tplc="016CE754">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nsid w:val="270D4B35"/>
    <w:multiLevelType w:val="hybridMultilevel"/>
    <w:tmpl w:val="B6463EE2"/>
    <w:lvl w:ilvl="0" w:tplc="ED56A582">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nsid w:val="34D76B39"/>
    <w:multiLevelType w:val="hybridMultilevel"/>
    <w:tmpl w:val="20B07E40"/>
    <w:lvl w:ilvl="0" w:tplc="D3FC1FEE">
      <w:start w:val="1"/>
      <w:numFmt w:val="upperLetter"/>
      <w:pStyle w:val="Estilo5"/>
      <w:lvlText w:val="%1."/>
      <w:lvlJc w:val="left"/>
      <w:pPr>
        <w:ind w:left="360" w:hanging="360"/>
      </w:pPr>
      <w:rPr>
        <w:rFonts w:cs="Times New Roman"/>
        <w:b/>
        <w:bCs w:val="0"/>
        <w:i/>
        <w:iCs w:val="0"/>
        <w:caps w:val="0"/>
        <w:smallCaps w:val="0"/>
        <w:strike w:val="0"/>
        <w:dstrike w:val="0"/>
        <w:noProof w:val="0"/>
        <w:vanish w:val="0"/>
        <w:spacing w:val="0"/>
        <w:kern w:val="0"/>
        <w:position w:val="0"/>
        <w:u w:val="none"/>
        <w:vertAlign w:val="baseline"/>
        <w:em w:val="none"/>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0">
    <w:nsid w:val="3C111F4B"/>
    <w:multiLevelType w:val="hybridMultilevel"/>
    <w:tmpl w:val="86D077B2"/>
    <w:lvl w:ilvl="0" w:tplc="C7EE7CB4">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nsid w:val="43F83B0A"/>
    <w:multiLevelType w:val="hybridMultilevel"/>
    <w:tmpl w:val="61463386"/>
    <w:lvl w:ilvl="0" w:tplc="2E62ED5C">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nsid w:val="46A9027B"/>
    <w:multiLevelType w:val="hybridMultilevel"/>
    <w:tmpl w:val="C4E4E98E"/>
    <w:lvl w:ilvl="0" w:tplc="13A62F84">
      <w:start w:val="1"/>
      <w:numFmt w:val="bullet"/>
      <w:lvlText w:val=""/>
      <w:lvlJc w:val="left"/>
      <w:pPr>
        <w:ind w:left="720" w:hanging="360"/>
      </w:pPr>
      <w:rPr>
        <w:rFonts w:ascii="Symbol" w:hAnsi="Symbol" w:hint="default"/>
      </w:rPr>
    </w:lvl>
    <w:lvl w:ilvl="1" w:tplc="9C46D43E">
      <w:start w:val="1"/>
      <w:numFmt w:val="bullet"/>
      <w:pStyle w:val="Estilo3"/>
      <w:lvlText w:val=""/>
      <w:lvlJc w:val="left"/>
      <w:pPr>
        <w:ind w:left="1440" w:hanging="360"/>
      </w:pPr>
      <w:rPr>
        <w:rFonts w:ascii="Symbol" w:hAnsi="Symbol"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3">
    <w:nsid w:val="478F6C0C"/>
    <w:multiLevelType w:val="hybridMultilevel"/>
    <w:tmpl w:val="1AD84CBE"/>
    <w:lvl w:ilvl="0" w:tplc="726C360C">
      <w:start w:val="1"/>
      <w:numFmt w:val="upperLetter"/>
      <w:lvlText w:val="%1."/>
      <w:lvlJc w:val="left"/>
      <w:pPr>
        <w:ind w:left="644"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nsid w:val="528759F8"/>
    <w:multiLevelType w:val="hybridMultilevel"/>
    <w:tmpl w:val="7BF03E70"/>
    <w:lvl w:ilvl="0" w:tplc="3F307FA0">
      <w:start w:val="4"/>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nsid w:val="54C97063"/>
    <w:multiLevelType w:val="hybridMultilevel"/>
    <w:tmpl w:val="5DEE1138"/>
    <w:lvl w:ilvl="0" w:tplc="264CB88E">
      <w:start w:val="1"/>
      <w:numFmt w:val="upperLetter"/>
      <w:lvlText w:val="%1)"/>
      <w:lvlJc w:val="left"/>
      <w:pPr>
        <w:ind w:left="1920" w:hanging="360"/>
      </w:pPr>
      <w:rPr>
        <w:rFonts w:hint="default"/>
      </w:rPr>
    </w:lvl>
    <w:lvl w:ilvl="1" w:tplc="9B3E45F0"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
    <w:nsid w:val="570E7DAA"/>
    <w:multiLevelType w:val="hybridMultilevel"/>
    <w:tmpl w:val="6B4CD86A"/>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nsid w:val="582437F2"/>
    <w:multiLevelType w:val="hybridMultilevel"/>
    <w:tmpl w:val="482891FE"/>
    <w:lvl w:ilvl="0" w:tplc="5FB4F916">
      <w:start w:val="1"/>
      <w:numFmt w:val="decimal"/>
      <w:lvlText w:val="%1."/>
      <w:lvlJc w:val="left"/>
      <w:pPr>
        <w:ind w:left="855" w:hanging="495"/>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nsid w:val="5DF835CE"/>
    <w:multiLevelType w:val="hybridMultilevel"/>
    <w:tmpl w:val="C898F942"/>
    <w:lvl w:ilvl="0" w:tplc="EA58B574">
      <w:start w:val="7"/>
      <w:numFmt w:val="upperLetter"/>
      <w:lvlText w:val="%1)"/>
      <w:lvlJc w:val="left"/>
      <w:pPr>
        <w:ind w:left="36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nsid w:val="62A05B6A"/>
    <w:multiLevelType w:val="hybridMultilevel"/>
    <w:tmpl w:val="6810BAD4"/>
    <w:lvl w:ilvl="0" w:tplc="ED56A582">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nsid w:val="69F6457E"/>
    <w:multiLevelType w:val="hybridMultilevel"/>
    <w:tmpl w:val="3306D454"/>
    <w:lvl w:ilvl="0" w:tplc="5ED22C6A">
      <w:start w:val="1"/>
      <w:numFmt w:val="upp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nsid w:val="6DD25B23"/>
    <w:multiLevelType w:val="hybridMultilevel"/>
    <w:tmpl w:val="0B7AAE30"/>
    <w:lvl w:ilvl="0" w:tplc="250CC428">
      <w:start w:val="6"/>
      <w:numFmt w:val="upperLetter"/>
      <w:lvlText w:val="%1)"/>
      <w:lvlJc w:val="left"/>
      <w:pPr>
        <w:ind w:left="36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nsid w:val="705A6F5C"/>
    <w:multiLevelType w:val="hybridMultilevel"/>
    <w:tmpl w:val="3D7C19E6"/>
    <w:lvl w:ilvl="0" w:tplc="ED56A582">
      <w:start w:val="1"/>
      <w:numFmt w:val="decimal"/>
      <w:pStyle w:val="Numberedparagraphs"/>
      <w:lvlText w:val="%1."/>
      <w:lvlJc w:val="left"/>
      <w:pPr>
        <w:tabs>
          <w:tab w:val="num" w:pos="720"/>
        </w:tabs>
        <w:ind w:left="0" w:firstLine="0"/>
      </w:pPr>
      <w:rPr>
        <w:rFonts w:hint="default"/>
        <w:b w:val="0"/>
        <w:i w:val="0"/>
        <w:color w:val="auto"/>
        <w:sz w:val="20"/>
        <w:szCs w:val="20"/>
        <w:lang w:val="es-ES_tradnl"/>
      </w:rPr>
    </w:lvl>
    <w:lvl w:ilvl="1" w:tplc="140A0019">
      <w:start w:val="7"/>
      <w:numFmt w:val="decimal"/>
      <w:lvlText w:val="%2."/>
      <w:lvlJc w:val="left"/>
      <w:pPr>
        <w:ind w:left="2160" w:hanging="360"/>
      </w:pPr>
      <w:rPr>
        <w:rFonts w:hint="default"/>
      </w:rPr>
    </w:lvl>
    <w:lvl w:ilvl="2" w:tplc="140A001B">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3">
    <w:nsid w:val="762C41C2"/>
    <w:multiLevelType w:val="hybridMultilevel"/>
    <w:tmpl w:val="CBB8F420"/>
    <w:lvl w:ilvl="0" w:tplc="5308DFE4">
      <w:start w:val="1"/>
      <w:numFmt w:val="decimal"/>
      <w:lvlText w:val="%1)"/>
      <w:lvlJc w:val="left"/>
      <w:pPr>
        <w:ind w:left="1064" w:hanging="360"/>
      </w:pPr>
      <w:rPr>
        <w:rFonts w:ascii="Verdana" w:eastAsia="Calibri" w:hAnsi="Verdana" w:cstheme="minorBidi"/>
      </w:rPr>
    </w:lvl>
    <w:lvl w:ilvl="1" w:tplc="140A0019" w:tentative="1">
      <w:start w:val="1"/>
      <w:numFmt w:val="lowerLetter"/>
      <w:lvlText w:val="%2."/>
      <w:lvlJc w:val="left"/>
      <w:pPr>
        <w:ind w:left="1784" w:hanging="360"/>
      </w:pPr>
    </w:lvl>
    <w:lvl w:ilvl="2" w:tplc="140A001B" w:tentative="1">
      <w:start w:val="1"/>
      <w:numFmt w:val="lowerRoman"/>
      <w:lvlText w:val="%3."/>
      <w:lvlJc w:val="right"/>
      <w:pPr>
        <w:ind w:left="2504" w:hanging="180"/>
      </w:pPr>
    </w:lvl>
    <w:lvl w:ilvl="3" w:tplc="140A000F" w:tentative="1">
      <w:start w:val="1"/>
      <w:numFmt w:val="decimal"/>
      <w:lvlText w:val="%4."/>
      <w:lvlJc w:val="left"/>
      <w:pPr>
        <w:ind w:left="3224" w:hanging="360"/>
      </w:pPr>
    </w:lvl>
    <w:lvl w:ilvl="4" w:tplc="140A0019" w:tentative="1">
      <w:start w:val="1"/>
      <w:numFmt w:val="lowerLetter"/>
      <w:lvlText w:val="%5."/>
      <w:lvlJc w:val="left"/>
      <w:pPr>
        <w:ind w:left="3944" w:hanging="360"/>
      </w:pPr>
    </w:lvl>
    <w:lvl w:ilvl="5" w:tplc="140A001B" w:tentative="1">
      <w:start w:val="1"/>
      <w:numFmt w:val="lowerRoman"/>
      <w:lvlText w:val="%6."/>
      <w:lvlJc w:val="right"/>
      <w:pPr>
        <w:ind w:left="4664" w:hanging="180"/>
      </w:pPr>
    </w:lvl>
    <w:lvl w:ilvl="6" w:tplc="140A000F" w:tentative="1">
      <w:start w:val="1"/>
      <w:numFmt w:val="decimal"/>
      <w:lvlText w:val="%7."/>
      <w:lvlJc w:val="left"/>
      <w:pPr>
        <w:ind w:left="5384" w:hanging="360"/>
      </w:pPr>
    </w:lvl>
    <w:lvl w:ilvl="7" w:tplc="140A0019" w:tentative="1">
      <w:start w:val="1"/>
      <w:numFmt w:val="lowerLetter"/>
      <w:lvlText w:val="%8."/>
      <w:lvlJc w:val="left"/>
      <w:pPr>
        <w:ind w:left="6104" w:hanging="360"/>
      </w:pPr>
    </w:lvl>
    <w:lvl w:ilvl="8" w:tplc="140A001B" w:tentative="1">
      <w:start w:val="1"/>
      <w:numFmt w:val="lowerRoman"/>
      <w:lvlText w:val="%9."/>
      <w:lvlJc w:val="right"/>
      <w:pPr>
        <w:ind w:left="6824" w:hanging="180"/>
      </w:pPr>
    </w:lvl>
  </w:abstractNum>
  <w:abstractNum w:abstractNumId="24">
    <w:nsid w:val="7741507D"/>
    <w:multiLevelType w:val="hybridMultilevel"/>
    <w:tmpl w:val="7FB25BCA"/>
    <w:lvl w:ilvl="0" w:tplc="9C3C36CC">
      <w:start w:val="2"/>
      <w:numFmt w:val="upperLetter"/>
      <w:lvlText w:val="%1)"/>
      <w:lvlJc w:val="left"/>
      <w:pPr>
        <w:ind w:left="928"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nsid w:val="7AE3297D"/>
    <w:multiLevelType w:val="hybridMultilevel"/>
    <w:tmpl w:val="411A0F88"/>
    <w:lvl w:ilvl="0" w:tplc="68B8EB3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nsid w:val="7CE64D32"/>
    <w:multiLevelType w:val="hybridMultilevel"/>
    <w:tmpl w:val="A4E43038"/>
    <w:lvl w:ilvl="0" w:tplc="F0743D30">
      <w:start w:val="1"/>
      <w:numFmt w:val="decimal"/>
      <w:pStyle w:val="Estilo1"/>
      <w:lvlText w:val="%1."/>
      <w:lvlJc w:val="left"/>
      <w:pPr>
        <w:tabs>
          <w:tab w:val="num" w:pos="19632"/>
        </w:tabs>
      </w:pPr>
      <w:rPr>
        <w:rFonts w:ascii="Verdana" w:eastAsia="Times New Roman" w:hAnsi="Verdana" w:cs="Times New Roman" w:hint="default"/>
        <w:b w:val="0"/>
        <w:i w:val="0"/>
        <w:strike w:val="0"/>
        <w:color w:val="auto"/>
        <w:sz w:val="20"/>
        <w:lang w:val="es-CR"/>
      </w:rPr>
    </w:lvl>
    <w:lvl w:ilvl="1" w:tplc="140A0019">
      <w:start w:val="1"/>
      <w:numFmt w:val="lowerLetter"/>
      <w:pStyle w:val="Estilo2"/>
      <w:lvlText w:val="%2)"/>
      <w:lvlJc w:val="left"/>
      <w:pPr>
        <w:tabs>
          <w:tab w:val="num" w:pos="4767"/>
        </w:tabs>
        <w:ind w:left="4767" w:hanging="360"/>
      </w:pPr>
      <w:rPr>
        <w:rFonts w:cs="Times New Roman" w:hint="default"/>
        <w:b w:val="0"/>
        <w:i w:val="0"/>
        <w:sz w:val="16"/>
        <w:szCs w:val="16"/>
      </w:rPr>
    </w:lvl>
    <w:lvl w:ilvl="2" w:tplc="140A001B">
      <w:start w:val="1"/>
      <w:numFmt w:val="lowerRoman"/>
      <w:lvlText w:val="%3."/>
      <w:lvlJc w:val="right"/>
      <w:pPr>
        <w:tabs>
          <w:tab w:val="num" w:pos="890"/>
        </w:tabs>
        <w:ind w:left="890" w:hanging="180"/>
      </w:pPr>
      <w:rPr>
        <w:rFonts w:cs="Times New Roman"/>
        <w:i/>
      </w:rPr>
    </w:lvl>
    <w:lvl w:ilvl="3" w:tplc="140A000F">
      <w:start w:val="1"/>
      <w:numFmt w:val="decimal"/>
      <w:lvlText w:val="%4."/>
      <w:lvlJc w:val="left"/>
      <w:pPr>
        <w:tabs>
          <w:tab w:val="num" w:pos="6567"/>
        </w:tabs>
        <w:ind w:left="6567" w:hanging="360"/>
      </w:pPr>
      <w:rPr>
        <w:rFonts w:cs="Times New Roman"/>
      </w:rPr>
    </w:lvl>
    <w:lvl w:ilvl="4" w:tplc="140A0019">
      <w:start w:val="1"/>
      <w:numFmt w:val="lowerLetter"/>
      <w:lvlText w:val="%5."/>
      <w:lvlJc w:val="left"/>
      <w:pPr>
        <w:tabs>
          <w:tab w:val="num" w:pos="7287"/>
        </w:tabs>
        <w:ind w:left="7287" w:hanging="360"/>
      </w:pPr>
      <w:rPr>
        <w:rFonts w:cs="Times New Roman"/>
      </w:rPr>
    </w:lvl>
    <w:lvl w:ilvl="5" w:tplc="140A001B">
      <w:start w:val="1"/>
      <w:numFmt w:val="lowerRoman"/>
      <w:lvlText w:val="%6."/>
      <w:lvlJc w:val="right"/>
      <w:pPr>
        <w:tabs>
          <w:tab w:val="num" w:pos="8007"/>
        </w:tabs>
        <w:ind w:left="8007" w:hanging="180"/>
      </w:pPr>
      <w:rPr>
        <w:rFonts w:cs="Times New Roman"/>
      </w:rPr>
    </w:lvl>
    <w:lvl w:ilvl="6" w:tplc="140A000F">
      <w:start w:val="1"/>
      <w:numFmt w:val="decimal"/>
      <w:lvlText w:val="%7."/>
      <w:lvlJc w:val="left"/>
      <w:pPr>
        <w:tabs>
          <w:tab w:val="num" w:pos="8727"/>
        </w:tabs>
        <w:ind w:left="8727" w:hanging="360"/>
      </w:pPr>
      <w:rPr>
        <w:rFonts w:cs="Times New Roman"/>
      </w:rPr>
    </w:lvl>
    <w:lvl w:ilvl="7" w:tplc="140A0019">
      <w:start w:val="1"/>
      <w:numFmt w:val="lowerLetter"/>
      <w:lvlText w:val="%8."/>
      <w:lvlJc w:val="left"/>
      <w:pPr>
        <w:tabs>
          <w:tab w:val="num" w:pos="9447"/>
        </w:tabs>
        <w:ind w:left="9447" w:hanging="360"/>
      </w:pPr>
      <w:rPr>
        <w:rFonts w:cs="Times New Roman"/>
      </w:rPr>
    </w:lvl>
    <w:lvl w:ilvl="8" w:tplc="140A001B">
      <w:start w:val="1"/>
      <w:numFmt w:val="lowerRoman"/>
      <w:lvlText w:val="%9."/>
      <w:lvlJc w:val="right"/>
      <w:pPr>
        <w:tabs>
          <w:tab w:val="num" w:pos="10167"/>
        </w:tabs>
        <w:ind w:left="10167" w:hanging="180"/>
      </w:pPr>
      <w:rPr>
        <w:rFonts w:cs="Times New Roman"/>
      </w:rPr>
    </w:lvl>
  </w:abstractNum>
  <w:num w:numId="1">
    <w:abstractNumId w:val="26"/>
  </w:num>
  <w:num w:numId="2">
    <w:abstractNumId w:val="12"/>
  </w:num>
  <w:num w:numId="3">
    <w:abstractNumId w:val="9"/>
  </w:num>
  <w:num w:numId="4">
    <w:abstractNumId w:val="22"/>
  </w:num>
  <w:num w:numId="5">
    <w:abstractNumId w:val="15"/>
  </w:num>
  <w:num w:numId="6">
    <w:abstractNumId w:val="23"/>
  </w:num>
  <w:num w:numId="7">
    <w:abstractNumId w:val="7"/>
  </w:num>
  <w:num w:numId="8">
    <w:abstractNumId w:val="16"/>
  </w:num>
  <w:num w:numId="9">
    <w:abstractNumId w:val="25"/>
  </w:num>
  <w:num w:numId="10">
    <w:abstractNumId w:val="11"/>
  </w:num>
  <w:num w:numId="11">
    <w:abstractNumId w:val="19"/>
  </w:num>
  <w:num w:numId="12">
    <w:abstractNumId w:val="10"/>
  </w:num>
  <w:num w:numId="13">
    <w:abstractNumId w:val="6"/>
  </w:num>
  <w:num w:numId="14">
    <w:abstractNumId w:val="14"/>
  </w:num>
  <w:num w:numId="15">
    <w:abstractNumId w:val="24"/>
  </w:num>
  <w:num w:numId="16">
    <w:abstractNumId w:val="26"/>
  </w:num>
  <w:num w:numId="17">
    <w:abstractNumId w:val="5"/>
  </w:num>
  <w:num w:numId="18">
    <w:abstractNumId w:val="21"/>
  </w:num>
  <w:num w:numId="19">
    <w:abstractNumId w:val="18"/>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num>
  <w:num w:numId="22">
    <w:abstractNumId w:val="0"/>
  </w:num>
  <w:num w:numId="23">
    <w:abstractNumId w:val="4"/>
  </w:num>
  <w:num w:numId="24">
    <w:abstractNumId w:val="3"/>
  </w:num>
  <w:num w:numId="25">
    <w:abstractNumId w:val="2"/>
  </w:num>
  <w:num w:numId="26">
    <w:abstractNumId w:val="1"/>
  </w:num>
  <w:num w:numId="27">
    <w:abstractNumId w:val="13"/>
  </w:num>
  <w:num w:numId="28">
    <w:abstractNumId w:val="20"/>
  </w:num>
  <w:numIdMacAtCleanup w:val="28"/>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li Jiménez Mora">
    <w15:presenceInfo w15:providerId="Windows Live" w15:userId="fad78a38f01d3e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D25"/>
    <w:rsid w:val="000004D4"/>
    <w:rsid w:val="0000297E"/>
    <w:rsid w:val="00005DDB"/>
    <w:rsid w:val="00006EF2"/>
    <w:rsid w:val="00006F57"/>
    <w:rsid w:val="00011E47"/>
    <w:rsid w:val="000124FC"/>
    <w:rsid w:val="00012D5B"/>
    <w:rsid w:val="00012E31"/>
    <w:rsid w:val="00014C97"/>
    <w:rsid w:val="00016432"/>
    <w:rsid w:val="00020863"/>
    <w:rsid w:val="00021E76"/>
    <w:rsid w:val="00033C38"/>
    <w:rsid w:val="00033E64"/>
    <w:rsid w:val="00034B3A"/>
    <w:rsid w:val="000355BC"/>
    <w:rsid w:val="00045C00"/>
    <w:rsid w:val="000461E1"/>
    <w:rsid w:val="00050C11"/>
    <w:rsid w:val="00053521"/>
    <w:rsid w:val="000556E0"/>
    <w:rsid w:val="0005584D"/>
    <w:rsid w:val="00055EC4"/>
    <w:rsid w:val="000572E5"/>
    <w:rsid w:val="00066261"/>
    <w:rsid w:val="00067572"/>
    <w:rsid w:val="00067985"/>
    <w:rsid w:val="00067C50"/>
    <w:rsid w:val="00067CB9"/>
    <w:rsid w:val="00074D8D"/>
    <w:rsid w:val="0007593D"/>
    <w:rsid w:val="000806A9"/>
    <w:rsid w:val="0008148E"/>
    <w:rsid w:val="00082277"/>
    <w:rsid w:val="00083AD7"/>
    <w:rsid w:val="000905B6"/>
    <w:rsid w:val="00091F8F"/>
    <w:rsid w:val="00092879"/>
    <w:rsid w:val="000964B6"/>
    <w:rsid w:val="000A0097"/>
    <w:rsid w:val="000A0A92"/>
    <w:rsid w:val="000A2D66"/>
    <w:rsid w:val="000A45F5"/>
    <w:rsid w:val="000A556B"/>
    <w:rsid w:val="000A5A86"/>
    <w:rsid w:val="000B1E6D"/>
    <w:rsid w:val="000B2756"/>
    <w:rsid w:val="000B4179"/>
    <w:rsid w:val="000B42C7"/>
    <w:rsid w:val="000B5901"/>
    <w:rsid w:val="000C1594"/>
    <w:rsid w:val="000C2D96"/>
    <w:rsid w:val="000C3720"/>
    <w:rsid w:val="000C5D06"/>
    <w:rsid w:val="000C68F7"/>
    <w:rsid w:val="000D628A"/>
    <w:rsid w:val="000D62DC"/>
    <w:rsid w:val="000E1309"/>
    <w:rsid w:val="000E2FC8"/>
    <w:rsid w:val="000E38FE"/>
    <w:rsid w:val="000E4761"/>
    <w:rsid w:val="000E494B"/>
    <w:rsid w:val="000F23A4"/>
    <w:rsid w:val="000F41F6"/>
    <w:rsid w:val="000F54DC"/>
    <w:rsid w:val="000F5EF4"/>
    <w:rsid w:val="0010021A"/>
    <w:rsid w:val="00101025"/>
    <w:rsid w:val="00101D86"/>
    <w:rsid w:val="00101F5E"/>
    <w:rsid w:val="00102458"/>
    <w:rsid w:val="001037C6"/>
    <w:rsid w:val="00103897"/>
    <w:rsid w:val="0011489C"/>
    <w:rsid w:val="00115235"/>
    <w:rsid w:val="00123DDD"/>
    <w:rsid w:val="00124D8E"/>
    <w:rsid w:val="001326B0"/>
    <w:rsid w:val="0013317A"/>
    <w:rsid w:val="001339A8"/>
    <w:rsid w:val="00136890"/>
    <w:rsid w:val="0013740F"/>
    <w:rsid w:val="00141A27"/>
    <w:rsid w:val="001424CA"/>
    <w:rsid w:val="00144145"/>
    <w:rsid w:val="00144171"/>
    <w:rsid w:val="00150478"/>
    <w:rsid w:val="00150718"/>
    <w:rsid w:val="00151480"/>
    <w:rsid w:val="001527F3"/>
    <w:rsid w:val="00153C5D"/>
    <w:rsid w:val="0015609F"/>
    <w:rsid w:val="001611AD"/>
    <w:rsid w:val="00165259"/>
    <w:rsid w:val="001676FF"/>
    <w:rsid w:val="0017102D"/>
    <w:rsid w:val="00172B56"/>
    <w:rsid w:val="00174115"/>
    <w:rsid w:val="00175313"/>
    <w:rsid w:val="0017537A"/>
    <w:rsid w:val="001767E9"/>
    <w:rsid w:val="00177AEF"/>
    <w:rsid w:val="001900D9"/>
    <w:rsid w:val="0019053A"/>
    <w:rsid w:val="00190C14"/>
    <w:rsid w:val="00190DFD"/>
    <w:rsid w:val="001919A6"/>
    <w:rsid w:val="00193DE9"/>
    <w:rsid w:val="001949A7"/>
    <w:rsid w:val="00195C3B"/>
    <w:rsid w:val="001969B8"/>
    <w:rsid w:val="0019746F"/>
    <w:rsid w:val="001A1CF3"/>
    <w:rsid w:val="001A3CD1"/>
    <w:rsid w:val="001A4A05"/>
    <w:rsid w:val="001A547E"/>
    <w:rsid w:val="001A6C18"/>
    <w:rsid w:val="001A6C1B"/>
    <w:rsid w:val="001A7316"/>
    <w:rsid w:val="001B07D8"/>
    <w:rsid w:val="001B08A9"/>
    <w:rsid w:val="001B1729"/>
    <w:rsid w:val="001B4D96"/>
    <w:rsid w:val="001B4F3E"/>
    <w:rsid w:val="001B650E"/>
    <w:rsid w:val="001C172B"/>
    <w:rsid w:val="001C241B"/>
    <w:rsid w:val="001C3BBB"/>
    <w:rsid w:val="001C668F"/>
    <w:rsid w:val="001D21CC"/>
    <w:rsid w:val="001D2C99"/>
    <w:rsid w:val="001D3266"/>
    <w:rsid w:val="001D4B10"/>
    <w:rsid w:val="001D5CA1"/>
    <w:rsid w:val="001E1F90"/>
    <w:rsid w:val="001E45A9"/>
    <w:rsid w:val="001E5FE2"/>
    <w:rsid w:val="001E66C5"/>
    <w:rsid w:val="001E735D"/>
    <w:rsid w:val="001F184C"/>
    <w:rsid w:val="001F1896"/>
    <w:rsid w:val="001F2AF6"/>
    <w:rsid w:val="001F51E4"/>
    <w:rsid w:val="001F60E3"/>
    <w:rsid w:val="001F7EA0"/>
    <w:rsid w:val="00200800"/>
    <w:rsid w:val="00200823"/>
    <w:rsid w:val="00204A10"/>
    <w:rsid w:val="00206696"/>
    <w:rsid w:val="00206D1D"/>
    <w:rsid w:val="0021356A"/>
    <w:rsid w:val="00223D33"/>
    <w:rsid w:val="00227921"/>
    <w:rsid w:val="00227E9F"/>
    <w:rsid w:val="00232DA2"/>
    <w:rsid w:val="0023362E"/>
    <w:rsid w:val="002344EE"/>
    <w:rsid w:val="00235BF3"/>
    <w:rsid w:val="002404BC"/>
    <w:rsid w:val="00243573"/>
    <w:rsid w:val="00245614"/>
    <w:rsid w:val="002505EB"/>
    <w:rsid w:val="00252748"/>
    <w:rsid w:val="00252EF6"/>
    <w:rsid w:val="0025450C"/>
    <w:rsid w:val="002559A2"/>
    <w:rsid w:val="00257644"/>
    <w:rsid w:val="0026005F"/>
    <w:rsid w:val="00261E78"/>
    <w:rsid w:val="00265B13"/>
    <w:rsid w:val="00272138"/>
    <w:rsid w:val="00275F22"/>
    <w:rsid w:val="0028076B"/>
    <w:rsid w:val="0028130C"/>
    <w:rsid w:val="00284ADB"/>
    <w:rsid w:val="0028642D"/>
    <w:rsid w:val="00286A53"/>
    <w:rsid w:val="00287B06"/>
    <w:rsid w:val="00290674"/>
    <w:rsid w:val="00291CB3"/>
    <w:rsid w:val="00294FA6"/>
    <w:rsid w:val="002A2323"/>
    <w:rsid w:val="002A4234"/>
    <w:rsid w:val="002A4386"/>
    <w:rsid w:val="002A734A"/>
    <w:rsid w:val="002A7C58"/>
    <w:rsid w:val="002B0661"/>
    <w:rsid w:val="002B1B50"/>
    <w:rsid w:val="002B2FEB"/>
    <w:rsid w:val="002C0CB8"/>
    <w:rsid w:val="002C0E4A"/>
    <w:rsid w:val="002C1831"/>
    <w:rsid w:val="002C239A"/>
    <w:rsid w:val="002C55D9"/>
    <w:rsid w:val="002C7577"/>
    <w:rsid w:val="002D5379"/>
    <w:rsid w:val="002D5CE9"/>
    <w:rsid w:val="002E40E7"/>
    <w:rsid w:val="002E4502"/>
    <w:rsid w:val="002E6D7E"/>
    <w:rsid w:val="002F2F2A"/>
    <w:rsid w:val="002F5D7A"/>
    <w:rsid w:val="002F6FA1"/>
    <w:rsid w:val="00300D9D"/>
    <w:rsid w:val="003023CB"/>
    <w:rsid w:val="003030F1"/>
    <w:rsid w:val="003060BC"/>
    <w:rsid w:val="00311BFE"/>
    <w:rsid w:val="00311FEB"/>
    <w:rsid w:val="00313A32"/>
    <w:rsid w:val="003147B5"/>
    <w:rsid w:val="00315936"/>
    <w:rsid w:val="00316544"/>
    <w:rsid w:val="00317221"/>
    <w:rsid w:val="00317E8E"/>
    <w:rsid w:val="00321E5D"/>
    <w:rsid w:val="0032223D"/>
    <w:rsid w:val="003226FE"/>
    <w:rsid w:val="003237C5"/>
    <w:rsid w:val="0032460B"/>
    <w:rsid w:val="00324EA4"/>
    <w:rsid w:val="00325A24"/>
    <w:rsid w:val="003271AC"/>
    <w:rsid w:val="003305FD"/>
    <w:rsid w:val="00331204"/>
    <w:rsid w:val="003343A2"/>
    <w:rsid w:val="003348E9"/>
    <w:rsid w:val="00334BAE"/>
    <w:rsid w:val="003364AB"/>
    <w:rsid w:val="0033760E"/>
    <w:rsid w:val="003378C6"/>
    <w:rsid w:val="003417DB"/>
    <w:rsid w:val="00343510"/>
    <w:rsid w:val="00344CC1"/>
    <w:rsid w:val="00347658"/>
    <w:rsid w:val="0035134F"/>
    <w:rsid w:val="00351482"/>
    <w:rsid w:val="00351D1E"/>
    <w:rsid w:val="00352B33"/>
    <w:rsid w:val="0035325E"/>
    <w:rsid w:val="003540D1"/>
    <w:rsid w:val="003547F6"/>
    <w:rsid w:val="0036186D"/>
    <w:rsid w:val="003625C6"/>
    <w:rsid w:val="00362E99"/>
    <w:rsid w:val="00363913"/>
    <w:rsid w:val="0036431C"/>
    <w:rsid w:val="003643A5"/>
    <w:rsid w:val="00364D6F"/>
    <w:rsid w:val="00364F0D"/>
    <w:rsid w:val="00364F39"/>
    <w:rsid w:val="00371792"/>
    <w:rsid w:val="003722AD"/>
    <w:rsid w:val="00372D86"/>
    <w:rsid w:val="00381246"/>
    <w:rsid w:val="00381630"/>
    <w:rsid w:val="0038424F"/>
    <w:rsid w:val="00384601"/>
    <w:rsid w:val="00387625"/>
    <w:rsid w:val="0039371F"/>
    <w:rsid w:val="00394019"/>
    <w:rsid w:val="00395039"/>
    <w:rsid w:val="003956BB"/>
    <w:rsid w:val="00396A7E"/>
    <w:rsid w:val="00397083"/>
    <w:rsid w:val="003A0D6F"/>
    <w:rsid w:val="003A11BD"/>
    <w:rsid w:val="003A4AAE"/>
    <w:rsid w:val="003A7E2F"/>
    <w:rsid w:val="003B0237"/>
    <w:rsid w:val="003B1F8B"/>
    <w:rsid w:val="003B4599"/>
    <w:rsid w:val="003B46A7"/>
    <w:rsid w:val="003B743F"/>
    <w:rsid w:val="003C03F7"/>
    <w:rsid w:val="003C0D04"/>
    <w:rsid w:val="003C12CC"/>
    <w:rsid w:val="003C540A"/>
    <w:rsid w:val="003C7C91"/>
    <w:rsid w:val="003D0AF8"/>
    <w:rsid w:val="003D0CC4"/>
    <w:rsid w:val="003D36D0"/>
    <w:rsid w:val="003D3E07"/>
    <w:rsid w:val="003D4ADB"/>
    <w:rsid w:val="003D7118"/>
    <w:rsid w:val="003D729F"/>
    <w:rsid w:val="003E0FC3"/>
    <w:rsid w:val="003E22AE"/>
    <w:rsid w:val="003E4862"/>
    <w:rsid w:val="003E4B2C"/>
    <w:rsid w:val="003E661D"/>
    <w:rsid w:val="003F09D3"/>
    <w:rsid w:val="003F2785"/>
    <w:rsid w:val="003F4DCB"/>
    <w:rsid w:val="003F6427"/>
    <w:rsid w:val="003F6EFC"/>
    <w:rsid w:val="003F7AA8"/>
    <w:rsid w:val="004019CD"/>
    <w:rsid w:val="00404034"/>
    <w:rsid w:val="00412068"/>
    <w:rsid w:val="004143FD"/>
    <w:rsid w:val="0041543E"/>
    <w:rsid w:val="00417720"/>
    <w:rsid w:val="004204C6"/>
    <w:rsid w:val="00420D8F"/>
    <w:rsid w:val="00420EA7"/>
    <w:rsid w:val="0042251E"/>
    <w:rsid w:val="00423860"/>
    <w:rsid w:val="00425148"/>
    <w:rsid w:val="00427BCB"/>
    <w:rsid w:val="0043084B"/>
    <w:rsid w:val="00430F99"/>
    <w:rsid w:val="00431FAC"/>
    <w:rsid w:val="00432646"/>
    <w:rsid w:val="004336F3"/>
    <w:rsid w:val="00433C91"/>
    <w:rsid w:val="00436A8B"/>
    <w:rsid w:val="00440461"/>
    <w:rsid w:val="00440691"/>
    <w:rsid w:val="00442A4C"/>
    <w:rsid w:val="00443711"/>
    <w:rsid w:val="00444741"/>
    <w:rsid w:val="0044490D"/>
    <w:rsid w:val="00444DB8"/>
    <w:rsid w:val="004454B8"/>
    <w:rsid w:val="00445541"/>
    <w:rsid w:val="00445E3E"/>
    <w:rsid w:val="00446569"/>
    <w:rsid w:val="00446C6D"/>
    <w:rsid w:val="00450657"/>
    <w:rsid w:val="00452E34"/>
    <w:rsid w:val="00453FA9"/>
    <w:rsid w:val="00454FF4"/>
    <w:rsid w:val="00457C17"/>
    <w:rsid w:val="0046046C"/>
    <w:rsid w:val="00460DC4"/>
    <w:rsid w:val="00463E1C"/>
    <w:rsid w:val="004644E4"/>
    <w:rsid w:val="004646B8"/>
    <w:rsid w:val="00470CD8"/>
    <w:rsid w:val="00471C59"/>
    <w:rsid w:val="00474E33"/>
    <w:rsid w:val="004759E8"/>
    <w:rsid w:val="00475F90"/>
    <w:rsid w:val="00476086"/>
    <w:rsid w:val="00477417"/>
    <w:rsid w:val="004830F9"/>
    <w:rsid w:val="00483216"/>
    <w:rsid w:val="004864A3"/>
    <w:rsid w:val="00486703"/>
    <w:rsid w:val="004916D9"/>
    <w:rsid w:val="004925D2"/>
    <w:rsid w:val="0049424D"/>
    <w:rsid w:val="00494A4C"/>
    <w:rsid w:val="00496077"/>
    <w:rsid w:val="004969AE"/>
    <w:rsid w:val="00496A39"/>
    <w:rsid w:val="004978B3"/>
    <w:rsid w:val="00497FAC"/>
    <w:rsid w:val="004A0D73"/>
    <w:rsid w:val="004A1163"/>
    <w:rsid w:val="004A24BF"/>
    <w:rsid w:val="004A2A4B"/>
    <w:rsid w:val="004A34F5"/>
    <w:rsid w:val="004A39DE"/>
    <w:rsid w:val="004A3CC3"/>
    <w:rsid w:val="004A4B10"/>
    <w:rsid w:val="004B1F8E"/>
    <w:rsid w:val="004B2278"/>
    <w:rsid w:val="004B2EFD"/>
    <w:rsid w:val="004B4B66"/>
    <w:rsid w:val="004B4EDB"/>
    <w:rsid w:val="004B5500"/>
    <w:rsid w:val="004B5552"/>
    <w:rsid w:val="004C57E7"/>
    <w:rsid w:val="004C6B41"/>
    <w:rsid w:val="004D0B6E"/>
    <w:rsid w:val="004D461F"/>
    <w:rsid w:val="004D6A6F"/>
    <w:rsid w:val="004E31EA"/>
    <w:rsid w:val="004E39D6"/>
    <w:rsid w:val="004E3A53"/>
    <w:rsid w:val="004E40FE"/>
    <w:rsid w:val="004E440A"/>
    <w:rsid w:val="004E552A"/>
    <w:rsid w:val="004E7D78"/>
    <w:rsid w:val="004F231C"/>
    <w:rsid w:val="004F2CD9"/>
    <w:rsid w:val="004F33F3"/>
    <w:rsid w:val="004F3835"/>
    <w:rsid w:val="004F542B"/>
    <w:rsid w:val="004F5F99"/>
    <w:rsid w:val="004F675D"/>
    <w:rsid w:val="00501702"/>
    <w:rsid w:val="00502614"/>
    <w:rsid w:val="00502BAB"/>
    <w:rsid w:val="00504CC9"/>
    <w:rsid w:val="005129E7"/>
    <w:rsid w:val="00514845"/>
    <w:rsid w:val="00515568"/>
    <w:rsid w:val="00515D20"/>
    <w:rsid w:val="005177E1"/>
    <w:rsid w:val="00517B40"/>
    <w:rsid w:val="00520B95"/>
    <w:rsid w:val="0052230F"/>
    <w:rsid w:val="00524196"/>
    <w:rsid w:val="00524991"/>
    <w:rsid w:val="00527574"/>
    <w:rsid w:val="0053004A"/>
    <w:rsid w:val="00531C44"/>
    <w:rsid w:val="00532017"/>
    <w:rsid w:val="00532D47"/>
    <w:rsid w:val="00533612"/>
    <w:rsid w:val="00533FB3"/>
    <w:rsid w:val="00534732"/>
    <w:rsid w:val="00541312"/>
    <w:rsid w:val="00542CD6"/>
    <w:rsid w:val="00543133"/>
    <w:rsid w:val="0054357F"/>
    <w:rsid w:val="005539C7"/>
    <w:rsid w:val="00554B1F"/>
    <w:rsid w:val="005616E8"/>
    <w:rsid w:val="00562E43"/>
    <w:rsid w:val="00565C46"/>
    <w:rsid w:val="005725AA"/>
    <w:rsid w:val="0057409D"/>
    <w:rsid w:val="00575887"/>
    <w:rsid w:val="00580317"/>
    <w:rsid w:val="00581430"/>
    <w:rsid w:val="00583A96"/>
    <w:rsid w:val="00585023"/>
    <w:rsid w:val="00585C15"/>
    <w:rsid w:val="00590205"/>
    <w:rsid w:val="005902E7"/>
    <w:rsid w:val="005917B7"/>
    <w:rsid w:val="00593F0C"/>
    <w:rsid w:val="005946C3"/>
    <w:rsid w:val="005A32B9"/>
    <w:rsid w:val="005A3EFF"/>
    <w:rsid w:val="005A457E"/>
    <w:rsid w:val="005B0E50"/>
    <w:rsid w:val="005B1A64"/>
    <w:rsid w:val="005B21E4"/>
    <w:rsid w:val="005B6716"/>
    <w:rsid w:val="005B77E7"/>
    <w:rsid w:val="005C119F"/>
    <w:rsid w:val="005C263C"/>
    <w:rsid w:val="005C46C8"/>
    <w:rsid w:val="005C4DF5"/>
    <w:rsid w:val="005C6A29"/>
    <w:rsid w:val="005D127B"/>
    <w:rsid w:val="005D3491"/>
    <w:rsid w:val="005D7794"/>
    <w:rsid w:val="005D7D05"/>
    <w:rsid w:val="005E2DA4"/>
    <w:rsid w:val="005E5940"/>
    <w:rsid w:val="005E5BC1"/>
    <w:rsid w:val="005E6680"/>
    <w:rsid w:val="005F0702"/>
    <w:rsid w:val="005F1121"/>
    <w:rsid w:val="005F246B"/>
    <w:rsid w:val="005F32A8"/>
    <w:rsid w:val="0060171D"/>
    <w:rsid w:val="00602245"/>
    <w:rsid w:val="00603A67"/>
    <w:rsid w:val="00603EE3"/>
    <w:rsid w:val="00604220"/>
    <w:rsid w:val="00605DAC"/>
    <w:rsid w:val="006145EF"/>
    <w:rsid w:val="006169C9"/>
    <w:rsid w:val="006172EA"/>
    <w:rsid w:val="00617439"/>
    <w:rsid w:val="00617956"/>
    <w:rsid w:val="00617995"/>
    <w:rsid w:val="00620893"/>
    <w:rsid w:val="0062580F"/>
    <w:rsid w:val="006301E4"/>
    <w:rsid w:val="0063322A"/>
    <w:rsid w:val="00640A67"/>
    <w:rsid w:val="0064140C"/>
    <w:rsid w:val="006422DB"/>
    <w:rsid w:val="0064291E"/>
    <w:rsid w:val="006470DD"/>
    <w:rsid w:val="00650210"/>
    <w:rsid w:val="00650760"/>
    <w:rsid w:val="006528B3"/>
    <w:rsid w:val="00654CEA"/>
    <w:rsid w:val="006564E1"/>
    <w:rsid w:val="006648DF"/>
    <w:rsid w:val="006661F4"/>
    <w:rsid w:val="006716AB"/>
    <w:rsid w:val="00672D3A"/>
    <w:rsid w:val="00674E10"/>
    <w:rsid w:val="006750DA"/>
    <w:rsid w:val="00680AF0"/>
    <w:rsid w:val="00684B1F"/>
    <w:rsid w:val="0068579A"/>
    <w:rsid w:val="00686A22"/>
    <w:rsid w:val="00686A99"/>
    <w:rsid w:val="00691366"/>
    <w:rsid w:val="00691F60"/>
    <w:rsid w:val="00692468"/>
    <w:rsid w:val="00692DFD"/>
    <w:rsid w:val="006A05EF"/>
    <w:rsid w:val="006A0D0A"/>
    <w:rsid w:val="006A20F1"/>
    <w:rsid w:val="006A4B2B"/>
    <w:rsid w:val="006A5255"/>
    <w:rsid w:val="006B0B0A"/>
    <w:rsid w:val="006B2A0E"/>
    <w:rsid w:val="006B30AF"/>
    <w:rsid w:val="006B4C24"/>
    <w:rsid w:val="006B6158"/>
    <w:rsid w:val="006B7AFA"/>
    <w:rsid w:val="006C0923"/>
    <w:rsid w:val="006C12FC"/>
    <w:rsid w:val="006C5B81"/>
    <w:rsid w:val="006C719E"/>
    <w:rsid w:val="006C79AE"/>
    <w:rsid w:val="006D2CC5"/>
    <w:rsid w:val="006D5F58"/>
    <w:rsid w:val="006D7848"/>
    <w:rsid w:val="006D7BC9"/>
    <w:rsid w:val="006E1156"/>
    <w:rsid w:val="006E2C69"/>
    <w:rsid w:val="006E2CD8"/>
    <w:rsid w:val="006E3730"/>
    <w:rsid w:val="006E3AFE"/>
    <w:rsid w:val="006E4150"/>
    <w:rsid w:val="006E4A22"/>
    <w:rsid w:val="006E5D27"/>
    <w:rsid w:val="006E6016"/>
    <w:rsid w:val="006F124F"/>
    <w:rsid w:val="006F18D0"/>
    <w:rsid w:val="006F2043"/>
    <w:rsid w:val="006F28ED"/>
    <w:rsid w:val="00701DE6"/>
    <w:rsid w:val="007029C0"/>
    <w:rsid w:val="00704218"/>
    <w:rsid w:val="0070530B"/>
    <w:rsid w:val="007072C3"/>
    <w:rsid w:val="007073A2"/>
    <w:rsid w:val="007079D3"/>
    <w:rsid w:val="007144A4"/>
    <w:rsid w:val="0071454C"/>
    <w:rsid w:val="00714E5A"/>
    <w:rsid w:val="00715575"/>
    <w:rsid w:val="007162FA"/>
    <w:rsid w:val="00717252"/>
    <w:rsid w:val="00720833"/>
    <w:rsid w:val="00722414"/>
    <w:rsid w:val="0072261E"/>
    <w:rsid w:val="00726F18"/>
    <w:rsid w:val="007307EC"/>
    <w:rsid w:val="007349BB"/>
    <w:rsid w:val="0073764F"/>
    <w:rsid w:val="007378F9"/>
    <w:rsid w:val="007379A3"/>
    <w:rsid w:val="00737AC5"/>
    <w:rsid w:val="00737B59"/>
    <w:rsid w:val="007408E2"/>
    <w:rsid w:val="00741143"/>
    <w:rsid w:val="007438EC"/>
    <w:rsid w:val="0074580F"/>
    <w:rsid w:val="00745C3B"/>
    <w:rsid w:val="00747C6F"/>
    <w:rsid w:val="00753F95"/>
    <w:rsid w:val="00755889"/>
    <w:rsid w:val="00755EBF"/>
    <w:rsid w:val="00756334"/>
    <w:rsid w:val="0075636A"/>
    <w:rsid w:val="007565C8"/>
    <w:rsid w:val="00756BAD"/>
    <w:rsid w:val="00757437"/>
    <w:rsid w:val="00757723"/>
    <w:rsid w:val="00761F0E"/>
    <w:rsid w:val="00762FEA"/>
    <w:rsid w:val="00763961"/>
    <w:rsid w:val="00764A5E"/>
    <w:rsid w:val="00766547"/>
    <w:rsid w:val="00766ABC"/>
    <w:rsid w:val="00767915"/>
    <w:rsid w:val="00771992"/>
    <w:rsid w:val="00773D8C"/>
    <w:rsid w:val="00774A18"/>
    <w:rsid w:val="00777852"/>
    <w:rsid w:val="00780371"/>
    <w:rsid w:val="00781E0D"/>
    <w:rsid w:val="0078413A"/>
    <w:rsid w:val="00784729"/>
    <w:rsid w:val="00791222"/>
    <w:rsid w:val="00791AA7"/>
    <w:rsid w:val="00792BDF"/>
    <w:rsid w:val="00792ED5"/>
    <w:rsid w:val="00793EB5"/>
    <w:rsid w:val="00794441"/>
    <w:rsid w:val="00794B79"/>
    <w:rsid w:val="007A0B74"/>
    <w:rsid w:val="007A32F6"/>
    <w:rsid w:val="007A5B5A"/>
    <w:rsid w:val="007A5C30"/>
    <w:rsid w:val="007A5F65"/>
    <w:rsid w:val="007B0626"/>
    <w:rsid w:val="007B2392"/>
    <w:rsid w:val="007B448A"/>
    <w:rsid w:val="007C0064"/>
    <w:rsid w:val="007C442F"/>
    <w:rsid w:val="007C65A0"/>
    <w:rsid w:val="007D268D"/>
    <w:rsid w:val="007D3AF6"/>
    <w:rsid w:val="007D520F"/>
    <w:rsid w:val="007D5BB2"/>
    <w:rsid w:val="007D6DE9"/>
    <w:rsid w:val="007D700F"/>
    <w:rsid w:val="007E33AD"/>
    <w:rsid w:val="007E3DB6"/>
    <w:rsid w:val="007E4A21"/>
    <w:rsid w:val="007F03DB"/>
    <w:rsid w:val="007F041B"/>
    <w:rsid w:val="007F0D5A"/>
    <w:rsid w:val="007F364F"/>
    <w:rsid w:val="007F6493"/>
    <w:rsid w:val="007F68A8"/>
    <w:rsid w:val="0080014C"/>
    <w:rsid w:val="00800A67"/>
    <w:rsid w:val="00800D40"/>
    <w:rsid w:val="00801F8A"/>
    <w:rsid w:val="008028FC"/>
    <w:rsid w:val="00804D25"/>
    <w:rsid w:val="008064F7"/>
    <w:rsid w:val="008070BE"/>
    <w:rsid w:val="00807B4B"/>
    <w:rsid w:val="00811AF1"/>
    <w:rsid w:val="00812A7D"/>
    <w:rsid w:val="00813425"/>
    <w:rsid w:val="0082052B"/>
    <w:rsid w:val="00823231"/>
    <w:rsid w:val="00825B6C"/>
    <w:rsid w:val="00825ED9"/>
    <w:rsid w:val="00827014"/>
    <w:rsid w:val="008310B2"/>
    <w:rsid w:val="00834F27"/>
    <w:rsid w:val="008356E7"/>
    <w:rsid w:val="00835C36"/>
    <w:rsid w:val="00836D70"/>
    <w:rsid w:val="00843E02"/>
    <w:rsid w:val="00850FDB"/>
    <w:rsid w:val="008531F3"/>
    <w:rsid w:val="008532C6"/>
    <w:rsid w:val="0085373A"/>
    <w:rsid w:val="00854901"/>
    <w:rsid w:val="00855226"/>
    <w:rsid w:val="00856B8E"/>
    <w:rsid w:val="00857FD2"/>
    <w:rsid w:val="008609AD"/>
    <w:rsid w:val="008627F6"/>
    <w:rsid w:val="0086310E"/>
    <w:rsid w:val="0086480C"/>
    <w:rsid w:val="00867DC1"/>
    <w:rsid w:val="008733D0"/>
    <w:rsid w:val="00874CFA"/>
    <w:rsid w:val="00875E85"/>
    <w:rsid w:val="00880CA6"/>
    <w:rsid w:val="0088542E"/>
    <w:rsid w:val="00891C7A"/>
    <w:rsid w:val="0089434B"/>
    <w:rsid w:val="008956A2"/>
    <w:rsid w:val="00897604"/>
    <w:rsid w:val="008A0DDD"/>
    <w:rsid w:val="008A3E77"/>
    <w:rsid w:val="008A782A"/>
    <w:rsid w:val="008A7BE4"/>
    <w:rsid w:val="008B2FB7"/>
    <w:rsid w:val="008B49F8"/>
    <w:rsid w:val="008B5B78"/>
    <w:rsid w:val="008B6AC9"/>
    <w:rsid w:val="008C0824"/>
    <w:rsid w:val="008C0B6C"/>
    <w:rsid w:val="008C17DB"/>
    <w:rsid w:val="008C3D05"/>
    <w:rsid w:val="008C466B"/>
    <w:rsid w:val="008C6C52"/>
    <w:rsid w:val="008D1116"/>
    <w:rsid w:val="008D2D9F"/>
    <w:rsid w:val="008D3D12"/>
    <w:rsid w:val="008D5EB9"/>
    <w:rsid w:val="008D6DD1"/>
    <w:rsid w:val="008D75A2"/>
    <w:rsid w:val="008E3677"/>
    <w:rsid w:val="008E5578"/>
    <w:rsid w:val="008E6755"/>
    <w:rsid w:val="008E6930"/>
    <w:rsid w:val="008E71F7"/>
    <w:rsid w:val="008F1DEA"/>
    <w:rsid w:val="008F28A5"/>
    <w:rsid w:val="008F66C3"/>
    <w:rsid w:val="00900947"/>
    <w:rsid w:val="00902002"/>
    <w:rsid w:val="00903070"/>
    <w:rsid w:val="00907DA4"/>
    <w:rsid w:val="00911E9B"/>
    <w:rsid w:val="00912396"/>
    <w:rsid w:val="0091557F"/>
    <w:rsid w:val="00917E26"/>
    <w:rsid w:val="00921F5A"/>
    <w:rsid w:val="00922586"/>
    <w:rsid w:val="009233C1"/>
    <w:rsid w:val="00925316"/>
    <w:rsid w:val="00927278"/>
    <w:rsid w:val="0093672C"/>
    <w:rsid w:val="009368B6"/>
    <w:rsid w:val="00940D52"/>
    <w:rsid w:val="00941386"/>
    <w:rsid w:val="00942320"/>
    <w:rsid w:val="00943B3D"/>
    <w:rsid w:val="0094643F"/>
    <w:rsid w:val="00946441"/>
    <w:rsid w:val="00946903"/>
    <w:rsid w:val="0094736F"/>
    <w:rsid w:val="00950F79"/>
    <w:rsid w:val="00951BD8"/>
    <w:rsid w:val="0095204B"/>
    <w:rsid w:val="00952578"/>
    <w:rsid w:val="00952EEA"/>
    <w:rsid w:val="0096038C"/>
    <w:rsid w:val="0096217F"/>
    <w:rsid w:val="00962CD8"/>
    <w:rsid w:val="00962E38"/>
    <w:rsid w:val="009648DE"/>
    <w:rsid w:val="009660CF"/>
    <w:rsid w:val="00973388"/>
    <w:rsid w:val="0097345D"/>
    <w:rsid w:val="0097526E"/>
    <w:rsid w:val="0097645D"/>
    <w:rsid w:val="00980F62"/>
    <w:rsid w:val="00982285"/>
    <w:rsid w:val="0098339D"/>
    <w:rsid w:val="0098436C"/>
    <w:rsid w:val="00984AAD"/>
    <w:rsid w:val="00987C31"/>
    <w:rsid w:val="00991551"/>
    <w:rsid w:val="00992180"/>
    <w:rsid w:val="00992693"/>
    <w:rsid w:val="009927E5"/>
    <w:rsid w:val="0099283D"/>
    <w:rsid w:val="0099306F"/>
    <w:rsid w:val="00993F51"/>
    <w:rsid w:val="00996FCF"/>
    <w:rsid w:val="009A0D9D"/>
    <w:rsid w:val="009A1B82"/>
    <w:rsid w:val="009A32A9"/>
    <w:rsid w:val="009A637A"/>
    <w:rsid w:val="009A7CC7"/>
    <w:rsid w:val="009B23BE"/>
    <w:rsid w:val="009B3061"/>
    <w:rsid w:val="009B32F3"/>
    <w:rsid w:val="009B5909"/>
    <w:rsid w:val="009B6492"/>
    <w:rsid w:val="009B7FFA"/>
    <w:rsid w:val="009C162C"/>
    <w:rsid w:val="009C286C"/>
    <w:rsid w:val="009C588F"/>
    <w:rsid w:val="009C6A3E"/>
    <w:rsid w:val="009C6F7D"/>
    <w:rsid w:val="009D03FD"/>
    <w:rsid w:val="009D0A73"/>
    <w:rsid w:val="009D2DA1"/>
    <w:rsid w:val="009D64A4"/>
    <w:rsid w:val="009D7E89"/>
    <w:rsid w:val="009E0AAE"/>
    <w:rsid w:val="009E2748"/>
    <w:rsid w:val="009E35FE"/>
    <w:rsid w:val="009E36EE"/>
    <w:rsid w:val="009E3BF3"/>
    <w:rsid w:val="009E3D42"/>
    <w:rsid w:val="009E4403"/>
    <w:rsid w:val="009E63B2"/>
    <w:rsid w:val="009E7A18"/>
    <w:rsid w:val="009F1B2F"/>
    <w:rsid w:val="009F43A1"/>
    <w:rsid w:val="009F4F83"/>
    <w:rsid w:val="00A05A46"/>
    <w:rsid w:val="00A063E3"/>
    <w:rsid w:val="00A06A1C"/>
    <w:rsid w:val="00A13ECF"/>
    <w:rsid w:val="00A154DB"/>
    <w:rsid w:val="00A20420"/>
    <w:rsid w:val="00A25F0F"/>
    <w:rsid w:val="00A26B66"/>
    <w:rsid w:val="00A31663"/>
    <w:rsid w:val="00A31761"/>
    <w:rsid w:val="00A31A83"/>
    <w:rsid w:val="00A32E38"/>
    <w:rsid w:val="00A33895"/>
    <w:rsid w:val="00A33E0A"/>
    <w:rsid w:val="00A36294"/>
    <w:rsid w:val="00A40195"/>
    <w:rsid w:val="00A429E7"/>
    <w:rsid w:val="00A43F39"/>
    <w:rsid w:val="00A47CAB"/>
    <w:rsid w:val="00A506A5"/>
    <w:rsid w:val="00A559B6"/>
    <w:rsid w:val="00A56B01"/>
    <w:rsid w:val="00A57806"/>
    <w:rsid w:val="00A63089"/>
    <w:rsid w:val="00A6458E"/>
    <w:rsid w:val="00A655F0"/>
    <w:rsid w:val="00A65F25"/>
    <w:rsid w:val="00A67B50"/>
    <w:rsid w:val="00A72176"/>
    <w:rsid w:val="00A730D1"/>
    <w:rsid w:val="00A73F72"/>
    <w:rsid w:val="00A74C02"/>
    <w:rsid w:val="00A753CF"/>
    <w:rsid w:val="00A76DB5"/>
    <w:rsid w:val="00A80D0E"/>
    <w:rsid w:val="00A81B21"/>
    <w:rsid w:val="00A87E48"/>
    <w:rsid w:val="00A91736"/>
    <w:rsid w:val="00A91D3F"/>
    <w:rsid w:val="00AA0C92"/>
    <w:rsid w:val="00AA13CD"/>
    <w:rsid w:val="00AA2A4B"/>
    <w:rsid w:val="00AA4928"/>
    <w:rsid w:val="00AA5291"/>
    <w:rsid w:val="00AB0973"/>
    <w:rsid w:val="00AB1CA5"/>
    <w:rsid w:val="00AB21B4"/>
    <w:rsid w:val="00AB4251"/>
    <w:rsid w:val="00AB4DB6"/>
    <w:rsid w:val="00AB612B"/>
    <w:rsid w:val="00AC16DD"/>
    <w:rsid w:val="00AC1CC4"/>
    <w:rsid w:val="00AC2E3F"/>
    <w:rsid w:val="00AC3B73"/>
    <w:rsid w:val="00AC5F08"/>
    <w:rsid w:val="00AD25CF"/>
    <w:rsid w:val="00AD3620"/>
    <w:rsid w:val="00AD4925"/>
    <w:rsid w:val="00AD4BED"/>
    <w:rsid w:val="00AD5843"/>
    <w:rsid w:val="00AD5F8E"/>
    <w:rsid w:val="00AE045A"/>
    <w:rsid w:val="00AE1393"/>
    <w:rsid w:val="00AE18EA"/>
    <w:rsid w:val="00AE35C1"/>
    <w:rsid w:val="00AE4035"/>
    <w:rsid w:val="00AE7214"/>
    <w:rsid w:val="00AF0324"/>
    <w:rsid w:val="00AF3402"/>
    <w:rsid w:val="00AF4414"/>
    <w:rsid w:val="00AF773F"/>
    <w:rsid w:val="00B027D6"/>
    <w:rsid w:val="00B1342F"/>
    <w:rsid w:val="00B14AB8"/>
    <w:rsid w:val="00B24D8D"/>
    <w:rsid w:val="00B27B27"/>
    <w:rsid w:val="00B27F49"/>
    <w:rsid w:val="00B31722"/>
    <w:rsid w:val="00B32943"/>
    <w:rsid w:val="00B33FC1"/>
    <w:rsid w:val="00B364B7"/>
    <w:rsid w:val="00B36B85"/>
    <w:rsid w:val="00B36D45"/>
    <w:rsid w:val="00B42DE8"/>
    <w:rsid w:val="00B50C2C"/>
    <w:rsid w:val="00B517A4"/>
    <w:rsid w:val="00B526F3"/>
    <w:rsid w:val="00B53CBD"/>
    <w:rsid w:val="00B54652"/>
    <w:rsid w:val="00B558F8"/>
    <w:rsid w:val="00B560B7"/>
    <w:rsid w:val="00B56245"/>
    <w:rsid w:val="00B60967"/>
    <w:rsid w:val="00B61C0D"/>
    <w:rsid w:val="00B6290E"/>
    <w:rsid w:val="00B631F2"/>
    <w:rsid w:val="00B638CB"/>
    <w:rsid w:val="00B67696"/>
    <w:rsid w:val="00B70124"/>
    <w:rsid w:val="00B7038B"/>
    <w:rsid w:val="00B7127F"/>
    <w:rsid w:val="00B7134A"/>
    <w:rsid w:val="00B76209"/>
    <w:rsid w:val="00B7661C"/>
    <w:rsid w:val="00B81D2D"/>
    <w:rsid w:val="00B82EB8"/>
    <w:rsid w:val="00B83F1E"/>
    <w:rsid w:val="00B84BC8"/>
    <w:rsid w:val="00B8784B"/>
    <w:rsid w:val="00B9121B"/>
    <w:rsid w:val="00B921E3"/>
    <w:rsid w:val="00B92EFF"/>
    <w:rsid w:val="00B9463C"/>
    <w:rsid w:val="00B960F2"/>
    <w:rsid w:val="00B966CF"/>
    <w:rsid w:val="00B96A87"/>
    <w:rsid w:val="00B97658"/>
    <w:rsid w:val="00BA09D3"/>
    <w:rsid w:val="00BA2E4C"/>
    <w:rsid w:val="00BA39D5"/>
    <w:rsid w:val="00BA4C0D"/>
    <w:rsid w:val="00BB26A6"/>
    <w:rsid w:val="00BB26AF"/>
    <w:rsid w:val="00BB3EA7"/>
    <w:rsid w:val="00BB4744"/>
    <w:rsid w:val="00BB7148"/>
    <w:rsid w:val="00BC359D"/>
    <w:rsid w:val="00BC38A7"/>
    <w:rsid w:val="00BD1103"/>
    <w:rsid w:val="00BD163D"/>
    <w:rsid w:val="00BD1DDC"/>
    <w:rsid w:val="00BD3A5E"/>
    <w:rsid w:val="00BD4E01"/>
    <w:rsid w:val="00BD501A"/>
    <w:rsid w:val="00BD63A2"/>
    <w:rsid w:val="00BD698D"/>
    <w:rsid w:val="00BD6B40"/>
    <w:rsid w:val="00BE1A1F"/>
    <w:rsid w:val="00BE1A75"/>
    <w:rsid w:val="00BE2EB5"/>
    <w:rsid w:val="00BE5818"/>
    <w:rsid w:val="00BE708E"/>
    <w:rsid w:val="00BE7307"/>
    <w:rsid w:val="00BE7E3C"/>
    <w:rsid w:val="00BF4146"/>
    <w:rsid w:val="00BF71E5"/>
    <w:rsid w:val="00C00C29"/>
    <w:rsid w:val="00C03BA6"/>
    <w:rsid w:val="00C04F84"/>
    <w:rsid w:val="00C0698A"/>
    <w:rsid w:val="00C10A2D"/>
    <w:rsid w:val="00C11213"/>
    <w:rsid w:val="00C1586B"/>
    <w:rsid w:val="00C24917"/>
    <w:rsid w:val="00C258D6"/>
    <w:rsid w:val="00C30BBC"/>
    <w:rsid w:val="00C3135E"/>
    <w:rsid w:val="00C32BEC"/>
    <w:rsid w:val="00C336A8"/>
    <w:rsid w:val="00C33D40"/>
    <w:rsid w:val="00C3491F"/>
    <w:rsid w:val="00C3502B"/>
    <w:rsid w:val="00C354A7"/>
    <w:rsid w:val="00C367C5"/>
    <w:rsid w:val="00C36BC5"/>
    <w:rsid w:val="00C376A8"/>
    <w:rsid w:val="00C428DA"/>
    <w:rsid w:val="00C42C72"/>
    <w:rsid w:val="00C42E3F"/>
    <w:rsid w:val="00C44681"/>
    <w:rsid w:val="00C44BA4"/>
    <w:rsid w:val="00C44EDC"/>
    <w:rsid w:val="00C466A8"/>
    <w:rsid w:val="00C5149F"/>
    <w:rsid w:val="00C51A75"/>
    <w:rsid w:val="00C55D3D"/>
    <w:rsid w:val="00C569BD"/>
    <w:rsid w:val="00C57DBD"/>
    <w:rsid w:val="00C61399"/>
    <w:rsid w:val="00C61F87"/>
    <w:rsid w:val="00C63891"/>
    <w:rsid w:val="00C664C3"/>
    <w:rsid w:val="00C66B24"/>
    <w:rsid w:val="00C708B9"/>
    <w:rsid w:val="00C70EAF"/>
    <w:rsid w:val="00C71348"/>
    <w:rsid w:val="00C71443"/>
    <w:rsid w:val="00C729D3"/>
    <w:rsid w:val="00C74AD4"/>
    <w:rsid w:val="00C75A3D"/>
    <w:rsid w:val="00C810EB"/>
    <w:rsid w:val="00C837D6"/>
    <w:rsid w:val="00C83E34"/>
    <w:rsid w:val="00C84848"/>
    <w:rsid w:val="00C87A4C"/>
    <w:rsid w:val="00C87C17"/>
    <w:rsid w:val="00C95E02"/>
    <w:rsid w:val="00CA3FDD"/>
    <w:rsid w:val="00CA521C"/>
    <w:rsid w:val="00CA64CC"/>
    <w:rsid w:val="00CA6E1E"/>
    <w:rsid w:val="00CA737F"/>
    <w:rsid w:val="00CA7D64"/>
    <w:rsid w:val="00CB046A"/>
    <w:rsid w:val="00CB1E3C"/>
    <w:rsid w:val="00CB781B"/>
    <w:rsid w:val="00CC1645"/>
    <w:rsid w:val="00CC1DCF"/>
    <w:rsid w:val="00CC3B8F"/>
    <w:rsid w:val="00CC5FE2"/>
    <w:rsid w:val="00CC6ADC"/>
    <w:rsid w:val="00CC7210"/>
    <w:rsid w:val="00CC7BBD"/>
    <w:rsid w:val="00CD20D2"/>
    <w:rsid w:val="00CD33BF"/>
    <w:rsid w:val="00CD465D"/>
    <w:rsid w:val="00CD64A1"/>
    <w:rsid w:val="00CE1B2C"/>
    <w:rsid w:val="00CE68AB"/>
    <w:rsid w:val="00CE76EE"/>
    <w:rsid w:val="00CE77A0"/>
    <w:rsid w:val="00CF05E8"/>
    <w:rsid w:val="00CF1AAB"/>
    <w:rsid w:val="00CF424C"/>
    <w:rsid w:val="00CF468A"/>
    <w:rsid w:val="00CF4A86"/>
    <w:rsid w:val="00CF554D"/>
    <w:rsid w:val="00D066A9"/>
    <w:rsid w:val="00D06D6E"/>
    <w:rsid w:val="00D07508"/>
    <w:rsid w:val="00D1096F"/>
    <w:rsid w:val="00D126D0"/>
    <w:rsid w:val="00D12FEF"/>
    <w:rsid w:val="00D17000"/>
    <w:rsid w:val="00D207C6"/>
    <w:rsid w:val="00D21744"/>
    <w:rsid w:val="00D21882"/>
    <w:rsid w:val="00D234F2"/>
    <w:rsid w:val="00D2423D"/>
    <w:rsid w:val="00D255BC"/>
    <w:rsid w:val="00D27D86"/>
    <w:rsid w:val="00D301DD"/>
    <w:rsid w:val="00D30455"/>
    <w:rsid w:val="00D337A5"/>
    <w:rsid w:val="00D3776E"/>
    <w:rsid w:val="00D40774"/>
    <w:rsid w:val="00D4195F"/>
    <w:rsid w:val="00D43E7F"/>
    <w:rsid w:val="00D4773A"/>
    <w:rsid w:val="00D51B85"/>
    <w:rsid w:val="00D54B3F"/>
    <w:rsid w:val="00D54B5A"/>
    <w:rsid w:val="00D62C80"/>
    <w:rsid w:val="00D64A5D"/>
    <w:rsid w:val="00D665BF"/>
    <w:rsid w:val="00D67F22"/>
    <w:rsid w:val="00D70699"/>
    <w:rsid w:val="00D70BA5"/>
    <w:rsid w:val="00D7342D"/>
    <w:rsid w:val="00D7590E"/>
    <w:rsid w:val="00D75983"/>
    <w:rsid w:val="00D80987"/>
    <w:rsid w:val="00D832D2"/>
    <w:rsid w:val="00D837EA"/>
    <w:rsid w:val="00D85528"/>
    <w:rsid w:val="00D85598"/>
    <w:rsid w:val="00D862E0"/>
    <w:rsid w:val="00D87064"/>
    <w:rsid w:val="00D878CA"/>
    <w:rsid w:val="00D90B8A"/>
    <w:rsid w:val="00DA0AC5"/>
    <w:rsid w:val="00DA0EAD"/>
    <w:rsid w:val="00DA1D09"/>
    <w:rsid w:val="00DA3548"/>
    <w:rsid w:val="00DA3B8A"/>
    <w:rsid w:val="00DA657B"/>
    <w:rsid w:val="00DA6F82"/>
    <w:rsid w:val="00DB4883"/>
    <w:rsid w:val="00DB5ACC"/>
    <w:rsid w:val="00DB5D94"/>
    <w:rsid w:val="00DB76FB"/>
    <w:rsid w:val="00DC06A0"/>
    <w:rsid w:val="00DC220C"/>
    <w:rsid w:val="00DC45F5"/>
    <w:rsid w:val="00DC4CC7"/>
    <w:rsid w:val="00DC5A67"/>
    <w:rsid w:val="00DD0C7B"/>
    <w:rsid w:val="00DD27A8"/>
    <w:rsid w:val="00DD27DD"/>
    <w:rsid w:val="00DD2BC0"/>
    <w:rsid w:val="00DD40FB"/>
    <w:rsid w:val="00DD529E"/>
    <w:rsid w:val="00DD562C"/>
    <w:rsid w:val="00DE261E"/>
    <w:rsid w:val="00DE37FC"/>
    <w:rsid w:val="00DF07A7"/>
    <w:rsid w:val="00DF3EE2"/>
    <w:rsid w:val="00DF4ABC"/>
    <w:rsid w:val="00DF5445"/>
    <w:rsid w:val="00DF6551"/>
    <w:rsid w:val="00DF7CEB"/>
    <w:rsid w:val="00DF7ED3"/>
    <w:rsid w:val="00E05704"/>
    <w:rsid w:val="00E072C0"/>
    <w:rsid w:val="00E07708"/>
    <w:rsid w:val="00E07D71"/>
    <w:rsid w:val="00E10777"/>
    <w:rsid w:val="00E11C2E"/>
    <w:rsid w:val="00E207A2"/>
    <w:rsid w:val="00E22EBD"/>
    <w:rsid w:val="00E24E02"/>
    <w:rsid w:val="00E260A6"/>
    <w:rsid w:val="00E30D94"/>
    <w:rsid w:val="00E3722A"/>
    <w:rsid w:val="00E401A7"/>
    <w:rsid w:val="00E40E13"/>
    <w:rsid w:val="00E437CC"/>
    <w:rsid w:val="00E44FB3"/>
    <w:rsid w:val="00E45E88"/>
    <w:rsid w:val="00E47228"/>
    <w:rsid w:val="00E511F9"/>
    <w:rsid w:val="00E51374"/>
    <w:rsid w:val="00E51B36"/>
    <w:rsid w:val="00E54423"/>
    <w:rsid w:val="00E544DC"/>
    <w:rsid w:val="00E54917"/>
    <w:rsid w:val="00E60556"/>
    <w:rsid w:val="00E6489E"/>
    <w:rsid w:val="00E65148"/>
    <w:rsid w:val="00E665C7"/>
    <w:rsid w:val="00E6671B"/>
    <w:rsid w:val="00E669AE"/>
    <w:rsid w:val="00E701A4"/>
    <w:rsid w:val="00E71922"/>
    <w:rsid w:val="00E73B17"/>
    <w:rsid w:val="00E74A5E"/>
    <w:rsid w:val="00E766C9"/>
    <w:rsid w:val="00E80809"/>
    <w:rsid w:val="00E81359"/>
    <w:rsid w:val="00E83DA4"/>
    <w:rsid w:val="00E84D20"/>
    <w:rsid w:val="00E852BD"/>
    <w:rsid w:val="00E860BA"/>
    <w:rsid w:val="00E8656E"/>
    <w:rsid w:val="00E86EB6"/>
    <w:rsid w:val="00E92840"/>
    <w:rsid w:val="00E930B5"/>
    <w:rsid w:val="00E94470"/>
    <w:rsid w:val="00E96FB9"/>
    <w:rsid w:val="00EA11C1"/>
    <w:rsid w:val="00EA2AE3"/>
    <w:rsid w:val="00EA3065"/>
    <w:rsid w:val="00EA400B"/>
    <w:rsid w:val="00EA485C"/>
    <w:rsid w:val="00EB5390"/>
    <w:rsid w:val="00EB68A5"/>
    <w:rsid w:val="00EB6AAE"/>
    <w:rsid w:val="00EC1B3B"/>
    <w:rsid w:val="00EC22F4"/>
    <w:rsid w:val="00EC2BFA"/>
    <w:rsid w:val="00EC417D"/>
    <w:rsid w:val="00EC424C"/>
    <w:rsid w:val="00EC57FF"/>
    <w:rsid w:val="00EC66B6"/>
    <w:rsid w:val="00EC68F6"/>
    <w:rsid w:val="00EC724B"/>
    <w:rsid w:val="00ED5604"/>
    <w:rsid w:val="00ED5F18"/>
    <w:rsid w:val="00ED710C"/>
    <w:rsid w:val="00ED7C49"/>
    <w:rsid w:val="00EE32CA"/>
    <w:rsid w:val="00EE498B"/>
    <w:rsid w:val="00EE6148"/>
    <w:rsid w:val="00EE7E8F"/>
    <w:rsid w:val="00EF3178"/>
    <w:rsid w:val="00EF4E46"/>
    <w:rsid w:val="00EF60A3"/>
    <w:rsid w:val="00F01D7A"/>
    <w:rsid w:val="00F05B3F"/>
    <w:rsid w:val="00F05B58"/>
    <w:rsid w:val="00F05BBA"/>
    <w:rsid w:val="00F1070D"/>
    <w:rsid w:val="00F11B8C"/>
    <w:rsid w:val="00F11FB6"/>
    <w:rsid w:val="00F126C1"/>
    <w:rsid w:val="00F12EFA"/>
    <w:rsid w:val="00F13A02"/>
    <w:rsid w:val="00F14568"/>
    <w:rsid w:val="00F148B5"/>
    <w:rsid w:val="00F14978"/>
    <w:rsid w:val="00F15ED2"/>
    <w:rsid w:val="00F161E5"/>
    <w:rsid w:val="00F171DA"/>
    <w:rsid w:val="00F21ECA"/>
    <w:rsid w:val="00F221EC"/>
    <w:rsid w:val="00F24C58"/>
    <w:rsid w:val="00F25AD2"/>
    <w:rsid w:val="00F267EA"/>
    <w:rsid w:val="00F26CEE"/>
    <w:rsid w:val="00F27002"/>
    <w:rsid w:val="00F27083"/>
    <w:rsid w:val="00F302BC"/>
    <w:rsid w:val="00F33529"/>
    <w:rsid w:val="00F3443A"/>
    <w:rsid w:val="00F35769"/>
    <w:rsid w:val="00F372AF"/>
    <w:rsid w:val="00F40320"/>
    <w:rsid w:val="00F4389B"/>
    <w:rsid w:val="00F4411A"/>
    <w:rsid w:val="00F52095"/>
    <w:rsid w:val="00F534CF"/>
    <w:rsid w:val="00F536B9"/>
    <w:rsid w:val="00F53A12"/>
    <w:rsid w:val="00F53B32"/>
    <w:rsid w:val="00F5424C"/>
    <w:rsid w:val="00F54F79"/>
    <w:rsid w:val="00F6212B"/>
    <w:rsid w:val="00F623C5"/>
    <w:rsid w:val="00F63D97"/>
    <w:rsid w:val="00F66559"/>
    <w:rsid w:val="00F66FE6"/>
    <w:rsid w:val="00F71C43"/>
    <w:rsid w:val="00F73D9E"/>
    <w:rsid w:val="00F7407A"/>
    <w:rsid w:val="00F753AB"/>
    <w:rsid w:val="00F7555D"/>
    <w:rsid w:val="00F757E4"/>
    <w:rsid w:val="00F7722D"/>
    <w:rsid w:val="00F77BB6"/>
    <w:rsid w:val="00F810F3"/>
    <w:rsid w:val="00F814B4"/>
    <w:rsid w:val="00F817A3"/>
    <w:rsid w:val="00F85585"/>
    <w:rsid w:val="00F86625"/>
    <w:rsid w:val="00F872C1"/>
    <w:rsid w:val="00F9031D"/>
    <w:rsid w:val="00F94ACF"/>
    <w:rsid w:val="00F961F1"/>
    <w:rsid w:val="00FA06F7"/>
    <w:rsid w:val="00FA1EB7"/>
    <w:rsid w:val="00FA45FB"/>
    <w:rsid w:val="00FA4AA7"/>
    <w:rsid w:val="00FA6B66"/>
    <w:rsid w:val="00FB2FC9"/>
    <w:rsid w:val="00FB38BD"/>
    <w:rsid w:val="00FB3C25"/>
    <w:rsid w:val="00FB49B3"/>
    <w:rsid w:val="00FB4EBF"/>
    <w:rsid w:val="00FB5AFF"/>
    <w:rsid w:val="00FB641E"/>
    <w:rsid w:val="00FB66F2"/>
    <w:rsid w:val="00FC4706"/>
    <w:rsid w:val="00FC591A"/>
    <w:rsid w:val="00FC607C"/>
    <w:rsid w:val="00FC67BE"/>
    <w:rsid w:val="00FD76B8"/>
    <w:rsid w:val="00FE1331"/>
    <w:rsid w:val="00FE4885"/>
    <w:rsid w:val="00FE507A"/>
    <w:rsid w:val="00FF2D02"/>
    <w:rsid w:val="00FF2E8D"/>
    <w:rsid w:val="00FF510E"/>
    <w:rsid w:val="00FF7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D25"/>
    <w:pPr>
      <w:spacing w:after="0" w:line="240" w:lineRule="auto"/>
      <w:jc w:val="both"/>
    </w:pPr>
    <w:rPr>
      <w:rFonts w:ascii="Verdana" w:eastAsia="Calibri" w:hAnsi="Verdana" w:cs="Times New Roman"/>
      <w:sz w:val="20"/>
      <w:lang w:val="es-ES"/>
    </w:rPr>
  </w:style>
  <w:style w:type="paragraph" w:styleId="Heading1">
    <w:name w:val="heading 1"/>
    <w:basedOn w:val="NoSpacing1"/>
    <w:next w:val="Normal"/>
    <w:link w:val="Heading1Char"/>
    <w:uiPriority w:val="9"/>
    <w:qFormat/>
    <w:rsid w:val="00804D25"/>
    <w:pPr>
      <w:keepNext/>
      <w:jc w:val="center"/>
      <w:outlineLvl w:val="0"/>
    </w:pPr>
    <w:rPr>
      <w:rFonts w:eastAsia="Times New Roman"/>
      <w:b/>
      <w:bCs/>
      <w:kern w:val="32"/>
      <w:szCs w:val="32"/>
      <w:lang w:val="es-ES_tradnl"/>
    </w:rPr>
  </w:style>
  <w:style w:type="paragraph" w:styleId="Heading2">
    <w:name w:val="heading 2"/>
    <w:basedOn w:val="Normal"/>
    <w:next w:val="Normal"/>
    <w:link w:val="Heading2Char"/>
    <w:qFormat/>
    <w:rsid w:val="00804D25"/>
    <w:pPr>
      <w:keepNext/>
      <w:keepLines/>
      <w:outlineLvl w:val="1"/>
    </w:pPr>
    <w:rPr>
      <w:rFonts w:eastAsia="Times New Roman"/>
      <w:b/>
      <w:bCs/>
      <w:i/>
      <w:color w:val="000000" w:themeColor="text1"/>
      <w:spacing w:val="-10"/>
      <w:w w:val="90"/>
      <w:szCs w:val="20"/>
      <w:lang w:val="es-CR"/>
    </w:rPr>
  </w:style>
  <w:style w:type="paragraph" w:styleId="Heading3">
    <w:name w:val="heading 3"/>
    <w:basedOn w:val="Normal"/>
    <w:next w:val="Normal"/>
    <w:link w:val="Heading3Char"/>
    <w:uiPriority w:val="9"/>
    <w:qFormat/>
    <w:rsid w:val="00804D25"/>
    <w:pPr>
      <w:keepNext/>
      <w:ind w:left="567" w:firstLine="3"/>
      <w:outlineLvl w:val="2"/>
    </w:pPr>
    <w:rPr>
      <w:rFonts w:eastAsia="Times New Roman"/>
      <w:b/>
      <w:bCs/>
      <w:i/>
      <w:color w:val="000000" w:themeColor="text1"/>
      <w:spacing w:val="-10"/>
      <w:w w:val="90"/>
      <w:szCs w:val="20"/>
      <w:lang w:val="es-CR"/>
    </w:rPr>
  </w:style>
  <w:style w:type="paragraph" w:styleId="Heading4">
    <w:name w:val="heading 4"/>
    <w:basedOn w:val="Normal"/>
    <w:next w:val="Normal"/>
    <w:link w:val="Heading4Char"/>
    <w:uiPriority w:val="9"/>
    <w:qFormat/>
    <w:rsid w:val="00804D25"/>
    <w:pPr>
      <w:keepNext/>
      <w:ind w:left="567"/>
      <w:outlineLvl w:val="3"/>
    </w:pPr>
    <w:rPr>
      <w:rFonts w:eastAsia="Times New Roman"/>
      <w:bCs/>
      <w:i/>
      <w:color w:val="000000" w:themeColor="text1"/>
      <w:spacing w:val="-10"/>
      <w:w w:val="90"/>
      <w:szCs w:val="20"/>
      <w:lang w:val="es-CR"/>
    </w:rPr>
  </w:style>
  <w:style w:type="paragraph" w:styleId="Heading5">
    <w:name w:val="heading 5"/>
    <w:basedOn w:val="Normal"/>
    <w:next w:val="Normal"/>
    <w:link w:val="Heading5Char"/>
    <w:uiPriority w:val="9"/>
    <w:qFormat/>
    <w:rsid w:val="00804D25"/>
    <w:pPr>
      <w:ind w:left="851"/>
      <w:outlineLvl w:val="4"/>
    </w:pPr>
    <w:rPr>
      <w:rFonts w:eastAsia="Times New Roman"/>
      <w:bCs/>
      <w:i/>
      <w:iCs/>
      <w:color w:val="000000" w:themeColor="text1"/>
      <w:spacing w:val="-10"/>
      <w:w w:val="90"/>
      <w:szCs w:val="20"/>
      <w:lang w:val="es-CR"/>
    </w:rPr>
  </w:style>
  <w:style w:type="paragraph" w:styleId="Heading6">
    <w:name w:val="heading 6"/>
    <w:basedOn w:val="Normal"/>
    <w:next w:val="Normal"/>
    <w:link w:val="Heading6Char"/>
    <w:uiPriority w:val="9"/>
    <w:unhideWhenUsed/>
    <w:qFormat/>
    <w:rsid w:val="00804D25"/>
    <w:pPr>
      <w:spacing w:before="240" w:after="60"/>
      <w:jc w:val="left"/>
      <w:outlineLvl w:val="5"/>
    </w:pPr>
    <w:rPr>
      <w:rFonts w:ascii="Calibri" w:eastAsia="Times New Roman" w:hAnsi="Calibri"/>
      <w:b/>
      <w:bCs/>
      <w:sz w:val="22"/>
      <w:lang w:val="es-ES_tradnl"/>
    </w:rPr>
  </w:style>
  <w:style w:type="paragraph" w:styleId="Heading7">
    <w:name w:val="heading 7"/>
    <w:basedOn w:val="Normal"/>
    <w:next w:val="Normal"/>
    <w:link w:val="Heading7Char"/>
    <w:uiPriority w:val="9"/>
    <w:semiHidden/>
    <w:unhideWhenUsed/>
    <w:qFormat/>
    <w:rsid w:val="00804D25"/>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1">
    <w:name w:val="No Spacing1"/>
    <w:uiPriority w:val="1"/>
    <w:qFormat/>
    <w:rsid w:val="00804D25"/>
    <w:pPr>
      <w:spacing w:after="0" w:line="240" w:lineRule="auto"/>
      <w:jc w:val="both"/>
    </w:pPr>
    <w:rPr>
      <w:rFonts w:ascii="Verdana" w:eastAsia="Calibri" w:hAnsi="Verdana" w:cs="Times New Roman"/>
      <w:sz w:val="20"/>
      <w:lang w:val="es-ES"/>
    </w:rPr>
  </w:style>
  <w:style w:type="character" w:customStyle="1" w:styleId="Heading1Char">
    <w:name w:val="Heading 1 Char"/>
    <w:basedOn w:val="DefaultParagraphFont"/>
    <w:link w:val="Heading1"/>
    <w:uiPriority w:val="9"/>
    <w:rsid w:val="00804D25"/>
    <w:rPr>
      <w:rFonts w:ascii="Verdana" w:eastAsia="Times New Roman" w:hAnsi="Verdana" w:cs="Times New Roman"/>
      <w:b/>
      <w:bCs/>
      <w:kern w:val="32"/>
      <w:sz w:val="20"/>
      <w:szCs w:val="32"/>
      <w:lang w:val="es-ES_tradnl"/>
    </w:rPr>
  </w:style>
  <w:style w:type="character" w:customStyle="1" w:styleId="Heading2Char">
    <w:name w:val="Heading 2 Char"/>
    <w:basedOn w:val="DefaultParagraphFont"/>
    <w:link w:val="Heading2"/>
    <w:rsid w:val="00804D25"/>
    <w:rPr>
      <w:rFonts w:ascii="Verdana" w:eastAsia="Times New Roman" w:hAnsi="Verdana" w:cs="Times New Roman"/>
      <w:b/>
      <w:bCs/>
      <w:i/>
      <w:color w:val="000000" w:themeColor="text1"/>
      <w:spacing w:val="-10"/>
      <w:w w:val="90"/>
      <w:sz w:val="20"/>
      <w:szCs w:val="20"/>
    </w:rPr>
  </w:style>
  <w:style w:type="character" w:customStyle="1" w:styleId="Heading3Char">
    <w:name w:val="Heading 3 Char"/>
    <w:basedOn w:val="DefaultParagraphFont"/>
    <w:link w:val="Heading3"/>
    <w:uiPriority w:val="9"/>
    <w:rsid w:val="00804D25"/>
    <w:rPr>
      <w:rFonts w:ascii="Verdana" w:eastAsia="Times New Roman" w:hAnsi="Verdana" w:cs="Times New Roman"/>
      <w:b/>
      <w:bCs/>
      <w:i/>
      <w:color w:val="000000" w:themeColor="text1"/>
      <w:spacing w:val="-10"/>
      <w:w w:val="90"/>
      <w:sz w:val="20"/>
      <w:szCs w:val="20"/>
    </w:rPr>
  </w:style>
  <w:style w:type="character" w:customStyle="1" w:styleId="Heading4Char">
    <w:name w:val="Heading 4 Char"/>
    <w:basedOn w:val="DefaultParagraphFont"/>
    <w:link w:val="Heading4"/>
    <w:uiPriority w:val="9"/>
    <w:rsid w:val="00804D25"/>
    <w:rPr>
      <w:rFonts w:ascii="Verdana" w:eastAsia="Times New Roman" w:hAnsi="Verdana" w:cs="Times New Roman"/>
      <w:bCs/>
      <w:i/>
      <w:color w:val="000000" w:themeColor="text1"/>
      <w:spacing w:val="-10"/>
      <w:w w:val="90"/>
      <w:sz w:val="20"/>
      <w:szCs w:val="20"/>
    </w:rPr>
  </w:style>
  <w:style w:type="character" w:customStyle="1" w:styleId="Heading5Char">
    <w:name w:val="Heading 5 Char"/>
    <w:basedOn w:val="DefaultParagraphFont"/>
    <w:link w:val="Heading5"/>
    <w:uiPriority w:val="9"/>
    <w:rsid w:val="00804D25"/>
    <w:rPr>
      <w:rFonts w:ascii="Verdana" w:eastAsia="Times New Roman" w:hAnsi="Verdana" w:cs="Times New Roman"/>
      <w:bCs/>
      <w:i/>
      <w:iCs/>
      <w:color w:val="000000" w:themeColor="text1"/>
      <w:spacing w:val="-10"/>
      <w:w w:val="90"/>
      <w:sz w:val="20"/>
      <w:szCs w:val="20"/>
    </w:rPr>
  </w:style>
  <w:style w:type="character" w:customStyle="1" w:styleId="Heading6Char">
    <w:name w:val="Heading 6 Char"/>
    <w:basedOn w:val="DefaultParagraphFont"/>
    <w:link w:val="Heading6"/>
    <w:uiPriority w:val="9"/>
    <w:rsid w:val="00804D25"/>
    <w:rPr>
      <w:rFonts w:ascii="Calibri" w:eastAsia="Times New Roman" w:hAnsi="Calibri" w:cs="Times New Roman"/>
      <w:b/>
      <w:bCs/>
      <w:lang w:val="es-ES_tradnl"/>
    </w:rPr>
  </w:style>
  <w:style w:type="character" w:customStyle="1" w:styleId="Heading7Char">
    <w:name w:val="Heading 7 Char"/>
    <w:basedOn w:val="DefaultParagraphFont"/>
    <w:link w:val="Heading7"/>
    <w:uiPriority w:val="9"/>
    <w:semiHidden/>
    <w:rsid w:val="00804D25"/>
    <w:rPr>
      <w:rFonts w:asciiTheme="majorHAnsi" w:eastAsiaTheme="majorEastAsia" w:hAnsiTheme="majorHAnsi" w:cstheme="majorBidi"/>
      <w:i/>
      <w:iCs/>
      <w:color w:val="404040" w:themeColor="text1" w:themeTint="BF"/>
      <w:sz w:val="20"/>
      <w:lang w:val="es-E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804D25"/>
    <w:rPr>
      <w:vertAlign w:val="superscript"/>
    </w:rPr>
  </w:style>
  <w:style w:type="paragraph" w:customStyle="1" w:styleId="citaindirecta">
    <w:name w:val="cita indirecta"/>
    <w:basedOn w:val="Normal"/>
    <w:rsid w:val="00804D25"/>
    <w:pPr>
      <w:ind w:left="708"/>
    </w:pPr>
    <w:rPr>
      <w:rFonts w:eastAsia="Times New Roman"/>
      <w:szCs w:val="20"/>
      <w:lang w:val="es-ES_tradnl"/>
    </w:rPr>
  </w:style>
  <w:style w:type="paragraph" w:styleId="FootnoteText">
    <w:name w:val="footnote text"/>
    <w:aliases w:val="Footnote reference,FA Fu,Footnote Text Char Char Char Char Char,Footnote Text Char Char Char Char,Footnote Text Char Char Char,Footnote Text Cha,FA Fußnotentext,FA Fuﬂnotentext,Texto nota pie Car,Footnote Text Char Char,FA Fu?notentext,Ca"/>
    <w:basedOn w:val="Normal"/>
    <w:link w:val="FootnoteTextChar"/>
    <w:qFormat/>
    <w:rsid w:val="00804D25"/>
    <w:rPr>
      <w:rFonts w:eastAsia="Times New Roman"/>
      <w:sz w:val="16"/>
      <w:szCs w:val="20"/>
      <w:lang w:val="es-ES_tradnl"/>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
    <w:basedOn w:val="DefaultParagraphFont"/>
    <w:link w:val="FootnoteText"/>
    <w:rsid w:val="00804D25"/>
    <w:rPr>
      <w:rFonts w:ascii="Verdana" w:eastAsia="Times New Roman" w:hAnsi="Verdana" w:cs="Times New Roman"/>
      <w:sz w:val="16"/>
      <w:szCs w:val="20"/>
      <w:lang w:val="es-ES_tradnl"/>
    </w:rPr>
  </w:style>
  <w:style w:type="character" w:customStyle="1" w:styleId="BalloonTextChar">
    <w:name w:val="Balloon Text Char"/>
    <w:basedOn w:val="DefaultParagraphFont"/>
    <w:link w:val="BalloonText"/>
    <w:uiPriority w:val="99"/>
    <w:semiHidden/>
    <w:rsid w:val="00804D25"/>
    <w:rPr>
      <w:rFonts w:ascii="Tahoma" w:eastAsia="Calibri" w:hAnsi="Tahoma" w:cs="Times New Roman"/>
      <w:sz w:val="16"/>
      <w:szCs w:val="16"/>
      <w:lang w:val="es-ES"/>
    </w:rPr>
  </w:style>
  <w:style w:type="paragraph" w:styleId="BalloonText">
    <w:name w:val="Balloon Text"/>
    <w:basedOn w:val="Normal"/>
    <w:link w:val="BalloonTextChar"/>
    <w:uiPriority w:val="99"/>
    <w:semiHidden/>
    <w:unhideWhenUsed/>
    <w:rsid w:val="00804D25"/>
    <w:rPr>
      <w:rFonts w:ascii="Tahoma" w:hAnsi="Tahoma"/>
      <w:sz w:val="16"/>
      <w:szCs w:val="16"/>
    </w:rPr>
  </w:style>
  <w:style w:type="character" w:customStyle="1" w:styleId="BalloonTextChar1">
    <w:name w:val="Balloon Text Char1"/>
    <w:basedOn w:val="DefaultParagraphFont"/>
    <w:uiPriority w:val="99"/>
    <w:semiHidden/>
    <w:rsid w:val="00804D25"/>
    <w:rPr>
      <w:rFonts w:ascii="Tahoma" w:eastAsia="Calibri" w:hAnsi="Tahoma" w:cs="Tahoma"/>
      <w:sz w:val="16"/>
      <w:szCs w:val="16"/>
      <w:lang w:val="es-ES"/>
    </w:rPr>
  </w:style>
  <w:style w:type="character" w:customStyle="1" w:styleId="ColorfulList-Accent1Char">
    <w:name w:val="Colorful List - Accent 1 Char"/>
    <w:aliases w:val="Footnote Char"/>
    <w:link w:val="ColorfulList-Accent1"/>
    <w:uiPriority w:val="34"/>
    <w:rsid w:val="00804D25"/>
    <w:rPr>
      <w:rFonts w:ascii="Verdana" w:eastAsia="Times New Roman" w:hAnsi="Verdana" w:cs="Times New Roman"/>
      <w:sz w:val="20"/>
      <w:szCs w:val="20"/>
      <w:lang w:val="es-ES_tradnl"/>
    </w:rPr>
  </w:style>
  <w:style w:type="table" w:styleId="ColorfulList-Accent1">
    <w:name w:val="Colorful List Accent 1"/>
    <w:basedOn w:val="TableNormal"/>
    <w:link w:val="ColorfulList-Accent1Char"/>
    <w:uiPriority w:val="99"/>
    <w:rsid w:val="00804D25"/>
    <w:pPr>
      <w:spacing w:after="0" w:line="240" w:lineRule="auto"/>
    </w:pPr>
    <w:rPr>
      <w:rFonts w:ascii="Verdana" w:eastAsia="Times New Roman" w:hAnsi="Verdana" w:cs="Times New Roman"/>
      <w:sz w:val="20"/>
      <w:szCs w:val="20"/>
      <w:lang w:val="es-ES_tradnl"/>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customStyle="1" w:styleId="ListParagraph11">
    <w:name w:val="List Paragraph11"/>
    <w:basedOn w:val="Normal"/>
    <w:uiPriority w:val="34"/>
    <w:qFormat/>
    <w:rsid w:val="00804D25"/>
    <w:pPr>
      <w:spacing w:after="200" w:line="276" w:lineRule="auto"/>
      <w:ind w:left="720"/>
      <w:jc w:val="left"/>
    </w:pPr>
    <w:rPr>
      <w:rFonts w:ascii="Times New Roman" w:eastAsia="Times New Roman" w:hAnsi="Times New Roman"/>
      <w:sz w:val="24"/>
      <w:lang w:val="en-US"/>
    </w:rPr>
  </w:style>
  <w:style w:type="character" w:customStyle="1" w:styleId="ListParagraphChar1">
    <w:name w:val="List Paragraph Char1"/>
    <w:aliases w:val="Colorful List - Accent 11 Char1,Footnote Char1,Párrafo de lista1 Char1"/>
    <w:link w:val="ListParagraph"/>
    <w:rsid w:val="00804D25"/>
    <w:rPr>
      <w:rFonts w:ascii="Verdana" w:eastAsia="Times New Roman" w:hAnsi="Verdana"/>
      <w:lang w:val="es-ES_tradnl"/>
    </w:rPr>
  </w:style>
  <w:style w:type="paragraph" w:styleId="ListParagraph">
    <w:name w:val="List Paragraph"/>
    <w:aliases w:val="Colorful List - Accent 11,Footnote,Párrafo de lista1"/>
    <w:basedOn w:val="Normal"/>
    <w:link w:val="ListParagraphChar1"/>
    <w:qFormat/>
    <w:rsid w:val="00804D25"/>
    <w:pPr>
      <w:ind w:left="720"/>
      <w:jc w:val="left"/>
    </w:pPr>
    <w:rPr>
      <w:rFonts w:eastAsia="Times New Roman" w:cstheme="minorBidi"/>
      <w:sz w:val="22"/>
      <w:lang w:val="es-ES_tradnl"/>
    </w:rPr>
  </w:style>
  <w:style w:type="character" w:styleId="Hyperlink">
    <w:name w:val="Hyperlink"/>
    <w:uiPriority w:val="99"/>
    <w:unhideWhenUsed/>
    <w:rsid w:val="00804D25"/>
    <w:rPr>
      <w:color w:val="0000FF"/>
      <w:u w:val="single"/>
    </w:rPr>
  </w:style>
  <w:style w:type="paragraph" w:customStyle="1" w:styleId="ListParagraph1">
    <w:name w:val="List Paragraph1"/>
    <w:basedOn w:val="Normal"/>
    <w:uiPriority w:val="99"/>
    <w:qFormat/>
    <w:rsid w:val="00804D25"/>
    <w:pPr>
      <w:spacing w:after="200" w:line="276" w:lineRule="auto"/>
      <w:ind w:left="720"/>
      <w:jc w:val="left"/>
    </w:pPr>
    <w:rPr>
      <w:rFonts w:ascii="Times New Roman" w:eastAsia="Times New Roman" w:hAnsi="Times New Roman"/>
      <w:sz w:val="24"/>
      <w:lang w:val="en-US"/>
    </w:rPr>
  </w:style>
  <w:style w:type="paragraph" w:styleId="BodyText">
    <w:name w:val="Body Text"/>
    <w:basedOn w:val="Normal"/>
    <w:link w:val="BodyTextChar"/>
    <w:unhideWhenUsed/>
    <w:rsid w:val="00804D25"/>
    <w:pPr>
      <w:spacing w:after="120"/>
    </w:pPr>
    <w:rPr>
      <w:szCs w:val="20"/>
    </w:rPr>
  </w:style>
  <w:style w:type="character" w:customStyle="1" w:styleId="BodyTextChar">
    <w:name w:val="Body Text Char"/>
    <w:basedOn w:val="DefaultParagraphFont"/>
    <w:link w:val="BodyText"/>
    <w:rsid w:val="00804D25"/>
    <w:rPr>
      <w:rFonts w:ascii="Verdana" w:eastAsia="Calibri" w:hAnsi="Verdana" w:cs="Times New Roman"/>
      <w:sz w:val="20"/>
      <w:szCs w:val="20"/>
      <w:lang w:val="es-ES"/>
    </w:rPr>
  </w:style>
  <w:style w:type="paragraph" w:customStyle="1" w:styleId="Body1">
    <w:name w:val="Body 1"/>
    <w:link w:val="Body1Char"/>
    <w:rsid w:val="00804D25"/>
    <w:pPr>
      <w:outlineLvl w:val="0"/>
    </w:pPr>
    <w:rPr>
      <w:rFonts w:ascii="Helvetica" w:eastAsia="ヒラギノ角ゴ Pro W3" w:hAnsi="Helvetica" w:cs="Times New Roman"/>
      <w:color w:val="000000"/>
      <w:szCs w:val="20"/>
      <w:lang w:val="en-US" w:eastAsia="es-CR"/>
    </w:rPr>
  </w:style>
  <w:style w:type="character" w:customStyle="1" w:styleId="Body1Char">
    <w:name w:val="Body 1 Char"/>
    <w:link w:val="Body1"/>
    <w:rsid w:val="00804D25"/>
    <w:rPr>
      <w:rFonts w:ascii="Helvetica" w:eastAsia="ヒラギノ角ゴ Pro W3" w:hAnsi="Helvetica" w:cs="Times New Roman"/>
      <w:color w:val="000000"/>
      <w:szCs w:val="20"/>
      <w:lang w:val="en-US" w:eastAsia="es-CR"/>
    </w:rPr>
  </w:style>
  <w:style w:type="character" w:customStyle="1" w:styleId="FootnoteTextChar1">
    <w:name w:val="Footnote Text Char1"/>
    <w:aliases w:val="Footnote Text Char Char Char Char Char Char1,Footnote Text Char Char Char Char Char2,FA Fu Char1,Footnote reference Char1,Footnote Text Char Char Char Char2,NOTA AL PIE TESIS PUCP Char1,Footnote Text Cha Char1,FA Fußnotentext Char1"/>
    <w:uiPriority w:val="99"/>
    <w:locked/>
    <w:rsid w:val="00804D25"/>
    <w:rPr>
      <w:rFonts w:cs="Times New Roman"/>
      <w:lang w:val="en-US" w:eastAsia="en-US" w:bidi="ar-SA"/>
    </w:rPr>
  </w:style>
  <w:style w:type="paragraph" w:styleId="Header">
    <w:name w:val="header"/>
    <w:basedOn w:val="Normal"/>
    <w:link w:val="HeaderChar"/>
    <w:uiPriority w:val="99"/>
    <w:unhideWhenUsed/>
    <w:rsid w:val="00804D25"/>
    <w:pPr>
      <w:tabs>
        <w:tab w:val="center" w:pos="4680"/>
        <w:tab w:val="right" w:pos="9360"/>
      </w:tabs>
    </w:pPr>
    <w:rPr>
      <w:szCs w:val="20"/>
    </w:rPr>
  </w:style>
  <w:style w:type="character" w:customStyle="1" w:styleId="HeaderChar">
    <w:name w:val="Header Char"/>
    <w:basedOn w:val="DefaultParagraphFont"/>
    <w:link w:val="Header"/>
    <w:uiPriority w:val="99"/>
    <w:rsid w:val="00804D25"/>
    <w:rPr>
      <w:rFonts w:ascii="Verdana" w:eastAsia="Calibri" w:hAnsi="Verdana" w:cs="Times New Roman"/>
      <w:sz w:val="20"/>
      <w:szCs w:val="20"/>
      <w:lang w:val="es-ES"/>
    </w:rPr>
  </w:style>
  <w:style w:type="paragraph" w:styleId="Footer">
    <w:name w:val="footer"/>
    <w:basedOn w:val="Normal"/>
    <w:link w:val="FooterChar"/>
    <w:uiPriority w:val="99"/>
    <w:unhideWhenUsed/>
    <w:rsid w:val="00804D25"/>
    <w:pPr>
      <w:tabs>
        <w:tab w:val="center" w:pos="4680"/>
        <w:tab w:val="right" w:pos="9360"/>
      </w:tabs>
    </w:pPr>
    <w:rPr>
      <w:szCs w:val="20"/>
    </w:rPr>
  </w:style>
  <w:style w:type="character" w:customStyle="1" w:styleId="FooterChar">
    <w:name w:val="Footer Char"/>
    <w:basedOn w:val="DefaultParagraphFont"/>
    <w:link w:val="Footer"/>
    <w:uiPriority w:val="99"/>
    <w:rsid w:val="00804D25"/>
    <w:rPr>
      <w:rFonts w:ascii="Verdana" w:eastAsia="Calibri" w:hAnsi="Verdana" w:cs="Times New Roman"/>
      <w:sz w:val="20"/>
      <w:szCs w:val="20"/>
      <w:lang w:val="es-ES"/>
    </w:rPr>
  </w:style>
  <w:style w:type="paragraph" w:styleId="CommentText">
    <w:name w:val="annotation text"/>
    <w:basedOn w:val="Normal"/>
    <w:link w:val="CommentTextChar"/>
    <w:uiPriority w:val="99"/>
    <w:unhideWhenUsed/>
    <w:rsid w:val="00804D25"/>
    <w:pPr>
      <w:jc w:val="left"/>
    </w:pPr>
    <w:rPr>
      <w:rFonts w:ascii="Times" w:eastAsia="Times" w:hAnsi="Times"/>
      <w:szCs w:val="20"/>
      <w:lang w:val="es-ES_tradnl"/>
    </w:rPr>
  </w:style>
  <w:style w:type="character" w:customStyle="1" w:styleId="CommentTextChar">
    <w:name w:val="Comment Text Char"/>
    <w:basedOn w:val="DefaultParagraphFont"/>
    <w:link w:val="CommentText"/>
    <w:uiPriority w:val="99"/>
    <w:rsid w:val="00804D25"/>
    <w:rPr>
      <w:rFonts w:ascii="Times" w:eastAsia="Times" w:hAnsi="Times" w:cs="Times New Roman"/>
      <w:sz w:val="20"/>
      <w:szCs w:val="20"/>
      <w:lang w:val="es-ES_tradnl"/>
    </w:rPr>
  </w:style>
  <w:style w:type="paragraph" w:customStyle="1" w:styleId="Normal1">
    <w:name w:val="Normal1"/>
    <w:link w:val="NormalChar"/>
    <w:qFormat/>
    <w:rsid w:val="00804D25"/>
    <w:pPr>
      <w:tabs>
        <w:tab w:val="num" w:pos="6222"/>
      </w:tabs>
      <w:autoSpaceDE w:val="0"/>
      <w:autoSpaceDN w:val="0"/>
      <w:adjustRightInd w:val="0"/>
      <w:contextualSpacing/>
      <w:jc w:val="both"/>
    </w:pPr>
  </w:style>
  <w:style w:type="character" w:customStyle="1" w:styleId="NormalChar">
    <w:name w:val="Normal Char"/>
    <w:link w:val="Normal1"/>
    <w:rsid w:val="00804D25"/>
  </w:style>
  <w:style w:type="character" w:customStyle="1" w:styleId="CommentSubjectChar">
    <w:name w:val="Comment Subject Char"/>
    <w:basedOn w:val="CommentTextChar"/>
    <w:link w:val="CommentSubject"/>
    <w:uiPriority w:val="99"/>
    <w:semiHidden/>
    <w:rsid w:val="00804D25"/>
    <w:rPr>
      <w:rFonts w:ascii="Times" w:eastAsia="Times" w:hAnsi="Times" w:cs="Times New Roman"/>
      <w:b/>
      <w:bCs/>
      <w:sz w:val="20"/>
      <w:szCs w:val="20"/>
      <w:lang w:val="es-ES_tradnl"/>
    </w:rPr>
  </w:style>
  <w:style w:type="paragraph" w:styleId="CommentSubject">
    <w:name w:val="annotation subject"/>
    <w:basedOn w:val="CommentText"/>
    <w:next w:val="CommentText"/>
    <w:link w:val="CommentSubjectChar"/>
    <w:uiPriority w:val="99"/>
    <w:semiHidden/>
    <w:unhideWhenUsed/>
    <w:rsid w:val="00804D25"/>
    <w:pPr>
      <w:jc w:val="both"/>
    </w:pPr>
    <w:rPr>
      <w:b/>
      <w:bCs/>
    </w:rPr>
  </w:style>
  <w:style w:type="character" w:customStyle="1" w:styleId="CommentSubjectChar1">
    <w:name w:val="Comment Subject Char1"/>
    <w:basedOn w:val="CommentTextChar"/>
    <w:uiPriority w:val="99"/>
    <w:semiHidden/>
    <w:rsid w:val="00804D25"/>
    <w:rPr>
      <w:rFonts w:ascii="Times" w:eastAsia="Times" w:hAnsi="Times" w:cs="Times New Roman"/>
      <w:b/>
      <w:bCs/>
      <w:sz w:val="20"/>
      <w:szCs w:val="20"/>
      <w:lang w:val="es-ES_tradnl"/>
    </w:rPr>
  </w:style>
  <w:style w:type="paragraph" w:styleId="NormalWeb">
    <w:name w:val="Normal (Web)"/>
    <w:aliases w:val="Normal (Web) Char1,Normal (Web) Char Char,Normal (Web) Char1 Char,Normal (Web) Char Char Char"/>
    <w:basedOn w:val="Normal"/>
    <w:uiPriority w:val="99"/>
    <w:unhideWhenUsed/>
    <w:rsid w:val="00804D25"/>
    <w:pPr>
      <w:spacing w:before="100" w:beforeAutospacing="1" w:after="100" w:afterAutospacing="1"/>
      <w:jc w:val="left"/>
    </w:pPr>
    <w:rPr>
      <w:rFonts w:eastAsia="Times New Roman"/>
      <w:color w:val="555555"/>
      <w:sz w:val="17"/>
      <w:szCs w:val="17"/>
      <w:lang w:val="en-US"/>
    </w:rPr>
  </w:style>
  <w:style w:type="paragraph" w:customStyle="1" w:styleId="Footnotes">
    <w:name w:val="**. Footnotes"/>
    <w:basedOn w:val="FootnoteText"/>
    <w:link w:val="FootnotesChar"/>
    <w:autoRedefine/>
    <w:qFormat/>
    <w:rsid w:val="00804D25"/>
    <w:pPr>
      <w:spacing w:before="120" w:after="120"/>
      <w:jc w:val="center"/>
    </w:pPr>
    <w:rPr>
      <w:iCs/>
      <w:szCs w:val="18"/>
      <w:lang w:val="es-ES"/>
    </w:rPr>
  </w:style>
  <w:style w:type="character" w:customStyle="1" w:styleId="FootnotesChar">
    <w:name w:val="**. Footnotes Char"/>
    <w:link w:val="Footnotes"/>
    <w:rsid w:val="00804D25"/>
    <w:rPr>
      <w:rFonts w:ascii="Verdana" w:eastAsia="Times New Roman" w:hAnsi="Verdana" w:cs="Times New Roman"/>
      <w:iCs/>
      <w:sz w:val="16"/>
      <w:szCs w:val="18"/>
      <w:lang w:val="es-ES"/>
    </w:rPr>
  </w:style>
  <w:style w:type="paragraph" w:customStyle="1" w:styleId="PrrafodeSentencia">
    <w:name w:val="*. Párrafo de Sentencia"/>
    <w:link w:val="PrrafodeSentenciaChar"/>
    <w:autoRedefine/>
    <w:qFormat/>
    <w:rsid w:val="00804D25"/>
    <w:pPr>
      <w:spacing w:after="0"/>
      <w:jc w:val="both"/>
    </w:pPr>
    <w:rPr>
      <w:rFonts w:ascii="Verdana" w:eastAsia="Batang" w:hAnsi="Verdana"/>
      <w:i/>
      <w:w w:val="90"/>
      <w:sz w:val="20"/>
      <w:szCs w:val="20"/>
      <w:lang w:eastAsia="es-MX"/>
    </w:rPr>
  </w:style>
  <w:style w:type="character" w:customStyle="1" w:styleId="PrrafodeSentenciaChar">
    <w:name w:val="*. Párrafo de Sentencia Char"/>
    <w:link w:val="PrrafodeSentencia"/>
    <w:rsid w:val="00804D25"/>
    <w:rPr>
      <w:rFonts w:ascii="Verdana" w:eastAsia="Batang" w:hAnsi="Verdana"/>
      <w:i/>
      <w:w w:val="90"/>
      <w:sz w:val="20"/>
      <w:szCs w:val="20"/>
      <w:lang w:eastAsia="es-MX"/>
    </w:rPr>
  </w:style>
  <w:style w:type="character" w:customStyle="1" w:styleId="sb8d990e2">
    <w:name w:val="sb8d990e2"/>
    <w:basedOn w:val="DefaultParagraphFont"/>
    <w:rsid w:val="00804D25"/>
  </w:style>
  <w:style w:type="character" w:styleId="Strong">
    <w:name w:val="Strong"/>
    <w:uiPriority w:val="22"/>
    <w:qFormat/>
    <w:rsid w:val="00804D25"/>
    <w:rPr>
      <w:b/>
      <w:bCs/>
    </w:rPr>
  </w:style>
  <w:style w:type="character" w:customStyle="1" w:styleId="apple-style-span">
    <w:name w:val="apple-style-span"/>
    <w:basedOn w:val="DefaultParagraphFont"/>
    <w:rsid w:val="00804D25"/>
  </w:style>
  <w:style w:type="character" w:customStyle="1" w:styleId="apple-converted-space">
    <w:name w:val="apple-converted-space"/>
    <w:basedOn w:val="DefaultParagraphFont"/>
    <w:rsid w:val="00804D25"/>
  </w:style>
  <w:style w:type="paragraph" w:customStyle="1" w:styleId="Prrafodelista2">
    <w:name w:val="Párrafo de lista2"/>
    <w:basedOn w:val="Normal"/>
    <w:uiPriority w:val="99"/>
    <w:rsid w:val="00804D25"/>
    <w:pPr>
      <w:ind w:left="720"/>
      <w:jc w:val="left"/>
    </w:pPr>
    <w:rPr>
      <w:rFonts w:eastAsia="MS Mincho"/>
      <w:szCs w:val="20"/>
      <w:lang w:val="es-ES_tradnl"/>
    </w:rPr>
  </w:style>
  <w:style w:type="paragraph" w:styleId="EndnoteText">
    <w:name w:val="endnote text"/>
    <w:basedOn w:val="Normal"/>
    <w:link w:val="EndnoteTextChar"/>
    <w:rsid w:val="00804D25"/>
    <w:pPr>
      <w:widowControl w:val="0"/>
      <w:tabs>
        <w:tab w:val="left" w:pos="720"/>
        <w:tab w:val="left" w:pos="1440"/>
        <w:tab w:val="left" w:pos="2160"/>
        <w:tab w:val="left" w:pos="2880"/>
        <w:tab w:val="left" w:pos="3600"/>
        <w:tab w:val="left" w:pos="4320"/>
        <w:tab w:val="left" w:pos="5760"/>
        <w:tab w:val="left" w:pos="6480"/>
        <w:tab w:val="left" w:pos="7200"/>
        <w:tab w:val="left" w:pos="7920"/>
      </w:tabs>
      <w:ind w:left="810" w:hanging="720"/>
    </w:pPr>
    <w:rPr>
      <w:rFonts w:ascii="CG Times" w:eastAsia="MS Mincho" w:hAnsi="CG Times"/>
      <w:sz w:val="22"/>
      <w:szCs w:val="20"/>
      <w:lang w:val="es-ES_tradnl"/>
    </w:rPr>
  </w:style>
  <w:style w:type="character" w:customStyle="1" w:styleId="EndnoteTextChar">
    <w:name w:val="Endnote Text Char"/>
    <w:basedOn w:val="DefaultParagraphFont"/>
    <w:link w:val="EndnoteText"/>
    <w:rsid w:val="00804D25"/>
    <w:rPr>
      <w:rFonts w:ascii="CG Times" w:eastAsia="MS Mincho" w:hAnsi="CG Times" w:cs="Times New Roman"/>
      <w:szCs w:val="20"/>
      <w:lang w:val="es-ES_tradnl"/>
    </w:rPr>
  </w:style>
  <w:style w:type="character" w:customStyle="1" w:styleId="Caracteresdenotafinal">
    <w:name w:val="Caracteres de nota final"/>
    <w:rsid w:val="00804D25"/>
    <w:rPr>
      <w:vertAlign w:val="superscript"/>
    </w:rPr>
  </w:style>
  <w:style w:type="character" w:styleId="EndnoteReference">
    <w:name w:val="endnote reference"/>
    <w:rsid w:val="00804D25"/>
    <w:rPr>
      <w:vertAlign w:val="superscript"/>
    </w:rPr>
  </w:style>
  <w:style w:type="paragraph" w:styleId="Title">
    <w:name w:val="Title"/>
    <w:basedOn w:val="Normal"/>
    <w:link w:val="TitleChar"/>
    <w:qFormat/>
    <w:rsid w:val="00804D25"/>
    <w:pPr>
      <w:jc w:val="center"/>
    </w:pPr>
    <w:rPr>
      <w:rFonts w:eastAsia="Times New Roman"/>
      <w:b/>
      <w:szCs w:val="20"/>
      <w:lang w:val="es-ES_tradnl"/>
    </w:rPr>
  </w:style>
  <w:style w:type="character" w:customStyle="1" w:styleId="TitleChar">
    <w:name w:val="Title Char"/>
    <w:basedOn w:val="DefaultParagraphFont"/>
    <w:link w:val="Title"/>
    <w:rsid w:val="00804D25"/>
    <w:rPr>
      <w:rFonts w:ascii="Verdana" w:eastAsia="Times New Roman" w:hAnsi="Verdana" w:cs="Times New Roman"/>
      <w:b/>
      <w:sz w:val="20"/>
      <w:szCs w:val="20"/>
      <w:lang w:val="es-ES_tradnl"/>
    </w:rPr>
  </w:style>
  <w:style w:type="character" w:customStyle="1" w:styleId="Caracteresdenotaalpie">
    <w:name w:val="Caracteres de nota al pie"/>
    <w:rsid w:val="00804D25"/>
    <w:rPr>
      <w:vertAlign w:val="superscript"/>
    </w:rPr>
  </w:style>
  <w:style w:type="character" w:customStyle="1" w:styleId="column01">
    <w:name w:val="column01"/>
    <w:basedOn w:val="DefaultParagraphFont"/>
    <w:rsid w:val="00804D25"/>
  </w:style>
  <w:style w:type="character" w:customStyle="1" w:styleId="column02">
    <w:name w:val="column02"/>
    <w:basedOn w:val="DefaultParagraphFont"/>
    <w:rsid w:val="00804D25"/>
  </w:style>
  <w:style w:type="character" w:customStyle="1" w:styleId="column03">
    <w:name w:val="column03"/>
    <w:basedOn w:val="DefaultParagraphFont"/>
    <w:rsid w:val="00804D25"/>
  </w:style>
  <w:style w:type="character" w:customStyle="1" w:styleId="column04">
    <w:name w:val="column04"/>
    <w:basedOn w:val="DefaultParagraphFont"/>
    <w:rsid w:val="00804D25"/>
  </w:style>
  <w:style w:type="paragraph" w:styleId="TOC1">
    <w:name w:val="toc 1"/>
    <w:basedOn w:val="Normal"/>
    <w:next w:val="Normal"/>
    <w:autoRedefine/>
    <w:uiPriority w:val="39"/>
    <w:unhideWhenUsed/>
    <w:rsid w:val="0074580F"/>
    <w:pPr>
      <w:tabs>
        <w:tab w:val="right" w:leader="dot" w:pos="9350"/>
      </w:tabs>
      <w:spacing w:before="360" w:after="360"/>
    </w:pPr>
    <w:rPr>
      <w:rFonts w:asciiTheme="minorHAnsi" w:hAnsiTheme="minorHAnsi"/>
      <w:b/>
      <w:bCs/>
      <w:caps/>
      <w:noProof/>
      <w:sz w:val="22"/>
      <w:u w:val="single"/>
    </w:rPr>
  </w:style>
  <w:style w:type="paragraph" w:styleId="TOC2">
    <w:name w:val="toc 2"/>
    <w:basedOn w:val="Normal"/>
    <w:next w:val="Normal"/>
    <w:autoRedefine/>
    <w:uiPriority w:val="39"/>
    <w:unhideWhenUsed/>
    <w:rsid w:val="00FE4885"/>
    <w:pPr>
      <w:tabs>
        <w:tab w:val="left" w:pos="427"/>
        <w:tab w:val="right" w:leader="dot" w:pos="9350"/>
      </w:tabs>
    </w:pPr>
    <w:rPr>
      <w:b/>
      <w:bCs/>
      <w:i/>
      <w:smallCaps/>
      <w:noProof/>
      <w:sz w:val="18"/>
      <w:szCs w:val="18"/>
      <w:lang w:val="es-CR" w:eastAsia="es-MX"/>
    </w:rPr>
  </w:style>
  <w:style w:type="paragraph" w:customStyle="1" w:styleId="Estilo1">
    <w:name w:val="Estilo1"/>
    <w:basedOn w:val="Normal"/>
    <w:link w:val="Estilo1Char"/>
    <w:qFormat/>
    <w:rsid w:val="00804D25"/>
    <w:pPr>
      <w:numPr>
        <w:numId w:val="16"/>
      </w:numPr>
      <w:tabs>
        <w:tab w:val="left" w:pos="567"/>
        <w:tab w:val="left" w:pos="1134"/>
        <w:tab w:val="num" w:pos="18282"/>
      </w:tabs>
      <w:spacing w:after="120"/>
    </w:pPr>
    <w:rPr>
      <w:szCs w:val="20"/>
    </w:rPr>
  </w:style>
  <w:style w:type="character" w:customStyle="1" w:styleId="Estilo1Char">
    <w:name w:val="Estilo1 Char"/>
    <w:link w:val="Estilo1"/>
    <w:rsid w:val="00804D25"/>
    <w:rPr>
      <w:rFonts w:ascii="Verdana" w:eastAsia="Calibri" w:hAnsi="Verdana" w:cs="Times New Roman"/>
      <w:sz w:val="20"/>
      <w:szCs w:val="20"/>
      <w:lang w:val="es-ES"/>
    </w:rPr>
  </w:style>
  <w:style w:type="paragraph" w:customStyle="1" w:styleId="Estilo2">
    <w:name w:val="Estilo2"/>
    <w:basedOn w:val="Normal"/>
    <w:link w:val="Estilo2Car"/>
    <w:qFormat/>
    <w:rsid w:val="00804D25"/>
    <w:pPr>
      <w:numPr>
        <w:ilvl w:val="1"/>
        <w:numId w:val="1"/>
      </w:numPr>
      <w:tabs>
        <w:tab w:val="left" w:pos="567"/>
        <w:tab w:val="left" w:pos="1134"/>
      </w:tabs>
      <w:spacing w:after="120"/>
    </w:pPr>
    <w:rPr>
      <w:szCs w:val="20"/>
    </w:rPr>
  </w:style>
  <w:style w:type="character" w:customStyle="1" w:styleId="Estilo2Car">
    <w:name w:val="Estilo2 Car"/>
    <w:link w:val="Estilo2"/>
    <w:rsid w:val="00804D25"/>
    <w:rPr>
      <w:rFonts w:ascii="Verdana" w:eastAsia="Calibri" w:hAnsi="Verdana" w:cs="Times New Roman"/>
      <w:sz w:val="20"/>
      <w:szCs w:val="20"/>
      <w:lang w:val="es-ES"/>
    </w:rPr>
  </w:style>
  <w:style w:type="paragraph" w:customStyle="1" w:styleId="Estilo3">
    <w:name w:val="Estilo3"/>
    <w:basedOn w:val="Normal"/>
    <w:link w:val="Estilo3Car"/>
    <w:qFormat/>
    <w:rsid w:val="00804D25"/>
    <w:pPr>
      <w:keepNext/>
      <w:numPr>
        <w:ilvl w:val="1"/>
        <w:numId w:val="2"/>
      </w:numPr>
      <w:tabs>
        <w:tab w:val="left" w:pos="567"/>
        <w:tab w:val="left" w:pos="720"/>
        <w:tab w:val="left" w:pos="1134"/>
      </w:tabs>
      <w:spacing w:after="120"/>
      <w:ind w:left="720" w:right="-90" w:firstLine="0"/>
      <w:outlineLvl w:val="1"/>
    </w:pPr>
    <w:rPr>
      <w:b/>
      <w:szCs w:val="20"/>
    </w:rPr>
  </w:style>
  <w:style w:type="character" w:customStyle="1" w:styleId="Estilo3Car">
    <w:name w:val="Estilo3 Car"/>
    <w:link w:val="Estilo3"/>
    <w:rsid w:val="00804D25"/>
    <w:rPr>
      <w:rFonts w:ascii="Verdana" w:eastAsia="Calibri" w:hAnsi="Verdana" w:cs="Times New Roman"/>
      <w:b/>
      <w:sz w:val="20"/>
      <w:szCs w:val="20"/>
      <w:lang w:val="es-ES"/>
    </w:rPr>
  </w:style>
  <w:style w:type="paragraph" w:customStyle="1" w:styleId="Estilo4">
    <w:name w:val="Estilo4"/>
    <w:basedOn w:val="Heading1"/>
    <w:link w:val="Estilo4Car"/>
    <w:qFormat/>
    <w:rsid w:val="00804D25"/>
    <w:pPr>
      <w:tabs>
        <w:tab w:val="left" w:pos="567"/>
        <w:tab w:val="left" w:pos="1134"/>
      </w:tabs>
      <w:spacing w:after="120"/>
    </w:pPr>
  </w:style>
  <w:style w:type="character" w:customStyle="1" w:styleId="Estilo4Car">
    <w:name w:val="Estilo4 Car"/>
    <w:link w:val="Estilo4"/>
    <w:rsid w:val="00804D25"/>
    <w:rPr>
      <w:rFonts w:ascii="Verdana" w:eastAsia="Times New Roman" w:hAnsi="Verdana" w:cs="Times New Roman"/>
      <w:b/>
      <w:bCs/>
      <w:kern w:val="32"/>
      <w:sz w:val="20"/>
      <w:szCs w:val="32"/>
      <w:lang w:val="es-ES_tradnl"/>
    </w:rPr>
  </w:style>
  <w:style w:type="paragraph" w:customStyle="1" w:styleId="Estilo5">
    <w:name w:val="Estilo5"/>
    <w:basedOn w:val="Normal"/>
    <w:link w:val="Estilo5Car"/>
    <w:rsid w:val="00804D25"/>
    <w:pPr>
      <w:keepNext/>
      <w:numPr>
        <w:numId w:val="3"/>
      </w:numPr>
      <w:tabs>
        <w:tab w:val="left" w:pos="426"/>
        <w:tab w:val="left" w:pos="567"/>
        <w:tab w:val="left" w:pos="1134"/>
      </w:tabs>
      <w:spacing w:after="120"/>
      <w:ind w:right="-91"/>
    </w:pPr>
    <w:rPr>
      <w:rFonts w:eastAsia="Batang"/>
      <w:b/>
      <w:i/>
      <w:szCs w:val="20"/>
      <w:lang w:val="es-CR"/>
    </w:rPr>
  </w:style>
  <w:style w:type="character" w:customStyle="1" w:styleId="Estilo5Car">
    <w:name w:val="Estilo5 Car"/>
    <w:link w:val="Estilo5"/>
    <w:rsid w:val="00804D25"/>
    <w:rPr>
      <w:rFonts w:ascii="Verdana" w:eastAsia="Batang" w:hAnsi="Verdana" w:cs="Times New Roman"/>
      <w:b/>
      <w:i/>
      <w:sz w:val="20"/>
      <w:szCs w:val="20"/>
    </w:rPr>
  </w:style>
  <w:style w:type="paragraph" w:customStyle="1" w:styleId="Estilo6">
    <w:name w:val="Estilo6"/>
    <w:basedOn w:val="Normal"/>
    <w:link w:val="Estilo6Car"/>
    <w:qFormat/>
    <w:rsid w:val="00804D25"/>
    <w:pPr>
      <w:tabs>
        <w:tab w:val="left" w:pos="709"/>
        <w:tab w:val="left" w:pos="851"/>
        <w:tab w:val="left" w:pos="1134"/>
      </w:tabs>
      <w:autoSpaceDE w:val="0"/>
      <w:autoSpaceDN w:val="0"/>
      <w:adjustRightInd w:val="0"/>
      <w:spacing w:after="120"/>
      <w:ind w:left="714" w:right="-91" w:hanging="357"/>
      <w:jc w:val="left"/>
    </w:pPr>
    <w:rPr>
      <w:b/>
      <w:i/>
      <w:lang w:val="es-CR" w:eastAsia="es-MX"/>
    </w:rPr>
  </w:style>
  <w:style w:type="character" w:customStyle="1" w:styleId="Estilo6Car">
    <w:name w:val="Estilo6 Car"/>
    <w:link w:val="Estilo6"/>
    <w:rsid w:val="00804D25"/>
    <w:rPr>
      <w:rFonts w:ascii="Verdana" w:eastAsia="Calibri" w:hAnsi="Verdana" w:cs="Times New Roman"/>
      <w:b/>
      <w:i/>
      <w:sz w:val="20"/>
      <w:lang w:eastAsia="es-MX"/>
    </w:rPr>
  </w:style>
  <w:style w:type="paragraph" w:customStyle="1" w:styleId="Estilo7">
    <w:name w:val="Estilo7"/>
    <w:basedOn w:val="PrrafodeSentencia"/>
    <w:link w:val="Estilo7Car"/>
    <w:qFormat/>
    <w:rsid w:val="00804D25"/>
  </w:style>
  <w:style w:type="character" w:customStyle="1" w:styleId="Estilo7Car">
    <w:name w:val="Estilo7 Car"/>
    <w:basedOn w:val="PrrafodeSentenciaChar"/>
    <w:link w:val="Estilo7"/>
    <w:rsid w:val="00804D25"/>
    <w:rPr>
      <w:rFonts w:ascii="Verdana" w:eastAsia="Batang" w:hAnsi="Verdana"/>
      <w:i/>
      <w:w w:val="90"/>
      <w:sz w:val="20"/>
      <w:szCs w:val="20"/>
      <w:lang w:eastAsia="es-MX"/>
    </w:rPr>
  </w:style>
  <w:style w:type="paragraph" w:customStyle="1" w:styleId="Estilo8">
    <w:name w:val="Estilo8"/>
    <w:basedOn w:val="PrrafodeSentencia"/>
    <w:link w:val="Estilo8Car"/>
    <w:qFormat/>
    <w:rsid w:val="00804D25"/>
    <w:rPr>
      <w:i w:val="0"/>
    </w:rPr>
  </w:style>
  <w:style w:type="character" w:customStyle="1" w:styleId="Estilo8Car">
    <w:name w:val="Estilo8 Car"/>
    <w:basedOn w:val="PrrafodeSentenciaChar"/>
    <w:link w:val="Estilo8"/>
    <w:rsid w:val="00804D25"/>
    <w:rPr>
      <w:rFonts w:ascii="Verdana" w:eastAsia="Batang" w:hAnsi="Verdana"/>
      <w:i/>
      <w:w w:val="90"/>
      <w:sz w:val="20"/>
      <w:szCs w:val="20"/>
      <w:lang w:eastAsia="es-MX"/>
    </w:rPr>
  </w:style>
  <w:style w:type="paragraph" w:customStyle="1" w:styleId="xmsonormal">
    <w:name w:val="x_msonormal"/>
    <w:basedOn w:val="Normal"/>
    <w:rsid w:val="00804D25"/>
    <w:pPr>
      <w:spacing w:before="100" w:beforeAutospacing="1" w:after="100" w:afterAutospacing="1"/>
      <w:jc w:val="left"/>
    </w:pPr>
    <w:rPr>
      <w:rFonts w:ascii="Times New Roman" w:eastAsia="Times New Roman" w:hAnsi="Times New Roman"/>
      <w:sz w:val="24"/>
      <w:szCs w:val="24"/>
      <w:lang w:eastAsia="es-ES"/>
    </w:rPr>
  </w:style>
  <w:style w:type="character" w:customStyle="1" w:styleId="ListParagraphChar">
    <w:name w:val="List Paragraph Char"/>
    <w:aliases w:val="Colorful List - Accent 11 Char,List Paragraph1 Char,Párrafo de lista1 Char"/>
    <w:locked/>
    <w:rsid w:val="00804D25"/>
    <w:rPr>
      <w:lang w:val="en-US"/>
    </w:rPr>
  </w:style>
  <w:style w:type="character" w:customStyle="1" w:styleId="ju-005fpara--char">
    <w:name w:val="ju-005fpara--char"/>
    <w:basedOn w:val="DefaultParagraphFont"/>
    <w:rsid w:val="00804D25"/>
  </w:style>
  <w:style w:type="paragraph" w:customStyle="1" w:styleId="Default">
    <w:name w:val="Default"/>
    <w:rsid w:val="00804D25"/>
    <w:pPr>
      <w:autoSpaceDE w:val="0"/>
      <w:autoSpaceDN w:val="0"/>
      <w:adjustRightInd w:val="0"/>
      <w:spacing w:after="0" w:line="240" w:lineRule="auto"/>
    </w:pPr>
    <w:rPr>
      <w:rFonts w:ascii="Univers" w:eastAsia="Calibri" w:hAnsi="Univers" w:cs="Univers"/>
      <w:color w:val="000000"/>
      <w:sz w:val="24"/>
      <w:szCs w:val="24"/>
    </w:rPr>
  </w:style>
  <w:style w:type="paragraph" w:styleId="PlainText">
    <w:name w:val="Plain Text"/>
    <w:basedOn w:val="Normal"/>
    <w:link w:val="PlainTextChar"/>
    <w:uiPriority w:val="99"/>
    <w:unhideWhenUsed/>
    <w:rsid w:val="00804D25"/>
    <w:pPr>
      <w:spacing w:before="100" w:beforeAutospacing="1" w:after="100" w:afterAutospacing="1"/>
      <w:jc w:val="left"/>
    </w:pPr>
    <w:rPr>
      <w:rFonts w:ascii="Times" w:hAnsi="Times"/>
      <w:szCs w:val="20"/>
      <w:lang w:val="es-ES_tradnl" w:eastAsia="es-ES"/>
    </w:rPr>
  </w:style>
  <w:style w:type="character" w:customStyle="1" w:styleId="PlainTextChar">
    <w:name w:val="Plain Text Char"/>
    <w:basedOn w:val="DefaultParagraphFont"/>
    <w:link w:val="PlainText"/>
    <w:uiPriority w:val="99"/>
    <w:rsid w:val="00804D25"/>
    <w:rPr>
      <w:rFonts w:ascii="Times" w:eastAsia="Calibri" w:hAnsi="Times" w:cs="Times New Roman"/>
      <w:sz w:val="20"/>
      <w:szCs w:val="20"/>
      <w:lang w:val="es-ES_tradnl" w:eastAsia="es-ES"/>
    </w:rPr>
  </w:style>
  <w:style w:type="character" w:customStyle="1" w:styleId="user-highlighted-active">
    <w:name w:val="user-highlighted-active"/>
    <w:basedOn w:val="DefaultParagraphFont"/>
    <w:rsid w:val="00804D25"/>
  </w:style>
  <w:style w:type="paragraph" w:styleId="BodyTextIndent">
    <w:name w:val="Body Text Indent"/>
    <w:basedOn w:val="Normal"/>
    <w:link w:val="BodyTextIndentChar"/>
    <w:uiPriority w:val="99"/>
    <w:unhideWhenUsed/>
    <w:rsid w:val="00804D25"/>
    <w:pPr>
      <w:spacing w:after="120"/>
      <w:ind w:left="283"/>
      <w:jc w:val="left"/>
    </w:pPr>
    <w:rPr>
      <w:rFonts w:ascii="Times" w:eastAsia="Times" w:hAnsi="Times"/>
      <w:sz w:val="24"/>
      <w:szCs w:val="20"/>
      <w:lang w:val="es-ES_tradnl"/>
    </w:rPr>
  </w:style>
  <w:style w:type="character" w:customStyle="1" w:styleId="BodyTextIndentChar">
    <w:name w:val="Body Text Indent Char"/>
    <w:basedOn w:val="DefaultParagraphFont"/>
    <w:link w:val="BodyTextIndent"/>
    <w:uiPriority w:val="99"/>
    <w:rsid w:val="00804D25"/>
    <w:rPr>
      <w:rFonts w:ascii="Times" w:eastAsia="Times" w:hAnsi="Times" w:cs="Times New Roman"/>
      <w:sz w:val="24"/>
      <w:szCs w:val="20"/>
      <w:lang w:val="es-ES_tradnl"/>
    </w:rPr>
  </w:style>
  <w:style w:type="character" w:customStyle="1" w:styleId="s6b621b36">
    <w:name w:val="s6b621b36"/>
    <w:basedOn w:val="DefaultParagraphFont"/>
    <w:rsid w:val="00804D25"/>
  </w:style>
  <w:style w:type="paragraph" w:customStyle="1" w:styleId="s32b251d">
    <w:name w:val="s32b251d"/>
    <w:basedOn w:val="Normal"/>
    <w:rsid w:val="00804D25"/>
    <w:pPr>
      <w:spacing w:before="100" w:beforeAutospacing="1" w:after="100" w:afterAutospacing="1"/>
      <w:jc w:val="left"/>
    </w:pPr>
    <w:rPr>
      <w:rFonts w:ascii="Times" w:eastAsiaTheme="minorHAnsi" w:hAnsi="Times" w:cstheme="minorBidi"/>
      <w:szCs w:val="20"/>
      <w:lang w:val="es-ES_tradnl" w:eastAsia="es-ES"/>
    </w:rPr>
  </w:style>
  <w:style w:type="paragraph" w:customStyle="1" w:styleId="ju-005fpara">
    <w:name w:val="ju-005fpara"/>
    <w:basedOn w:val="Normal"/>
    <w:rsid w:val="00804D25"/>
    <w:pPr>
      <w:spacing w:before="100" w:beforeAutospacing="1" w:after="100" w:afterAutospacing="1"/>
      <w:jc w:val="left"/>
    </w:pPr>
    <w:rPr>
      <w:rFonts w:ascii="Times" w:eastAsiaTheme="minorEastAsia" w:hAnsi="Times" w:cstheme="minorBidi"/>
      <w:szCs w:val="20"/>
      <w:lang w:val="en-US" w:eastAsia="es-ES"/>
    </w:rPr>
  </w:style>
  <w:style w:type="character" w:customStyle="1" w:styleId="pages">
    <w:name w:val="pages"/>
    <w:basedOn w:val="DefaultParagraphFont"/>
    <w:rsid w:val="00804D25"/>
  </w:style>
  <w:style w:type="paragraph" w:customStyle="1" w:styleId="Numberedparagraphs">
    <w:name w:val="Numbered paragraphs"/>
    <w:basedOn w:val="Normal"/>
    <w:qFormat/>
    <w:rsid w:val="00804D25"/>
    <w:pPr>
      <w:numPr>
        <w:numId w:val="4"/>
      </w:numPr>
      <w:spacing w:after="200"/>
    </w:pPr>
    <w:rPr>
      <w:rFonts w:eastAsia="MS Mincho"/>
      <w:color w:val="000000"/>
      <w:szCs w:val="20"/>
      <w:lang w:val="es-ES_tradnl"/>
    </w:rPr>
  </w:style>
  <w:style w:type="paragraph" w:styleId="NoSpacing">
    <w:name w:val="No Spacing"/>
    <w:uiPriority w:val="1"/>
    <w:qFormat/>
    <w:rsid w:val="00804D25"/>
    <w:pPr>
      <w:spacing w:after="0" w:line="240" w:lineRule="auto"/>
    </w:pPr>
    <w:rPr>
      <w:lang w:val="en-US"/>
    </w:rPr>
  </w:style>
  <w:style w:type="character" w:customStyle="1" w:styleId="highlight">
    <w:name w:val="highlight"/>
    <w:basedOn w:val="DefaultParagraphFont"/>
    <w:rsid w:val="00804D25"/>
  </w:style>
  <w:style w:type="table" w:styleId="TableGrid">
    <w:name w:val="Table Grid"/>
    <w:basedOn w:val="TableNormal"/>
    <w:uiPriority w:val="59"/>
    <w:rsid w:val="00804D25"/>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semiHidden/>
    <w:unhideWhenUsed/>
    <w:qFormat/>
    <w:rsid w:val="00804D25"/>
    <w:pPr>
      <w:keepLines/>
      <w:spacing w:before="480" w:line="276" w:lineRule="auto"/>
      <w:jc w:val="left"/>
      <w:outlineLvl w:val="9"/>
    </w:pPr>
    <w:rPr>
      <w:rFonts w:ascii="Cambria" w:hAnsi="Cambria"/>
      <w:color w:val="365F91"/>
      <w:kern w:val="0"/>
      <w:sz w:val="28"/>
      <w:szCs w:val="28"/>
      <w:lang w:val="es-ES"/>
    </w:rPr>
  </w:style>
  <w:style w:type="paragraph" w:styleId="TOC3">
    <w:name w:val="toc 3"/>
    <w:basedOn w:val="Normal"/>
    <w:next w:val="Normal"/>
    <w:autoRedefine/>
    <w:uiPriority w:val="39"/>
    <w:unhideWhenUsed/>
    <w:rsid w:val="00804D25"/>
    <w:pPr>
      <w:jc w:val="left"/>
    </w:pPr>
    <w:rPr>
      <w:rFonts w:asciiTheme="minorHAnsi" w:hAnsiTheme="minorHAnsi"/>
      <w:smallCaps/>
      <w:sz w:val="22"/>
    </w:rPr>
  </w:style>
  <w:style w:type="paragraph" w:styleId="TOC4">
    <w:name w:val="toc 4"/>
    <w:basedOn w:val="Normal"/>
    <w:next w:val="Normal"/>
    <w:autoRedefine/>
    <w:uiPriority w:val="39"/>
    <w:unhideWhenUsed/>
    <w:rsid w:val="00804D25"/>
    <w:pPr>
      <w:jc w:val="left"/>
    </w:pPr>
    <w:rPr>
      <w:rFonts w:asciiTheme="minorHAnsi" w:hAnsiTheme="minorHAnsi"/>
      <w:sz w:val="22"/>
    </w:rPr>
  </w:style>
  <w:style w:type="paragraph" w:styleId="TOC5">
    <w:name w:val="toc 5"/>
    <w:basedOn w:val="Normal"/>
    <w:next w:val="Normal"/>
    <w:autoRedefine/>
    <w:uiPriority w:val="39"/>
    <w:unhideWhenUsed/>
    <w:rsid w:val="00804D25"/>
    <w:pPr>
      <w:jc w:val="left"/>
    </w:pPr>
    <w:rPr>
      <w:rFonts w:asciiTheme="minorHAnsi" w:hAnsiTheme="minorHAnsi"/>
      <w:sz w:val="22"/>
    </w:rPr>
  </w:style>
  <w:style w:type="paragraph" w:styleId="TOC6">
    <w:name w:val="toc 6"/>
    <w:basedOn w:val="Normal"/>
    <w:next w:val="Normal"/>
    <w:autoRedefine/>
    <w:uiPriority w:val="39"/>
    <w:unhideWhenUsed/>
    <w:rsid w:val="00804D25"/>
    <w:pPr>
      <w:jc w:val="left"/>
    </w:pPr>
    <w:rPr>
      <w:rFonts w:asciiTheme="minorHAnsi" w:hAnsiTheme="minorHAnsi"/>
      <w:sz w:val="22"/>
    </w:rPr>
  </w:style>
  <w:style w:type="paragraph" w:styleId="TOC7">
    <w:name w:val="toc 7"/>
    <w:basedOn w:val="Normal"/>
    <w:next w:val="Normal"/>
    <w:autoRedefine/>
    <w:uiPriority w:val="39"/>
    <w:unhideWhenUsed/>
    <w:rsid w:val="00804D25"/>
    <w:pPr>
      <w:jc w:val="left"/>
    </w:pPr>
    <w:rPr>
      <w:rFonts w:asciiTheme="minorHAnsi" w:hAnsiTheme="minorHAnsi"/>
      <w:sz w:val="22"/>
    </w:rPr>
  </w:style>
  <w:style w:type="paragraph" w:styleId="TOC8">
    <w:name w:val="toc 8"/>
    <w:basedOn w:val="Normal"/>
    <w:next w:val="Normal"/>
    <w:autoRedefine/>
    <w:uiPriority w:val="39"/>
    <w:unhideWhenUsed/>
    <w:rsid w:val="00804D25"/>
    <w:pPr>
      <w:jc w:val="left"/>
    </w:pPr>
    <w:rPr>
      <w:rFonts w:asciiTheme="minorHAnsi" w:hAnsiTheme="minorHAnsi"/>
      <w:sz w:val="22"/>
    </w:rPr>
  </w:style>
  <w:style w:type="paragraph" w:styleId="TOC9">
    <w:name w:val="toc 9"/>
    <w:basedOn w:val="Normal"/>
    <w:next w:val="Normal"/>
    <w:autoRedefine/>
    <w:uiPriority w:val="39"/>
    <w:unhideWhenUsed/>
    <w:rsid w:val="00804D25"/>
    <w:pPr>
      <w:jc w:val="left"/>
    </w:pPr>
    <w:rPr>
      <w:rFonts w:asciiTheme="minorHAnsi" w:hAnsiTheme="minorHAnsi"/>
      <w:sz w:val="22"/>
    </w:rPr>
  </w:style>
  <w:style w:type="paragraph" w:customStyle="1" w:styleId="NotasProyectos">
    <w:name w:val="***. Notas Proyectos"/>
    <w:basedOn w:val="Normal"/>
    <w:link w:val="NotasProyectosChar"/>
    <w:autoRedefine/>
    <w:qFormat/>
    <w:rsid w:val="00804D25"/>
    <w:pPr>
      <w:spacing w:before="120"/>
      <w:ind w:left="720"/>
    </w:pPr>
    <w:rPr>
      <w:rFonts w:eastAsia="Times New Roman"/>
      <w:szCs w:val="20"/>
      <w:lang w:val="es-ES_tradnl" w:eastAsia="es-ES"/>
    </w:rPr>
  </w:style>
  <w:style w:type="character" w:customStyle="1" w:styleId="NotasProyectosChar">
    <w:name w:val="***. Notas Proyectos Char"/>
    <w:link w:val="NotasProyectos"/>
    <w:rsid w:val="00804D25"/>
    <w:rPr>
      <w:rFonts w:ascii="Verdana" w:eastAsia="Times New Roman" w:hAnsi="Verdana" w:cs="Times New Roman"/>
      <w:sz w:val="20"/>
      <w:szCs w:val="20"/>
      <w:lang w:val="es-ES_tradnl" w:eastAsia="es-ES"/>
    </w:rPr>
  </w:style>
  <w:style w:type="paragraph" w:styleId="Revision">
    <w:name w:val="Revision"/>
    <w:hidden/>
    <w:uiPriority w:val="99"/>
    <w:semiHidden/>
    <w:rsid w:val="00804D25"/>
    <w:pPr>
      <w:spacing w:after="0" w:line="240" w:lineRule="auto"/>
    </w:pPr>
    <w:rPr>
      <w:rFonts w:ascii="Verdana" w:eastAsia="Calibri" w:hAnsi="Verdana" w:cs="Times New Roman"/>
      <w:sz w:val="20"/>
      <w:lang w:val="es-ES"/>
    </w:rPr>
  </w:style>
  <w:style w:type="paragraph" w:styleId="TOCHeading">
    <w:name w:val="TOC Heading"/>
    <w:basedOn w:val="Heading1"/>
    <w:next w:val="Normal"/>
    <w:uiPriority w:val="39"/>
    <w:unhideWhenUsed/>
    <w:qFormat/>
    <w:rsid w:val="00804D25"/>
    <w:pPr>
      <w:keepLines/>
      <w:spacing w:before="480" w:line="276" w:lineRule="auto"/>
      <w:jc w:val="left"/>
      <w:outlineLvl w:val="9"/>
    </w:pPr>
    <w:rPr>
      <w:rFonts w:asciiTheme="majorHAnsi" w:eastAsiaTheme="majorEastAsia" w:hAnsiTheme="majorHAnsi" w:cstheme="majorBidi"/>
      <w:color w:val="365F91" w:themeColor="accent1" w:themeShade="BF"/>
      <w:kern w:val="0"/>
      <w:sz w:val="28"/>
      <w:szCs w:val="28"/>
      <w:lang w:val="en-US"/>
    </w:rPr>
  </w:style>
  <w:style w:type="character" w:customStyle="1" w:styleId="s7d2086b4">
    <w:name w:val="s7d2086b4"/>
    <w:basedOn w:val="DefaultParagraphFont"/>
    <w:rsid w:val="00804D25"/>
  </w:style>
  <w:style w:type="character" w:styleId="LineNumber">
    <w:name w:val="line number"/>
    <w:basedOn w:val="DefaultParagraphFont"/>
    <w:uiPriority w:val="99"/>
    <w:semiHidden/>
    <w:unhideWhenUsed/>
    <w:rsid w:val="00804D25"/>
  </w:style>
  <w:style w:type="paragraph" w:customStyle="1" w:styleId="Textonotapie1">
    <w:name w:val="Texto nota pie1"/>
    <w:basedOn w:val="Normal"/>
    <w:rsid w:val="00804D25"/>
    <w:pPr>
      <w:widowControl w:val="0"/>
      <w:jc w:val="left"/>
    </w:pPr>
    <w:rPr>
      <w:rFonts w:ascii="Garamond" w:eastAsia="Times New Roman" w:hAnsi="Garamond"/>
      <w:szCs w:val="20"/>
      <w:lang w:val="es-ES_tradnl" w:eastAsia="es-ES"/>
    </w:rPr>
  </w:style>
  <w:style w:type="character" w:styleId="CommentReference">
    <w:name w:val="annotation reference"/>
    <w:basedOn w:val="DefaultParagraphFont"/>
    <w:uiPriority w:val="99"/>
    <w:semiHidden/>
    <w:unhideWhenUsed/>
    <w:rsid w:val="004E3A53"/>
    <w:rPr>
      <w:sz w:val="16"/>
      <w:szCs w:val="16"/>
    </w:rPr>
  </w:style>
  <w:style w:type="character" w:styleId="PlaceholderText">
    <w:name w:val="Placeholder Text"/>
    <w:basedOn w:val="DefaultParagraphFont"/>
    <w:uiPriority w:val="99"/>
    <w:semiHidden/>
    <w:rsid w:val="008C6C52"/>
    <w:rPr>
      <w:color w:val="808080"/>
    </w:rPr>
  </w:style>
  <w:style w:type="character" w:styleId="FollowedHyperlink">
    <w:name w:val="FollowedHyperlink"/>
    <w:basedOn w:val="DefaultParagraphFont"/>
    <w:uiPriority w:val="99"/>
    <w:semiHidden/>
    <w:unhideWhenUsed/>
    <w:rsid w:val="004A24BF"/>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D25"/>
    <w:pPr>
      <w:spacing w:after="0" w:line="240" w:lineRule="auto"/>
      <w:jc w:val="both"/>
    </w:pPr>
    <w:rPr>
      <w:rFonts w:ascii="Verdana" w:eastAsia="Calibri" w:hAnsi="Verdana" w:cs="Times New Roman"/>
      <w:sz w:val="20"/>
      <w:lang w:val="es-ES"/>
    </w:rPr>
  </w:style>
  <w:style w:type="paragraph" w:styleId="Heading1">
    <w:name w:val="heading 1"/>
    <w:basedOn w:val="NoSpacing1"/>
    <w:next w:val="Normal"/>
    <w:link w:val="Heading1Char"/>
    <w:uiPriority w:val="9"/>
    <w:qFormat/>
    <w:rsid w:val="00804D25"/>
    <w:pPr>
      <w:keepNext/>
      <w:jc w:val="center"/>
      <w:outlineLvl w:val="0"/>
    </w:pPr>
    <w:rPr>
      <w:rFonts w:eastAsia="Times New Roman"/>
      <w:b/>
      <w:bCs/>
      <w:kern w:val="32"/>
      <w:szCs w:val="32"/>
      <w:lang w:val="es-ES_tradnl"/>
    </w:rPr>
  </w:style>
  <w:style w:type="paragraph" w:styleId="Heading2">
    <w:name w:val="heading 2"/>
    <w:basedOn w:val="Normal"/>
    <w:next w:val="Normal"/>
    <w:link w:val="Heading2Char"/>
    <w:qFormat/>
    <w:rsid w:val="00804D25"/>
    <w:pPr>
      <w:keepNext/>
      <w:keepLines/>
      <w:outlineLvl w:val="1"/>
    </w:pPr>
    <w:rPr>
      <w:rFonts w:eastAsia="Times New Roman"/>
      <w:b/>
      <w:bCs/>
      <w:i/>
      <w:color w:val="000000" w:themeColor="text1"/>
      <w:spacing w:val="-10"/>
      <w:w w:val="90"/>
      <w:szCs w:val="20"/>
      <w:lang w:val="es-CR"/>
    </w:rPr>
  </w:style>
  <w:style w:type="paragraph" w:styleId="Heading3">
    <w:name w:val="heading 3"/>
    <w:basedOn w:val="Normal"/>
    <w:next w:val="Normal"/>
    <w:link w:val="Heading3Char"/>
    <w:uiPriority w:val="9"/>
    <w:qFormat/>
    <w:rsid w:val="00804D25"/>
    <w:pPr>
      <w:keepNext/>
      <w:ind w:left="567" w:firstLine="3"/>
      <w:outlineLvl w:val="2"/>
    </w:pPr>
    <w:rPr>
      <w:rFonts w:eastAsia="Times New Roman"/>
      <w:b/>
      <w:bCs/>
      <w:i/>
      <w:color w:val="000000" w:themeColor="text1"/>
      <w:spacing w:val="-10"/>
      <w:w w:val="90"/>
      <w:szCs w:val="20"/>
      <w:lang w:val="es-CR"/>
    </w:rPr>
  </w:style>
  <w:style w:type="paragraph" w:styleId="Heading4">
    <w:name w:val="heading 4"/>
    <w:basedOn w:val="Normal"/>
    <w:next w:val="Normal"/>
    <w:link w:val="Heading4Char"/>
    <w:uiPriority w:val="9"/>
    <w:qFormat/>
    <w:rsid w:val="00804D25"/>
    <w:pPr>
      <w:keepNext/>
      <w:ind w:left="567"/>
      <w:outlineLvl w:val="3"/>
    </w:pPr>
    <w:rPr>
      <w:rFonts w:eastAsia="Times New Roman"/>
      <w:bCs/>
      <w:i/>
      <w:color w:val="000000" w:themeColor="text1"/>
      <w:spacing w:val="-10"/>
      <w:w w:val="90"/>
      <w:szCs w:val="20"/>
      <w:lang w:val="es-CR"/>
    </w:rPr>
  </w:style>
  <w:style w:type="paragraph" w:styleId="Heading5">
    <w:name w:val="heading 5"/>
    <w:basedOn w:val="Normal"/>
    <w:next w:val="Normal"/>
    <w:link w:val="Heading5Char"/>
    <w:uiPriority w:val="9"/>
    <w:qFormat/>
    <w:rsid w:val="00804D25"/>
    <w:pPr>
      <w:ind w:left="851"/>
      <w:outlineLvl w:val="4"/>
    </w:pPr>
    <w:rPr>
      <w:rFonts w:eastAsia="Times New Roman"/>
      <w:bCs/>
      <w:i/>
      <w:iCs/>
      <w:color w:val="000000" w:themeColor="text1"/>
      <w:spacing w:val="-10"/>
      <w:w w:val="90"/>
      <w:szCs w:val="20"/>
      <w:lang w:val="es-CR"/>
    </w:rPr>
  </w:style>
  <w:style w:type="paragraph" w:styleId="Heading6">
    <w:name w:val="heading 6"/>
    <w:basedOn w:val="Normal"/>
    <w:next w:val="Normal"/>
    <w:link w:val="Heading6Char"/>
    <w:uiPriority w:val="9"/>
    <w:unhideWhenUsed/>
    <w:qFormat/>
    <w:rsid w:val="00804D25"/>
    <w:pPr>
      <w:spacing w:before="240" w:after="60"/>
      <w:jc w:val="left"/>
      <w:outlineLvl w:val="5"/>
    </w:pPr>
    <w:rPr>
      <w:rFonts w:ascii="Calibri" w:eastAsia="Times New Roman" w:hAnsi="Calibri"/>
      <w:b/>
      <w:bCs/>
      <w:sz w:val="22"/>
      <w:lang w:val="es-ES_tradnl"/>
    </w:rPr>
  </w:style>
  <w:style w:type="paragraph" w:styleId="Heading7">
    <w:name w:val="heading 7"/>
    <w:basedOn w:val="Normal"/>
    <w:next w:val="Normal"/>
    <w:link w:val="Heading7Char"/>
    <w:uiPriority w:val="9"/>
    <w:semiHidden/>
    <w:unhideWhenUsed/>
    <w:qFormat/>
    <w:rsid w:val="00804D25"/>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1">
    <w:name w:val="No Spacing1"/>
    <w:uiPriority w:val="1"/>
    <w:qFormat/>
    <w:rsid w:val="00804D25"/>
    <w:pPr>
      <w:spacing w:after="0" w:line="240" w:lineRule="auto"/>
      <w:jc w:val="both"/>
    </w:pPr>
    <w:rPr>
      <w:rFonts w:ascii="Verdana" w:eastAsia="Calibri" w:hAnsi="Verdana" w:cs="Times New Roman"/>
      <w:sz w:val="20"/>
      <w:lang w:val="es-ES"/>
    </w:rPr>
  </w:style>
  <w:style w:type="character" w:customStyle="1" w:styleId="Heading1Char">
    <w:name w:val="Heading 1 Char"/>
    <w:basedOn w:val="DefaultParagraphFont"/>
    <w:link w:val="Heading1"/>
    <w:uiPriority w:val="9"/>
    <w:rsid w:val="00804D25"/>
    <w:rPr>
      <w:rFonts w:ascii="Verdana" w:eastAsia="Times New Roman" w:hAnsi="Verdana" w:cs="Times New Roman"/>
      <w:b/>
      <w:bCs/>
      <w:kern w:val="32"/>
      <w:sz w:val="20"/>
      <w:szCs w:val="32"/>
      <w:lang w:val="es-ES_tradnl"/>
    </w:rPr>
  </w:style>
  <w:style w:type="character" w:customStyle="1" w:styleId="Heading2Char">
    <w:name w:val="Heading 2 Char"/>
    <w:basedOn w:val="DefaultParagraphFont"/>
    <w:link w:val="Heading2"/>
    <w:rsid w:val="00804D25"/>
    <w:rPr>
      <w:rFonts w:ascii="Verdana" w:eastAsia="Times New Roman" w:hAnsi="Verdana" w:cs="Times New Roman"/>
      <w:b/>
      <w:bCs/>
      <w:i/>
      <w:color w:val="000000" w:themeColor="text1"/>
      <w:spacing w:val="-10"/>
      <w:w w:val="90"/>
      <w:sz w:val="20"/>
      <w:szCs w:val="20"/>
    </w:rPr>
  </w:style>
  <w:style w:type="character" w:customStyle="1" w:styleId="Heading3Char">
    <w:name w:val="Heading 3 Char"/>
    <w:basedOn w:val="DefaultParagraphFont"/>
    <w:link w:val="Heading3"/>
    <w:uiPriority w:val="9"/>
    <w:rsid w:val="00804D25"/>
    <w:rPr>
      <w:rFonts w:ascii="Verdana" w:eastAsia="Times New Roman" w:hAnsi="Verdana" w:cs="Times New Roman"/>
      <w:b/>
      <w:bCs/>
      <w:i/>
      <w:color w:val="000000" w:themeColor="text1"/>
      <w:spacing w:val="-10"/>
      <w:w w:val="90"/>
      <w:sz w:val="20"/>
      <w:szCs w:val="20"/>
    </w:rPr>
  </w:style>
  <w:style w:type="character" w:customStyle="1" w:styleId="Heading4Char">
    <w:name w:val="Heading 4 Char"/>
    <w:basedOn w:val="DefaultParagraphFont"/>
    <w:link w:val="Heading4"/>
    <w:uiPriority w:val="9"/>
    <w:rsid w:val="00804D25"/>
    <w:rPr>
      <w:rFonts w:ascii="Verdana" w:eastAsia="Times New Roman" w:hAnsi="Verdana" w:cs="Times New Roman"/>
      <w:bCs/>
      <w:i/>
      <w:color w:val="000000" w:themeColor="text1"/>
      <w:spacing w:val="-10"/>
      <w:w w:val="90"/>
      <w:sz w:val="20"/>
      <w:szCs w:val="20"/>
    </w:rPr>
  </w:style>
  <w:style w:type="character" w:customStyle="1" w:styleId="Heading5Char">
    <w:name w:val="Heading 5 Char"/>
    <w:basedOn w:val="DefaultParagraphFont"/>
    <w:link w:val="Heading5"/>
    <w:uiPriority w:val="9"/>
    <w:rsid w:val="00804D25"/>
    <w:rPr>
      <w:rFonts w:ascii="Verdana" w:eastAsia="Times New Roman" w:hAnsi="Verdana" w:cs="Times New Roman"/>
      <w:bCs/>
      <w:i/>
      <w:iCs/>
      <w:color w:val="000000" w:themeColor="text1"/>
      <w:spacing w:val="-10"/>
      <w:w w:val="90"/>
      <w:sz w:val="20"/>
      <w:szCs w:val="20"/>
    </w:rPr>
  </w:style>
  <w:style w:type="character" w:customStyle="1" w:styleId="Heading6Char">
    <w:name w:val="Heading 6 Char"/>
    <w:basedOn w:val="DefaultParagraphFont"/>
    <w:link w:val="Heading6"/>
    <w:uiPriority w:val="9"/>
    <w:rsid w:val="00804D25"/>
    <w:rPr>
      <w:rFonts w:ascii="Calibri" w:eastAsia="Times New Roman" w:hAnsi="Calibri" w:cs="Times New Roman"/>
      <w:b/>
      <w:bCs/>
      <w:lang w:val="es-ES_tradnl"/>
    </w:rPr>
  </w:style>
  <w:style w:type="character" w:customStyle="1" w:styleId="Heading7Char">
    <w:name w:val="Heading 7 Char"/>
    <w:basedOn w:val="DefaultParagraphFont"/>
    <w:link w:val="Heading7"/>
    <w:uiPriority w:val="9"/>
    <w:semiHidden/>
    <w:rsid w:val="00804D25"/>
    <w:rPr>
      <w:rFonts w:asciiTheme="majorHAnsi" w:eastAsiaTheme="majorEastAsia" w:hAnsiTheme="majorHAnsi" w:cstheme="majorBidi"/>
      <w:i/>
      <w:iCs/>
      <w:color w:val="404040" w:themeColor="text1" w:themeTint="BF"/>
      <w:sz w:val="20"/>
      <w:lang w:val="es-E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804D25"/>
    <w:rPr>
      <w:vertAlign w:val="superscript"/>
    </w:rPr>
  </w:style>
  <w:style w:type="paragraph" w:customStyle="1" w:styleId="citaindirecta">
    <w:name w:val="cita indirecta"/>
    <w:basedOn w:val="Normal"/>
    <w:rsid w:val="00804D25"/>
    <w:pPr>
      <w:ind w:left="708"/>
    </w:pPr>
    <w:rPr>
      <w:rFonts w:eastAsia="Times New Roman"/>
      <w:szCs w:val="20"/>
      <w:lang w:val="es-ES_tradnl"/>
    </w:rPr>
  </w:style>
  <w:style w:type="paragraph" w:styleId="FootnoteText">
    <w:name w:val="footnote text"/>
    <w:aliases w:val="Footnote reference,FA Fu,Footnote Text Char Char Char Char Char,Footnote Text Char Char Char Char,Footnote Text Char Char Char,Footnote Text Cha,FA Fußnotentext,FA Fuﬂnotentext,Texto nota pie Car,Footnote Text Char Char,FA Fu?notentext,Ca"/>
    <w:basedOn w:val="Normal"/>
    <w:link w:val="FootnoteTextChar"/>
    <w:qFormat/>
    <w:rsid w:val="00804D25"/>
    <w:rPr>
      <w:rFonts w:eastAsia="Times New Roman"/>
      <w:sz w:val="16"/>
      <w:szCs w:val="20"/>
      <w:lang w:val="es-ES_tradnl"/>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
    <w:basedOn w:val="DefaultParagraphFont"/>
    <w:link w:val="FootnoteText"/>
    <w:rsid w:val="00804D25"/>
    <w:rPr>
      <w:rFonts w:ascii="Verdana" w:eastAsia="Times New Roman" w:hAnsi="Verdana" w:cs="Times New Roman"/>
      <w:sz w:val="16"/>
      <w:szCs w:val="20"/>
      <w:lang w:val="es-ES_tradnl"/>
    </w:rPr>
  </w:style>
  <w:style w:type="character" w:customStyle="1" w:styleId="BalloonTextChar">
    <w:name w:val="Balloon Text Char"/>
    <w:basedOn w:val="DefaultParagraphFont"/>
    <w:link w:val="BalloonText"/>
    <w:uiPriority w:val="99"/>
    <w:semiHidden/>
    <w:rsid w:val="00804D25"/>
    <w:rPr>
      <w:rFonts w:ascii="Tahoma" w:eastAsia="Calibri" w:hAnsi="Tahoma" w:cs="Times New Roman"/>
      <w:sz w:val="16"/>
      <w:szCs w:val="16"/>
      <w:lang w:val="es-ES"/>
    </w:rPr>
  </w:style>
  <w:style w:type="paragraph" w:styleId="BalloonText">
    <w:name w:val="Balloon Text"/>
    <w:basedOn w:val="Normal"/>
    <w:link w:val="BalloonTextChar"/>
    <w:uiPriority w:val="99"/>
    <w:semiHidden/>
    <w:unhideWhenUsed/>
    <w:rsid w:val="00804D25"/>
    <w:rPr>
      <w:rFonts w:ascii="Tahoma" w:hAnsi="Tahoma"/>
      <w:sz w:val="16"/>
      <w:szCs w:val="16"/>
    </w:rPr>
  </w:style>
  <w:style w:type="character" w:customStyle="1" w:styleId="BalloonTextChar1">
    <w:name w:val="Balloon Text Char1"/>
    <w:basedOn w:val="DefaultParagraphFont"/>
    <w:uiPriority w:val="99"/>
    <w:semiHidden/>
    <w:rsid w:val="00804D25"/>
    <w:rPr>
      <w:rFonts w:ascii="Tahoma" w:eastAsia="Calibri" w:hAnsi="Tahoma" w:cs="Tahoma"/>
      <w:sz w:val="16"/>
      <w:szCs w:val="16"/>
      <w:lang w:val="es-ES"/>
    </w:rPr>
  </w:style>
  <w:style w:type="character" w:customStyle="1" w:styleId="ColorfulList-Accent1Char">
    <w:name w:val="Colorful List - Accent 1 Char"/>
    <w:aliases w:val="Footnote Char"/>
    <w:link w:val="ColorfulList-Accent1"/>
    <w:uiPriority w:val="34"/>
    <w:rsid w:val="00804D25"/>
    <w:rPr>
      <w:rFonts w:ascii="Verdana" w:eastAsia="Times New Roman" w:hAnsi="Verdana" w:cs="Times New Roman"/>
      <w:sz w:val="20"/>
      <w:szCs w:val="20"/>
      <w:lang w:val="es-ES_tradnl"/>
    </w:rPr>
  </w:style>
  <w:style w:type="table" w:styleId="ColorfulList-Accent1">
    <w:name w:val="Colorful List Accent 1"/>
    <w:basedOn w:val="TableNormal"/>
    <w:link w:val="ColorfulList-Accent1Char"/>
    <w:uiPriority w:val="99"/>
    <w:rsid w:val="00804D25"/>
    <w:pPr>
      <w:spacing w:after="0" w:line="240" w:lineRule="auto"/>
    </w:pPr>
    <w:rPr>
      <w:rFonts w:ascii="Verdana" w:eastAsia="Times New Roman" w:hAnsi="Verdana" w:cs="Times New Roman"/>
      <w:sz w:val="20"/>
      <w:szCs w:val="20"/>
      <w:lang w:val="es-ES_tradnl"/>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customStyle="1" w:styleId="ListParagraph11">
    <w:name w:val="List Paragraph11"/>
    <w:basedOn w:val="Normal"/>
    <w:uiPriority w:val="34"/>
    <w:qFormat/>
    <w:rsid w:val="00804D25"/>
    <w:pPr>
      <w:spacing w:after="200" w:line="276" w:lineRule="auto"/>
      <w:ind w:left="720"/>
      <w:jc w:val="left"/>
    </w:pPr>
    <w:rPr>
      <w:rFonts w:ascii="Times New Roman" w:eastAsia="Times New Roman" w:hAnsi="Times New Roman"/>
      <w:sz w:val="24"/>
      <w:lang w:val="en-US"/>
    </w:rPr>
  </w:style>
  <w:style w:type="character" w:customStyle="1" w:styleId="ListParagraphChar1">
    <w:name w:val="List Paragraph Char1"/>
    <w:aliases w:val="Colorful List - Accent 11 Char1,Footnote Char1,Párrafo de lista1 Char1"/>
    <w:link w:val="ListParagraph"/>
    <w:rsid w:val="00804D25"/>
    <w:rPr>
      <w:rFonts w:ascii="Verdana" w:eastAsia="Times New Roman" w:hAnsi="Verdana"/>
      <w:lang w:val="es-ES_tradnl"/>
    </w:rPr>
  </w:style>
  <w:style w:type="paragraph" w:styleId="ListParagraph">
    <w:name w:val="List Paragraph"/>
    <w:aliases w:val="Colorful List - Accent 11,Footnote,Párrafo de lista1"/>
    <w:basedOn w:val="Normal"/>
    <w:link w:val="ListParagraphChar1"/>
    <w:qFormat/>
    <w:rsid w:val="00804D25"/>
    <w:pPr>
      <w:ind w:left="720"/>
      <w:jc w:val="left"/>
    </w:pPr>
    <w:rPr>
      <w:rFonts w:eastAsia="Times New Roman" w:cstheme="minorBidi"/>
      <w:sz w:val="22"/>
      <w:lang w:val="es-ES_tradnl"/>
    </w:rPr>
  </w:style>
  <w:style w:type="character" w:styleId="Hyperlink">
    <w:name w:val="Hyperlink"/>
    <w:uiPriority w:val="99"/>
    <w:unhideWhenUsed/>
    <w:rsid w:val="00804D25"/>
    <w:rPr>
      <w:color w:val="0000FF"/>
      <w:u w:val="single"/>
    </w:rPr>
  </w:style>
  <w:style w:type="paragraph" w:customStyle="1" w:styleId="ListParagraph1">
    <w:name w:val="List Paragraph1"/>
    <w:basedOn w:val="Normal"/>
    <w:uiPriority w:val="99"/>
    <w:qFormat/>
    <w:rsid w:val="00804D25"/>
    <w:pPr>
      <w:spacing w:after="200" w:line="276" w:lineRule="auto"/>
      <w:ind w:left="720"/>
      <w:jc w:val="left"/>
    </w:pPr>
    <w:rPr>
      <w:rFonts w:ascii="Times New Roman" w:eastAsia="Times New Roman" w:hAnsi="Times New Roman"/>
      <w:sz w:val="24"/>
      <w:lang w:val="en-US"/>
    </w:rPr>
  </w:style>
  <w:style w:type="paragraph" w:styleId="BodyText">
    <w:name w:val="Body Text"/>
    <w:basedOn w:val="Normal"/>
    <w:link w:val="BodyTextChar"/>
    <w:unhideWhenUsed/>
    <w:rsid w:val="00804D25"/>
    <w:pPr>
      <w:spacing w:after="120"/>
    </w:pPr>
    <w:rPr>
      <w:szCs w:val="20"/>
    </w:rPr>
  </w:style>
  <w:style w:type="character" w:customStyle="1" w:styleId="BodyTextChar">
    <w:name w:val="Body Text Char"/>
    <w:basedOn w:val="DefaultParagraphFont"/>
    <w:link w:val="BodyText"/>
    <w:rsid w:val="00804D25"/>
    <w:rPr>
      <w:rFonts w:ascii="Verdana" w:eastAsia="Calibri" w:hAnsi="Verdana" w:cs="Times New Roman"/>
      <w:sz w:val="20"/>
      <w:szCs w:val="20"/>
      <w:lang w:val="es-ES"/>
    </w:rPr>
  </w:style>
  <w:style w:type="paragraph" w:customStyle="1" w:styleId="Body1">
    <w:name w:val="Body 1"/>
    <w:link w:val="Body1Char"/>
    <w:rsid w:val="00804D25"/>
    <w:pPr>
      <w:outlineLvl w:val="0"/>
    </w:pPr>
    <w:rPr>
      <w:rFonts w:ascii="Helvetica" w:eastAsia="ヒラギノ角ゴ Pro W3" w:hAnsi="Helvetica" w:cs="Times New Roman"/>
      <w:color w:val="000000"/>
      <w:szCs w:val="20"/>
      <w:lang w:val="en-US" w:eastAsia="es-CR"/>
    </w:rPr>
  </w:style>
  <w:style w:type="character" w:customStyle="1" w:styleId="Body1Char">
    <w:name w:val="Body 1 Char"/>
    <w:link w:val="Body1"/>
    <w:rsid w:val="00804D25"/>
    <w:rPr>
      <w:rFonts w:ascii="Helvetica" w:eastAsia="ヒラギノ角ゴ Pro W3" w:hAnsi="Helvetica" w:cs="Times New Roman"/>
      <w:color w:val="000000"/>
      <w:szCs w:val="20"/>
      <w:lang w:val="en-US" w:eastAsia="es-CR"/>
    </w:rPr>
  </w:style>
  <w:style w:type="character" w:customStyle="1" w:styleId="FootnoteTextChar1">
    <w:name w:val="Footnote Text Char1"/>
    <w:aliases w:val="Footnote Text Char Char Char Char Char Char1,Footnote Text Char Char Char Char Char2,FA Fu Char1,Footnote reference Char1,Footnote Text Char Char Char Char2,NOTA AL PIE TESIS PUCP Char1,Footnote Text Cha Char1,FA Fußnotentext Char1"/>
    <w:uiPriority w:val="99"/>
    <w:locked/>
    <w:rsid w:val="00804D25"/>
    <w:rPr>
      <w:rFonts w:cs="Times New Roman"/>
      <w:lang w:val="en-US" w:eastAsia="en-US" w:bidi="ar-SA"/>
    </w:rPr>
  </w:style>
  <w:style w:type="paragraph" w:styleId="Header">
    <w:name w:val="header"/>
    <w:basedOn w:val="Normal"/>
    <w:link w:val="HeaderChar"/>
    <w:uiPriority w:val="99"/>
    <w:unhideWhenUsed/>
    <w:rsid w:val="00804D25"/>
    <w:pPr>
      <w:tabs>
        <w:tab w:val="center" w:pos="4680"/>
        <w:tab w:val="right" w:pos="9360"/>
      </w:tabs>
    </w:pPr>
    <w:rPr>
      <w:szCs w:val="20"/>
    </w:rPr>
  </w:style>
  <w:style w:type="character" w:customStyle="1" w:styleId="HeaderChar">
    <w:name w:val="Header Char"/>
    <w:basedOn w:val="DefaultParagraphFont"/>
    <w:link w:val="Header"/>
    <w:uiPriority w:val="99"/>
    <w:rsid w:val="00804D25"/>
    <w:rPr>
      <w:rFonts w:ascii="Verdana" w:eastAsia="Calibri" w:hAnsi="Verdana" w:cs="Times New Roman"/>
      <w:sz w:val="20"/>
      <w:szCs w:val="20"/>
      <w:lang w:val="es-ES"/>
    </w:rPr>
  </w:style>
  <w:style w:type="paragraph" w:styleId="Footer">
    <w:name w:val="footer"/>
    <w:basedOn w:val="Normal"/>
    <w:link w:val="FooterChar"/>
    <w:uiPriority w:val="99"/>
    <w:unhideWhenUsed/>
    <w:rsid w:val="00804D25"/>
    <w:pPr>
      <w:tabs>
        <w:tab w:val="center" w:pos="4680"/>
        <w:tab w:val="right" w:pos="9360"/>
      </w:tabs>
    </w:pPr>
    <w:rPr>
      <w:szCs w:val="20"/>
    </w:rPr>
  </w:style>
  <w:style w:type="character" w:customStyle="1" w:styleId="FooterChar">
    <w:name w:val="Footer Char"/>
    <w:basedOn w:val="DefaultParagraphFont"/>
    <w:link w:val="Footer"/>
    <w:uiPriority w:val="99"/>
    <w:rsid w:val="00804D25"/>
    <w:rPr>
      <w:rFonts w:ascii="Verdana" w:eastAsia="Calibri" w:hAnsi="Verdana" w:cs="Times New Roman"/>
      <w:sz w:val="20"/>
      <w:szCs w:val="20"/>
      <w:lang w:val="es-ES"/>
    </w:rPr>
  </w:style>
  <w:style w:type="paragraph" w:styleId="CommentText">
    <w:name w:val="annotation text"/>
    <w:basedOn w:val="Normal"/>
    <w:link w:val="CommentTextChar"/>
    <w:uiPriority w:val="99"/>
    <w:unhideWhenUsed/>
    <w:rsid w:val="00804D25"/>
    <w:pPr>
      <w:jc w:val="left"/>
    </w:pPr>
    <w:rPr>
      <w:rFonts w:ascii="Times" w:eastAsia="Times" w:hAnsi="Times"/>
      <w:szCs w:val="20"/>
      <w:lang w:val="es-ES_tradnl"/>
    </w:rPr>
  </w:style>
  <w:style w:type="character" w:customStyle="1" w:styleId="CommentTextChar">
    <w:name w:val="Comment Text Char"/>
    <w:basedOn w:val="DefaultParagraphFont"/>
    <w:link w:val="CommentText"/>
    <w:uiPriority w:val="99"/>
    <w:rsid w:val="00804D25"/>
    <w:rPr>
      <w:rFonts w:ascii="Times" w:eastAsia="Times" w:hAnsi="Times" w:cs="Times New Roman"/>
      <w:sz w:val="20"/>
      <w:szCs w:val="20"/>
      <w:lang w:val="es-ES_tradnl"/>
    </w:rPr>
  </w:style>
  <w:style w:type="paragraph" w:customStyle="1" w:styleId="Normal1">
    <w:name w:val="Normal1"/>
    <w:link w:val="NormalChar"/>
    <w:qFormat/>
    <w:rsid w:val="00804D25"/>
    <w:pPr>
      <w:tabs>
        <w:tab w:val="num" w:pos="6222"/>
      </w:tabs>
      <w:autoSpaceDE w:val="0"/>
      <w:autoSpaceDN w:val="0"/>
      <w:adjustRightInd w:val="0"/>
      <w:contextualSpacing/>
      <w:jc w:val="both"/>
    </w:pPr>
  </w:style>
  <w:style w:type="character" w:customStyle="1" w:styleId="NormalChar">
    <w:name w:val="Normal Char"/>
    <w:link w:val="Normal1"/>
    <w:rsid w:val="00804D25"/>
  </w:style>
  <w:style w:type="character" w:customStyle="1" w:styleId="CommentSubjectChar">
    <w:name w:val="Comment Subject Char"/>
    <w:basedOn w:val="CommentTextChar"/>
    <w:link w:val="CommentSubject"/>
    <w:uiPriority w:val="99"/>
    <w:semiHidden/>
    <w:rsid w:val="00804D25"/>
    <w:rPr>
      <w:rFonts w:ascii="Times" w:eastAsia="Times" w:hAnsi="Times" w:cs="Times New Roman"/>
      <w:b/>
      <w:bCs/>
      <w:sz w:val="20"/>
      <w:szCs w:val="20"/>
      <w:lang w:val="es-ES_tradnl"/>
    </w:rPr>
  </w:style>
  <w:style w:type="paragraph" w:styleId="CommentSubject">
    <w:name w:val="annotation subject"/>
    <w:basedOn w:val="CommentText"/>
    <w:next w:val="CommentText"/>
    <w:link w:val="CommentSubjectChar"/>
    <w:uiPriority w:val="99"/>
    <w:semiHidden/>
    <w:unhideWhenUsed/>
    <w:rsid w:val="00804D25"/>
    <w:pPr>
      <w:jc w:val="both"/>
    </w:pPr>
    <w:rPr>
      <w:b/>
      <w:bCs/>
    </w:rPr>
  </w:style>
  <w:style w:type="character" w:customStyle="1" w:styleId="CommentSubjectChar1">
    <w:name w:val="Comment Subject Char1"/>
    <w:basedOn w:val="CommentTextChar"/>
    <w:uiPriority w:val="99"/>
    <w:semiHidden/>
    <w:rsid w:val="00804D25"/>
    <w:rPr>
      <w:rFonts w:ascii="Times" w:eastAsia="Times" w:hAnsi="Times" w:cs="Times New Roman"/>
      <w:b/>
      <w:bCs/>
      <w:sz w:val="20"/>
      <w:szCs w:val="20"/>
      <w:lang w:val="es-ES_tradnl"/>
    </w:rPr>
  </w:style>
  <w:style w:type="paragraph" w:styleId="NormalWeb">
    <w:name w:val="Normal (Web)"/>
    <w:aliases w:val="Normal (Web) Char1,Normal (Web) Char Char,Normal (Web) Char1 Char,Normal (Web) Char Char Char"/>
    <w:basedOn w:val="Normal"/>
    <w:uiPriority w:val="99"/>
    <w:unhideWhenUsed/>
    <w:rsid w:val="00804D25"/>
    <w:pPr>
      <w:spacing w:before="100" w:beforeAutospacing="1" w:after="100" w:afterAutospacing="1"/>
      <w:jc w:val="left"/>
    </w:pPr>
    <w:rPr>
      <w:rFonts w:eastAsia="Times New Roman"/>
      <w:color w:val="555555"/>
      <w:sz w:val="17"/>
      <w:szCs w:val="17"/>
      <w:lang w:val="en-US"/>
    </w:rPr>
  </w:style>
  <w:style w:type="paragraph" w:customStyle="1" w:styleId="Footnotes">
    <w:name w:val="**. Footnotes"/>
    <w:basedOn w:val="FootnoteText"/>
    <w:link w:val="FootnotesChar"/>
    <w:autoRedefine/>
    <w:qFormat/>
    <w:rsid w:val="00804D25"/>
    <w:pPr>
      <w:spacing w:before="120" w:after="120"/>
      <w:jc w:val="center"/>
    </w:pPr>
    <w:rPr>
      <w:iCs/>
      <w:szCs w:val="18"/>
      <w:lang w:val="es-ES"/>
    </w:rPr>
  </w:style>
  <w:style w:type="character" w:customStyle="1" w:styleId="FootnotesChar">
    <w:name w:val="**. Footnotes Char"/>
    <w:link w:val="Footnotes"/>
    <w:rsid w:val="00804D25"/>
    <w:rPr>
      <w:rFonts w:ascii="Verdana" w:eastAsia="Times New Roman" w:hAnsi="Verdana" w:cs="Times New Roman"/>
      <w:iCs/>
      <w:sz w:val="16"/>
      <w:szCs w:val="18"/>
      <w:lang w:val="es-ES"/>
    </w:rPr>
  </w:style>
  <w:style w:type="paragraph" w:customStyle="1" w:styleId="PrrafodeSentencia">
    <w:name w:val="*. Párrafo de Sentencia"/>
    <w:link w:val="PrrafodeSentenciaChar"/>
    <w:autoRedefine/>
    <w:qFormat/>
    <w:rsid w:val="00804D25"/>
    <w:pPr>
      <w:spacing w:after="0"/>
      <w:jc w:val="both"/>
    </w:pPr>
    <w:rPr>
      <w:rFonts w:ascii="Verdana" w:eastAsia="Batang" w:hAnsi="Verdana"/>
      <w:i/>
      <w:w w:val="90"/>
      <w:sz w:val="20"/>
      <w:szCs w:val="20"/>
      <w:lang w:eastAsia="es-MX"/>
    </w:rPr>
  </w:style>
  <w:style w:type="character" w:customStyle="1" w:styleId="PrrafodeSentenciaChar">
    <w:name w:val="*. Párrafo de Sentencia Char"/>
    <w:link w:val="PrrafodeSentencia"/>
    <w:rsid w:val="00804D25"/>
    <w:rPr>
      <w:rFonts w:ascii="Verdana" w:eastAsia="Batang" w:hAnsi="Verdana"/>
      <w:i/>
      <w:w w:val="90"/>
      <w:sz w:val="20"/>
      <w:szCs w:val="20"/>
      <w:lang w:eastAsia="es-MX"/>
    </w:rPr>
  </w:style>
  <w:style w:type="character" w:customStyle="1" w:styleId="sb8d990e2">
    <w:name w:val="sb8d990e2"/>
    <w:basedOn w:val="DefaultParagraphFont"/>
    <w:rsid w:val="00804D25"/>
  </w:style>
  <w:style w:type="character" w:styleId="Strong">
    <w:name w:val="Strong"/>
    <w:uiPriority w:val="22"/>
    <w:qFormat/>
    <w:rsid w:val="00804D25"/>
    <w:rPr>
      <w:b/>
      <w:bCs/>
    </w:rPr>
  </w:style>
  <w:style w:type="character" w:customStyle="1" w:styleId="apple-style-span">
    <w:name w:val="apple-style-span"/>
    <w:basedOn w:val="DefaultParagraphFont"/>
    <w:rsid w:val="00804D25"/>
  </w:style>
  <w:style w:type="character" w:customStyle="1" w:styleId="apple-converted-space">
    <w:name w:val="apple-converted-space"/>
    <w:basedOn w:val="DefaultParagraphFont"/>
    <w:rsid w:val="00804D25"/>
  </w:style>
  <w:style w:type="paragraph" w:customStyle="1" w:styleId="Prrafodelista2">
    <w:name w:val="Párrafo de lista2"/>
    <w:basedOn w:val="Normal"/>
    <w:uiPriority w:val="99"/>
    <w:rsid w:val="00804D25"/>
    <w:pPr>
      <w:ind w:left="720"/>
      <w:jc w:val="left"/>
    </w:pPr>
    <w:rPr>
      <w:rFonts w:eastAsia="MS Mincho"/>
      <w:szCs w:val="20"/>
      <w:lang w:val="es-ES_tradnl"/>
    </w:rPr>
  </w:style>
  <w:style w:type="paragraph" w:styleId="EndnoteText">
    <w:name w:val="endnote text"/>
    <w:basedOn w:val="Normal"/>
    <w:link w:val="EndnoteTextChar"/>
    <w:rsid w:val="00804D25"/>
    <w:pPr>
      <w:widowControl w:val="0"/>
      <w:tabs>
        <w:tab w:val="left" w:pos="720"/>
        <w:tab w:val="left" w:pos="1440"/>
        <w:tab w:val="left" w:pos="2160"/>
        <w:tab w:val="left" w:pos="2880"/>
        <w:tab w:val="left" w:pos="3600"/>
        <w:tab w:val="left" w:pos="4320"/>
        <w:tab w:val="left" w:pos="5760"/>
        <w:tab w:val="left" w:pos="6480"/>
        <w:tab w:val="left" w:pos="7200"/>
        <w:tab w:val="left" w:pos="7920"/>
      </w:tabs>
      <w:ind w:left="810" w:hanging="720"/>
    </w:pPr>
    <w:rPr>
      <w:rFonts w:ascii="CG Times" w:eastAsia="MS Mincho" w:hAnsi="CG Times"/>
      <w:sz w:val="22"/>
      <w:szCs w:val="20"/>
      <w:lang w:val="es-ES_tradnl"/>
    </w:rPr>
  </w:style>
  <w:style w:type="character" w:customStyle="1" w:styleId="EndnoteTextChar">
    <w:name w:val="Endnote Text Char"/>
    <w:basedOn w:val="DefaultParagraphFont"/>
    <w:link w:val="EndnoteText"/>
    <w:rsid w:val="00804D25"/>
    <w:rPr>
      <w:rFonts w:ascii="CG Times" w:eastAsia="MS Mincho" w:hAnsi="CG Times" w:cs="Times New Roman"/>
      <w:szCs w:val="20"/>
      <w:lang w:val="es-ES_tradnl"/>
    </w:rPr>
  </w:style>
  <w:style w:type="character" w:customStyle="1" w:styleId="Caracteresdenotafinal">
    <w:name w:val="Caracteres de nota final"/>
    <w:rsid w:val="00804D25"/>
    <w:rPr>
      <w:vertAlign w:val="superscript"/>
    </w:rPr>
  </w:style>
  <w:style w:type="character" w:styleId="EndnoteReference">
    <w:name w:val="endnote reference"/>
    <w:rsid w:val="00804D25"/>
    <w:rPr>
      <w:vertAlign w:val="superscript"/>
    </w:rPr>
  </w:style>
  <w:style w:type="paragraph" w:styleId="Title">
    <w:name w:val="Title"/>
    <w:basedOn w:val="Normal"/>
    <w:link w:val="TitleChar"/>
    <w:qFormat/>
    <w:rsid w:val="00804D25"/>
    <w:pPr>
      <w:jc w:val="center"/>
    </w:pPr>
    <w:rPr>
      <w:rFonts w:eastAsia="Times New Roman"/>
      <w:b/>
      <w:szCs w:val="20"/>
      <w:lang w:val="es-ES_tradnl"/>
    </w:rPr>
  </w:style>
  <w:style w:type="character" w:customStyle="1" w:styleId="TitleChar">
    <w:name w:val="Title Char"/>
    <w:basedOn w:val="DefaultParagraphFont"/>
    <w:link w:val="Title"/>
    <w:rsid w:val="00804D25"/>
    <w:rPr>
      <w:rFonts w:ascii="Verdana" w:eastAsia="Times New Roman" w:hAnsi="Verdana" w:cs="Times New Roman"/>
      <w:b/>
      <w:sz w:val="20"/>
      <w:szCs w:val="20"/>
      <w:lang w:val="es-ES_tradnl"/>
    </w:rPr>
  </w:style>
  <w:style w:type="character" w:customStyle="1" w:styleId="Caracteresdenotaalpie">
    <w:name w:val="Caracteres de nota al pie"/>
    <w:rsid w:val="00804D25"/>
    <w:rPr>
      <w:vertAlign w:val="superscript"/>
    </w:rPr>
  </w:style>
  <w:style w:type="character" w:customStyle="1" w:styleId="column01">
    <w:name w:val="column01"/>
    <w:basedOn w:val="DefaultParagraphFont"/>
    <w:rsid w:val="00804D25"/>
  </w:style>
  <w:style w:type="character" w:customStyle="1" w:styleId="column02">
    <w:name w:val="column02"/>
    <w:basedOn w:val="DefaultParagraphFont"/>
    <w:rsid w:val="00804D25"/>
  </w:style>
  <w:style w:type="character" w:customStyle="1" w:styleId="column03">
    <w:name w:val="column03"/>
    <w:basedOn w:val="DefaultParagraphFont"/>
    <w:rsid w:val="00804D25"/>
  </w:style>
  <w:style w:type="character" w:customStyle="1" w:styleId="column04">
    <w:name w:val="column04"/>
    <w:basedOn w:val="DefaultParagraphFont"/>
    <w:rsid w:val="00804D25"/>
  </w:style>
  <w:style w:type="paragraph" w:styleId="TOC1">
    <w:name w:val="toc 1"/>
    <w:basedOn w:val="Normal"/>
    <w:next w:val="Normal"/>
    <w:autoRedefine/>
    <w:uiPriority w:val="39"/>
    <w:unhideWhenUsed/>
    <w:rsid w:val="0074580F"/>
    <w:pPr>
      <w:tabs>
        <w:tab w:val="right" w:leader="dot" w:pos="9350"/>
      </w:tabs>
      <w:spacing w:before="360" w:after="360"/>
    </w:pPr>
    <w:rPr>
      <w:rFonts w:asciiTheme="minorHAnsi" w:hAnsiTheme="minorHAnsi"/>
      <w:b/>
      <w:bCs/>
      <w:caps/>
      <w:noProof/>
      <w:sz w:val="22"/>
      <w:u w:val="single"/>
    </w:rPr>
  </w:style>
  <w:style w:type="paragraph" w:styleId="TOC2">
    <w:name w:val="toc 2"/>
    <w:basedOn w:val="Normal"/>
    <w:next w:val="Normal"/>
    <w:autoRedefine/>
    <w:uiPriority w:val="39"/>
    <w:unhideWhenUsed/>
    <w:rsid w:val="00FE4885"/>
    <w:pPr>
      <w:tabs>
        <w:tab w:val="left" w:pos="427"/>
        <w:tab w:val="right" w:leader="dot" w:pos="9350"/>
      </w:tabs>
    </w:pPr>
    <w:rPr>
      <w:b/>
      <w:bCs/>
      <w:i/>
      <w:smallCaps/>
      <w:noProof/>
      <w:sz w:val="18"/>
      <w:szCs w:val="18"/>
      <w:lang w:val="es-CR" w:eastAsia="es-MX"/>
    </w:rPr>
  </w:style>
  <w:style w:type="paragraph" w:customStyle="1" w:styleId="Estilo1">
    <w:name w:val="Estilo1"/>
    <w:basedOn w:val="Normal"/>
    <w:link w:val="Estilo1Char"/>
    <w:qFormat/>
    <w:rsid w:val="00804D25"/>
    <w:pPr>
      <w:numPr>
        <w:numId w:val="16"/>
      </w:numPr>
      <w:tabs>
        <w:tab w:val="left" w:pos="567"/>
        <w:tab w:val="left" w:pos="1134"/>
        <w:tab w:val="num" w:pos="18282"/>
      </w:tabs>
      <w:spacing w:after="120"/>
    </w:pPr>
    <w:rPr>
      <w:szCs w:val="20"/>
    </w:rPr>
  </w:style>
  <w:style w:type="character" w:customStyle="1" w:styleId="Estilo1Char">
    <w:name w:val="Estilo1 Char"/>
    <w:link w:val="Estilo1"/>
    <w:rsid w:val="00804D25"/>
    <w:rPr>
      <w:rFonts w:ascii="Verdana" w:eastAsia="Calibri" w:hAnsi="Verdana" w:cs="Times New Roman"/>
      <w:sz w:val="20"/>
      <w:szCs w:val="20"/>
      <w:lang w:val="es-ES"/>
    </w:rPr>
  </w:style>
  <w:style w:type="paragraph" w:customStyle="1" w:styleId="Estilo2">
    <w:name w:val="Estilo2"/>
    <w:basedOn w:val="Normal"/>
    <w:link w:val="Estilo2Car"/>
    <w:qFormat/>
    <w:rsid w:val="00804D25"/>
    <w:pPr>
      <w:numPr>
        <w:ilvl w:val="1"/>
        <w:numId w:val="1"/>
      </w:numPr>
      <w:tabs>
        <w:tab w:val="left" w:pos="567"/>
        <w:tab w:val="left" w:pos="1134"/>
      </w:tabs>
      <w:spacing w:after="120"/>
    </w:pPr>
    <w:rPr>
      <w:szCs w:val="20"/>
    </w:rPr>
  </w:style>
  <w:style w:type="character" w:customStyle="1" w:styleId="Estilo2Car">
    <w:name w:val="Estilo2 Car"/>
    <w:link w:val="Estilo2"/>
    <w:rsid w:val="00804D25"/>
    <w:rPr>
      <w:rFonts w:ascii="Verdana" w:eastAsia="Calibri" w:hAnsi="Verdana" w:cs="Times New Roman"/>
      <w:sz w:val="20"/>
      <w:szCs w:val="20"/>
      <w:lang w:val="es-ES"/>
    </w:rPr>
  </w:style>
  <w:style w:type="paragraph" w:customStyle="1" w:styleId="Estilo3">
    <w:name w:val="Estilo3"/>
    <w:basedOn w:val="Normal"/>
    <w:link w:val="Estilo3Car"/>
    <w:qFormat/>
    <w:rsid w:val="00804D25"/>
    <w:pPr>
      <w:keepNext/>
      <w:numPr>
        <w:ilvl w:val="1"/>
        <w:numId w:val="2"/>
      </w:numPr>
      <w:tabs>
        <w:tab w:val="left" w:pos="567"/>
        <w:tab w:val="left" w:pos="720"/>
        <w:tab w:val="left" w:pos="1134"/>
      </w:tabs>
      <w:spacing w:after="120"/>
      <w:ind w:left="720" w:right="-90" w:firstLine="0"/>
      <w:outlineLvl w:val="1"/>
    </w:pPr>
    <w:rPr>
      <w:b/>
      <w:szCs w:val="20"/>
    </w:rPr>
  </w:style>
  <w:style w:type="character" w:customStyle="1" w:styleId="Estilo3Car">
    <w:name w:val="Estilo3 Car"/>
    <w:link w:val="Estilo3"/>
    <w:rsid w:val="00804D25"/>
    <w:rPr>
      <w:rFonts w:ascii="Verdana" w:eastAsia="Calibri" w:hAnsi="Verdana" w:cs="Times New Roman"/>
      <w:b/>
      <w:sz w:val="20"/>
      <w:szCs w:val="20"/>
      <w:lang w:val="es-ES"/>
    </w:rPr>
  </w:style>
  <w:style w:type="paragraph" w:customStyle="1" w:styleId="Estilo4">
    <w:name w:val="Estilo4"/>
    <w:basedOn w:val="Heading1"/>
    <w:link w:val="Estilo4Car"/>
    <w:qFormat/>
    <w:rsid w:val="00804D25"/>
    <w:pPr>
      <w:tabs>
        <w:tab w:val="left" w:pos="567"/>
        <w:tab w:val="left" w:pos="1134"/>
      </w:tabs>
      <w:spacing w:after="120"/>
    </w:pPr>
  </w:style>
  <w:style w:type="character" w:customStyle="1" w:styleId="Estilo4Car">
    <w:name w:val="Estilo4 Car"/>
    <w:link w:val="Estilo4"/>
    <w:rsid w:val="00804D25"/>
    <w:rPr>
      <w:rFonts w:ascii="Verdana" w:eastAsia="Times New Roman" w:hAnsi="Verdana" w:cs="Times New Roman"/>
      <w:b/>
      <w:bCs/>
      <w:kern w:val="32"/>
      <w:sz w:val="20"/>
      <w:szCs w:val="32"/>
      <w:lang w:val="es-ES_tradnl"/>
    </w:rPr>
  </w:style>
  <w:style w:type="paragraph" w:customStyle="1" w:styleId="Estilo5">
    <w:name w:val="Estilo5"/>
    <w:basedOn w:val="Normal"/>
    <w:link w:val="Estilo5Car"/>
    <w:rsid w:val="00804D25"/>
    <w:pPr>
      <w:keepNext/>
      <w:numPr>
        <w:numId w:val="3"/>
      </w:numPr>
      <w:tabs>
        <w:tab w:val="left" w:pos="426"/>
        <w:tab w:val="left" w:pos="567"/>
        <w:tab w:val="left" w:pos="1134"/>
      </w:tabs>
      <w:spacing w:after="120"/>
      <w:ind w:right="-91"/>
    </w:pPr>
    <w:rPr>
      <w:rFonts w:eastAsia="Batang"/>
      <w:b/>
      <w:i/>
      <w:szCs w:val="20"/>
      <w:lang w:val="es-CR"/>
    </w:rPr>
  </w:style>
  <w:style w:type="character" w:customStyle="1" w:styleId="Estilo5Car">
    <w:name w:val="Estilo5 Car"/>
    <w:link w:val="Estilo5"/>
    <w:rsid w:val="00804D25"/>
    <w:rPr>
      <w:rFonts w:ascii="Verdana" w:eastAsia="Batang" w:hAnsi="Verdana" w:cs="Times New Roman"/>
      <w:b/>
      <w:i/>
      <w:sz w:val="20"/>
      <w:szCs w:val="20"/>
    </w:rPr>
  </w:style>
  <w:style w:type="paragraph" w:customStyle="1" w:styleId="Estilo6">
    <w:name w:val="Estilo6"/>
    <w:basedOn w:val="Normal"/>
    <w:link w:val="Estilo6Car"/>
    <w:qFormat/>
    <w:rsid w:val="00804D25"/>
    <w:pPr>
      <w:tabs>
        <w:tab w:val="left" w:pos="709"/>
        <w:tab w:val="left" w:pos="851"/>
        <w:tab w:val="left" w:pos="1134"/>
      </w:tabs>
      <w:autoSpaceDE w:val="0"/>
      <w:autoSpaceDN w:val="0"/>
      <w:adjustRightInd w:val="0"/>
      <w:spacing w:after="120"/>
      <w:ind w:left="714" w:right="-91" w:hanging="357"/>
      <w:jc w:val="left"/>
    </w:pPr>
    <w:rPr>
      <w:b/>
      <w:i/>
      <w:lang w:val="es-CR" w:eastAsia="es-MX"/>
    </w:rPr>
  </w:style>
  <w:style w:type="character" w:customStyle="1" w:styleId="Estilo6Car">
    <w:name w:val="Estilo6 Car"/>
    <w:link w:val="Estilo6"/>
    <w:rsid w:val="00804D25"/>
    <w:rPr>
      <w:rFonts w:ascii="Verdana" w:eastAsia="Calibri" w:hAnsi="Verdana" w:cs="Times New Roman"/>
      <w:b/>
      <w:i/>
      <w:sz w:val="20"/>
      <w:lang w:eastAsia="es-MX"/>
    </w:rPr>
  </w:style>
  <w:style w:type="paragraph" w:customStyle="1" w:styleId="Estilo7">
    <w:name w:val="Estilo7"/>
    <w:basedOn w:val="PrrafodeSentencia"/>
    <w:link w:val="Estilo7Car"/>
    <w:qFormat/>
    <w:rsid w:val="00804D25"/>
  </w:style>
  <w:style w:type="character" w:customStyle="1" w:styleId="Estilo7Car">
    <w:name w:val="Estilo7 Car"/>
    <w:basedOn w:val="PrrafodeSentenciaChar"/>
    <w:link w:val="Estilo7"/>
    <w:rsid w:val="00804D25"/>
    <w:rPr>
      <w:rFonts w:ascii="Verdana" w:eastAsia="Batang" w:hAnsi="Verdana"/>
      <w:i/>
      <w:w w:val="90"/>
      <w:sz w:val="20"/>
      <w:szCs w:val="20"/>
      <w:lang w:eastAsia="es-MX"/>
    </w:rPr>
  </w:style>
  <w:style w:type="paragraph" w:customStyle="1" w:styleId="Estilo8">
    <w:name w:val="Estilo8"/>
    <w:basedOn w:val="PrrafodeSentencia"/>
    <w:link w:val="Estilo8Car"/>
    <w:qFormat/>
    <w:rsid w:val="00804D25"/>
    <w:rPr>
      <w:i w:val="0"/>
    </w:rPr>
  </w:style>
  <w:style w:type="character" w:customStyle="1" w:styleId="Estilo8Car">
    <w:name w:val="Estilo8 Car"/>
    <w:basedOn w:val="PrrafodeSentenciaChar"/>
    <w:link w:val="Estilo8"/>
    <w:rsid w:val="00804D25"/>
    <w:rPr>
      <w:rFonts w:ascii="Verdana" w:eastAsia="Batang" w:hAnsi="Verdana"/>
      <w:i/>
      <w:w w:val="90"/>
      <w:sz w:val="20"/>
      <w:szCs w:val="20"/>
      <w:lang w:eastAsia="es-MX"/>
    </w:rPr>
  </w:style>
  <w:style w:type="paragraph" w:customStyle="1" w:styleId="xmsonormal">
    <w:name w:val="x_msonormal"/>
    <w:basedOn w:val="Normal"/>
    <w:rsid w:val="00804D25"/>
    <w:pPr>
      <w:spacing w:before="100" w:beforeAutospacing="1" w:after="100" w:afterAutospacing="1"/>
      <w:jc w:val="left"/>
    </w:pPr>
    <w:rPr>
      <w:rFonts w:ascii="Times New Roman" w:eastAsia="Times New Roman" w:hAnsi="Times New Roman"/>
      <w:sz w:val="24"/>
      <w:szCs w:val="24"/>
      <w:lang w:eastAsia="es-ES"/>
    </w:rPr>
  </w:style>
  <w:style w:type="character" w:customStyle="1" w:styleId="ListParagraphChar">
    <w:name w:val="List Paragraph Char"/>
    <w:aliases w:val="Colorful List - Accent 11 Char,List Paragraph1 Char,Párrafo de lista1 Char"/>
    <w:locked/>
    <w:rsid w:val="00804D25"/>
    <w:rPr>
      <w:lang w:val="en-US"/>
    </w:rPr>
  </w:style>
  <w:style w:type="character" w:customStyle="1" w:styleId="ju-005fpara--char">
    <w:name w:val="ju-005fpara--char"/>
    <w:basedOn w:val="DefaultParagraphFont"/>
    <w:rsid w:val="00804D25"/>
  </w:style>
  <w:style w:type="paragraph" w:customStyle="1" w:styleId="Default">
    <w:name w:val="Default"/>
    <w:rsid w:val="00804D25"/>
    <w:pPr>
      <w:autoSpaceDE w:val="0"/>
      <w:autoSpaceDN w:val="0"/>
      <w:adjustRightInd w:val="0"/>
      <w:spacing w:after="0" w:line="240" w:lineRule="auto"/>
    </w:pPr>
    <w:rPr>
      <w:rFonts w:ascii="Univers" w:eastAsia="Calibri" w:hAnsi="Univers" w:cs="Univers"/>
      <w:color w:val="000000"/>
      <w:sz w:val="24"/>
      <w:szCs w:val="24"/>
    </w:rPr>
  </w:style>
  <w:style w:type="paragraph" w:styleId="PlainText">
    <w:name w:val="Plain Text"/>
    <w:basedOn w:val="Normal"/>
    <w:link w:val="PlainTextChar"/>
    <w:uiPriority w:val="99"/>
    <w:unhideWhenUsed/>
    <w:rsid w:val="00804D25"/>
    <w:pPr>
      <w:spacing w:before="100" w:beforeAutospacing="1" w:after="100" w:afterAutospacing="1"/>
      <w:jc w:val="left"/>
    </w:pPr>
    <w:rPr>
      <w:rFonts w:ascii="Times" w:hAnsi="Times"/>
      <w:szCs w:val="20"/>
      <w:lang w:val="es-ES_tradnl" w:eastAsia="es-ES"/>
    </w:rPr>
  </w:style>
  <w:style w:type="character" w:customStyle="1" w:styleId="PlainTextChar">
    <w:name w:val="Plain Text Char"/>
    <w:basedOn w:val="DefaultParagraphFont"/>
    <w:link w:val="PlainText"/>
    <w:uiPriority w:val="99"/>
    <w:rsid w:val="00804D25"/>
    <w:rPr>
      <w:rFonts w:ascii="Times" w:eastAsia="Calibri" w:hAnsi="Times" w:cs="Times New Roman"/>
      <w:sz w:val="20"/>
      <w:szCs w:val="20"/>
      <w:lang w:val="es-ES_tradnl" w:eastAsia="es-ES"/>
    </w:rPr>
  </w:style>
  <w:style w:type="character" w:customStyle="1" w:styleId="user-highlighted-active">
    <w:name w:val="user-highlighted-active"/>
    <w:basedOn w:val="DefaultParagraphFont"/>
    <w:rsid w:val="00804D25"/>
  </w:style>
  <w:style w:type="paragraph" w:styleId="BodyTextIndent">
    <w:name w:val="Body Text Indent"/>
    <w:basedOn w:val="Normal"/>
    <w:link w:val="BodyTextIndentChar"/>
    <w:uiPriority w:val="99"/>
    <w:unhideWhenUsed/>
    <w:rsid w:val="00804D25"/>
    <w:pPr>
      <w:spacing w:after="120"/>
      <w:ind w:left="283"/>
      <w:jc w:val="left"/>
    </w:pPr>
    <w:rPr>
      <w:rFonts w:ascii="Times" w:eastAsia="Times" w:hAnsi="Times"/>
      <w:sz w:val="24"/>
      <w:szCs w:val="20"/>
      <w:lang w:val="es-ES_tradnl"/>
    </w:rPr>
  </w:style>
  <w:style w:type="character" w:customStyle="1" w:styleId="BodyTextIndentChar">
    <w:name w:val="Body Text Indent Char"/>
    <w:basedOn w:val="DefaultParagraphFont"/>
    <w:link w:val="BodyTextIndent"/>
    <w:uiPriority w:val="99"/>
    <w:rsid w:val="00804D25"/>
    <w:rPr>
      <w:rFonts w:ascii="Times" w:eastAsia="Times" w:hAnsi="Times" w:cs="Times New Roman"/>
      <w:sz w:val="24"/>
      <w:szCs w:val="20"/>
      <w:lang w:val="es-ES_tradnl"/>
    </w:rPr>
  </w:style>
  <w:style w:type="character" w:customStyle="1" w:styleId="s6b621b36">
    <w:name w:val="s6b621b36"/>
    <w:basedOn w:val="DefaultParagraphFont"/>
    <w:rsid w:val="00804D25"/>
  </w:style>
  <w:style w:type="paragraph" w:customStyle="1" w:styleId="s32b251d">
    <w:name w:val="s32b251d"/>
    <w:basedOn w:val="Normal"/>
    <w:rsid w:val="00804D25"/>
    <w:pPr>
      <w:spacing w:before="100" w:beforeAutospacing="1" w:after="100" w:afterAutospacing="1"/>
      <w:jc w:val="left"/>
    </w:pPr>
    <w:rPr>
      <w:rFonts w:ascii="Times" w:eastAsiaTheme="minorHAnsi" w:hAnsi="Times" w:cstheme="minorBidi"/>
      <w:szCs w:val="20"/>
      <w:lang w:val="es-ES_tradnl" w:eastAsia="es-ES"/>
    </w:rPr>
  </w:style>
  <w:style w:type="paragraph" w:customStyle="1" w:styleId="ju-005fpara">
    <w:name w:val="ju-005fpara"/>
    <w:basedOn w:val="Normal"/>
    <w:rsid w:val="00804D25"/>
    <w:pPr>
      <w:spacing w:before="100" w:beforeAutospacing="1" w:after="100" w:afterAutospacing="1"/>
      <w:jc w:val="left"/>
    </w:pPr>
    <w:rPr>
      <w:rFonts w:ascii="Times" w:eastAsiaTheme="minorEastAsia" w:hAnsi="Times" w:cstheme="minorBidi"/>
      <w:szCs w:val="20"/>
      <w:lang w:val="en-US" w:eastAsia="es-ES"/>
    </w:rPr>
  </w:style>
  <w:style w:type="character" w:customStyle="1" w:styleId="pages">
    <w:name w:val="pages"/>
    <w:basedOn w:val="DefaultParagraphFont"/>
    <w:rsid w:val="00804D25"/>
  </w:style>
  <w:style w:type="paragraph" w:customStyle="1" w:styleId="Numberedparagraphs">
    <w:name w:val="Numbered paragraphs"/>
    <w:basedOn w:val="Normal"/>
    <w:qFormat/>
    <w:rsid w:val="00804D25"/>
    <w:pPr>
      <w:numPr>
        <w:numId w:val="4"/>
      </w:numPr>
      <w:spacing w:after="200"/>
    </w:pPr>
    <w:rPr>
      <w:rFonts w:eastAsia="MS Mincho"/>
      <w:color w:val="000000"/>
      <w:szCs w:val="20"/>
      <w:lang w:val="es-ES_tradnl"/>
    </w:rPr>
  </w:style>
  <w:style w:type="paragraph" w:styleId="NoSpacing">
    <w:name w:val="No Spacing"/>
    <w:uiPriority w:val="1"/>
    <w:qFormat/>
    <w:rsid w:val="00804D25"/>
    <w:pPr>
      <w:spacing w:after="0" w:line="240" w:lineRule="auto"/>
    </w:pPr>
    <w:rPr>
      <w:lang w:val="en-US"/>
    </w:rPr>
  </w:style>
  <w:style w:type="character" w:customStyle="1" w:styleId="highlight">
    <w:name w:val="highlight"/>
    <w:basedOn w:val="DefaultParagraphFont"/>
    <w:rsid w:val="00804D25"/>
  </w:style>
  <w:style w:type="table" w:styleId="TableGrid">
    <w:name w:val="Table Grid"/>
    <w:basedOn w:val="TableNormal"/>
    <w:uiPriority w:val="59"/>
    <w:rsid w:val="00804D25"/>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semiHidden/>
    <w:unhideWhenUsed/>
    <w:qFormat/>
    <w:rsid w:val="00804D25"/>
    <w:pPr>
      <w:keepLines/>
      <w:spacing w:before="480" w:line="276" w:lineRule="auto"/>
      <w:jc w:val="left"/>
      <w:outlineLvl w:val="9"/>
    </w:pPr>
    <w:rPr>
      <w:rFonts w:ascii="Cambria" w:hAnsi="Cambria"/>
      <w:color w:val="365F91"/>
      <w:kern w:val="0"/>
      <w:sz w:val="28"/>
      <w:szCs w:val="28"/>
      <w:lang w:val="es-ES"/>
    </w:rPr>
  </w:style>
  <w:style w:type="paragraph" w:styleId="TOC3">
    <w:name w:val="toc 3"/>
    <w:basedOn w:val="Normal"/>
    <w:next w:val="Normal"/>
    <w:autoRedefine/>
    <w:uiPriority w:val="39"/>
    <w:unhideWhenUsed/>
    <w:rsid w:val="00804D25"/>
    <w:pPr>
      <w:jc w:val="left"/>
    </w:pPr>
    <w:rPr>
      <w:rFonts w:asciiTheme="minorHAnsi" w:hAnsiTheme="minorHAnsi"/>
      <w:smallCaps/>
      <w:sz w:val="22"/>
    </w:rPr>
  </w:style>
  <w:style w:type="paragraph" w:styleId="TOC4">
    <w:name w:val="toc 4"/>
    <w:basedOn w:val="Normal"/>
    <w:next w:val="Normal"/>
    <w:autoRedefine/>
    <w:uiPriority w:val="39"/>
    <w:unhideWhenUsed/>
    <w:rsid w:val="00804D25"/>
    <w:pPr>
      <w:jc w:val="left"/>
    </w:pPr>
    <w:rPr>
      <w:rFonts w:asciiTheme="minorHAnsi" w:hAnsiTheme="minorHAnsi"/>
      <w:sz w:val="22"/>
    </w:rPr>
  </w:style>
  <w:style w:type="paragraph" w:styleId="TOC5">
    <w:name w:val="toc 5"/>
    <w:basedOn w:val="Normal"/>
    <w:next w:val="Normal"/>
    <w:autoRedefine/>
    <w:uiPriority w:val="39"/>
    <w:unhideWhenUsed/>
    <w:rsid w:val="00804D25"/>
    <w:pPr>
      <w:jc w:val="left"/>
    </w:pPr>
    <w:rPr>
      <w:rFonts w:asciiTheme="minorHAnsi" w:hAnsiTheme="minorHAnsi"/>
      <w:sz w:val="22"/>
    </w:rPr>
  </w:style>
  <w:style w:type="paragraph" w:styleId="TOC6">
    <w:name w:val="toc 6"/>
    <w:basedOn w:val="Normal"/>
    <w:next w:val="Normal"/>
    <w:autoRedefine/>
    <w:uiPriority w:val="39"/>
    <w:unhideWhenUsed/>
    <w:rsid w:val="00804D25"/>
    <w:pPr>
      <w:jc w:val="left"/>
    </w:pPr>
    <w:rPr>
      <w:rFonts w:asciiTheme="minorHAnsi" w:hAnsiTheme="minorHAnsi"/>
      <w:sz w:val="22"/>
    </w:rPr>
  </w:style>
  <w:style w:type="paragraph" w:styleId="TOC7">
    <w:name w:val="toc 7"/>
    <w:basedOn w:val="Normal"/>
    <w:next w:val="Normal"/>
    <w:autoRedefine/>
    <w:uiPriority w:val="39"/>
    <w:unhideWhenUsed/>
    <w:rsid w:val="00804D25"/>
    <w:pPr>
      <w:jc w:val="left"/>
    </w:pPr>
    <w:rPr>
      <w:rFonts w:asciiTheme="minorHAnsi" w:hAnsiTheme="minorHAnsi"/>
      <w:sz w:val="22"/>
    </w:rPr>
  </w:style>
  <w:style w:type="paragraph" w:styleId="TOC8">
    <w:name w:val="toc 8"/>
    <w:basedOn w:val="Normal"/>
    <w:next w:val="Normal"/>
    <w:autoRedefine/>
    <w:uiPriority w:val="39"/>
    <w:unhideWhenUsed/>
    <w:rsid w:val="00804D25"/>
    <w:pPr>
      <w:jc w:val="left"/>
    </w:pPr>
    <w:rPr>
      <w:rFonts w:asciiTheme="minorHAnsi" w:hAnsiTheme="minorHAnsi"/>
      <w:sz w:val="22"/>
    </w:rPr>
  </w:style>
  <w:style w:type="paragraph" w:styleId="TOC9">
    <w:name w:val="toc 9"/>
    <w:basedOn w:val="Normal"/>
    <w:next w:val="Normal"/>
    <w:autoRedefine/>
    <w:uiPriority w:val="39"/>
    <w:unhideWhenUsed/>
    <w:rsid w:val="00804D25"/>
    <w:pPr>
      <w:jc w:val="left"/>
    </w:pPr>
    <w:rPr>
      <w:rFonts w:asciiTheme="minorHAnsi" w:hAnsiTheme="minorHAnsi"/>
      <w:sz w:val="22"/>
    </w:rPr>
  </w:style>
  <w:style w:type="paragraph" w:customStyle="1" w:styleId="NotasProyectos">
    <w:name w:val="***. Notas Proyectos"/>
    <w:basedOn w:val="Normal"/>
    <w:link w:val="NotasProyectosChar"/>
    <w:autoRedefine/>
    <w:qFormat/>
    <w:rsid w:val="00804D25"/>
    <w:pPr>
      <w:spacing w:before="120"/>
      <w:ind w:left="720"/>
    </w:pPr>
    <w:rPr>
      <w:rFonts w:eastAsia="Times New Roman"/>
      <w:szCs w:val="20"/>
      <w:lang w:val="es-ES_tradnl" w:eastAsia="es-ES"/>
    </w:rPr>
  </w:style>
  <w:style w:type="character" w:customStyle="1" w:styleId="NotasProyectosChar">
    <w:name w:val="***. Notas Proyectos Char"/>
    <w:link w:val="NotasProyectos"/>
    <w:rsid w:val="00804D25"/>
    <w:rPr>
      <w:rFonts w:ascii="Verdana" w:eastAsia="Times New Roman" w:hAnsi="Verdana" w:cs="Times New Roman"/>
      <w:sz w:val="20"/>
      <w:szCs w:val="20"/>
      <w:lang w:val="es-ES_tradnl" w:eastAsia="es-ES"/>
    </w:rPr>
  </w:style>
  <w:style w:type="paragraph" w:styleId="Revision">
    <w:name w:val="Revision"/>
    <w:hidden/>
    <w:uiPriority w:val="99"/>
    <w:semiHidden/>
    <w:rsid w:val="00804D25"/>
    <w:pPr>
      <w:spacing w:after="0" w:line="240" w:lineRule="auto"/>
    </w:pPr>
    <w:rPr>
      <w:rFonts w:ascii="Verdana" w:eastAsia="Calibri" w:hAnsi="Verdana" w:cs="Times New Roman"/>
      <w:sz w:val="20"/>
      <w:lang w:val="es-ES"/>
    </w:rPr>
  </w:style>
  <w:style w:type="paragraph" w:styleId="TOCHeading">
    <w:name w:val="TOC Heading"/>
    <w:basedOn w:val="Heading1"/>
    <w:next w:val="Normal"/>
    <w:uiPriority w:val="39"/>
    <w:unhideWhenUsed/>
    <w:qFormat/>
    <w:rsid w:val="00804D25"/>
    <w:pPr>
      <w:keepLines/>
      <w:spacing w:before="480" w:line="276" w:lineRule="auto"/>
      <w:jc w:val="left"/>
      <w:outlineLvl w:val="9"/>
    </w:pPr>
    <w:rPr>
      <w:rFonts w:asciiTheme="majorHAnsi" w:eastAsiaTheme="majorEastAsia" w:hAnsiTheme="majorHAnsi" w:cstheme="majorBidi"/>
      <w:color w:val="365F91" w:themeColor="accent1" w:themeShade="BF"/>
      <w:kern w:val="0"/>
      <w:sz w:val="28"/>
      <w:szCs w:val="28"/>
      <w:lang w:val="en-US"/>
    </w:rPr>
  </w:style>
  <w:style w:type="character" w:customStyle="1" w:styleId="s7d2086b4">
    <w:name w:val="s7d2086b4"/>
    <w:basedOn w:val="DefaultParagraphFont"/>
    <w:rsid w:val="00804D25"/>
  </w:style>
  <w:style w:type="character" w:styleId="LineNumber">
    <w:name w:val="line number"/>
    <w:basedOn w:val="DefaultParagraphFont"/>
    <w:uiPriority w:val="99"/>
    <w:semiHidden/>
    <w:unhideWhenUsed/>
    <w:rsid w:val="00804D25"/>
  </w:style>
  <w:style w:type="paragraph" w:customStyle="1" w:styleId="Textonotapie1">
    <w:name w:val="Texto nota pie1"/>
    <w:basedOn w:val="Normal"/>
    <w:rsid w:val="00804D25"/>
    <w:pPr>
      <w:widowControl w:val="0"/>
      <w:jc w:val="left"/>
    </w:pPr>
    <w:rPr>
      <w:rFonts w:ascii="Garamond" w:eastAsia="Times New Roman" w:hAnsi="Garamond"/>
      <w:szCs w:val="20"/>
      <w:lang w:val="es-ES_tradnl" w:eastAsia="es-ES"/>
    </w:rPr>
  </w:style>
  <w:style w:type="character" w:styleId="CommentReference">
    <w:name w:val="annotation reference"/>
    <w:basedOn w:val="DefaultParagraphFont"/>
    <w:uiPriority w:val="99"/>
    <w:semiHidden/>
    <w:unhideWhenUsed/>
    <w:rsid w:val="004E3A53"/>
    <w:rPr>
      <w:sz w:val="16"/>
      <w:szCs w:val="16"/>
    </w:rPr>
  </w:style>
  <w:style w:type="character" w:styleId="PlaceholderText">
    <w:name w:val="Placeholder Text"/>
    <w:basedOn w:val="DefaultParagraphFont"/>
    <w:uiPriority w:val="99"/>
    <w:semiHidden/>
    <w:rsid w:val="008C6C52"/>
    <w:rPr>
      <w:color w:val="808080"/>
    </w:rPr>
  </w:style>
  <w:style w:type="character" w:styleId="FollowedHyperlink">
    <w:name w:val="FollowedHyperlink"/>
    <w:basedOn w:val="DefaultParagraphFont"/>
    <w:uiPriority w:val="99"/>
    <w:semiHidden/>
    <w:unhideWhenUsed/>
    <w:rsid w:val="004A24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2133083">
      <w:bodyDiv w:val="1"/>
      <w:marLeft w:val="0"/>
      <w:marRight w:val="0"/>
      <w:marTop w:val="0"/>
      <w:marBottom w:val="0"/>
      <w:divBdr>
        <w:top w:val="none" w:sz="0" w:space="0" w:color="auto"/>
        <w:left w:val="none" w:sz="0" w:space="0" w:color="auto"/>
        <w:bottom w:val="none" w:sz="0" w:space="0" w:color="auto"/>
        <w:right w:val="none" w:sz="0" w:space="0" w:color="auto"/>
      </w:divBdr>
    </w:div>
    <w:div w:id="316955906">
      <w:bodyDiv w:val="1"/>
      <w:marLeft w:val="0"/>
      <w:marRight w:val="0"/>
      <w:marTop w:val="0"/>
      <w:marBottom w:val="0"/>
      <w:divBdr>
        <w:top w:val="none" w:sz="0" w:space="0" w:color="auto"/>
        <w:left w:val="none" w:sz="0" w:space="0" w:color="auto"/>
        <w:bottom w:val="none" w:sz="0" w:space="0" w:color="auto"/>
        <w:right w:val="none" w:sz="0" w:space="0" w:color="auto"/>
      </w:divBdr>
    </w:div>
    <w:div w:id="540485077">
      <w:bodyDiv w:val="1"/>
      <w:marLeft w:val="0"/>
      <w:marRight w:val="0"/>
      <w:marTop w:val="0"/>
      <w:marBottom w:val="0"/>
      <w:divBdr>
        <w:top w:val="none" w:sz="0" w:space="0" w:color="auto"/>
        <w:left w:val="none" w:sz="0" w:space="0" w:color="auto"/>
        <w:bottom w:val="none" w:sz="0" w:space="0" w:color="auto"/>
        <w:right w:val="none" w:sz="0" w:space="0" w:color="auto"/>
      </w:divBdr>
    </w:div>
    <w:div w:id="1274633383">
      <w:bodyDiv w:val="1"/>
      <w:marLeft w:val="0"/>
      <w:marRight w:val="0"/>
      <w:marTop w:val="0"/>
      <w:marBottom w:val="0"/>
      <w:divBdr>
        <w:top w:val="none" w:sz="0" w:space="0" w:color="auto"/>
        <w:left w:val="none" w:sz="0" w:space="0" w:color="auto"/>
        <w:bottom w:val="none" w:sz="0" w:space="0" w:color="auto"/>
        <w:right w:val="none" w:sz="0" w:space="0" w:color="auto"/>
      </w:divBdr>
    </w:div>
    <w:div w:id="1655061253">
      <w:bodyDiv w:val="1"/>
      <w:marLeft w:val="0"/>
      <w:marRight w:val="0"/>
      <w:marTop w:val="0"/>
      <w:marBottom w:val="0"/>
      <w:divBdr>
        <w:top w:val="none" w:sz="0" w:space="0" w:color="auto"/>
        <w:left w:val="none" w:sz="0" w:space="0" w:color="auto"/>
        <w:bottom w:val="none" w:sz="0" w:space="0" w:color="auto"/>
        <w:right w:val="none" w:sz="0" w:space="0" w:color="auto"/>
      </w:divBdr>
    </w:div>
    <w:div w:id="2088258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l/search?rlz=1C1GGGE_esCL519CL536&amp;espv=2&amp;biw=1034&amp;bih=595&amp;q=ius+generis&amp;spell=1&amp;sa=X&amp;ei=4j1bVY6ONsidgwTxp4GgAw&amp;ved=0CBgQBSgA" TargetMode="Externa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people" Target="people.xml"/></Relationships>
</file>

<file path=word/_rels/footnotes.xml.rels><?xml version="1.0" encoding="UTF-8" standalone="yes"?>
<Relationships xmlns="http://schemas.openxmlformats.org/package/2006/relationships"><Relationship Id="rId2" Type="http://schemas.openxmlformats.org/officeDocument/2006/relationships/hyperlink" Target="http://www.tc.gob.pe/jurisprudencia/2003/00010-2002-AI.html" TargetMode="External"/><Relationship Id="rId1" Type="http://schemas.openxmlformats.org/officeDocument/2006/relationships/hyperlink" Target="http://www.cidh.oas.org/countryrep/Peru93sp/indi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455BB5-B047-45A7-A6BE-2F9C1CD31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51329</Words>
  <Characters>282311</Characters>
  <Application>Microsoft Office Word</Application>
  <DocSecurity>0</DocSecurity>
  <Lines>2352</Lines>
  <Paragraphs>665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332975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Jairo Guadamuz</cp:lastModifiedBy>
  <cp:revision>4</cp:revision>
  <cp:lastPrinted>2016-02-10T23:59:00Z</cp:lastPrinted>
  <dcterms:created xsi:type="dcterms:W3CDTF">2016-02-10T23:59:00Z</dcterms:created>
  <dcterms:modified xsi:type="dcterms:W3CDTF">2016-02-10T23:59:00Z</dcterms:modified>
</cp:coreProperties>
</file>