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t xml:space="preserve">                  CASO VELÁSQUEZ PAIZ Y OTROS VS. GUATEMALA</w:t>
        <w:br/>
        <w:br/>
        <w:t xml:space="preserve">                    SENTENCIA DE 19 DE NOVIEMBRE DE 2015</w:t>
        <w:br/>
        <w:br/>
        <w:t xml:space="preserve">          (Excepciones Preliminares, Fondo, Reparaciones y Costas)</w:t>
        <w:br/>
        <w:br/>
        <w:br/>
        <w:br/>
        <w:br/>
        <w:t>En el caso Velásquez Paiz y otros,</w:t>
        <w:br/>
        <w:br/>
        <w:t>la Corte Interamericana de Derechos Humanos (en adelante “la Corte</w:t>
        <w:br/>
        <w:t>Interamericana”, “la Corte” o “el Tribunal”), integrada por los siguientes</w:t>
        <w:br/>
        <w:t>Jueces:</w:t>
        <w:br/>
        <w:br/>
        <w:t>Humberto Antonio Sierra Porto, Presidente;</w:t>
        <w:br/>
        <w:t>Roberto F. Caldas, Vicepresidente;</w:t>
        <w:br/>
        <w:t>Manuel E. Ventura Robles, Juez;</w:t>
        <w:br/>
        <w:t>Diego García-Sayán, Juez;</w:t>
        <w:br/>
        <w:t>Alberto Pérez Pérez, Juez;</w:t>
        <w:br/>
        <w:t>Eduardo Vio Grossi, Juez, y</w:t>
        <w:br/>
        <w:t>Eduardo Ferrer Mac-Gregor Poisot, Juez;</w:t>
        <w:br/>
        <w:br/>
        <w:t>presentes además,</w:t>
        <w:br/>
        <w:br/>
        <w:t>Pablo Saavedra Alessandri, Secretario, y</w:t>
        <w:br/>
        <w:t>Emilia Segares Rodríguez, Secretaria Adjunta,</w:t>
        <w:br/>
        <w:br/>
        <w:br/>
        <w:t>de conformidad con los artículos 62.3 y  63.1  de  la  Convención  Americana</w:t>
        <w:br/>
        <w:t>sobre  Derechos  Humanos  (en  adelante  “la  Convención  Americana”  o  “la</w:t>
        <w:br/>
        <w:t>Convención”) y con los artículos 31, 32, 42, 65 y 67 del  Reglamento  de  la</w:t>
        <w:br/>
        <w:t>Corte (en adelante “el Reglamento”), dicta la  presente  Sentencia,  que  se</w:t>
        <w:br/>
        <w:t>estructura en el siguiente orden:</w:t>
        <w:br/>
        <w:br/>
        <w:t xml:space="preserve">                                   ÍNDICE</w:t>
        <w:br/>
        <w:br/>
        <w:t>I INTRODUCCIÓN DE LA CAUSA Y OBJETO DE LA CONTROVERSIA   4</w:t>
        <w:br/>
        <w:t>II PROCEDIMIENTO ANTE LA CORTE    6</w:t>
        <w:br/>
        <w:t>III COMPETENCIA  7</w:t>
        <w:br/>
        <w:br/>
        <w:t>IV EXCEPCIONES PRELIMINARES  7</w:t>
        <w:br/>
        <w:t>A. Excepción preliminar de falta de competencia material sobre  el  artículo</w:t>
        <w:br/>
        <w:t>7 de la Convención de Belém do Pará     7</w:t>
        <w:br/>
        <w:t>A.1. Argumentos de las partes y la Comisión  7</w:t>
        <w:br/>
        <w:t>A.2. Consideraciones de la Corte  8</w:t>
        <w:br/>
        <w:t>B. Excepción a la falta de agotamiento de los recursos internos     9</w:t>
        <w:br/>
        <w:t>B.1. Argumentos de las partes y la Comisión  9</w:t>
        <w:br/>
        <w:t>B.2. Consideraciones de la Corte  10</w:t>
        <w:br/>
        <w:br/>
        <w:t>V PRUEBA    12</w:t>
        <w:br/>
        <w:t>A.    Prueba documental, testimonial y pericial    12</w:t>
        <w:br/>
        <w:t>B.    Admisión de la prueba  12</w:t>
        <w:br/>
        <w:t>B.1.  Admisión de la prueba documental  12</w:t>
        <w:br/>
        <w:t>B.2.   Admisión de la prueba testimonial y pericial      14</w:t>
        <w:br/>
        <w:t>C.    Valoración de la prueba     15</w:t>
        <w:br/>
        <w:br/>
        <w:t>VI HECHOS   15</w:t>
        <w:br/>
        <w:t>A.    Contexto en el que ocurrieron los hechos del caso  15</w:t>
        <w:br/>
        <w:t>B.    Hechos del caso sobre Claudina Isabel Velásquez Paiz    20</w:t>
        <w:br/>
        <w:t>B.1. Denuncia de la desaparición  20</w:t>
        <w:br/>
        <w:t>B.2. Hallazgo del cuerpo y diligencias iniciales practicadas  21</w:t>
        <w:br/>
        <w:t>B.3. Investigación penal     23</w:t>
        <w:br/>
        <w:t>B.4. Investigación de la Procuraduría de los Derechos Humanos  de  Guatemala</w:t>
        <w:br/>
        <w:t>33</w:t>
        <w:br/>
        <w:t>B.5. Procedimientos Disciplinarios en la Jefatura de la Fiscalía de  Sección</w:t>
        <w:br/>
        <w:t>de Delitos Contra la Vida y la Integridad de las Personas y la Dirección  de</w:t>
        <w:br/>
        <w:t>Investigaciones Criminalísticas   33</w:t>
        <w:br/>
        <w:t>B.6. Procedimiento Disciplinario en la Unidad de Régimen  Disciplinario  del</w:t>
        <w:br/>
        <w:t>Sistema de Recursos Humanos del Organismo Judicial 34</w:t>
        <w:br/>
        <w:br/>
        <w:t>VII FONDO   36</w:t>
        <w:br/>
        <w:t>VII.I. Derechos a la  vida  e  integridad  personal,  en  relación  con  los</w:t>
        <w:br/>
        <w:t>artículos 1.1 y 2 de la Convención Americana y  con  el  artículo  7  de  la</w:t>
        <w:br/>
        <w:t>Convención de Belém do Pará, en perjuicio de Claudina Isabel Velásquez  Paiz</w:t>
        <w:br/>
        <w:t>37</w:t>
        <w:br/>
        <w:t>A. Argumentos de la Comisión y de las partes 37</w:t>
        <w:br/>
        <w:t>B. Consideraciones de la Corte    39</w:t>
        <w:br/>
        <w:t>B.1. Antes de la  desaparición  de  Claudina  Velásquez:  deber  general  de</w:t>
        <w:br/>
        <w:t>prevenir el homicidio y las desapariciones de mujeres    41</w:t>
        <w:br/>
        <w:t>B.2. Antes de la  localización  del  cuerpo  de  Claudina  Velásquez:  deber</w:t>
        <w:br/>
        <w:t>específico de prevenir violaciones a los derechos a la integridad y vida  de</w:t>
        <w:br/>
        <w:t>Claudina Velásquez     47</w:t>
        <w:br/>
        <w:t>B.3. Conclusión  51</w:t>
        <w:br/>
        <w:br/>
        <w:t>VII.II. Derechos a las garantías judiciales, a la protección  judicial  y  a</w:t>
        <w:br/>
        <w:t>la igualdad ante la ley, en relación  con  los  artículos  1.1  y  2  de  la</w:t>
        <w:br/>
        <w:t>Convención Americana y el artículo 7 de la Convención de Belém do  Pará,  en</w:t>
        <w:br/>
        <w:t>perjuicio de los familiares de Claudina Velásquez Paiz   52</w:t>
        <w:br/>
        <w:t>A. Argumentos de la Comisión y de las partes 52</w:t>
        <w:br/>
        <w:t>B. Consideraciones de la Corte    55</w:t>
        <w:br/>
        <w:t>B.1.  Irregularidades en la investigación a partir del hallazgo  del  cuerpo</w:t>
        <w:br/>
        <w:t>de Claudina Velásquez Paiz y posteriores  actuaciones  de  los  funcionarios</w:t>
        <w:br/>
        <w:t>estatales   58</w:t>
        <w:br/>
        <w:t>B.2.  Falta de debida diligencia en  relación  con  las  líneas  lógicas  de</w:t>
        <w:br/>
        <w:t>investigación, en la recaudación y práctica de  prueba,  y  plazo  razonable</w:t>
        <w:br/>
        <w:t>64</w:t>
        <w:br/>
        <w:t>B.3. Discriminación por  aplicación  de  estereotipos  e  investigación  sin</w:t>
        <w:br/>
        <w:t>enfoque de género      66</w:t>
        <w:br/>
        <w:t>B.4. Conclusión general      74</w:t>
        <w:br/>
        <w:br/>
        <w:t>VII.III DERECHOS A LA INTEGRIDAD PERSONAL Y PROTECCIÓN DE LA HONRA Y  DE  LA</w:t>
        <w:br/>
        <w:t>DIGNIDAD, EN PERJUICIO DE LOS FAMILIARES     75</w:t>
        <w:br/>
        <w:t>A. Argumentos de la Comisión y de las partes 75</w:t>
        <w:br/>
        <w:t>B. Consideraciones de la Corte    76</w:t>
        <w:br/>
        <w:br/>
        <w:t>VIIi REPARACIONES      79</w:t>
        <w:br/>
        <w:t>A. Parte Lesionada     80</w:t>
        <w:br/>
        <w:t>B. Obligación de investigar los  hechos  que  generaron  las  violaciones  e</w:t>
        <w:br/>
        <w:t>identificar, juzgar y, en su caso, sancionar a los responsables     80</w:t>
        <w:br/>
        <w:t>C. Medidas de rehabilitación, satisfacción  y  garantías  de  no  repetición</w:t>
        <w:br/>
        <w:t>82</w:t>
        <w:br/>
        <w:t>C.1. Rehabilitación    82</w:t>
        <w:br/>
        <w:t>C.2. Medidas de satisfacción 83</w:t>
        <w:br/>
        <w:t>C.2.1 Publicación de la Sentencia 83</w:t>
        <w:br/>
        <w:t>C.2.2. Acto  público  de  reconocimiento  de  responsabilidad  internacional</w:t>
        <w:br/>
        <w:t>83</w:t>
        <w:br/>
        <w:t>C.2.3. Solicitud de un fondo para la  creación  de  la  Fundación  “Claudina</w:t>
        <w:br/>
        <w:t>Isabel Velásquez Paiz – Guatemala”      84</w:t>
        <w:br/>
        <w:t>C.3. Garantías de no repetición   84</w:t>
        <w:br/>
        <w:t>C.3.1. Programas educativos en materia  de  no  discriminación  y  violencia</w:t>
        <w:br/>
        <w:t>contra la mujer  84</w:t>
        <w:br/>
        <w:t>C.3.2.  Fortalecimiento  institucional  en  la  investigación  de  casos  de</w:t>
        <w:br/>
        <w:t>violencia contra la mujer    85</w:t>
        <w:br/>
        <w:t>C.3.3. Medidas para prevenir violencia contra  la  mujer:  política  estatal</w:t>
        <w:br/>
        <w:t>90</w:t>
        <w:br/>
        <w:t>C.3.4 Solicitud de un  sistema  de  Producción  de  Información  Estadística</w:t>
        <w:br/>
        <w:t>93</w:t>
        <w:br/>
        <w:t>D. Indemnizaciones compensatorias 93</w:t>
        <w:br/>
        <w:t>D.1. Daño inmaterial   94</w:t>
        <w:br/>
        <w:t>D.2. Daño material     95</w:t>
        <w:br/>
        <w:t>E. Costas y Gastos     97</w:t>
        <w:br/>
        <w:t>F. Modalidad de cumplimiento de los pagos ordenados      98</w:t>
        <w:br/>
        <w:br/>
        <w:t>IX PUNTOS RESOLUTIVOS  98</w:t>
        <w:br/>
        <w:br/>
        <w:br/>
        <w:t xml:space="preserve">                                      I</w:t>
        <w:br/>
        <w:t xml:space="preserve">            INTRODUCCIÓN DE LA CAUSA Y OBJETO DE LA CONTROVERSIA</w:t>
        <w:br/>
        <w:br/>
        <w:t>1. El caso sometido a la  Corte.–  El  5  de  marzo  de  2014,  la  Comisión</w:t>
        <w:br/>
        <w:t xml:space="preserve">   Interamericana  de   Derechos   Humanos   (en   adelante   “la   Comisión</w:t>
        <w:br/>
        <w:t xml:space="preserve">   Interamericana” o “la Comisión”) sometió el caso ante la jurisdicción  de</w:t>
        <w:br/>
        <w:t xml:space="preserve">   la Corte Interamericana de Derechos Humanos (en adelante “la Corte” o “el</w:t>
        <w:br/>
        <w:t xml:space="preserve">   Tribunal”) contra la República de Guatemala (en adelante  “el  Estado”  o</w:t>
        <w:br/>
        <w:t xml:space="preserve">   “Guatemala”). Según la  Comisión,  el  caso  se  refiere  a  la  presunta</w:t>
        <w:br/>
        <w:t xml:space="preserve">   responsabilidad del Estado por el incumplimiento del deber de  protección</w:t>
        <w:br/>
        <w:t xml:space="preserve">   de la vida e integridad personal de Claudina Isabel  Velásquez  Paiz.  En</w:t>
        <w:br/>
        <w:t xml:space="preserve">   cuanto a los hechos, la Comisión señaló que, debido  a  que  la  presunta</w:t>
        <w:br/>
        <w:t xml:space="preserve">   víctima no llegó a casa el 12  de  agosto  de  2005,  sus  padres,  Jorge</w:t>
        <w:br/>
        <w:t xml:space="preserve">   Rolando Velásquez Durán y Elsa Claudina Paiz Vidal, acudieron a denunciar</w:t>
        <w:br/>
        <w:t xml:space="preserve">   su desaparición. Ello no fue posible pues se les habría indicado que  era</w:t>
        <w:br/>
        <w:t xml:space="preserve">   necesario  esperar  24  horas  para  denunciar  el  hecho.  A  pesar  del</w:t>
        <w:br/>
        <w:t xml:space="preserve">   conocimiento por parte de las autoridades estatales de la  existencia  de</w:t>
        <w:br/>
        <w:t xml:space="preserve">   un contexto de violencia contra las mujeres que la ubicaba en  una  clara</w:t>
        <w:br/>
        <w:t xml:space="preserve">   situación de riesgo inminente, el Estado no adoptó medidas  inmediatas  y</w:t>
        <w:br/>
        <w:t xml:space="preserve">   exhaustivas de búsqueda y protección a  su  favor  durante  las  primeras</w:t>
        <w:br/>
        <w:t xml:space="preserve">   horas tras tener conocimiento de la desaparición. El cuerpo sin  vida  de</w:t>
        <w:br/>
        <w:t xml:space="preserve">   la presunta víctima fue encontrado al día siguiente con señales de  haber</w:t>
        <w:br/>
        <w:t xml:space="preserve">   sido sometida  presuntamente  a  actos  de  extrema  violencia,  incluida</w:t>
        <w:br/>
        <w:t xml:space="preserve">   violencia sexual.</w:t>
        <w:br/>
        <w:br/>
        <w:t>2. Asimismo, la Comisión alegó que el  Estado  incurrió  en  responsabilidad</w:t>
        <w:br/>
        <w:t xml:space="preserve">   internacional al  no  haber  realizado  una  investigación  seria  de  la</w:t>
        <w:br/>
        <w:t xml:space="preserve">   desaparición, violencia y  muerte  de  Claudina  Isabel  Velásquez  Paiz.</w:t>
        <w:br/>
        <w:t xml:space="preserve">   Sostuvo que desde el inicio de la investigación hubo múltiples falencias,</w:t>
        <w:br/>
        <w:t xml:space="preserve">   tales  como  deficiencias  en  el  manejo  y  análisis  de  la  evidencia</w:t>
        <w:br/>
        <w:t xml:space="preserve">   recolectada; fallas en el manejo y preservación de la escena del crimen y</w:t>
        <w:br/>
        <w:t xml:space="preserve">   toma de pruebas periciales; irregularidades en el informe  de  necropsia;</w:t>
        <w:br/>
        <w:t xml:space="preserve">   falta de análisis comprensivos  en  diversas  partes  del  cuerpo  de  la</w:t>
        <w:br/>
        <w:t xml:space="preserve">   víctima para verificar una posible violación sexual;  irregularidades  en</w:t>
        <w:br/>
        <w:t xml:space="preserve">   la toma de las huellas dactilares de la  víctima,  y  falta  de  toma  de</w:t>
        <w:br/>
        <w:t xml:space="preserve">   declaración de testigos relevantes.  Además  alegó  que  tuvo  lugar  una</w:t>
        <w:br/>
        <w:t xml:space="preserve">   demora en el  proceso  atribuible  al  Estado,  particularmente  por  los</w:t>
        <w:br/>
        <w:t xml:space="preserve">   continuos cambios en los fiscales encargados del caso que  interrumpieron</w:t>
        <w:br/>
        <w:t xml:space="preserve">   la investigación y causaron que no se realizaran diligencias a  tiempo  o</w:t>
        <w:br/>
        <w:t xml:space="preserve">   que estas no fueran consideradas por los  nuevos  fiscales.  Por  último,</w:t>
        <w:br/>
        <w:t xml:space="preserve">   halló que en el proceso se registra la presunta presencia de estereotipos</w:t>
        <w:br/>
        <w:t xml:space="preserve">   discriminatorios que seriamente impactaron la falta de diligencia  en  la</w:t>
        <w:br/>
        <w:t xml:space="preserve">   investigación. La Comisión consideró que tanto la falta de protección  de</w:t>
        <w:br/>
        <w:t xml:space="preserve">   la presunta  víctima  como  la  falta  de  investigación  de  su  muerte,</w:t>
        <w:br/>
        <w:t xml:space="preserve">   constituirían  un  claro  reflejo   de   la   situación   subyacente   de</w:t>
        <w:br/>
        <w:t xml:space="preserve">   discriminación contra las mujeres en Guatemala. Finalmente,  la  Comisión</w:t>
        <w:br/>
        <w:t xml:space="preserve">   alegó la violación del derecho a la integridad personal de sus  padres  y</w:t>
        <w:br/>
        <w:t xml:space="preserve">   de su hermano, Pablo Andrés Velásquez Paiz.</w:t>
        <w:br/>
        <w:br/>
        <w:br/>
        <w:t>3. Trámite ante la Comisión.– El trámite ante la Comisión fue el siguiente:</w:t>
        <w:br/>
        <w:br/>
        <w:t xml:space="preserve">    a) Petición.- El 10 de diciembre  de  2007  el  Instituto  de  Estudios</w:t>
        <w:br/>
        <w:t xml:space="preserve">       Comparados en Ciencias Penales de Guatemala, Jorge Rolando Velásquez</w:t>
        <w:br/>
        <w:t xml:space="preserve">       Durán y Carlos Antonio Pop AC presentaron la petición  inicial  ante</w:t>
        <w:br/>
        <w:t xml:space="preserve">       la Comisión.</w:t>
        <w:br/>
        <w:br/>
        <w:br/>
        <w:t xml:space="preserve">    b) Informe de Admisibilidad.- El 4  de  octubre  de  2010  la  Comisión</w:t>
        <w:br/>
        <w:t xml:space="preserve">       aprobó el Informe de Admisibilidad No. 110/10.</w:t>
        <w:br/>
        <w:br/>
        <w:br/>
        <w:br/>
        <w:t xml:space="preserve">    c) Informe de Fondo.- El 4 de noviembre de 2013, la Comisión aprobó  el</w:t>
        <w:br/>
        <w:t xml:space="preserve">       Informe de Fondo No. 53/13 de conformidad con el artículo 50  de  la</w:t>
        <w:br/>
        <w:t xml:space="preserve">       Convención (en adelante “el Informe de  Fondo”  o  “el  Informe  No.</w:t>
        <w:br/>
        <w:t xml:space="preserve">       53/13”), en el cual llegó a una  serie  de  conclusiones  y  formuló</w:t>
        <w:br/>
        <w:t xml:space="preserve">       varias recomendaciones al Estado.</w:t>
        <w:br/>
        <w:br/>
        <w:br/>
        <w:br/>
        <w:t xml:space="preserve">    Conclusiones.– La Comisión concluyó que el Estado era  responsable  por</w:t>
        <w:br/>
        <w:t xml:space="preserve">    la violación de los siguientes derechos:</w:t>
        <w:br/>
        <w:br/>
        <w:br/>
        <w:t xml:space="preserve">      • el derecho a la vida y a la integridad personal consagrados en  los</w:t>
        <w:br/>
        <w:t xml:space="preserve">        artículos 4, 5, y 11 [sic] de la Convención Americana, todos  ellos</w:t>
        <w:br/>
        <w:t xml:space="preserve">        en conexión con la obligación que le imponen al Estado el  artículo</w:t>
        <w:br/>
        <w:t xml:space="preserve">        1.1 de dicho tratado y el artículo 7 de Belém do Pará.</w:t>
        <w:br/>
        <w:br/>
        <w:t xml:space="preserve">      • los derechos de Claudina Isabel Velásquez Paiz bajo el  artículo  7</w:t>
        <w:br/>
        <w:t xml:space="preserve">        de la Convención de Belém do Pará en relación con el artículo 24 de</w:t>
        <w:br/>
        <w:t xml:space="preserve">        la Convención Americana en concordancia con la  obligación  general</w:t>
        <w:br/>
        <w:t xml:space="preserve">        de respetar y garantizar los derechos prevista en el artículo 1.1.</w:t>
        <w:br/>
        <w:br/>
        <w:t xml:space="preserve">      • el derecho a la integridad personal consagrado en el  artículo  5.1</w:t>
        <w:br/>
        <w:t xml:space="preserve">        de la Convención Americana en conexión con  la  obligación  que  le</w:t>
        <w:br/>
        <w:t xml:space="preserve">        impone al Estado el artículo 1.1 de dicho tratado, en perjuicio  de</w:t>
        <w:br/>
        <w:t xml:space="preserve">        Jorge  Rolando  Velásquez  Durán,  Elsa  Claudina  Paiz  Vidal   de</w:t>
        <w:br/>
        <w:t xml:space="preserve">        Velásquez y Pablo Andrés Velásquez Paiz, así como el derecho a  las</w:t>
        <w:br/>
        <w:t xml:space="preserve">        garantías y protección judicial consagrados en los artículos 8.1  y</w:t>
        <w:br/>
        <w:t xml:space="preserve">        25 de la Convención Americana del mismo instrumento y  en  relación</w:t>
        <w:br/>
        <w:t xml:space="preserve">        con la obligación que le impone al Estado el  artículo  1.1.  y  el</w:t>
        <w:br/>
        <w:t xml:space="preserve">        artículo 7 de Belém do Pará.</w:t>
        <w:br/>
        <w:br/>
        <w:br/>
        <w:br/>
        <w:t xml:space="preserve">    Recomendaciones.– La Comisión recomendó al Estado:</w:t>
        <w:br/>
        <w:t xml:space="preserve">     i. [c]ompletar la investigación de manera oportuna, inmediata, seria e</w:t>
        <w:br/>
        <w:t xml:space="preserve">        imparcial con el objeto de  esclarecer  el  asesinato  de  Claudina</w:t>
        <w:br/>
        <w:t xml:space="preserve">        Isabel Velásquez Paiz  e  identificar,  juzgar  y,  en  su  caso[,]</w:t>
        <w:br/>
        <w:t xml:space="preserve">        sancionar a los responsables;</w:t>
        <w:br/>
        <w:t xml:space="preserve">    ii. [a]doptar y/o en su caso adecuar protocolos de investigación  y  de</w:t>
        <w:br/>
        <w:t xml:space="preserve">        servicios periciales a ser utilizados en todos los delitos  que  se</w:t>
        <w:br/>
        <w:t xml:space="preserve">        relacionen con desapariciones, violencia  sexual  y  homicidios  de</w:t>
        <w:br/>
        <w:t xml:space="preserve">        mujeres,  conforme  a  los  estándares  internacionales  sobre   la</w:t>
        <w:br/>
        <w:t xml:space="preserve">        materia, con base en una perspectiva de género;</w:t>
        <w:br/>
        <w:t xml:space="preserve">   iii. [r]eparar plenamente a los familiares de Claudina Isabel  Velásquez</w:t>
        <w:br/>
        <w:t xml:space="preserve">        Paiz por las violaciones de los derechos humanos […] establecidas;</w:t>
        <w:br/>
        <w:t xml:space="preserve">    iv. [i]mplementar como medida de no-repetición,  una  política  estatal</w:t>
        <w:br/>
        <w:t xml:space="preserve">        integral y coordinada, respaldada con recursos públicos  adecuados,</w:t>
        <w:br/>
        <w:t xml:space="preserve">        para la prevención de casos de violencia contra las mujeres;</w:t>
        <w:br/>
        <w:t xml:space="preserve">     v. [f]ortalecer la capacidad institucional para combatir la  impunidad</w:t>
        <w:br/>
        <w:t xml:space="preserve">        frente a  casos  de  violencia  contra  las  mujeres  a  través  de</w:t>
        <w:br/>
        <w:t xml:space="preserve">        investigaciones criminales efectivas con perspectiva de género, que</w:t>
        <w:br/>
        <w:t xml:space="preserve">        tengan un seguimiento judicial consistente,  garantizando  así  una</w:t>
        <w:br/>
        <w:t xml:space="preserve">        adecuada sanción y reparación;</w:t>
        <w:br/>
        <w:t xml:space="preserve">    vi. [i]mplementar un sistema de producción de  información  estadística</w:t>
        <w:br/>
        <w:t xml:space="preserve">        desagregada adecuada, que permita el diseño  y  evaluación  de  las</w:t>
        <w:br/>
        <w:t xml:space="preserve">        políticas  públicas  en  relación  con  la  prevención,  sanción  y</w:t>
        <w:br/>
        <w:t xml:space="preserve">        eliminación de la violencia contra las mujeres;</w:t>
        <w:br/>
        <w:t xml:space="preserve">   vii. [a]doptar reformas en los programas educativos del Estado, desde la</w:t>
        <w:br/>
        <w:t xml:space="preserve">        etapa formativa y temprana, para promover el respeto de las mujeres</w:t>
        <w:br/>
        <w:t xml:space="preserve">        como iguales, así como el respeto de sus derechos a la no violencia</w:t>
        <w:br/>
        <w:t xml:space="preserve">        y a la no discriminación, y</w:t>
        <w:br/>
        <w:t xml:space="preserve">  viii. [a]doptar políticas públicas y programas institucionales integrados</w:t>
        <w:br/>
        <w:t xml:space="preserve">        destinados a eliminar los estereotipos  discriminatorios  sobre  el</w:t>
        <w:br/>
        <w:t xml:space="preserve">        rol  de  las  mujeres  y  promover  la  erradicación  de   patrones</w:t>
        <w:br/>
        <w:t xml:space="preserve">        socioculturales discriminatorios que impiden su acceso pleno  a  la</w:t>
        <w:br/>
        <w:t xml:space="preserve">        justicia, que incluyan programas de capacitación para  funcionarios</w:t>
        <w:br/>
        <w:t xml:space="preserve">        públicos en todos los sectores del  Estado,  incluyendo  el  sector</w:t>
        <w:br/>
        <w:t xml:space="preserve">        educación, las ramas de la  administración  de  la  justicia  y  la</w:t>
        <w:br/>
        <w:t xml:space="preserve">        policía, y políticas integrales de prevención.</w:t>
        <w:br/>
        <w:br/>
        <w:t xml:space="preserve">    d)  Notificación  al  Estado.–  El  Informe  de  Fondo  No.  53/13  fue</w:t>
        <w:br/>
        <w:t xml:space="preserve">       notificado al Estado el 5 de diciembre de 2013.</w:t>
        <w:br/>
        <w:br/>
        <w:t xml:space="preserve">    e) Informes sobre las recomendaciones de la Comisión.– El 13  de  enero</w:t>
        <w:br/>
        <w:t xml:space="preserve">       de 2014, los señores Jorge Rolando Velásquez Durán y Carlos  Antonio</w:t>
        <w:br/>
        <w:t xml:space="preserve">       Pop AC manifestaron su posición en  relación  al  Informe  de  Fondo</w:t>
        <w:br/>
        <w:t xml:space="preserve">       53/13. Según la Comisión, el 5 de febrero de 2014 el Estado  remitió</w:t>
        <w:br/>
        <w:t xml:space="preserve">       un informe mediante el cual “objetó las conclusiones  del  [I]nforme</w:t>
        <w:br/>
        <w:t xml:space="preserve">       de [F]ondo […] sobre su responsabilidad internacional e indicó  que,</w:t>
        <w:br/>
        <w:t xml:space="preserve">       en  consecuencia,  no  resulta  procedente   disponer   medidas   de</w:t>
        <w:br/>
        <w:t xml:space="preserve">       reparación a favor de los familiares de la víctima”.</w:t>
        <w:br/>
        <w:br/>
        <w:br/>
        <w:t>4. Sometimiento a la Corte.– El 5 de marzo de 2014 la Comisión sometió a  la</w:t>
        <w:br/>
        <w:t xml:space="preserve">   jurisdicción de la Corte Interamericana el caso mediante la remisión  del</w:t>
        <w:br/>
        <w:t xml:space="preserve">   Informe de Fondo No. 53/13, “por la necesidad de  obtención  de  justicia</w:t>
        <w:br/>
        <w:t xml:space="preserve">   para las víctimas ante la falta de cumplimiento  de  las  recomendaciones</w:t>
        <w:br/>
        <w:t xml:space="preserve">   por parte  del  Estado  de  Guatemala”.  La  Comisión  designó  como  sus</w:t>
        <w:br/>
        <w:t xml:space="preserve">   delegados ante la Corte al Comisionado James Cavallaro  y  al  Secretario</w:t>
        <w:br/>
        <w:t xml:space="preserve">   Ejecutivo,  Emilio  Álvarez  Icaza.  Asimismo,   Elizabeth   Abi-Mershed,</w:t>
        <w:br/>
        <w:t xml:space="preserve">   Secretaria Ejecutiva Adjunta, y Silvia Serrano Guzmán y  Fiorella  Melzi,</w:t>
        <w:br/>
        <w:t xml:space="preserve">   abogadas de  la  Secretaría  Ejecutiva  de  la  Comisión,  actuaron  como</w:t>
        <w:br/>
        <w:t xml:space="preserve">   asesoras legales.</w:t>
        <w:br/>
        <w:br/>
        <w:br/>
        <w:t>5. Solicitudes de la Comisión Interamericana.– Con base en lo  anterior,  la</w:t>
        <w:br/>
        <w:t xml:space="preserve">   Comisión  solicitó  a  la  Corte   que   declarara   la   responsabilidad</w:t>
        <w:br/>
        <w:t xml:space="preserve">   internacional de Guatemala por las violaciones señaladas en su Informe de</w:t>
        <w:br/>
        <w:t xml:space="preserve">   Fondo (supra párr. 3.c). Asimismo, solicitó a  la  Corte  que  ordene  al</w:t>
        <w:br/>
        <w:t xml:space="preserve">   Estado determinadas medidas de  reparación,  las  cuales  se  detallan  y</w:t>
        <w:br/>
        <w:t xml:space="preserve">   analizan en el capítulo VIII de la presente Sentencia.</w:t>
        <w:br/>
        <w:br/>
        <w:t xml:space="preserve">                                     II</w:t>
        <w:br/>
        <w:t xml:space="preserve">                         PROCEDIMIENTO ANTE LA CORTE</w:t>
        <w:br/>
        <w:br/>
        <w:t>6. Notificación al Estado y a los representantes.- El sometimiento del  caso</w:t>
        <w:br/>
        <w:t xml:space="preserve">   fue notificado a los representantes de las presuntas víctimas y al Estado</w:t>
        <w:br/>
        <w:t xml:space="preserve">   el 16 de mayo y 4 de junio de 2014, respectivamente.</w:t>
        <w:br/>
        <w:br/>
        <w:t>7. Escrito de solicitudes, argumentos y pruebas.- El 15  de  julio  de  2014</w:t>
        <w:br/>
        <w:t xml:space="preserve">   Carlos Antonio Pop AC, la Asociación de  Abogados  y  Notarios  Mayas  de</w:t>
        <w:br/>
        <w:t xml:space="preserve">   Guatemala, y el Robert F. Kennedy Center for Justice and Human Rights (en</w:t>
        <w:br/>
        <w:t xml:space="preserve">   adelante “los representantes”), presentaron ante la Corte su  escrito  de</w:t>
        <w:br/>
        <w:t xml:space="preserve">   solicitudes, argumentos y pruebas (en adelante “escrito de solicitudes  y</w:t>
        <w:br/>
        <w:t xml:space="preserve">   argumentos”), de conformidad con el artículo 40 del Reglamento.</w:t>
        <w:br/>
        <w:br/>
        <w:t>8. Escrito de contestación.- El 21 de noviembre de 2014 el  Estado  presentó</w:t>
        <w:br/>
        <w:t xml:space="preserve">   su escrito de excepciones preliminares, contestación al sometimiento  del</w:t>
        <w:br/>
        <w:t xml:space="preserve">   caso y de observaciones  al  escrito  de  solicitudes  y  argumentos  (en</w:t>
        <w:br/>
        <w:t xml:space="preserve">   adelante “escrito de contestación”), en los términos del artículo 41  del</w:t>
        <w:br/>
        <w:t xml:space="preserve">   Reglamento.</w:t>
        <w:br/>
        <w:br/>
        <w:t>9. Observaciones a las excepciones preliminares.- El 4 de  febrero  de  2014</w:t>
        <w:br/>
        <w:t xml:space="preserve">   los  representantes  y  la  Comisión  presentaron,  respectivamente,  sus</w:t>
        <w:br/>
        <w:t xml:space="preserve">   observaciones a las excepciones preliminares presentadas por  el  Estado,</w:t>
        <w:br/>
        <w:t xml:space="preserve">   según el artículo 42.4 del Reglamento.</w:t>
        <w:br/>
        <w:br/>
        <w:t>10. Audiencia pública.- Mediante Resolución de 19 de  marzo  de  2015[1]  el</w:t>
        <w:br/>
        <w:t xml:space="preserve">   Presidente de la Corte, (en  adelante  “el  Presidente”)  convocó  a  las</w:t>
        <w:br/>
        <w:t xml:space="preserve">   partes a una  audiencia  pública  que  fue  celebrada  en  la  ciudad  de</w:t>
        <w:br/>
        <w:t xml:space="preserve">   Cartagena de Indias, Colombia los días 21 y 22 de abril  de  2015  en  el</w:t>
        <w:br/>
        <w:t xml:space="preserve">   marco del 52 Período  Extraordinario  de  Sesiones[2]  y  ordenó  recibir</w:t>
        <w:br/>
        <w:t xml:space="preserve">   diversas declaraciones en el presente caso.</w:t>
        <w:br/>
        <w:br/>
        <w:t>11. Prueba para mejor resolver.- Mediante escrito de 25 de marzo de  2015  y</w:t>
        <w:br/>
        <w:t xml:space="preserve">   sus anexos, el Estado remitió “las piezas del  expediente  que  contienen</w:t>
        <w:br/>
        <w:t xml:space="preserve">   las actuaciones procesales realizadas del mes de mayo de  2012  hasta  la</w:t>
        <w:br/>
        <w:t xml:space="preserve">   fecha”, solicitadas mediante Resolución del Presidente de 19 de marzo  de</w:t>
        <w:br/>
        <w:t xml:space="preserve">   2015 (supra párr. 10) como prueba para mejor resolver.</w:t>
        <w:br/>
        <w:br/>
        <w:br/>
        <w:br/>
        <w:t>12.  Información  sobre  la  detención   de   una   presunta   víctima   con</w:t>
        <w:br/>
        <w:t xml:space="preserve">   posterioridad a la audiencia pública- Mediante comunicación de 18 de mayo</w:t>
        <w:br/>
        <w:t xml:space="preserve">   de 2015, los representantes informaron sobre la “captura” del señor Jorge</w:t>
        <w:br/>
        <w:t xml:space="preserve">   Rolando Velásquez Durán, como alegada consecuencia de “lo declarado en la</w:t>
        <w:br/>
        <w:t xml:space="preserve">   […] audiencia pública”. En consecuencia, solicitaron que  en  virtud  del</w:t>
        <w:br/>
        <w:t xml:space="preserve">   artículo 53 del Reglamento se “requiera […] al Estado […] informar  sobre</w:t>
        <w:br/>
        <w:t xml:space="preserve">   los hechos referidos”. Mediante nota de la Secretaría de 19  de  mayo  de</w:t>
        <w:br/>
        <w:t xml:space="preserve">   2015, se  solicitó  al  Estado  que  remitiera  sus  observaciones  a  la</w:t>
        <w:br/>
        <w:t xml:space="preserve">   información presentada por los representantes. Mediante escrito de 26  de</w:t>
        <w:br/>
        <w:t xml:space="preserve">   mayo de 2015, el Estado informó que “se orden[ó] el arraigo  y  detención</w:t>
        <w:br/>
        <w:t xml:space="preserve">   al señor Velásquez […] [debido al] inicio [de] un proceso en [su]  contra</w:t>
        <w:br/>
        <w:t xml:space="preserve">   […] con fecha once de septiembre de dos mil  uno”,  dentro  del  cual  se</w:t>
        <w:br/>
        <w:t xml:space="preserve">   remitió un oficio para que se dejara sin efecto la orden de  aprehensión;</w:t>
        <w:br/>
        <w:t xml:space="preserve">   sin embargo, no se habría gestionado, ocasionando la detención del  señor</w:t>
        <w:br/>
        <w:t xml:space="preserve">   Velásquez. Asimismo, el Estado manifestó  que,  una  vez  corroborada  la</w:t>
        <w:br/>
        <w:t xml:space="preserve">   “situación jurídica del señor Jorge Rolando Velásquez, se  prosiguió  sin</w:t>
        <w:br/>
        <w:t xml:space="preserve">   demora  […]  a  ponerlo  en  libertad”,  resaltando  que  este   fue   un</w:t>
        <w:br/>
        <w:t xml:space="preserve">   acontecimiento aislado y que no existiría ningún tipo de  represalias  en</w:t>
        <w:br/>
        <w:t xml:space="preserve">   su contra. Los representantes y la Comisión remitieron  observaciones  al</w:t>
        <w:br/>
        <w:t xml:space="preserve">   escrito del Estado el 8 y  10  de  junio  de  2015,  respectivamente.  Al</w:t>
        <w:br/>
        <w:t xml:space="preserve">   respecto, los representantes informaron que, después de la detención  del</w:t>
        <w:br/>
        <w:t xml:space="preserve">   señor Jorge Velásquez Durán, se llevó a cabo una “audiencia oral”  en  la</w:t>
        <w:br/>
        <w:t xml:space="preserve">   cual el juez ordenó su “inmediata libertad, […] bajo condición de  medida</w:t>
        <w:br/>
        <w:t xml:space="preserve">   sustitutiva de presentar[se]  al  Juzgado  de  origen”  para  aclarar  la</w:t>
        <w:br/>
        <w:t xml:space="preserve">   situación. Al día siguiente el señor Velásquez  se  presentó  al  Juzgado</w:t>
        <w:br/>
        <w:t xml:space="preserve">   Octavo de Primera Instancia Penal, Narcoactividad  y  Delitos  contra  el</w:t>
        <w:br/>
        <w:t xml:space="preserve">   Ambiente, quien constató que no estaba vigente dicha orden de aprehensión</w:t>
        <w:br/>
        <w:t xml:space="preserve">   y ordenó reiterar su revocación.</w:t>
        <w:br/>
        <w:br/>
        <w:t>13. Alegatos y observaciones finales escritos.- El 22 de  mayo  de  2015  el</w:t>
        <w:br/>
        <w:t xml:space="preserve">   Estado, los representantes  y  la  Comisión  remitieron  sus  alegatos  y</w:t>
        <w:br/>
        <w:t xml:space="preserve">   observaciones finales escritas, respectivamente. El Estado remitió anexos</w:t>
        <w:br/>
        <w:t xml:space="preserve">   junto con su escrito. El 15 y 18 de junio de 2015, los  representantes  y</w:t>
        <w:br/>
        <w:t xml:space="preserve">   la Comisión presentaron sus observaciones a los anexos presentados por el</w:t>
        <w:br/>
        <w:t xml:space="preserve">   Estado junto con los alegatos finales escritos.</w:t>
        <w:br/>
        <w:br/>
        <w:t>14. Deliberación del presente caso.– La Corte inició la deliberación  de  la</w:t>
        <w:br/>
        <w:t xml:space="preserve">   presente Sentencia el 16 de noviembre de 2015.</w:t>
        <w:br/>
        <w:br/>
        <w:br/>
        <w:br/>
        <w:t xml:space="preserve">                                     III</w:t>
        <w:br/>
        <w:t xml:space="preserve">                                 COMPETENCIA</w:t>
        <w:br/>
        <w:br/>
        <w:t>15. La Corte Interamericana es competente para conocer el presente caso,  en</w:t>
        <w:br/>
        <w:t xml:space="preserve">   los términos del  artículo  62.3  de  la  Convención  Americana,  ya  que</w:t>
        <w:br/>
        <w:t xml:space="preserve">   Guatemala es Estado Parte de dicho instrumento desde el  25  de  mayo  de</w:t>
        <w:br/>
        <w:t xml:space="preserve">   1978 y reconoció la competencia contenciosa de la Corte el 9 de marzo  de</w:t>
        <w:br/>
        <w:t xml:space="preserve">   1987.</w:t>
        <w:br/>
        <w:br/>
        <w:t xml:space="preserve">                                     IV</w:t>
        <w:br/>
        <w:t xml:space="preserve">                          EXCEPCIONES PRELIMINARES</w:t>
        <w:br/>
        <w:br/>
        <w:t>A. Excepción preliminar de falta de competencia material sobre el artículo</w:t>
        <w:br/>
        <w:t>7 de la Convención de Belém do Pará</w:t>
        <w:br/>
        <w:br/>
        <w:t xml:space="preserve">      A.1. Argumentos de las partes y la Comisión</w:t>
        <w:br/>
        <w:br/>
        <w:t>16. El Estado sostuvo que la Corte no es competente para conocer  este  caso</w:t>
        <w:br/>
        <w:t xml:space="preserve">   en relación con las presuntas violaciones de derechos reconocidos  en  la</w:t>
        <w:br/>
        <w:t xml:space="preserve">   Convención de Belém do Pará. Argumentó que,  al  aceptar  la  competencia</w:t>
        <w:br/>
        <w:t xml:space="preserve">   contenciosa  de  la  Corte,  lo  hizo  sobre  casos   “relativos   a   la</w:t>
        <w:br/>
        <w:t xml:space="preserve">   interpretación o aplicación de la Convención Americana”, y que en  ningún</w:t>
        <w:br/>
        <w:t xml:space="preserve">   momento facultó al Tribunal para que pudiera conocer de casos relativos a</w:t>
        <w:br/>
        <w:t xml:space="preserve">   la interpretación o aplicación de otros tratados internacionales.  Señaló</w:t>
        <w:br/>
        <w:t xml:space="preserve">   que el artículo 12 de la  Convención  de  Belém  do  Pará[3]  no  implica</w:t>
        <w:br/>
        <w:t xml:space="preserve">   automáticamente que la Corte tenga  competencia  rationae  materiae  para</w:t>
        <w:br/>
        <w:t xml:space="preserve">   conocer y resolver denuncias basadas en dicho tratado, ya que para que el</w:t>
        <w:br/>
        <w:t xml:space="preserve">   Tribunal pudiera pronunciarse sobre violaciones a derechos contenidos  en</w:t>
        <w:br/>
        <w:t xml:space="preserve">   instrumentos distintos a la Convención Americana,  los  Estados  tuvieron</w:t>
        <w:br/>
        <w:t xml:space="preserve">   que haberla facultado expresamente.</w:t>
        <w:br/>
        <w:br/>
        <w:t>17. La Comisión advirtió que el Estado interpuso esta excepción en  el  Caso</w:t>
        <w:br/>
        <w:t xml:space="preserve">   Veliz Franco y otros, y que fue desestimada por la Corte con base  en  su</w:t>
        <w:br/>
        <w:t xml:space="preserve">   reiterada  jurisprudencia  mediante   la   cual   ha   venido   aplicando</w:t>
        <w:br/>
        <w:t xml:space="preserve">   directamente el artículo 7 de la Convención de Belém do Pará, entendiendo</w:t>
        <w:br/>
        <w:t xml:space="preserve">   que el artículo 12 de dicho instrumento incorpora una cláusula general de</w:t>
        <w:br/>
        <w:t xml:space="preserve">   competencia aceptada por los Estados al momento de ratificar o  adherirse</w:t>
        <w:br/>
        <w:t xml:space="preserve">   a este. Por tanto, solicitó a la  Corte  que  declare  improcedente  esta</w:t>
        <w:br/>
        <w:t xml:space="preserve">   excepción preliminar.</w:t>
        <w:br/>
        <w:br/>
        <w:t>18. Los  representantes  coincidieron  con  la  Comisión  y  reiteraron  los</w:t>
        <w:br/>
        <w:t xml:space="preserve">   criterios establecidos  en  los  casos  Veliz  Franco  y  otros  y  Campo</w:t>
        <w:br/>
        <w:t xml:space="preserve">   Algodonero. Además,  agregaron  que  es  falso  que  el  Estado  no  haya</w:t>
        <w:br/>
        <w:t xml:space="preserve">   reconocido “en ningún momento” la competencia del Tribunal  para  conocer</w:t>
        <w:br/>
        <w:t xml:space="preserve">   violaciones a los derechos reconocidos en la Convención de Belém do Pará,</w:t>
        <w:br/>
        <w:t xml:space="preserve">   ya que en los casos Masacres  de  Río  Negro  y  Gudiel  Álvarez  (Diario</w:t>
        <w:br/>
        <w:t xml:space="preserve">   Militar) se declaró la responsabilidad internacional de Guatemala por  la</w:t>
        <w:br/>
        <w:t xml:space="preserve">   violación  del  artículo  7  de  la  Convención  de  Belém  do   Pará[4],</w:t>
        <w:br/>
        <w:t xml:space="preserve">   “responsabilidad que fue reconocida por el mismo [Estado] sin  cuestionar</w:t>
        <w:br/>
        <w:t xml:space="preserve">   la competencia de la Corte”.</w:t>
        <w:br/>
        <w:br/>
        <w:t xml:space="preserve">      A.2. Consideraciones de la Corte</w:t>
        <w:br/>
        <w:br/>
        <w:t>19.  El  Estado  ratificó  la  Convención  Interamericana   para   Prevenir,</w:t>
        <w:br/>
        <w:t xml:space="preserve">   Sancionar y Erradicar la Violencia  contra  la  Mujer  (en  adelante  “la</w:t>
        <w:br/>
        <w:t xml:space="preserve">   Convención de Belém do Pará”) el 4  de  enero  de  1995  sin  reservas  o</w:t>
        <w:br/>
        <w:t xml:space="preserve">   limitaciones. El artículo 12 de ese tratado indica la posibilidad  de  la</w:t>
        <w:br/>
        <w:t xml:space="preserve">   presentación de “peticiones” a la  Comisión,  referidas  a  “denuncias  o</w:t>
        <w:br/>
        <w:t xml:space="preserve">   quejas de violación de [su] artículo 7”, estableciendo que  “la  Comisión</w:t>
        <w:br/>
        <w:t xml:space="preserve">   las  considerará  de  acuerdo  con  las  normas  y  los   requisitos   de</w:t>
        <w:br/>
        <w:t xml:space="preserve">   procedimiento  para  la  presentación  y  consideración   de   peticiones</w:t>
        <w:br/>
        <w:t xml:space="preserve">   estipulados en la Convención Americana sobre Derechos  Humanos  y  en  el</w:t>
        <w:br/>
        <w:t xml:space="preserve">   Estatuto y el Reglamento de la Comisión”. Como ha indicado  la  Corte  en</w:t>
        <w:br/>
        <w:t xml:space="preserve">   los casos González y otras (“Campo Algodonero”) Vs. México, Véliz  Franco</w:t>
        <w:br/>
        <w:t xml:space="preserve">   Vs. Guatemala y Caso Espinoza González Vs. Perú,  “parece  claro  que  el</w:t>
        <w:br/>
        <w:t xml:space="preserve">   tenor literal del artículo 12 de la  Convención  Belém  do  Pará  concede</w:t>
        <w:br/>
        <w:t xml:space="preserve">   competencia a la Corte, al no exceptuar de su aplicación ninguna  de  las</w:t>
        <w:br/>
        <w:t xml:space="preserve">   normas  y   requisitos   de   procedimiento   para   las   comunicaciones</w:t>
        <w:br/>
        <w:t xml:space="preserve">   individuales”[5]. Cabe destacar que en otros  casos  contenciosos  contra</w:t>
        <w:br/>
        <w:t xml:space="preserve">   Guatemala[6], la Corte declaró  la  responsabilidad  del  Estado  por  la</w:t>
        <w:br/>
        <w:t xml:space="preserve">   violación del artículo 7 de la Convención de Belém do Pará y no encuentra</w:t>
        <w:br/>
        <w:t xml:space="preserve">   elementos que justifiquen apartarse de su jurisprudencia. Por  lo  tanto,</w:t>
        <w:br/>
        <w:t xml:space="preserve">   la Corte desestima la excepción preliminar de falta de competencia de  la</w:t>
        <w:br/>
        <w:t xml:space="preserve">   Corte para conocer sobre el artículo 7 de la Convención de Belém do Pará.</w:t>
        <w:br/>
        <w:br/>
        <w:t>B. Excepción a la falta de agotamiento de los recursos internos</w:t>
        <w:br/>
        <w:br/>
        <w:t xml:space="preserve">      B.1. Argumentos de las partes y la Comisión</w:t>
        <w:br/>
        <w:br/>
        <w:t>20. El Estado alegó que el presente caso no se debió someter a  conocimiento</w:t>
        <w:br/>
        <w:t xml:space="preserve">   de la Corte debido a que los recursos internos aún  no  se  han  agotado.</w:t>
        <w:br/>
        <w:t xml:space="preserve">   Manifestó que no se cumplen las excepciones del artículo  46.2  literales</w:t>
        <w:br/>
        <w:t xml:space="preserve">   a, b y c de la Convención Americana[7], pues  en  ningún  momento  se  ha</w:t>
        <w:br/>
        <w:t xml:space="preserve">   negado el acceso a la justicia a los familiares de la presunta víctima  y</w:t>
        <w:br/>
        <w:t xml:space="preserve">   el caso continúa bajo investigación, sin que aquellos hayan hecho uso  de</w:t>
        <w:br/>
        <w:t xml:space="preserve">   los recursos que la ley contempla. En este sentido, señaló, primero,  que</w:t>
        <w:br/>
        <w:t xml:space="preserve">   dentro de la legislación  interna  existe  el  debido  proceso  que  debe</w:t>
        <w:br/>
        <w:t xml:space="preserve">   agotarse y mencionó la  legislación  procesal  interna  del  Estado;  por</w:t>
        <w:br/>
        <w:t xml:space="preserve">   tanto, las personas consideradas como víctimas dentro de un proceso penal</w:t>
        <w:br/>
        <w:t xml:space="preserve">   cuentan con una serie de garantías  y  derechos  reconocidos  para  poder</w:t>
        <w:br/>
        <w:t xml:space="preserve">   promover e impulsar el proceso de investigación o  el  proceso  judicial.</w:t>
        <w:br/>
        <w:t xml:space="preserve">   Incluso, pueden ejercer el control del procedimiento  si  consideran  que</w:t>
        <w:br/>
        <w:t xml:space="preserve">   este ha sido ineficaz,  inconsistente,  mal  manejado  o  exista  retardo</w:t>
        <w:br/>
        <w:t xml:space="preserve">   injustificado, sea en la etapa de investigación o en el proceso judicial.</w:t>
        <w:br/>
        <w:t xml:space="preserve">   Segundo, sostuvo que en ningún momento se negó el acceso a la  justica  a</w:t>
        <w:br/>
        <w:t xml:space="preserve">   los familiares de la presunta víctima, ni se les ha impedido  agotar  los</w:t>
        <w:br/>
        <w:t xml:space="preserve">   recursos internos, y que el hecho que no se haya  logrado  individualizar</w:t>
        <w:br/>
        <w:t xml:space="preserve">   al responsable de la muerte, no se debe a falta de voluntad  del  Estado,</w:t>
        <w:br/>
        <w:t xml:space="preserve">   sino a la complejidad del caso. Tercero, señaló que no se ha vulnerado el</w:t>
        <w:br/>
        <w:t xml:space="preserve">   plazo razonable, ya que es un caso complejo, no existe inactividad en  el</w:t>
        <w:br/>
        <w:t xml:space="preserve">   proceso de investigación y el actual Código Procesal Penal establece  una</w:t>
        <w:br/>
        <w:t xml:space="preserve">   serie de derechos y herramientas, las cuales permiten que los  familiares</w:t>
        <w:br/>
        <w:t xml:space="preserve">   puedan denunciar o participar activamente en la investigación.</w:t>
        <w:br/>
        <w:br/>
        <w:t>21.  La  Comisión  confirmó  que  el   Estado   interpuso   esta   excepción</w:t>
        <w:br/>
        <w:t xml:space="preserve">   oportunamente durante la etapa de admisibilidad  ante  ella,  y  que,  en</w:t>
        <w:br/>
        <w:t xml:space="preserve">   respuesta, en los párrafos 29 a 31 de su Informe  de  Admisibilidad  tomó</w:t>
        <w:br/>
        <w:t xml:space="preserve">   nota de que la investigación continuaba abierta y aplicó la excepción  de</w:t>
        <w:br/>
        <w:t xml:space="preserve">   retardo injustificado establecida en el artículo 46.2.c de la  Convención</w:t>
        <w:br/>
        <w:t xml:space="preserve">   Americana, después de cinco años de la muerte de la presunta víctima  sin</w:t>
        <w:br/>
        <w:t xml:space="preserve">   que el Estado hubiera proporcionado información sobre la  conclusión  del</w:t>
        <w:br/>
        <w:t xml:space="preserve">   proceso, o sobre las medidas dispuestas para que avanzara más allá de  la</w:t>
        <w:br/>
        <w:t xml:space="preserve">   etapa  inicial  de  investigación,  o  sobre  las  diligencias  recientes</w:t>
        <w:br/>
        <w:t xml:space="preserve">   llevadas a cabo o avances que conducirían a esclarecer  los  hechos  y  a</w:t>
        <w:br/>
        <w:t xml:space="preserve">   sancionar a los  responsables,  y  sin  que  presentara  información  que</w:t>
        <w:br/>
        <w:t xml:space="preserve">   permitiera concluir que la investigación estuviera revestida de idoneidad</w:t>
        <w:br/>
        <w:t xml:space="preserve">   y efectividad.  Todo  ello,  en  un  alegado  contexto  de  impunidad  de</w:t>
        <w:br/>
        <w:t xml:space="preserve">   violencia contra las mujeres  en  Guatemala.  Indicó  que  la  Convención</w:t>
        <w:br/>
        <w:t xml:space="preserve">   Americana le atribuye las decisiones en  materia  de  admisibilidad,  las</w:t>
        <w:br/>
        <w:t xml:space="preserve">   cuales son adoptadas de conformidad  con  la  información  disponible  al</w:t>
        <w:br/>
        <w:t xml:space="preserve">   momento de dicho pronunciamiento. Advirtió que los  indicios  tomados  en</w:t>
        <w:br/>
        <w:t xml:space="preserve">   cuenta en el Informe de Admisibilidad fueron “plenamente confirmados”  en</w:t>
        <w:br/>
        <w:t xml:space="preserve">   la etapa de fondo, ya que concluyó la responsabilidad del Estado  por  la</w:t>
        <w:br/>
        <w:t xml:space="preserve">   denegación de justicia conforme los artículos 8 y 25 de la Convención.</w:t>
        <w:br/>
        <w:br/>
        <w:t>22. Los representantes coincidieron con la Comisión. Además,  agregaron  que</w:t>
        <w:br/>
        <w:t>los períodos de mayor actividad en la investigación, sin que  por  ello  se</w:t>
        <w:br/>
        <w:t>trate  de  gestiones  efectivas,  coinciden  con   etapas   cruciales   del</w:t>
        <w:br/>
        <w:t>procesamiento del caso ante el sistema interamericano y, en todo caso,  son</w:t>
        <w:br/>
        <w:t>resultado del impulso que  ha  dado  al  proceso  el  señor  Jorge  Rolando</w:t>
        <w:br/>
        <w:t>Velásquez Durán, padre de la presunta víctima, en  calidad  de  querellante</w:t>
        <w:br/>
        <w:t>adhesivo. Argumentaron que la alegada complejidad es resultado  del  actuar</w:t>
        <w:br/>
        <w:t>estatal al haber cometido errores graves en el  manejo  de  la  escena  del</w:t>
        <w:br/>
        <w:t>crimen y haber esperado años antes de realizar  diligencias  investigativas</w:t>
        <w:br/>
        <w:t>de  rutina.  Resaltaron  también  que,  pese  a  resistencia  y  desinterés</w:t>
        <w:br/>
        <w:t>constante por el Ministerio Público,  los  esfuerzos  continuos  del  señor</w:t>
        <w:br/>
        <w:t>Velásquez Durán han permitido “[l]a mayor  parte  de  los  indicios  y  las</w:t>
        <w:br/>
        <w:t>líneas de investigación”, así  como  las  diligencias  presentadas  por  el</w:t>
        <w:br/>
        <w:t>Estado como prueba de su supuesto actuar diligente.</w:t>
        <w:br/>
        <w:br/>
        <w:br/>
        <w:t xml:space="preserve">      B.2. Consideraciones de la Corte</w:t>
        <w:br/>
        <w:br/>
        <w:br/>
        <w:t>23. La Convención Americana prevé en el artículo  46.1.a)  que  uno  de  los</w:t>
        <w:br/>
        <w:t>requisitos “[p]ara que una petición o comunicación […] sea admitida por  la</w:t>
        <w:br/>
        <w:t>Comisión”, consistente en que “se hayan interpuesto y agotado los  recursos</w:t>
        <w:br/>
        <w:t>de  jurisdicción  interna,  conforme   a   los   principios   del   Derecho</w:t>
        <w:br/>
        <w:t>Internacional generalmente reconocidos”.  Una  de  las  excepciones  a  ese</w:t>
        <w:br/>
        <w:t>requisito, establecida en el apartado c) del inciso 2  del  mismo  artículo</w:t>
        <w:br/>
        <w:t>46, se presenta cuando “haya retardo injustificado en la decisión sobre los</w:t>
        <w:br/>
        <w:t>mencionados recursos”. En este caso, en  la  petición  inicial  del  10  de</w:t>
        <w:br/>
        <w:t>diciembre de 2007, se invocó el artículo 46.2 de la Convención para señalar</w:t>
        <w:br/>
        <w:t>que no procedía agotar previamente los recursos  internos.  Por  su  parte,</w:t>
        <w:br/>
        <w:t>dentro del procedimiento de  admisibilidad  ante  la  Comisión  y  mediante</w:t>
        <w:br/>
        <w:t>comunicación de 17 de mayo de  2010,  el  Estado  alegó  que  no  se  había</w:t>
        <w:br/>
        <w:t>cumplido con el requisito  de  agotamiento  de  recursos  internos[8].  Por</w:t>
        <w:br/>
        <w:t>tanto, la  presente  excepción  preliminar  fue  planteada  en  el  momento</w:t>
        <w:br/>
        <w:t>procesal oportuno. En el Informe de Admisibilidad de 4 de octubre de  2010,</w:t>
        <w:br/>
        <w:t>la Comisión aplicó la excepción al requisito de agotamiento de los recursos</w:t>
        <w:br/>
        <w:t>internos  prevista  en  el  artículo  46.2.c  de  la  Convención,  ya   que</w:t>
        <w:br/>
        <w:t>“verific[ó]  un  retardo   injustificado   por   parte   de   los   órganos</w:t>
        <w:br/>
        <w:t>jurisdiccionales guatemaltecos respecto a los hechos denunciados”[9].</w:t>
        <w:br/>
        <w:br/>
        <w:br/>
        <w:t>24. La Corte recuerda que, para que proceda la excepción  preliminar  de  la</w:t>
        <w:br/>
        <w:t xml:space="preserve">   falta de agotamiento de los recursos internos,  el  Estado  que  presenta</w:t>
        <w:br/>
        <w:t xml:space="preserve">   esta excepción debe especificar los recursos internos que aún no  se  han</w:t>
        <w:br/>
        <w:t xml:space="preserve">   agotado, y demostrar que estos recursos se encontraban disponibles y eran</w:t>
        <w:br/>
        <w:t xml:space="preserve">   adecuados, idóneos y efectivos[10]. De esta forma,  no  es  tarea  de  la</w:t>
        <w:br/>
        <w:t xml:space="preserve">   Corte, ni de la Comisión, identificar ex officio cuáles son los  recursos</w:t>
        <w:br/>
        <w:t xml:space="preserve">   internos pendientes de agotamiento. El Tribunal resalta que no compete  a</w:t>
        <w:br/>
        <w:t xml:space="preserve">   los órganos  internacionales  subsanar  la  falta  de  precisión  de  los</w:t>
        <w:br/>
        <w:t xml:space="preserve">   alegatos del Estado[11].</w:t>
        <w:br/>
        <w:br/>
        <w:br/>
        <w:br/>
        <w:t>25. Por otra  parte,  el  artículo  46.2  de  la  Convención  prevé  que  el</w:t>
        <w:br/>
        <w:t xml:space="preserve">   requisito de previo agotamiento  de  los  recursos  internos  no  resulta</w:t>
        <w:br/>
        <w:t xml:space="preserve">   aplicable cuando: a) no exista en la legislación interna  del  Estado  de</w:t>
        <w:br/>
        <w:t xml:space="preserve">   que se trata el debido proceso legal para la  protección  del  derecho  o</w:t>
        <w:br/>
        <w:t xml:space="preserve">   derechos que se alega han sido violados;  b)  no  se  haya  permitido  al</w:t>
        <w:br/>
        <w:t xml:space="preserve">   presunto lesionado en sus  derechos  el  acceso  a  los  recursos  de  la</w:t>
        <w:br/>
        <w:t xml:space="preserve">   jurisdicción interna, o haya  sido  impedido  de  agotarlos,  y  c)  haya</w:t>
        <w:br/>
        <w:t xml:space="preserve">   retardo injustificado en la decisión sobre los mencionados  recursos.  Al</w:t>
        <w:br/>
        <w:t xml:space="preserve">   respecto, la Corte ha señalado que no procede agotar recursos ineficaces:</w:t>
        <w:br/>
        <w:br/>
        <w:br/>
        <w:t xml:space="preserve">      […] se requiere que [el recurso] sea realmente idóneo para  establecer</w:t>
        <w:br/>
        <w:t xml:space="preserve">      si se ha incurrido en una violación a los derechos humanos  y  proveer</w:t>
        <w:br/>
        <w:t xml:space="preserve">      lo  necesario  para  remediarla.  No  pueden  considerarse   efectivos</w:t>
        <w:br/>
        <w:t xml:space="preserve">      aquellos recursos que,  por  las  condiciones  generales  del  país  o</w:t>
        <w:br/>
        <w:t xml:space="preserve">      incluso por las circunstancias particulares de un caso dado,  resulten</w:t>
        <w:br/>
        <w:t xml:space="preserve">      ilusorios[12]. Ello puede ocurrir, por ejemplo, cuando  su  inutilidad</w:t>
        <w:br/>
        <w:t xml:space="preserve">      haya quedado demostrada por  la  práctica,  […o]  por  cualquier  otra</w:t>
        <w:br/>
        <w:t xml:space="preserve">      situación que configure un cuadro de denegación de justicia[13],  como</w:t>
        <w:br/>
        <w:t xml:space="preserve">      sucede cuando se incurre en retardo injustificado en la decisión.</w:t>
        <w:br/>
        <w:br/>
        <w:br/>
        <w:br/>
        <w:t>26. Al respecto y tal como ya se señaló, en la  petición  inicial  del  caso</w:t>
        <w:br/>
        <w:t xml:space="preserve">   ante la Comisión, los representantes sostuvieron que la regla del  previo</w:t>
        <w:br/>
        <w:t xml:space="preserve">   agotamiento de los recursos internos no tiene aplicación en  el  presente</w:t>
        <w:br/>
        <w:t xml:space="preserve">   caso en virtud del artículo 46.2 de la Convención, dado que, pese  a  los</w:t>
        <w:br/>
        <w:t xml:space="preserve">   esfuerzos del padre de Claudina Velásquez como querellante adhesivo:</w:t>
        <w:br/>
        <w:br/>
        <w:br/>
        <w:t xml:space="preserve">      [L]e ha sido prácticamente imposible obtener un avance  sustancial  en</w:t>
        <w:br/>
        <w:t xml:space="preserve">      las investigaciones […]. En diversas oportunidades el señor  Velásquez</w:t>
        <w:br/>
        <w:t xml:space="preserve">      Durán  ha  solicitado  al  Ministerio  Público   la   realización   de</w:t>
        <w:br/>
        <w:t xml:space="preserve">      diligencias de investigación que requieren  de  autorización  judicial</w:t>
        <w:br/>
        <w:t xml:space="preserve">      […]. Si bien algunos de ellas se han realizado, su diligenciamiento ha</w:t>
        <w:br/>
        <w:t xml:space="preserve">      sido extremadamente tardío, propiciando de esa  forma  su  ineficacia.</w:t>
        <w:br/>
        <w:t xml:space="preserve">      […]  Frente  a  las  deficiencias  del  Ministerio  Público  el  señor</w:t>
        <w:br/>
        <w:t xml:space="preserve">      Velásquez interpuso una queja ante la  Supervisión  General  de  dicha</w:t>
        <w:br/>
        <w:t xml:space="preserve">      institución, [a efectos]  de  sancionar  a  los  responsables  de  las</w:t>
        <w:br/>
        <w:t xml:space="preserve">      violaciones al debido proceso […].  A  pesar  de  que  la  supervisión</w:t>
        <w:br/>
        <w:t xml:space="preserve">      concluyó que con este procedimiento se dio ‘un tratamiento  inadecuado</w:t>
        <w:br/>
        <w:t xml:space="preserve">      a la víctima, a sus padres y familiares […]’, únicamente hizo  un  par</w:t>
        <w:br/>
        <w:t xml:space="preserve">      de recomendaciones. […] El Procurador de los Derechos Humanos, por  su</w:t>
        <w:br/>
        <w:t xml:space="preserve">      parte, declaró en resolución de fecha veinte de julio de dos mil seis,</w:t>
        <w:br/>
        <w:t xml:space="preserve">      que los procedimientos internos del Ministerio Público no habían  sido</w:t>
        <w:br/>
        <w:t xml:space="preserve">      adecuados para tutelar los derechos del señor Velásquez Durán. Por  lo</w:t>
        <w:br/>
        <w:t xml:space="preserve">      tanto, la negligencia, las deficiencias de investigación,  el  retardo</w:t>
        <w:br/>
        <w:t xml:space="preserve">      en la realización de diligencias y el  trato  humillante  no  ha  sido</w:t>
        <w:br/>
        <w:t xml:space="preserve">      objeto de amonestaciones disciplinarias o administrativas  dentro  del</w:t>
        <w:br/>
        <w:t xml:space="preserve">      Ministerio Público, exhibiendo de esta forma un patrón  de  tolerancia</w:t>
        <w:br/>
        <w:t xml:space="preserve">      hacia este tipo de prácticas.</w:t>
        <w:br/>
        <w:br/>
        <w:t>27. Por su parte, en la mencionada comunicación de 17 de  mayo  de  2010  el</w:t>
        <w:br/>
        <w:t xml:space="preserve">   Estado señaló, en cuanto al proceso de  investigación  de  la  muerte  de</w:t>
        <w:br/>
        <w:t xml:space="preserve">   Claudina Velásquez, que “los auxiliares de justicia  que  conocieron  del</w:t>
        <w:br/>
        <w:t xml:space="preserve">   hecho  en  2005,  realizaron  acciones  de  urgencia  para  reca[b]ar  la</w:t>
        <w:br/>
        <w:t xml:space="preserve">   evidencia, acciones que fueron mal vistas por la familia Velásquez  Paiz,</w:t>
        <w:br/>
        <w:t xml:space="preserve">   por  lo  que  los  auxiliares  de   justicia   tuvieron   las   sanciones</w:t>
        <w:br/>
        <w:t xml:space="preserve">   correspondientes”.  Asimismo,  sostuvo:  i)   que   “contin[uaba]   dando</w:t>
        <w:br/>
        <w:t xml:space="preserve">   seguimiento a todas las acciones de investigación a través del Ministerio</w:t>
        <w:br/>
        <w:t xml:space="preserve">   Público”; ii) que el “procedimiento  de  investigación  […]  no  est[aba]</w:t>
        <w:br/>
        <w:t xml:space="preserve">   concluido”; iii) que  “en  la  línea  de  investigación  que  actualmente</w:t>
        <w:br/>
        <w:t xml:space="preserve">   realiza  el  Ministerio  Público,  se  tiene  información  de   presuntos</w:t>
        <w:br/>
        <w:t xml:space="preserve">   sospechosos para la presentación de una posible acusación”, y iv) que “la</w:t>
        <w:br/>
        <w:t xml:space="preserve">   petición e[ra] inadmisible en virtud que aún no se ha[bían] interpuesto y</w:t>
        <w:br/>
        <w:t xml:space="preserve">   agotado los recursos de la jurisdicción interna”.</w:t>
        <w:br/>
        <w:br/>
        <w:t>28. Al respecto, la Corte considera que, en  su  escrito,  el  mismo  Estado</w:t>
        <w:br/>
        <w:t xml:space="preserve">   aceptó que hasta la fecha hubo acciones por parte de “los  auxiliares  de</w:t>
        <w:br/>
        <w:t xml:space="preserve">   justicia” que merecieron ser sancionadas,  admitiendo  implícitamente  la</w:t>
        <w:br/>
        <w:t xml:space="preserve">   posibilidad de que, al momento en que fue interpuesta  la  petición,  los</w:t>
        <w:br/>
        <w:t xml:space="preserve">   recursos de la jurisdicción interna sufrían de retardos injustificados  o</w:t>
        <w:br/>
        <w:t xml:space="preserve">   falta de efectividad (supra párr. 27). En  este  sentido,  consta  en  el</w:t>
        <w:br/>
        <w:t xml:space="preserve">   expediente una Resolución de  fecha  20  de  julio  de  2006,  es  decir,</w:t>
        <w:br/>
        <w:t xml:space="preserve">   anterior a la fecha en que fue interpuesta la petición inicial y anterior</w:t>
        <w:br/>
        <w:t xml:space="preserve">   al escrito de Estado señalado, mediante la cual la  Procuraduría  de  los</w:t>
        <w:br/>
        <w:t xml:space="preserve">   Derechos Humanos de Guatemala declaró “la violación al deber de  respetar</w:t>
        <w:br/>
        <w:t xml:space="preserve">   y garantizar los derechos a la  vida,  a  la  seguridad  personal,  a  la</w:t>
        <w:br/>
        <w:t xml:space="preserve">   justicia dentro del plazo razonable y al derecho  a  la  tutela  judicial</w:t>
        <w:br/>
        <w:t xml:space="preserve">   efectiva de Claudina Isabel Velásquez Paiz y sus familiares”, así como la</w:t>
        <w:br/>
        <w:t xml:space="preserve">   “[v]iolación al derecho a ser tratado con dignidad  y  respeto  para  los</w:t>
        <w:br/>
        <w:t xml:space="preserve">   familiares de la víctima que han exigido justicia”[14]. Por  otra  parte,</w:t>
        <w:br/>
        <w:t xml:space="preserve">   es procedente considerar que si bien el Estado indicó en su escrito de 17</w:t>
        <w:br/>
        <w:t xml:space="preserve">   de mayo de 2010, por medio del cual contestó lo afirmado en  la  petición</w:t>
        <w:br/>
        <w:t xml:space="preserve">   inicial, que no se habían agotado previamente los recursos  internos,  no</w:t>
        <w:br/>
        <w:t xml:space="preserve">   hizo mención alguna a cuáles aún no se habían agotado ni demostró que los</w:t>
        <w:br/>
        <w:t xml:space="preserve">   que se encontraban disponibles y eran adecuados, idóneos y efectivos.  En</w:t>
        <w:br/>
        <w:t xml:space="preserve">   virtud de las consideraciones anteriores, la Corte desestima la excepción</w:t>
        <w:br/>
        <w:t xml:space="preserve">   preliminar interpuesta por el Estado.</w:t>
        <w:br/>
        <w:br/>
        <w:t xml:space="preserve">                                      V</w:t>
        <w:br/>
        <w:t xml:space="preserve">                                   PRUEBA</w:t>
        <w:br/>
        <w:br/>
        <w:t xml:space="preserve">                                          A. Prueba documental, testimonial</w:t>
        <w:br/>
        <w:t xml:space="preserve">                                             y pericial</w:t>
        <w:br/>
        <w:br/>
        <w:t>29. Este Tribunal recibió diversos documentos presentados  como  prueba  por</w:t>
        <w:br/>
        <w:t xml:space="preserve">   la Comisión y las partes, adjuntos  a  sus  escritos  principales  (supra</w:t>
        <w:br/>
        <w:t xml:space="preserve">   párrs. 4, 7 y 8). De igual forma, la Corte recibió del Estado, documentos</w:t>
        <w:br/>
        <w:t xml:space="preserve">   solicitados como prueba  para  mejor  resolver,  de  conformidad  con  el</w:t>
        <w:br/>
        <w:t xml:space="preserve">   artículo 58 del Reglamento (supra párr. 11). Además, la Corte recibió las</w:t>
        <w:br/>
        <w:t xml:space="preserve">   declaraciones  rendidas  ante  fedatario  público  (affidávit)  por:  las</w:t>
        <w:br/>
        <w:t xml:space="preserve">   presuntas víctimas Elsa Claudina Paiz  Vidal  y  Pablo  Andrés  Velásquez</w:t>
        <w:br/>
        <w:t xml:space="preserve">   Paiz, la testigo Andrea Cristina Utrera Martínez, así  como  los  peritos</w:t>
        <w:br/>
        <w:t xml:space="preserve">   Karen   Musalo   y   Alberto   Bovino,   todos    ofrecidos    por    los</w:t>
        <w:br/>
        <w:t xml:space="preserve">   representantes[15]. Por parte de la Comisión se recibieron los dictámenes</w:t>
        <w:br/>
        <w:t xml:space="preserve">   de  las  peritas  Paloma  Soria  Montañez  y  Christine   Mary   Chinkin.</w:t>
        <w:br/>
        <w:t xml:space="preserve">   Igualmente, se recibió la declaración del testigo Víctor Manuel Boror  de</w:t>
        <w:br/>
        <w:t xml:space="preserve">   la Rosa, ofrecido por el  Estado.  En  cuanto  a  la  prueba  rendida  en</w:t>
        <w:br/>
        <w:t xml:space="preserve">   audiencia pública, la Corte escuchó la declaración de la presunta víctima</w:t>
        <w:br/>
        <w:t xml:space="preserve">   Jorge Rolando Velásquez Durán y el dictamen de la perita Claudia González</w:t>
        <w:br/>
        <w:t xml:space="preserve">   Orellana[16], ambos ofrecidos  por  los  representantes.  Finalmente,  la</w:t>
        <w:br/>
        <w:t xml:space="preserve">   Corte recibió diversos documentos presentados con  los  alegatos  finales</w:t>
        <w:br/>
        <w:t xml:space="preserve">   escritos del Estado.</w:t>
        <w:br/>
        <w:br/>
        <w:t xml:space="preserve">                                          B. Admisión de la prueba</w:t>
        <w:br/>
        <w:br/>
        <w:t xml:space="preserve">      B.1.  Admisión de la prueba documental</w:t>
        <w:br/>
        <w:br/>
        <w:t>30. El Tribunal admite los documentos presentados en la  debida  oportunidad</w:t>
        <w:br/>
        <w:t xml:space="preserve">   procesal por las partes y  la  Comisión,  y  cuya  admisibilidad  no  fue</w:t>
        <w:br/>
        <w:t xml:space="preserve">   controvertida ni objetada[17],  así  como  los  documentos  procurados  e</w:t>
        <w:br/>
        <w:t xml:space="preserve">   incorporados de oficio por el Tribunal[18]. Respecto a algunos documentos</w:t>
        <w:br/>
        <w:t xml:space="preserve">   señalados por las partes y la Comisión por medio de enlaces electrónicos,</w:t>
        <w:br/>
        <w:t xml:space="preserve">   este Tribunal ha establecido que si una parte  proporciona  al  menos  el</w:t>
        <w:br/>
        <w:t xml:space="preserve">   enlace electrónico directo del  documento  que  cita  como  prueba  y  es</w:t>
        <w:br/>
        <w:t xml:space="preserve">   posible acceder a este no se ve afectada  la  seguridad  jurídica  ni  el</w:t>
        <w:br/>
        <w:t xml:space="preserve">   equilibrio procesal, porque es inmediatamente localizable por la Corte  y</w:t>
        <w:br/>
        <w:t xml:space="preserve">   por las otras partes[19]. En este caso, no hubo oposición u observaciones</w:t>
        <w:br/>
        <w:t xml:space="preserve">   de las otras partes o la Comisión sobre el contenido  y  autenticidad  de</w:t>
        <w:br/>
        <w:t xml:space="preserve">   tales documentos.</w:t>
        <w:br/>
        <w:br/>
        <w:br/>
        <w:t>31. Con respecto a la oportunidad procesal para la  presentación  de  prueba</w:t>
        <w:br/>
        <w:t xml:space="preserve">   documental, de conformidad con el artículo 57.2 del Reglamento, debe  ser</w:t>
        <w:br/>
        <w:t xml:space="preserve">   presentada, en general, junto con los escritos de sometimiento del  caso,</w:t>
        <w:br/>
        <w:t xml:space="preserve">   de solicitudes y argumentos, o de contestación, según corresponda. No  es</w:t>
        <w:br/>
        <w:t xml:space="preserve">   admisible  la  prueba  remitida  fuera  de  las   debidas   oportunidades</w:t>
        <w:br/>
        <w:t xml:space="preserve">   procesales, salvo en las excepciones establecidas en el referido artículo</w:t>
        <w:br/>
        <w:t xml:space="preserve">   57.2 del Reglamento, a saber, fuerza mayor, impedimento  grave  o  si  se</w:t>
        <w:br/>
        <w:t xml:space="preserve">   tratare de un hecho ocurrido con posterioridad  a  los  citados  momentos</w:t>
        <w:br/>
        <w:t xml:space="preserve">   procesales.</w:t>
        <w:br/>
        <w:br/>
        <w:t>32. El Estado objetó la admisibilidad de los documentos presentados  por  la</w:t>
        <w:br/>
        <w:t xml:space="preserve">   Comisión junto con su Informe de Fondo, que no provienen de instituciones</w:t>
        <w:br/>
        <w:t xml:space="preserve">   públicas o individuos con fe pública,  toda  vez  que  no  sería  posible</w:t>
        <w:br/>
        <w:t xml:space="preserve">   confirmar la veracidad de  los  hechos  ahí  contenidos  por  carecer  de</w:t>
        <w:br/>
        <w:t xml:space="preserve">   fuentes que los acrediten[20]. En cuanto a los documentos presentados por</w:t>
        <w:br/>
        <w:t xml:space="preserve">   los representantes en su escrito de solicitudes y argumentos,  el  Estado</w:t>
        <w:br/>
        <w:t xml:space="preserve">   objetó la admisibilidad del anexo 12,  relacionado  con  el  cálculo  del</w:t>
        <w:br/>
        <w:t xml:space="preserve">   lucro cesante del señor Jorge Rolando Velásquez Durán, por considerar que</w:t>
        <w:br/>
        <w:t xml:space="preserve">   no se ha probado que el padre de  la  víctima  sufra  algún  padecimiento</w:t>
        <w:br/>
        <w:t xml:space="preserve">   físico o psíquico producido por los hechos  del  presente  caso,  que  le</w:t>
        <w:br/>
        <w:t xml:space="preserve">   hayan impedido ejercer su profesión y trabajar regularmente a  partir  de</w:t>
        <w:br/>
        <w:t xml:space="preserve">   la muerte de su hija. Asimismo, objetó las notas de prensa emitidas entre</w:t>
        <w:br/>
        <w:t xml:space="preserve">   los años 2006 y 2007 que constan en el anexo 31, considerando  que  estas</w:t>
        <w:br/>
        <w:t xml:space="preserve">   no son un medio confiable que pueda transmitir  de  manera  objetiva  los</w:t>
        <w:br/>
        <w:t xml:space="preserve">   hechos. Adicionalmente, objetó la admisibilidad del anexo 36, relacionado</w:t>
        <w:br/>
        <w:t xml:space="preserve">   con la evaluación psicológica realizada  a  los  familiares  de  Claudina</w:t>
        <w:br/>
        <w:t xml:space="preserve">   Velásquez Paiz, ya que, según el Estado, el análisis es parcializado.  Al</w:t>
        <w:br/>
        <w:t xml:space="preserve">   respecto, la  Corte  considera  que  los  argumentos  del  Estado  tienen</w:t>
        <w:br/>
        <w:t xml:space="preserve">   relación con el peso y alcances probatorios  de  las  pruebas  objetadas,</w:t>
        <w:br/>
        <w:t xml:space="preserve">   pero no afectan su admisibilidad como parte  del  acervo  probatorio.  De</w:t>
        <w:br/>
        <w:t xml:space="preserve">   este modo, la Corte  estima  procedente  admitir  dichos  documentos.  En</w:t>
        <w:br/>
        <w:t xml:space="preserve">   cuanto a las notas de prensa presentadas, este  Tribunal  ha  considerado</w:t>
        <w:br/>
        <w:t xml:space="preserve">   que podrán ser apreciadas cuando recojan hechos  públicos  y  notorios  o</w:t>
        <w:br/>
        <w:t xml:space="preserve">   declaraciones de funcionarios del Estado, o  cuando  corroboren  aspectos</w:t>
        <w:br/>
        <w:t xml:space="preserve">   relacionados con el caso[21].</w:t>
        <w:br/>
        <w:br/>
        <w:t>33. Por otra parte, los representantes objetaron la  prueba  presentada  por</w:t>
        <w:br/>
        <w:t xml:space="preserve">   el Estado el 25 de marzo de 2015 (supra párr.  11),  por  considerar  que</w:t>
        <w:br/>
        <w:t xml:space="preserve">   contraviene el artículo 41 del Reglamento, ya que “[e]l  Estado  ha[bría]</w:t>
        <w:br/>
        <w:t xml:space="preserve">   tenido tiempo  amplio  para  incluir  pruebas  sobre  las  diligencias  y</w:t>
        <w:br/>
        <w:t xml:space="preserve">   actuaciones de investigación”. Al respecto, mediante la Resolución de  19</w:t>
        <w:br/>
        <w:t xml:space="preserve">   de marzo de 2015 (supra párr. 10), el Presidente de la Corte solicitó  al</w:t>
        <w:br/>
        <w:t xml:space="preserve">   Estado remitir “las piezas del expediente que contienen  las  actuaciones</w:t>
        <w:br/>
        <w:t xml:space="preserve">   procesales realizadas del mes de mayo de 2012 hasta la fecha” como prueba</w:t>
        <w:br/>
        <w:t xml:space="preserve">   para mejor resolver. De este modo, se admite la prueba  aportada  por  el</w:t>
        <w:br/>
        <w:t xml:space="preserve">   Estado en atención a dicha solicitud, de conformidad con el artículo 58.b</w:t>
        <w:br/>
        <w:t xml:space="preserve">   del Reglamento, el cual faculta a la Corte  requerir  de  las  partes  el</w:t>
        <w:br/>
        <w:t xml:space="preserve">   suministro de prueba en cualquier estado de la causa.</w:t>
        <w:br/>
        <w:br/>
        <w:br/>
        <w:t>34. El Estado remitió cinco anexos con sus  alegatos  finales  escritos.  La</w:t>
        <w:br/>
        <w:t xml:space="preserve">   Corte constató que dichos documentos  fueron  remitidos  en  respuesta  a</w:t>
        <w:br/>
        <w:t xml:space="preserve">   preguntas que realizaron los jueces en la audiencia pública al Estado. Ni</w:t>
        <w:br/>
        <w:t xml:space="preserve">   la Comisión ni los  representantes  objetaron  la  admisibilidad  de  los</w:t>
        <w:br/>
        <w:t xml:space="preserve">   mismos.  En  consecuencia,  de  conformidad  con  el  artículo  58.b  del</w:t>
        <w:br/>
        <w:t xml:space="preserve">   Reglamento, la Corte estima procedente admitir dichos documentos.</w:t>
        <w:br/>
        <w:br/>
        <w:br/>
        <w:t xml:space="preserve">      B.2. Admisión de la prueba testimonial y pericial</w:t>
        <w:br/>
        <w:br/>
        <w:t>35. La Corte estima pertinente admitir las declaraciones  de  las  presuntas</w:t>
        <w:br/>
        <w:t xml:space="preserve">   víctimas, los  testigos  y  los  dictámenes  periciales  rendidos  en  la</w:t>
        <w:br/>
        <w:t xml:space="preserve">   audiencia pública y ante fedatario público que no fueron objetados, en lo</w:t>
        <w:br/>
        <w:t xml:space="preserve">   que se ajusten al objeto que  fue  definido  por  la  Presidencia  en  la</w:t>
        <w:br/>
        <w:t xml:space="preserve">   Resolución mediante la cual se ordenó recibirlos (supra párr. 10).</w:t>
        <w:br/>
        <w:br/>
        <w:t>36. En sus alegatos finales escritos, el  Estado  manifestó  que  la  perita</w:t>
        <w:br/>
        <w:t xml:space="preserve">   Claudia  González  Orellana,  en  ningún  momento  fue  “[im]parcial   ni</w:t>
        <w:br/>
        <w:t xml:space="preserve">   objetiva”  y  que  su  peritaje  salió  del  objeto  establecido  por  la</w:t>
        <w:br/>
        <w:t xml:space="preserve">   Presidencia. Asimismo, alegó que el peritaje de Christine Mary Chinkin se</w:t>
        <w:br/>
        <w:t xml:space="preserve">   caracterizó por un evidente sesgo de parcialidad y falta de  objetividad,</w:t>
        <w:br/>
        <w:t xml:space="preserve">   “no responde de manera enfática las preguntas” y “sus fundamentos  no  se</w:t>
        <w:br/>
        <w:t xml:space="preserve">   basan en hechos concretos o comprobados, sino más bien en suposiciones  y</w:t>
        <w:br/>
        <w:t xml:space="preserve">   datos y estadísticas, que en palabras de la misma perita reconoce como no</w:t>
        <w:br/>
        <w:t xml:space="preserve">   confiables”. En consecuencia, Guatemala manifestó su  disconformidad  con</w:t>
        <w:br/>
        <w:t xml:space="preserve">   que las declaraciones de las peritas González y Chinkin  sean  utilizadas</w:t>
        <w:br/>
        <w:t xml:space="preserve">   como indicadores en el presente  caso.  La  Corte  considera  que  dichas</w:t>
        <w:br/>
        <w:t xml:space="preserve">   objeciones tienen relación con el peso  y  alcances  probatorios  de  los</w:t>
        <w:br/>
        <w:t xml:space="preserve">   peritajes señalados, pero no  afecta  su  admisibilidad  como  parte  del</w:t>
        <w:br/>
        <w:t xml:space="preserve">   acervo probatorio. De este modo, la Corte estima procedente admitirlos en</w:t>
        <w:br/>
        <w:t xml:space="preserve">   los términos establecidos en la mencionada Resolución del Presidente.</w:t>
        <w:br/>
        <w:br/>
        <w:t>37. Por otro lado,  mediante  comunicación  de  6  de  abril  de  2015,  los</w:t>
        <w:br/>
        <w:t xml:space="preserve">   representantes presentaron una objeción  al  alcance  del  objeto  de  la</w:t>
        <w:br/>
        <w:t xml:space="preserve">   declaración del testigo Víctor Manuel Boror de la Rosa, ya que “luego  de</w:t>
        <w:br/>
        <w:t xml:space="preserve">   la revisión  de  todos  los  documentos  presentados  por  el  Estado  [a</w:t>
        <w:br/>
        <w:t xml:space="preserve">   solicitud de la Corte, esto es, las piezas del expediente  que  contienen</w:t>
        <w:br/>
        <w:t xml:space="preserve">   las actuaciones procesales realizadas del mes de mayo de  2012  hasta  la</w:t>
        <w:br/>
        <w:t xml:space="preserve">   fecha], solo […] encontra[ron] cuatro documentos con fecha de  2014”.  En</w:t>
        <w:br/>
        <w:t xml:space="preserve">   consecuencia, solicitaron a la Corte que “emita instrucciones al  testigo</w:t>
        <w:br/>
        <w:t xml:space="preserve">   […] para que [en] sus declaraciones  en  relación  a  las  diligencias  y</w:t>
        <w:br/>
        <w:t xml:space="preserve">   actuaciones de  investigación  de  2014  hasta  la  fecha[,]  se  adhiera</w:t>
        <w:br/>
        <w:t xml:space="preserve">   estrictamente a los hechos contenidos en los [referidos cuatro documentos</w:t>
        <w:br/>
        <w:t xml:space="preserve">   encontrados]”. Además, consideraron que la admisión de dicha  testimonial</w:t>
        <w:br/>
        <w:t xml:space="preserve">   ofrecida por el Estado, en los términos referidos y sin compartir con las</w:t>
        <w:br/>
        <w:t xml:space="preserve">   partes el fundamento documental sobre el cual se basaría  primordialmente</w:t>
        <w:br/>
        <w:t xml:space="preserve">   el testimonio, atentaría contra  el  principio  de  contradicción  de  la</w:t>
        <w:br/>
        <w:t xml:space="preserve">   prueba y el principio de igualdad de armas. Asimismo,  señalaron  que  el</w:t>
        <w:br/>
        <w:t xml:space="preserve">   Estado estaría tratando de introducir nuevas pruebas con posterioridad al</w:t>
        <w:br/>
        <w:t xml:space="preserve">   vencimiento de los plazos contemplados en  los  artículos  41  y  28  del</w:t>
        <w:br/>
        <w:t xml:space="preserve">   Reglamento de la Corte.</w:t>
        <w:br/>
        <w:br/>
        <w:br/>
        <w:t>38. Al respecto, la Resolución del Presidente de 19 de marzo de 2015  (supra</w:t>
        <w:br/>
        <w:t xml:space="preserve">   párr. 10) estableció que la declaración del testigo Boror de la  Rosa  se</w:t>
        <w:br/>
        <w:t xml:space="preserve">   limitaría en el supuesto que el Estado no remitiera, dentro de  un  plazo</w:t>
        <w:br/>
        <w:t xml:space="preserve">   establecido,  el  expediente  de  investigación   con   las   actuaciones</w:t>
        <w:br/>
        <w:t xml:space="preserve">   procesales realizadas “hasta la fecha”. Mediante escrito de 25  de  marzo</w:t>
        <w:br/>
        <w:t xml:space="preserve">   de 2015 (supra párr. 11), el Estado cumplió con  dicho  requerimiento  al</w:t>
        <w:br/>
        <w:t xml:space="preserve">   remitir   “tres   documentos   identificados    como    Diligencias    de</w:t>
        <w:br/>
        <w:t xml:space="preserve">   Investigación”, los cuales harían parte del expediente  de  investigación</w:t>
        <w:br/>
        <w:t xml:space="preserve">   hasta el mes de marzo de 2014. La Corte toma nota de las observaciones de</w:t>
        <w:br/>
        <w:t xml:space="preserve">   los representantes respecto a las diligencias de investigación  remitidas</w:t>
        <w:br/>
        <w:t xml:space="preserve">   por el Estado; no obstante, dicha objeción tiene relación con el  peso  y</w:t>
        <w:br/>
        <w:t xml:space="preserve">   alcances probatorios del testimonio del señor Boror de la Rosa,  pero  no</w:t>
        <w:br/>
        <w:t xml:space="preserve">   afecta su admisibilidad como parte del acervo probatorio. De  este  modo,</w:t>
        <w:br/>
        <w:t xml:space="preserve">   la Corte estima procedente admitir la  declaración  del  testigo  en  los</w:t>
        <w:br/>
        <w:t xml:space="preserve">   términos establecidos en la Resolución del Presidente.</w:t>
        <w:br/>
        <w:br/>
        <w:t>C.    Valoración de la prueba</w:t>
        <w:br/>
        <w:br/>
        <w:t>39. De acuerdo a lo establecido en los artículos 46, 47, 48, 50,  51,  57  y</w:t>
        <w:br/>
        <w:t xml:space="preserve">   58 del Reglamento, así como en su jurisprudencia constante respecto de la</w:t>
        <w:br/>
        <w:t xml:space="preserve">   prueba y su apreciación, la Corte  examinará  y  valorará  los  elementos</w:t>
        <w:br/>
        <w:t xml:space="preserve">   probatorios documentales remitidos por las  partes  y  la  Comisión,  las</w:t>
        <w:br/>
        <w:t xml:space="preserve">   declaraciones, testimonios y dictámenes periciales, así como las  pruebas</w:t>
        <w:br/>
        <w:t xml:space="preserve">   para mejor resolver solicitadas  e  incorporadas  por  este  Tribunal  al</w:t>
        <w:br/>
        <w:t xml:space="preserve">   establecer los hechos del caso y pronunciarse sobre el fondo.  Para  ello</w:t>
        <w:br/>
        <w:t xml:space="preserve">   se sujeta a los principios de la sana crítica, dentro del marco normativo</w:t>
        <w:br/>
        <w:t xml:space="preserve">   correspondiente, teniendo en cuanto el conjunto del acervo  probatorio  y</w:t>
        <w:br/>
        <w:t xml:space="preserve">   lo alegado  en  la  causa[22].  Conforme  a  la  jurisprudencia  de  este</w:t>
        <w:br/>
        <w:t xml:space="preserve">   Tribunal, las declaraciones rendidas por las presuntas víctimas no pueden</w:t>
        <w:br/>
        <w:t xml:space="preserve">   ser valoradas aisladamente sino dentro del conjunto de  las  pruebas  del</w:t>
        <w:br/>
        <w:t xml:space="preserve">   proceso, en la medida en que pueden proporcionar mayor información  sobre</w:t>
        <w:br/>
        <w:t xml:space="preserve">   las presuntas violaciones y sus consecuencias[23].</w:t>
        <w:br/>
        <w:br/>
        <w:t xml:space="preserve">                                     VI</w:t>
        <w:br/>
        <w:t xml:space="preserve">                                   HECHOS</w:t>
        <w:br/>
        <w:br/>
        <w:t>40. En este capítulo la Corte examinará, en primer lugar, el contexto en  el</w:t>
        <w:br/>
        <w:t xml:space="preserve">   que ocurrieron los hechos del caso y, en segundo lugar,  los  hechos  del</w:t>
        <w:br/>
        <w:t xml:space="preserve">   caso sobre Claudina Isabel Velásquez Paiz, los  cuales  incluyen:  i)  la</w:t>
        <w:br/>
        <w:t xml:space="preserve">   denuncia de su desaparición, ii) el hallazgo de su cuerpo sin vida y  las</w:t>
        <w:br/>
        <w:t xml:space="preserve">   diligencias iniciales practicadas; iii) la  investigación  penal  abierta</w:t>
        <w:br/>
        <w:t xml:space="preserve">   respecto a su muerte; iv) la investigación  de  la  Procuraduría  de  los</w:t>
        <w:br/>
        <w:t xml:space="preserve">   Derechos Humanos de Guatemala abierta por los hechos  del  caso;  v)  los</w:t>
        <w:br/>
        <w:t xml:space="preserve">   procedimientos disciplinarios abiertos en la Jefatura de la  Fiscalía  de</w:t>
        <w:br/>
        <w:t xml:space="preserve">   Sección de Delitos Contra la Vida y la Integridad de las Personas,  y  la</w:t>
        <w:br/>
        <w:t xml:space="preserve">   Dirección de Investigaciones Criminalísticas del  Ministerio  Público,  y</w:t>
        <w:br/>
        <w:t xml:space="preserve">   vi) el procedimiento  disciplinario  abierto  en  la  Unidad  de  Régimen</w:t>
        <w:br/>
        <w:t xml:space="preserve">   Disciplinario del Sistema de Recursos Humanos del Organismo Judicial.</w:t>
        <w:br/>
        <w:br/>
        <w:br/>
        <w:t xml:space="preserve">   A. Contexto en el que ocurrieron los hechos del caso</w:t>
        <w:br/>
        <w:br/>
        <w:t>41. La Comisión y los representantes sostuvieron que este  caso  se  inserta</w:t>
        <w:br/>
        <w:t xml:space="preserve">   en un contexto de altos niveles de hechos de violencia contra las mujeres</w:t>
        <w:br/>
        <w:t xml:space="preserve">   y niñas en Guatemala, así como de impunidad generalizada de  los  mismos.</w:t>
        <w:br/>
        <w:t xml:space="preserve">   En particular,  la  Comisión  afirmó  que  organismos  internacionales  y</w:t>
        <w:br/>
        <w:t xml:space="preserve">   nacionales,  así   como   organizaciones   no   gubernamentales,   habían</w:t>
        <w:br/>
        <w:t xml:space="preserve">   manifestado preocupación desde el año 2001 por la falta  de  cumplimiento</w:t>
        <w:br/>
        <w:t xml:space="preserve">   de la debida diligencia por parte del Estado para prevenir, investigar  y</w:t>
        <w:br/>
        <w:t xml:space="preserve">   sancionar actos  de  violencia  contra  las  mujeres  y  un  contexto  de</w:t>
        <w:br/>
        <w:t xml:space="preserve">   agudización de la misma en Guatemala. Además, señaló que habría  consenso</w:t>
        <w:br/>
        <w:t xml:space="preserve">   en que, a  pesar  de  existir  varias  instituciones  paralelas  para  el</w:t>
        <w:br/>
        <w:t xml:space="preserve">   adelanto  de  la  mujer,  estas  tienen  mandatos  superpuestos   y,   en</w:t>
        <w:br/>
        <w:t xml:space="preserve">   consecuencia, adolecen de una  débil  coordinación  estatal  y  falta  de</w:t>
        <w:br/>
        <w:t xml:space="preserve">   recursos para llevar adelante  sus  programas.  Destacó  también  que  la</w:t>
        <w:br/>
        <w:t xml:space="preserve">   situación en Guatemala no había cambiado entre el momento de  los  hechos</w:t>
        <w:br/>
        <w:t xml:space="preserve">   del Caso Veliz Franco y otros (ocurridos en  el  año  2001)  y  del  Caso</w:t>
        <w:br/>
        <w:t xml:space="preserve">   Velásquez Paiz y otros (ocurridos  en  el  año  2005).  Afirmó  que  “los</w:t>
        <w:br/>
        <w:t xml:space="preserve">   índices señalan  un  incremento  pronunciado  en  las  tasas  de  muertes</w:t>
        <w:br/>
        <w:t xml:space="preserve">   violentas de mujeres con signos particulares de violencia motivada en  su</w:t>
        <w:br/>
        <w:t xml:space="preserve">   género”.</w:t>
        <w:br/>
        <w:br/>
        <w:t>42.  El  Estado  señaló  que  existe  aún  la  necesidad   que   tanto   los</w:t>
        <w:br/>
        <w:t xml:space="preserve">   peticionarios como  la  Comisión  establezcan  por  qué  los  hechos  del</w:t>
        <w:br/>
        <w:t xml:space="preserve">   presente caso se encuadrarían dentro de los elementos específicos  de  la</w:t>
        <w:br/>
        <w:t xml:space="preserve">   violencia de género. Al respecto, sostuvo que, en este caso, no se  logró</w:t>
        <w:br/>
        <w:t xml:space="preserve">   comprobar que hubieran indicios de que Claudina Velásquez fue  objeto  de</w:t>
        <w:br/>
        <w:t xml:space="preserve">   violaciones a su integridad física antes de su muerte, y menos  que  haya</w:t>
        <w:br/>
        <w:t xml:space="preserve">   sido víctima de violencia sexual, por lo que, tal y como se estableció en</w:t>
        <w:br/>
        <w:t xml:space="preserve">   el acta de levantamiento del cadáver y los  exámenes  realizados  por  el</w:t>
        <w:br/>
        <w:t xml:space="preserve">   médico forense del Organismo Judicial y expertos del Departamento Técnico</w:t>
        <w:br/>
        <w:t xml:space="preserve">   del Ministerio Público, “no se puede encuadrar la muerte de  Claudina  en</w:t>
        <w:br/>
        <w:t xml:space="preserve">   un contexto de  violencia  contra  la  mujer”.  Además,  afirmó  que  las</w:t>
        <w:br/>
        <w:t xml:space="preserve">   estadísticas indican que “más de 80% de las muertes  violentas  ocurridas</w:t>
        <w:br/>
        <w:t xml:space="preserve">   en el país son de hombres”.</w:t>
        <w:br/>
        <w:br/>
        <w:t>43. En el ejercicio de su jurisdicción contenciosa, la Corte ha conocido  de</w:t>
        <w:br/>
        <w:t xml:space="preserve">   diversos contextos  históricos,  sociales  y  políticos  que  permitieron</w:t>
        <w:br/>
        <w:t xml:space="preserve">   situar los hechos alegados como violatorios de la Convención Americana en</w:t>
        <w:br/>
        <w:t xml:space="preserve">   el marco de las circunstancias específicas en que ocurrieron. En  algunos</w:t>
        <w:br/>
        <w:t xml:space="preserve">   casos el contexto posibilitó la caracterización de los hechos como  parte</w:t>
        <w:br/>
        <w:t xml:space="preserve">   de un patrón sistemático de violaciones a los derechos humanos, como  una</w:t>
        <w:br/>
        <w:t xml:space="preserve">   práctica aplicada o tolerada por  el  Estado  o  como  parte  de  ataques</w:t>
        <w:br/>
        <w:t xml:space="preserve">   masivos  y  sistemáticos  o  generalizados  hacia  algún  sector  de   la</w:t>
        <w:br/>
        <w:t xml:space="preserve">   población.  Asimismo,  el  contexto  se  ha  tenido  en  cuenta  para  la</w:t>
        <w:br/>
        <w:t xml:space="preserve">   determinación  de  la  responsabilidad  internacional  del   Estado,   la</w:t>
        <w:br/>
        <w:t xml:space="preserve">   comprensión y valoración de la prueba, la procedencia de ciertas  medidas</w:t>
        <w:br/>
        <w:t xml:space="preserve">   de reparación y los estándares establecidos respecto de la obligación  de</w:t>
        <w:br/>
        <w:t xml:space="preserve">   investigar dichos casos[24].</w:t>
        <w:br/>
        <w:br/>
        <w:br/>
        <w:t>44.  En  este  caso,  la  Comisión  y  los  representantes  sustentaron  sus</w:t>
        <w:br/>
        <w:t xml:space="preserve">   consideraciones sobre el alegado contexto de violencia contra la mujer en</w:t>
        <w:br/>
        <w:t xml:space="preserve">   Guatemala, haciendo referencia al Caso Veliz Franco y otros, así  como  a</w:t>
        <w:br/>
        <w:t xml:space="preserve">   documentos de organismos nacionales e internacionales y de organizaciones</w:t>
        <w:br/>
        <w:t xml:space="preserve">   no gubernamentales. Por su parte, el Estado sostuvo que, en la  Sentencia</w:t>
        <w:br/>
        <w:t xml:space="preserve">   del Caso Veliz Franco y otros, la Corte reconoció que “antes y después de</w:t>
        <w:br/>
        <w:t xml:space="preserve">   los hechos [del referido] caso, [el  Estado]  ha[bía]  adoptado  diversas</w:t>
        <w:br/>
        <w:t xml:space="preserve">   medidas tendientes a afrontar la discriminación y  violencia  contra  las</w:t>
        <w:br/>
        <w:t xml:space="preserve">   mujeres. Así, cabe destacar la Ley para Prevenir, Sancionar  y  Erradicar</w:t>
        <w:br/>
        <w:t xml:space="preserve">   la Violencia Intrafamiliar, de 28 de noviembre de 1996, así como  la  Ley</w:t>
        <w:br/>
        <w:t xml:space="preserve">   contra el Femicidio y otras formas de Violencia contra la Mujer, adoptada</w:t>
        <w:br/>
        <w:t xml:space="preserve">   en 2008”. Aunado a ello, indicó que en dicha Sentencia  la  propia  Corte</w:t>
        <w:br/>
        <w:t xml:space="preserve">   reconoció que “sí se han efectuado acciones estatales vinculadas a tratar</w:t>
        <w:br/>
        <w:t xml:space="preserve">   la problemática en contra de las  mujeres”.  La  Corte  utilizará  dichos</w:t>
        <w:br/>
        <w:t xml:space="preserve">   documentos como parte fundamental de la prueba del  contexto  político  e</w:t>
        <w:br/>
        <w:t xml:space="preserve">   histórico contemporáneo a los hechos del presente caso. En este punto, la</w:t>
        <w:br/>
        <w:t xml:space="preserve">   Corte tendrá en cuenta los alegatos sobre el contexto presentados por  el</w:t>
        <w:br/>
        <w:t xml:space="preserve">   Estado, así como sus observaciones respecto a la prueba.</w:t>
        <w:br/>
        <w:br/>
        <w:t>A.1. La violencia homicida en Guatemala, su  especificidad  y  evolución  en</w:t>
        <w:br/>
        <w:t>relación  con  víctimas  mujeres,  y  la  actuación  del   Estado   en   las</w:t>
        <w:br/>
        <w:t>investigaciones de homicidios cometidos contra mujeres</w:t>
        <w:br/>
        <w:br/>
        <w:t>45. El informe  “Guatemala:  Memoria  del  Silencio”  de  la  Comisión  para</w:t>
        <w:br/>
        <w:t xml:space="preserve">   Esclarecimiento Histórico (en adelante “CEH”) señaló que  “[l]as  mujeres</w:t>
        <w:br/>
        <w:t xml:space="preserve">   fueron víctimas de todas las formas de violaciones  de  derechos  humanos</w:t>
        <w:br/>
        <w:t xml:space="preserve">   durante  el  enfrentamiento  armado,  pero  además  sufrieron  de  formas</w:t>
        <w:br/>
        <w:t xml:space="preserve">   específicas de violencia de género”. La CEH llegó a la convicción de  que</w:t>
        <w:br/>
        <w:t xml:space="preserve">   la desvalorización de la cual fueron objeto las mujeres resultó  absoluta</w:t>
        <w:br/>
        <w:t xml:space="preserve">   y permitió que elementos  del  ejército  pudieran  agredirlas  con  total</w:t>
        <w:br/>
        <w:t xml:space="preserve">   impunidad, y concluyó que durante el enfrentamiento  armado  interno  los</w:t>
        <w:br/>
        <w:t xml:space="preserve">   tribunales de justicia se mostraron incapaces  de  investigar,  procesar,</w:t>
        <w:br/>
        <w:t xml:space="preserve">   juzgar y sancionar a los responsables[25]. En  el  Caso  Veliz  Franco  y</w:t>
        <w:br/>
        <w:t xml:space="preserve">   otros, mediante Sentencia de 19 de mayo de  2014,  la  Corte  señaló  que</w:t>
        <w:br/>
        <w:t xml:space="preserve">   dicha situación ha persistido con posterioridad  a  la  finalización  del</w:t>
        <w:br/>
        <w:t xml:space="preserve">   conflicto armado, y que se ve reflejada en una cultura de  violencia  que</w:t>
        <w:br/>
        <w:t xml:space="preserve">   continúa con los años, dentro de  la  cual  hay  un  sustrato  propio  de</w:t>
        <w:br/>
        <w:t xml:space="preserve">   violencia que  afecta  especialmente  a  las  mujeres.  Al  respecto,  el</w:t>
        <w:br/>
        <w:t xml:space="preserve">   Tribunal constató que, si bien resulta difícil precisar con plena certeza</w:t>
        <w:br/>
        <w:t xml:space="preserve">   el momento en el cual tuvo inicio, en todo caso,  en  diciembre  de  2001</w:t>
        <w:br/>
        <w:t xml:space="preserve">   surgió la existencia de un contexto de aumento de la  violencia  homicida</w:t>
        <w:br/>
        <w:t xml:space="preserve">   contra las mujeres en Guatemala, e  indicaciones  de  que  el  mismo  era</w:t>
        <w:br/>
        <w:t xml:space="preserve">   conocido por el Estado.  A  su  vez,  “dentro  del  conjunto  de  muertes</w:t>
        <w:br/>
        <w:t xml:space="preserve">   violentas de mujeres ocurridas en 2001 en  Guatemala,  la  existencia  de</w:t>
        <w:br/>
        <w:t xml:space="preserve">   homicidios por razones de género no era  excepcional”[26].  Asimismo,  el</w:t>
        <w:br/>
        <w:t xml:space="preserve">   incremento de violencia homicida contra las mujeres presentó  un  aumento</w:t>
        <w:br/>
        <w:t xml:space="preserve">   sostenible a nivel nacional en los años 2004 y 2005, y la prueba aportada</w:t>
        <w:br/>
        <w:t xml:space="preserve">   en el presente caso indica que los niveles de dicha  violencia  continúan</w:t>
        <w:br/>
        <w:t xml:space="preserve">   siendo elevados[27].</w:t>
        <w:br/>
        <w:br/>
        <w:t>46. De manera específica, en el Caso Veliz Franco y otros la Corte  advirtió</w:t>
        <w:br/>
        <w:t xml:space="preserve">   que, según expresó el Organismo  Judicial  de  Guatemala,  de  acuerdo  a</w:t>
        <w:br/>
        <w:t xml:space="preserve">   “cifras oficiales”, hubo un “incremento sostenible de  muertes  violentas</w:t>
        <w:br/>
        <w:t xml:space="preserve">   de mujeres a nivel nacional desde el año 2001 hasta el 2011”. Además,  el</w:t>
        <w:br/>
        <w:t xml:space="preserve">   mismo documento refiere que, “según un  informe”,  para  2012  “Guatemala</w:t>
        <w:br/>
        <w:t xml:space="preserve">   ocupa[ba] el tercer  lugar  a  nivel  mundial  en  muertes  violentas  de</w:t>
        <w:br/>
        <w:t xml:space="preserve">   mujeres, con una tasa de 9.7 femicidios por cada 100,000 habitantes”[28].</w:t>
        <w:br/>
        <w:t xml:space="preserve">   De igual modo, de acuerdo a datos del Instituto Nacional  de  Estadística</w:t>
        <w:br/>
        <w:t xml:space="preserve">   recogidos por el Mecanismo de Seguimiento de la Convención  de  Belém  do</w:t>
        <w:br/>
        <w:t xml:space="preserve">   Pará (MESECVI), se presentó la siguiente  evolución  de  la  cantidad  de</w:t>
        <w:br/>
        <w:t xml:space="preserve">   homicidios de mujeres en el país: 1995: 150; 1996: 163; 1997: 249;  1998:</w:t>
        <w:br/>
        <w:t xml:space="preserve">   190; 1999: 179; 2000: 213; 2001: 215; 2002: 266; 2003: 282; 2004: 286.  A</w:t>
        <w:br/>
        <w:t xml:space="preserve">   su  vez,  la  Comisión  Interamericana  aseveró  que  fuentes   estatales</w:t>
        <w:br/>
        <w:t xml:space="preserve">   confirmaron  que  “desde  el  año  2001  al  2004  se  registraron  1,188</w:t>
        <w:br/>
        <w:t xml:space="preserve">   asesinatos de mujeres, [y que]  distintas  fuentes  confirmaron  que  […]</w:t>
        <w:br/>
        <w:t xml:space="preserve">   también se […] agrav[ó] el grado de violencia  y  ensañamiento  ejercidos</w:t>
        <w:br/>
        <w:t xml:space="preserve">   contra los cuerpos de  las  víctimas[29].  La  prueba  presentada  en  el</w:t>
        <w:br/>
        <w:t xml:space="preserve">   presente caso es consistente con el aumento en la cantidad de  homicidios</w:t>
        <w:br/>
        <w:t xml:space="preserve">   de mujeres en el  país,  pues  de  acuerdo  con  datos  estadísticos  del</w:t>
        <w:br/>
        <w:t xml:space="preserve">   Ministerio Público aportados por el Estado, la evolución que  se  muestra</w:t>
        <w:br/>
        <w:t xml:space="preserve">   es la siguiente: 2005: 920; 2006: 1035; 2007:1036; 2008: 1029; 2009; 981;</w:t>
        <w:br/>
        <w:t xml:space="preserve">   2010: 943; 2011: 704; 2012: 860; 2013: 784;  2014:  769,  y  hasta  abril</w:t>
        <w:br/>
        <w:t xml:space="preserve">   2015: 249[30].</w:t>
        <w:br/>
        <w:br/>
        <w:t>47. Ahora bien, más allá del aumento numérico de homicidios de  mujeres,  en</w:t>
        <w:br/>
        <w:t xml:space="preserve">   el Caso Veliz Franco y otros se presentó al Tribunal información distinta</w:t>
        <w:br/>
        <w:t xml:space="preserve">   en cuanto a la proporción de homicidios de mujeres en comparación con  la</w:t>
        <w:br/>
        <w:t xml:space="preserve">   de hombres, y sobre el crecimiento de esa proporción. Por una  parte,  se</w:t>
        <w:br/>
        <w:t xml:space="preserve">   ha informado que entre 2001 y 2006 cerca de un 10% de  homicidios  fueron</w:t>
        <w:br/>
        <w:t xml:space="preserve">   cometidos contra mujeres. Esta proporción es similar si se consideran los</w:t>
        <w:br/>
        <w:t xml:space="preserve">   períodos entre 1986 y 2008, o entre 2002 y 2012. Superó el 10%  al  menos</w:t>
        <w:br/>
        <w:t xml:space="preserve">   entre 2003 y 2004, años en que  habría  sido  mayor  al  11%  y  el  12%,</w:t>
        <w:br/>
        <w:t xml:space="preserve">   respectivamente. Por otra parte, también hay información en el sentido de</w:t>
        <w:br/>
        <w:t xml:space="preserve">   que entre 1995 y 2004 el aumento de la tasa de crecimiento de  homicidios</w:t>
        <w:br/>
        <w:t xml:space="preserve">   de mujeres fue casi el doble que el aumento de la de hombres,  y  que  en</w:t>
        <w:br/>
        <w:t xml:space="preserve">   ese último año “la cantidad de muertes  violentas  de  mujeres  se  había</w:t>
        <w:br/>
        <w:t xml:space="preserve">   incrementado en 20[%] más que la de hombres”[31].</w:t>
        <w:br/>
        <w:br/>
        <w:t>48.  Además,  en  este  caso,  la  prueba  es  consistente  en   cuanto   al</w:t>
        <w:br/>
        <w:t xml:space="preserve">   agravamiento del grado de violencia contra las mujeres y el  ensañamiento</w:t>
        <w:br/>
        <w:t xml:space="preserve">   ejercidos contra los cuerpos de muchas  de  las  víctimas.  Se  desprende</w:t>
        <w:br/>
        <w:t xml:space="preserve">   asimismo que los homicidios de mujeres en Guatemala ocurren en un entorno</w:t>
        <w:br/>
        <w:t xml:space="preserve">   de diversas formas de violencia contra  aquellas,  tales  como  violencia</w:t>
        <w:br/>
        <w:t xml:space="preserve">   intrafamiliar y doméstica, rapto y violación, acoso, explotación y  otras</w:t>
        <w:br/>
        <w:t xml:space="preserve">   formas de violencia sexual[32].</w:t>
        <w:br/>
        <w:br/>
        <w:br/>
        <w:t>49. Por otra parte, en la mencionada  Sentencia  del  Caso  Veliz  Franco  y</w:t>
        <w:br/>
        <w:t xml:space="preserve">   otros, este Tribunal consideró que para diciembre de 2001,  así  como  en</w:t>
        <w:br/>
        <w:t xml:space="preserve">   los años siguientes, el Estado presentaba un  alto  índice  de  impunidad</w:t>
        <w:br/>
        <w:t xml:space="preserve">   general, es decir, relativo a diversos tipos de delitos  y  víctimas.  En</w:t>
        <w:br/>
        <w:t xml:space="preserve">   este marco, la mayoría de los actos violentos que conllevaban  la  muerte</w:t>
        <w:br/>
        <w:t xml:space="preserve">   de mujeres quedaban impunes, sin que tal situación, tanto la general como</w:t>
        <w:br/>
        <w:t xml:space="preserve">   la específica respecto  a  actos  violentos  contra  mujeres,  haya  sido</w:t>
        <w:br/>
        <w:t xml:space="preserve">   modificada en forma sustantiva  hasta  el  presente[33].  A  su  vez,  el</w:t>
        <w:br/>
        <w:t xml:space="preserve">   Tribunal  advirtió  que  una  alta  proporción  de  los  delitos  no  son</w:t>
        <w:br/>
        <w:t xml:space="preserve">   denunciados[34] y que la falta de sanción efectiva de delitos en  general</w:t>
        <w:br/>
        <w:t xml:space="preserve">   puede vincularse a deficiencias  en  las  investigaciones[35].  Aunado  a</w:t>
        <w:br/>
        <w:t xml:space="preserve">   ello, se refirió a estudios y testimonios de mujeres sobrevivientes y sus</w:t>
        <w:br/>
        <w:t xml:space="preserve">   familiares que hacen referencia a la “tendencia de los  investigadores  a</w:t>
        <w:br/>
        <w:t xml:space="preserve">   desacreditar a las víctimas y culpabilizarlas por su estilo  de  vida,  o</w:t>
        <w:br/>
        <w:t xml:space="preserve">   ropa” y la indagación de aspectos relativos a las relaciones personales y</w:t>
        <w:br/>
        <w:t xml:space="preserve">   sexualidad de  las  víctimas[36].  La  información  proporcionada  en  el</w:t>
        <w:br/>
        <w:t xml:space="preserve">   presente caso indica que en el marco de investigaciones de delitos contra</w:t>
        <w:br/>
        <w:t xml:space="preserve">   mujeres resulta frecuente que las autoridades  e  investigadores  todavía</w:t>
        <w:br/>
        <w:t xml:space="preserve">   tiendan a asumir dichas actitudes[37].</w:t>
        <w:br/>
        <w:br/>
        <w:t>50. La Corte analizará los hechos  alegados  en  el  presente  caso,  no  de</w:t>
        <w:br/>
        <w:t xml:space="preserve">   manera aislada, sino en el contexto que se enmarcan, a fin de posibilitar</w:t>
        <w:br/>
        <w:t xml:space="preserve">   una comprensión de la prueba y la determinación puntual de los hechos. De</w:t>
        <w:br/>
        <w:t xml:space="preserve">   igual modo, se utilizará dicho contexto a fin de valorar  si  corresponde</w:t>
        <w:br/>
        <w:t xml:space="preserve">   aplicar en el presente  caso,  estándares  específicos  respecto  de  las</w:t>
        <w:br/>
        <w:t xml:space="preserve">   obligaciones  de  prevenir  e  investigar  violaciones  de  los  derechos</w:t>
        <w:br/>
        <w:t xml:space="preserve">   humanos.  Finalmente,  dicho  contexto  se  tomará  en  cuenta,  de   ser</w:t>
        <w:br/>
        <w:t xml:space="preserve">   procedente, al disponer medidas de reparación, en  específico,  sobre  el</w:t>
        <w:br/>
        <w:t xml:space="preserve">   deber de investigar y las garantías de  no  repetición  (infra  capítulos</w:t>
        <w:br/>
        <w:t xml:space="preserve">   VII.I, VII.II y VIII).</w:t>
        <w:br/>
        <w:br/>
        <w:t xml:space="preserve">   B. Hechos del caso sobre Claudina Isabel Velásquez Paiz</w:t>
        <w:br/>
        <w:br/>
        <w:t>51. Claudina Velásquez nació el 21 de noviembre de  1985  en  la  Ciudad  de</w:t>
        <w:br/>
        <w:t xml:space="preserve">   Guatemala, hija de Elsa Claudina Paiz Vidal  y  Jorge  Rolando  Velásquez</w:t>
        <w:br/>
        <w:t xml:space="preserve">   Durán, y hermana menor de Pablo Andrés Velásquez Paiz[38]. Al momento  de</w:t>
        <w:br/>
        <w:t xml:space="preserve">   los hechos del presente caso tenía  19  años  de  edad  y  se  encontraba</w:t>
        <w:br/>
        <w:t xml:space="preserve">   cursando la Licenciatura en Ciencias Jurídicas y Sociales en la  Facultad</w:t>
        <w:br/>
        <w:t xml:space="preserve">   de Ciencias Jurídicas y Sociales de  la  Universidad  de  San  Carlos  de</w:t>
        <w:br/>
        <w:t xml:space="preserve">   Guatemala[39].</w:t>
        <w:br/>
        <w:br/>
        <w:t>52. Es un hecho no controvertido que aproximadamente a las 8:30 a.m. del  12</w:t>
        <w:br/>
        <w:t xml:space="preserve">   de agosto de 2005, Claudina Velásquez  salió  acompañada  de  su  hermano</w:t>
        <w:br/>
        <w:t xml:space="preserve">   rumbo a la Universidad. Por la noche, realizó y recibió diversas llamadas</w:t>
        <w:br/>
        <w:t xml:space="preserve">   por teléfono celular, tanto de sus familiares  como  de  otras  personas.</w:t>
        <w:br/>
        <w:t xml:space="preserve">   Según han manifestado sus familiares, tras ser  informados  por  Claudina</w:t>
        <w:br/>
        <w:t xml:space="preserve">   que se encontraba en una fiesta, alrededor de las 11:45 p.m.  sostuvieron</w:t>
        <w:br/>
        <w:t xml:space="preserve">   una última llamada telefónica con ella y,  con  posterioridad,  perdieron</w:t>
        <w:br/>
        <w:t xml:space="preserve">   contacto con su hija, quien no regreso a su casa. Los padres de  Claudina</w:t>
        <w:br/>
        <w:t xml:space="preserve">   Velásquez comenzaron su búsqueda al ser informados, aproximadamente a las</w:t>
        <w:br/>
        <w:t xml:space="preserve">   2:00 a.m., que esta podría encontrarse en peligro, según se los manifestó</w:t>
        <w:br/>
        <w:t xml:space="preserve">   una persona que dijo haber tenido comunicación telefónica con Claudina  y</w:t>
        <w:br/>
        <w:t xml:space="preserve">   que acudió directamente al domicilio de la  familia  para  alertarlos  de</w:t>
        <w:br/>
        <w:t xml:space="preserve">   dicha situación. A las 2:12 a.m. la Policía Nacional Civil  (en  adelante</w:t>
        <w:br/>
        <w:t xml:space="preserve">   “PNC”) recibió al número 110  una  denuncia  por  una  posible  violación</w:t>
        <w:br/>
        <w:t xml:space="preserve">   sexual en la Colonia Roosevelt.</w:t>
        <w:br/>
        <w:br/>
        <w:t>B.1. Denuncia de la desaparición</w:t>
        <w:br/>
        <w:br/>
        <w:t>53. Consta en la prueba y no se encuentra controvertido por  el  Estado  que</w:t>
        <w:br/>
        <w:t xml:space="preserve">   el 13 de agosto de 2005, a alrededor de las 2:50 o 2:55 a.m., los  padres</w:t>
        <w:br/>
        <w:t xml:space="preserve">   de Claudina Velásquez realizaron una  llamada  telefónica  a  la  Policía</w:t>
        <w:br/>
        <w:t xml:space="preserve">   Nacional Civil, y en respuesta una patrulla llegó a la  garita  principal</w:t>
        <w:br/>
        <w:t xml:space="preserve">   de la Colonia Panorama aproximadamente a las 3:00 a.m. Una  vez  que  los</w:t>
        <w:br/>
        <w:t xml:space="preserve">   agentes policiales fueron informados por el padre y la madre de  Claudina</w:t>
        <w:br/>
        <w:t xml:space="preserve">   Velásquez que se encontraban realizando la búsqueda de su  hija  tras  su</w:t>
        <w:br/>
        <w:t xml:space="preserve">   desaparición, los padres siguieron a la patrulla policial en búsqueda  de</w:t>
        <w:br/>
        <w:t xml:space="preserve">   su hija desde la entrada  principal  de  la  Colonia  Panorama  hasta  la</w:t>
        <w:br/>
        <w:t xml:space="preserve">   entrada de la Colonia Pinares, en donde los agentes  de  la  policía  les</w:t>
        <w:br/>
        <w:t xml:space="preserve">   dijeron que “no se podía hacer  nada  más  y  que  ellos  iban  a  seguir</w:t>
        <w:br/>
        <w:t xml:space="preserve">   patrullando”[40], indicándoles también que tenían  “que  esperar  por  lo</w:t>
        <w:br/>
        <w:t xml:space="preserve">   menos veinticuatro horas” para poder reportar a Claudina  Velásquez  como</w:t>
        <w:br/>
        <w:t xml:space="preserve">   desaparecida[41].</w:t>
        <w:br/>
        <w:br/>
        <w:t>54. Entre las 3:00 y 5:00 a.m. los padres de Claudina Velásquez  continuaron</w:t>
        <w:br/>
        <w:t xml:space="preserve">   su búsqueda con la ayuda de familiares y amigos. Alrededor  de  las  5:00</w:t>
        <w:br/>
        <w:t xml:space="preserve">   a.m. los padres de Claudina Velásquez fueron a  la  estación  de  policía</w:t>
        <w:br/>
        <w:t xml:space="preserve">   para reportar su desaparición. En dicho lugar nuevamente  les  reiteraron</w:t>
        <w:br/>
        <w:t xml:space="preserve">   que debían esperar veinticuatro horas[42]. A esa misma  hora  aproximada,</w:t>
        <w:br/>
        <w:t xml:space="preserve">   el Cuerpo Voluntario de Bomberos de Guatemala recibió una llamada anónima</w:t>
        <w:br/>
        <w:t xml:space="preserve">   sobre el hallazgo de un cadáver en  la  Colonia  Roosevelt,  por  lo  que</w:t>
        <w:br/>
        <w:t xml:space="preserve">   acudieron al lugar. También, dos agentes de  la  PNC  acudieron  a  dicho</w:t>
        <w:br/>
        <w:t xml:space="preserve">   lugar aproximadamente a las 5:30 a.m. Alrededor de las 6:30  a.m.  arribó</w:t>
        <w:br/>
        <w:t xml:space="preserve">   al lugar personal del Ministerio Público. Finalmente, consta que recién a</w:t>
        <w:br/>
        <w:t xml:space="preserve">   las 8:30 a.m. del 13 de agosto de 2005 se recibió por escrito la denuncia</w:t>
        <w:br/>
        <w:t xml:space="preserve">   de la desaparición de Claudina Velásquez en la Sub-Estación San Cristóbal</w:t>
        <w:br/>
        <w:t xml:space="preserve">   1651 de la PNC[43].</w:t>
        <w:br/>
        <w:br/>
        <w:t>B.2. Hallazgo del cuerpo y diligencias iniciales practicadas</w:t>
        <w:br/>
        <w:br/>
        <w:t>55. Por orden del operador de radio de la planta  central  de  transmisiones</w:t>
        <w:br/>
        <w:t xml:space="preserve">   de  turno  de  la  Comisaría  14,  dos  miembros  de  la  PNC   acudieron</w:t>
        <w:br/>
        <w:t xml:space="preserve">   aproximadamente a las 5:30 a.m. del 13 de agosto de 2005 a la 10ª Avenida</w:t>
        <w:br/>
        <w:t xml:space="preserve">   frente al domicilio marcado  con  el  numeral  8-87  “A”  en  la  Colonia</w:t>
        <w:br/>
        <w:t xml:space="preserve">   Roosevelt, Zona 11, para averiguar sobre una mujer que  “posiblemente  se</w:t>
        <w:br/>
        <w:t xml:space="preserve">   encontraba fallecida”. Al llegar  al  lugar,  constataron  que  sobre  el</w:t>
        <w:br/>
        <w:t xml:space="preserve">   pavimento se encontraba “ya sin vida una persona de  sexo  femenino”[44].</w:t>
        <w:br/>
        <w:t xml:space="preserve">   En el lugar también se encontraban dos miembros del Cuerpo Voluntario  de</w:t>
        <w:br/>
        <w:t xml:space="preserve">   Bomberos de Guatemala que acudieron debido a una llamada anónima recibida</w:t>
        <w:br/>
        <w:t xml:space="preserve">   de un teléfono público aproximadamente a las 5:00 a.m. (supra párr.  54),</w:t>
        <w:br/>
        <w:t xml:space="preserve">   y quienes constataron que no se identificó a la persona “por  carecer  de</w:t>
        <w:br/>
        <w:t xml:space="preserve">   [d]ocumentos personales”[45]. Aproximadamente a las 6:30  a.m.  arribaron</w:t>
        <w:br/>
        <w:t xml:space="preserve">   al lugar la  auxiliar  fiscal,  el  médico  forense  y  los  Técnicos  de</w:t>
        <w:br/>
        <w:t xml:space="preserve">   Investigaciones Criminalísticas del Ministerio Público, así como miembros</w:t>
        <w:br/>
        <w:t xml:space="preserve">   de la Unidad de Protección de la Escena del Crimen y de la Unidad  Contra</w:t>
        <w:br/>
        <w:t xml:space="preserve">   Homicidios de Mujeres  del  Servicio  de  Investigación  Criminal  de  la</w:t>
        <w:br/>
        <w:t xml:space="preserve">   PNC[46]. De la prueba se desprende que  a  las  6:30  a.m.  ya  se  había</w:t>
        <w:br/>
        <w:t xml:space="preserve">   colocado una cinta acordonando la zona[47].</w:t>
        <w:br/>
        <w:br/>
        <w:t>56. El  cuerpo  fue  identificado  “como  XX”[48]  y,  según  consta  en  el</w:t>
        <w:br/>
        <w:t xml:space="preserve">   procesamiento médico legal de la escena del crimen, se encontraba  “sobre</w:t>
        <w:br/>
        <w:t xml:space="preserve">   el asfalto cubiert[o] con una sábana blanca con  un  casquillo  y  sangre</w:t>
        <w:br/>
        <w:t xml:space="preserve">   alrededor” y “se  respira[ba]  un  olor  fuerte  a  alcohol”[49].  Vestía</w:t>
        <w:br/>
        <w:t xml:space="preserve">   pantalón de lona  color  azul,  blusa  negra,  suéter  rosado,  sandalias</w:t>
        <w:br/>
        <w:t xml:space="preserve">   negras,  brasier  (blanco/rosado),  y   calzón   (bloomer   salmón/rosado</w:t>
        <w:br/>
        <w:t xml:space="preserve">   pálido)[50], portaba un arete en el ombligo, una cadena tipo gargantilla,</w:t>
        <w:br/>
        <w:t xml:space="preserve">   y presentaba “una herida de proyectil de arma de fuego con tatuaje en  la</w:t>
        <w:br/>
        <w:t xml:space="preserve">   región de la frente”, así como ropa “manchada de sangre”, “el brasier  no</w:t>
        <w:br/>
        <w:t xml:space="preserve">   lo tenía puesto”, sino colocado entre el pantalón y  la  cadera,  “cincho</w:t>
        <w:br/>
        <w:t xml:space="preserve">   removido”, “zipper abajo” y  “la  blusa  puesta  al  revés”[51].  Además,</w:t>
        <w:br/>
        <w:t xml:space="preserve">   presentaba “[e]quimosis rojo violácea a nivel peri orbital y mejilla lado</w:t>
        <w:br/>
        <w:t xml:space="preserve">   izquierdo” y excoriaciones en la  rodilla  izquierda  y  a  nivel  flanco</w:t>
        <w:br/>
        <w:t xml:space="preserve">   aparentemente sin reacción vital[52].</w:t>
        <w:br/>
        <w:br/>
        <w:t>57. En el  lugar  de  los  hechos  se  recolectaron  diversos  objetos  como</w:t>
        <w:br/>
        <w:t xml:space="preserve">   evidencia[53], los cuales fueron embalados y quedaron  bajo  custodia  de</w:t>
        <w:br/>
        <w:t xml:space="preserve">   los especialistas en la escena del crimen del Ministerio Público. Además,</w:t>
        <w:br/>
        <w:t xml:space="preserve">   según  información  recopilada  por  “los  agentes  informantes”,  varias</w:t>
        <w:br/>
        <w:t xml:space="preserve">   personas que se encontraban en el lugar  manifestaron  que  “un  vehículo</w:t>
        <w:br/>
        <w:t xml:space="preserve">   tipo taxi, de  color  blanco,  llegó  al  lugar  posiblemente  a  dejarla</w:t>
        <w:br/>
        <w:t xml:space="preserve">   tirada”. Sin embargo, dichas personas “no proporcionaron su[s]  nombre[s]</w:t>
        <w:br/>
        <w:t xml:space="preserve">   por temor a represalias”. A las 7:30 a.m. aproximadamente, el cuerpo  fue</w:t>
        <w:br/>
        <w:t xml:space="preserve">   trasladado a bordo de una unidad policial hacia la morgue  del  Organismo</w:t>
        <w:br/>
        <w:t xml:space="preserve">   Judicial de la Zona 3[54]. Ese día se realizó el informe policial  de  la</w:t>
        <w:br/>
        <w:t xml:space="preserve">   PNC  y  el  Formato  para  Levantamiento  y  Remisión  de  Cadáveres  del</w:t>
        <w:br/>
        <w:t xml:space="preserve">   Ministerio Público[55].</w:t>
        <w:br/>
        <w:br/>
        <w:t>58. Los padres de Claudina Velásquez se enteraron del  hallazgo  del  cuerpo</w:t>
        <w:br/>
        <w:t xml:space="preserve">   sin vida de su hija a través de una llamada telefónica de un amigo de  la</w:t>
        <w:br/>
        <w:t xml:space="preserve">   prima de Elsa Claudina Paiz Vidal, quien les informó que en la morgue del</w:t>
        <w:br/>
        <w:t xml:space="preserve">   Servicio Médico Forense del  Organismo  Judicial  de  la  Zona  3  de  la</w:t>
        <w:br/>
        <w:t xml:space="preserve">   capital, había un cuerpo no identificado con las  características  de  su</w:t>
        <w:br/>
        <w:t xml:space="preserve">   hija. Ambos se presentaron  a  la  morgue[56],  en  donde  alrededor  del</w:t>
        <w:br/>
        <w:t xml:space="preserve">   mediodía del 13 de agosto de 2005 les fue entregado el cuerpo sin vida de</w:t>
        <w:br/>
        <w:t xml:space="preserve">   su hija por el Servicio Médico Forense una vez que lo  identificaron[57].</w:t>
        <w:br/>
        <w:t xml:space="preserve">   Ese día en el Registro Civil de la Municipalidad de Guatemala se registró</w:t>
        <w:br/>
        <w:t xml:space="preserve">   y certificó la defunción de Claudina Velásquez[58].</w:t>
        <w:br/>
        <w:br/>
        <w:t>B.3. Investigación penal</w:t>
        <w:br/>
        <w:br/>
        <w:t>59. El 13 de agosto de 2005 y tras  el  hallazgo  del  cuerpo  sin  vida  de</w:t>
        <w:br/>
        <w:t xml:space="preserve">   Claudina Velásquez, se inició la investigación  penal  relacionada  a  su</w:t>
        <w:br/>
        <w:t xml:space="preserve">   fallecimiento. La investigación ha estado  a  cargo  de  la  Fiscalía  de</w:t>
        <w:br/>
        <w:t xml:space="preserve">   Delitos contra la Vida  e  Integridad  de  las  Personas  del  Ministerio</w:t>
        <w:br/>
        <w:t xml:space="preserve">   Público y bajo el control  jurisdiccional  de  los  Juzgados  de  Primera</w:t>
        <w:br/>
        <w:t xml:space="preserve">   Instancia  Penal,  Narcoactividad  y  Delitos  contra  el   Ambiente   de</w:t>
        <w:br/>
        <w:t xml:space="preserve">   Guatemala. En el marco de la misma consta que se ha vinculado al menos  a</w:t>
        <w:br/>
        <w:t xml:space="preserve">   nueve personas[59], y que  durante  más  de  diez  años  han  participado</w:t>
        <w:br/>
        <w:t xml:space="preserve">   diversos agentes y auxiliares fiscales e  investigadores  del  Ministerio</w:t>
        <w:br/>
        <w:t xml:space="preserve">   Público y de la Policía Nacional.</w:t>
        <w:br/>
        <w:br/>
        <w:t>60. Informe de reconocimiento médico externo y  procesamiento  médico  legal</w:t>
        <w:br/>
        <w:t xml:space="preserve">   de la escena del crimen.- El 13 de agosto de 2005 el médico  forense  del</w:t>
        <w:br/>
        <w:t xml:space="preserve">   Ministerio Público que asistió al lugar en que se encontró el  cuerpo  de</w:t>
        <w:br/>
        <w:t xml:space="preserve">   Claudina  Velásquez  realizó   el   reconocimiento   médico   externo   y</w:t>
        <w:br/>
        <w:t xml:space="preserve">   procesamiento médico legal de la escena del crimen. El Informe respectivo</w:t>
        <w:br/>
        <w:t xml:space="preserve">   fue elaborado el 30 de agosto de 2005 y remitido al agente fiscal a cargo</w:t>
        <w:br/>
        <w:t xml:space="preserve">   de la investigación[60]. El  7  de  junio  de  2006  el  auxiliar  fiscal</w:t>
        <w:br/>
        <w:t xml:space="preserve">   solicitó la ampliación y corrección de dicho  informe[61],  y  el  21  de</w:t>
        <w:br/>
        <w:t xml:space="preserve">   junio de 2006 el médico  forense  presentó  su  corrección[62].  Mediante</w:t>
        <w:br/>
        <w:t xml:space="preserve">   declaración rendida ante el auxiliar fiscal el 20 de enero  de  2009[63],</w:t>
        <w:br/>
        <w:t xml:space="preserve">   el médico forense adicionó información sobre los hallazgos realizados  en</w:t>
        <w:br/>
        <w:t xml:space="preserve">   la escena del crimen.</w:t>
        <w:br/>
        <w:br/>
        <w:t>61. Informes de necropsia.- El 13 de agosto de 2005 el  médico  forense  del</w:t>
        <w:br/>
        <w:t xml:space="preserve">   Organismo Judicial practicó la necropsia al cuerpo de Claudina Velásquez.</w:t>
        <w:br/>
        <w:t xml:space="preserve">   El 16 de agosto de 2005 realizó el informe respectivo, el cual dirigió al</w:t>
        <w:br/>
        <w:t xml:space="preserve">   auxiliar fiscal del Ministerio Público[64]. Los días 5 y 13 de octubre de</w:t>
        <w:br/>
        <w:t xml:space="preserve">   2005, 7 de junio de 2006, y 11 y 26  de  octubre  de  2007,  el  auxiliar</w:t>
        <w:br/>
        <w:t xml:space="preserve">   fiscal solicitó la ampliación, corrección y clarificación en determinados</w:t>
        <w:br/>
        <w:t xml:space="preserve">   aspectos del informe de la necropsia[65]. En respuesta,  los  días  7  de</w:t>
        <w:br/>
        <w:t xml:space="preserve">   octubre de 2005, 7 de junio de 2006 y 3 de diciembre de 2007,  el  médico</w:t>
        <w:br/>
        <w:t xml:space="preserve">   forense presentó las ampliaciones y precisiones solicitadas[66].</w:t>
        <w:br/>
        <w:br/>
        <w:t>62. Toma de huellas dactilares.-  Debido  a  que  en  el  lugar  en  que  se</w:t>
        <w:br/>
        <w:t xml:space="preserve">   encontró el cuerpo sin vida de Claudina Velásquez  y  en  la  morgue  del</w:t>
        <w:br/>
        <w:t xml:space="preserve">   Organismo Judicial no se tomaron sus impresiones dactilares, la  auxiliar</w:t>
        <w:br/>
        <w:t xml:space="preserve">   fiscal y los Técnicos de Investigaciones Criminalísticas  del  Ministerio</w:t>
        <w:br/>
        <w:t xml:space="preserve">   Público arribaron al lugar donde estaba siendo velado el cuerpo el 13  de</w:t>
        <w:br/>
        <w:t xml:space="preserve">   agosto de 2005 y practicaron la toma de huellas. El 16 de agosto de  2005</w:t>
        <w:br/>
        <w:t xml:space="preserve">   el Técnico de Investigaciones  Criminalísticas  remitió  al  Departamento</w:t>
        <w:br/>
        <w:t xml:space="preserve">   Técnico Científico la ficha “decadactilar” con toma  de  huellas[67].  El</w:t>
        <w:br/>
        <w:t xml:space="preserve">   señor Jorge Rolando Velásquez Durán inicialmente se opuso a  la  toma  de</w:t>
        <w:br/>
        <w:t xml:space="preserve">   huellas dactilares, por lo que fue informado que si no  lo  permitía  “se</w:t>
        <w:br/>
        <w:t xml:space="preserve">   [l]e acusaría de obstrucción a una investigación y a la  justicia  y  que</w:t>
        <w:br/>
        <w:t xml:space="preserve">   además si el caso de Claudina Isabel llegase a juicio, este podría  verse</w:t>
        <w:br/>
        <w:t xml:space="preserve">   afectado al no constar de parte de ellos la identificación del  cadáver”.</w:t>
        <w:br/>
        <w:t xml:space="preserve">   Bajo estos argumentos y por consejo de un amigo abogado  de  la  familia,</w:t>
        <w:br/>
        <w:t xml:space="preserve">   accedió a la toma de huellas. A solicitud  de  su  padre,  el  cuerpo  de</w:t>
        <w:br/>
        <w:t xml:space="preserve">   Claudina Velásquez fue trasladado a un área privada de la funeraria  para</w:t>
        <w:br/>
        <w:t xml:space="preserve">   tal fin[68].</w:t>
        <w:br/>
        <w:br/>
        <w:t>63. Informe del Cuerpo Voluntario  de  Bomberos  de  Guatemala.-  El  13  de</w:t>
        <w:br/>
        <w:t xml:space="preserve">   agosto de 2005 llegaron al lugar en que se encontró el cuerpo de Claudina</w:t>
        <w:br/>
        <w:t xml:space="preserve">   Velásquez dos miembros del Cuerpo Voluntario de Bomberos de Guatemala. El</w:t>
        <w:br/>
        <w:t xml:space="preserve">   6 de septiembre de 2005 se realizó el Informe sobre lo acontecido y  este</w:t>
        <w:br/>
        <w:t xml:space="preserve">   fue remitido al agente fiscal[69]. Además, mediante  declaración  rendida</w:t>
        <w:br/>
        <w:t xml:space="preserve">   ante el auxiliar fiscal el 6 de diciembre de 2005, uno  de  los  miembros</w:t>
        <w:br/>
        <w:t xml:space="preserve">   del  Cuerpo  Voluntario  de  Bomberos  adicionó  información  sobre   los</w:t>
        <w:br/>
        <w:t xml:space="preserve">   hallazgos realizados en la escena del crimen[70].</w:t>
        <w:br/>
        <w:br/>
        <w:t>64. Informes de investigación.- La investigación ha  sido  dirigida  por  la</w:t>
        <w:br/>
        <w:t xml:space="preserve">   Fiscalía a cargo de la misma  y  ha  contado  con  la  actividad  de  los</w:t>
        <w:br/>
        <w:t xml:space="preserve">   investigadores de la Unidad Contra Homicidios de Mujeres del Servicio  de</w:t>
        <w:br/>
        <w:t xml:space="preserve">   Investigación Criminal y los investigadores de la División  Especializada</w:t>
        <w:br/>
        <w:t xml:space="preserve">   en  Investigación  Criminal  de  la  PNC,  así  como  los   Técnicos   de</w:t>
        <w:br/>
        <w:t xml:space="preserve">   Investigaciones Criminalísticas y los investigadores de la  Dirección  de</w:t>
        <w:br/>
        <w:t xml:space="preserve">   Investigaciones Criminalísticas del Ministerio Público. En el marco de su</w:t>
        <w:br/>
        <w:t xml:space="preserve">   actividad y funciones todos ellos  han  realizado  diversos  informes  de</w:t>
        <w:br/>
        <w:t xml:space="preserve">   investigación en los que consta que se realizaron  diversas  entrevistas,</w:t>
        <w:br/>
        <w:t xml:space="preserve">   averiguaciones, inspecciones  oculares,  croquis,  planimetría,  toma  de</w:t>
        <w:br/>
        <w:t xml:space="preserve">   fotografías y diligencias en terreno que fueron documentadas; además,  se</w:t>
        <w:br/>
        <w:t xml:space="preserve">   indicaron sugerencias y observaciones al respecto.  Dichos  informes  son</w:t>
        <w:br/>
        <w:t xml:space="preserve">   los siguientes:</w:t>
        <w:br/>
        <w:br/>
        <w:t xml:space="preserve">   a) Los días 13, 22 y 25 de agosto de  2005[71]  la  investigadora  de  la</w:t>
        <w:br/>
        <w:t xml:space="preserve">      Unidad Contra Homicidios de  Mujeres  del  Servicio  de  Investigación</w:t>
        <w:br/>
        <w:t xml:space="preserve">      Criminal de la PNC remitió informes  de  investigación  a  la  agencia</w:t>
        <w:br/>
        <w:t xml:space="preserve">      fiscal sobre las actuaciones realizadas hasta ese momento;</w:t>
        <w:br/>
        <w:br/>
        <w:t xml:space="preserve">   b) Los días 23 de agosto y 19 de septiembre de 2005, y  18  de  julio  de</w:t>
        <w:br/>
        <w:t xml:space="preserve">      2008 el Técnico  de  Investigaciones  Criminalísticas  del  Ministerio</w:t>
        <w:br/>
        <w:t xml:space="preserve">      Público remitió  a  la  auxiliar  fiscal,  respectivamente,  el  álbum</w:t>
        <w:br/>
        <w:t xml:space="preserve">      fotográfico, el croquis de la escena trabajada  y  10  fotografías  de</w:t>
        <w:br/>
        <w:t xml:space="preserve">      descarte de la escena trabajada el 13 de agosto de 2005[72]. Asimismo,</w:t>
        <w:br/>
        <w:t xml:space="preserve">      los días 16 y 19 de agosto, 14 de octubre y 4 de noviembre de 2005,  5</w:t>
        <w:br/>
        <w:t xml:space="preserve">      de diciembre de 2008, 17 de septiembre de 2010, 4, 10, 25, 26 y 30  de</w:t>
        <w:br/>
        <w:t xml:space="preserve">      agosto y 27 de septiembre de 2011, 12 y 20 de enero, 2 de febrero,  27</w:t>
        <w:br/>
        <w:t xml:space="preserve">      de abril y 27 de agosto de 2012, 22 de septiembre y 1  de  octubre  de</w:t>
        <w:br/>
        <w:t xml:space="preserve">      2013,  y  30  de  enero  de  2014  los  Técnicos  de   Investigaciones</w:t>
        <w:br/>
        <w:t xml:space="preserve">      Criminalísticas  elaboraron  informes  de  investigación,  los  cuales</w:t>
        <w:br/>
        <w:t xml:space="preserve">      remitieron al auxiliar fiscal[73];</w:t>
        <w:br/>
        <w:br/>
        <w:t xml:space="preserve">   c) Los días 24 de octubre y 29 de noviembre de 2005, 11 de julio,  22  de</w:t>
        <w:br/>
        <w:t xml:space="preserve">      marzo, 7 de agosto, 2 de noviembre y 18 de diciembre de 2006  y  7  de</w:t>
        <w:br/>
        <w:t xml:space="preserve">      marzo de 2007 los investigadores de la  Dirección  de  Investigaciones</w:t>
        <w:br/>
        <w:t xml:space="preserve">      Criminalísticas del  Ministerio  Público  elaboraron  sus  respectivos</w:t>
        <w:br/>
        <w:t xml:space="preserve">      informes  de  investigación,  los  cuales   remitieron   al   auxiliar</w:t>
        <w:br/>
        <w:t xml:space="preserve">      fiscal[74], y</w:t>
        <w:br/>
        <w:br/>
        <w:t xml:space="preserve">   d) Los días 9 de mayo y 4 y 23 de junio de 2006, 4 y 22 de agosto y 22 de</w:t>
        <w:br/>
        <w:t xml:space="preserve">      septiembre de 2011, y 9 y 19 de enero, 6 de febrero y 12 de  marzo  de</w:t>
        <w:br/>
        <w:t xml:space="preserve">      2012 los investigadores de la División Especializada en  Investigación</w:t>
        <w:br/>
        <w:t xml:space="preserve">      Criminal de la PNC elaboraron informes de  investigación,  los  cuales</w:t>
        <w:br/>
        <w:t xml:space="preserve">      remitieron al auxiliar fiscal[75].</w:t>
        <w:br/>
        <w:br/>
        <w:t>65. Diligencias practicadas a partir  de  la  evidencia  recolectada  en  el</w:t>
        <w:br/>
        <w:t xml:space="preserve">   cadáver de Claudina Velásquez.-  El  13  de  agosto  de  2005  se  ordenó</w:t>
        <w:br/>
        <w:t xml:space="preserve">   realizar los exámenes de laboratorios de alcoholemia y drogas  de  abuso,</w:t>
        <w:br/>
        <w:t xml:space="preserve">   hisopado rectal y vaginal, y raspado de uñas. En respuesta, consta que el</w:t>
        <w:br/>
        <w:t xml:space="preserve">   médico forense que practicó la necropsia tomó muestras de sangre,  hígado</w:t>
        <w:br/>
        <w:t xml:space="preserve">   y orina, así como de uñas, y los hisopados vaginal y rectal[76]. Con base</w:t>
        <w:br/>
        <w:t xml:space="preserve">   en  dichas  muestras  se  realizaron  los  estudios  que  se  detallan  a</w:t>
        <w:br/>
        <w:t xml:space="preserve">   continuación.</w:t>
        <w:br/>
        <w:br/>
        <w:t>66. El 16 de septiembre de 2005 se emitió un dictamen pericial sobre  examen</w:t>
        <w:br/>
        <w:t xml:space="preserve">   de alcohol y drogas con base en las muestras de sangre, hígado  y  orina,</w:t>
        <w:br/>
        <w:t xml:space="preserve">   mediante el cual se halló un nivel etílico de 1,4g/L en la sangre  y  2,4</w:t>
        <w:br/>
        <w:t xml:space="preserve">   g/L en la orina, sin rastro de drogas presente[77]. A su vez,  el  18  de</w:t>
        <w:br/>
        <w:t xml:space="preserve">   noviembre de 2011 y una vez que fue solicitado por el auxiliar fiscal, el</w:t>
        <w:br/>
        <w:t xml:space="preserve">   Instituto  Nacional  de  Ciencias  Forenses  de  Guatemala  (en  adelante</w:t>
        <w:br/>
        <w:t xml:space="preserve">   “INACIF”) emitió un dictamen  mediante  el  cual  proporcionó  una  tabla</w:t>
        <w:br/>
        <w:t xml:space="preserve">   estándar de alcoholemia  según  la  cual  Claudina  Velásquez  se  habría</w:t>
        <w:br/>
        <w:t xml:space="preserve">   encontrado en estado de ebriedad leve (excitación)[78].</w:t>
        <w:br/>
        <w:br/>
        <w:t>67.  El  26  de  septiembre  de  2005  la   Dirección   de   Investigaciones</w:t>
        <w:br/>
        <w:t xml:space="preserve">   Criminalísticas del Ministerio Público  emitió  un  dictamen  en  que  se</w:t>
        <w:br/>
        <w:t xml:space="preserve">   determinó la presencia de semen en la  cavidad  vaginal,  no  así  en  la</w:t>
        <w:br/>
        <w:t xml:space="preserve">   rectal[79]. Los días 24 de enero y 12 de junio de 2006,  5  de  marzo  de</w:t>
        <w:br/>
        <w:t xml:space="preserve">   2008, y 28 de julio y 14  de  septiembre  de  2009,  el  Departamento  de</w:t>
        <w:br/>
        <w:t xml:space="preserve">   Medicina  Legal  de  la  Universidad  de  Granada,  España,  recibió  del</w:t>
        <w:br/>
        <w:t xml:space="preserve">   Ministerio Público de Guatemala las muestras de sangre  pertenecientes  a</w:t>
        <w:br/>
        <w:t xml:space="preserve">   ocho personas vinculadas a la investigación, con el fin de  comparar  sus</w:t>
        <w:br/>
        <w:t xml:space="preserve">   perfiles genéticos con el perfil genético  del  semen  encontrado  en  el</w:t>
        <w:br/>
        <w:t xml:space="preserve">   hisopado vaginal de Claudina Velásquez. Como resultado,  los  días  3  de</w:t>
        <w:br/>
        <w:t xml:space="preserve">   febrero y 26 de junio de 2006, 28 de marzo de 2008, y 5 y 23  de  octubre</w:t>
        <w:br/>
        <w:t xml:space="preserve">   de 2009 el Laboratorio determinó que en los hisopos vaginales aparecía un</w:t>
        <w:br/>
        <w:t xml:space="preserve">   perfil genético compatible con un varón que no coincidía  con  el  perfil</w:t>
        <w:br/>
        <w:t xml:space="preserve">   genético de ninguno de los sospechosos[80]. Finalmente, el 6 de junio  de</w:t>
        <w:br/>
        <w:t xml:space="preserve">   2012 el auxiliar fiscal solicitó  al  INACIF  cotejar  el  resultado  del</w:t>
        <w:br/>
        <w:t xml:space="preserve">   perfil genético de una persona más vinculada a la investigación,  con  el</w:t>
        <w:br/>
        <w:t xml:space="preserve">   perfil genético del semen encontrado. El 3 de julio  de  2012  el  INACIF</w:t>
        <w:br/>
        <w:t xml:space="preserve">   informó  al  auxiliar  fiscal  que  no  existía  coincidencia  entre  los</w:t>
        <w:br/>
        <w:t xml:space="preserve">   mismos[81].</w:t>
        <w:br/>
        <w:br/>
        <w:t>68. Consta también que los días 7 de agosto de 2006 y 6 de abril de 2009  el</w:t>
        <w:br/>
        <w:t xml:space="preserve">   Departamento de Medicina Legal de  la  Universidad  de  Granada,  España,</w:t>
        <w:br/>
        <w:t xml:space="preserve">   recibió del Ministerio  Público  de  Guatemala  las  muestras  de  sangre</w:t>
        <w:br/>
        <w:t xml:space="preserve">   pertenecientes a Jorge Rolando Velásquez Durán y Elsa Claudina Paiz Vidal</w:t>
        <w:br/>
        <w:t xml:space="preserve">   con el fin de comparar los perfiles genéticos obtenidos de  aquellos  con</w:t>
        <w:br/>
        <w:t xml:space="preserve">   el perfil genético obtenido desde la sangre e hisopado vaginal  y  rectal</w:t>
        <w:br/>
        <w:t xml:space="preserve">   tomados a Claudina Velásquez, y  establecer  si  eran  compatibles.  Como</w:t>
        <w:br/>
        <w:t xml:space="preserve">   resultado, el 29  de  septiembre  de  2006  y  20  de  mayo  de  2009  el</w:t>
        <w:br/>
        <w:t xml:space="preserve">   Laboratorio determinó que el perfil genético de  Claudina  Velásquez  era</w:t>
        <w:br/>
        <w:t xml:space="preserve">   compatible con el que tendría una hija biológica de aquellos[82].</w:t>
        <w:br/>
        <w:br/>
        <w:t>69. El 26 de septiembre de 2005 la  Sección  de  Biología  del  Departamento</w:t>
        <w:br/>
        <w:t xml:space="preserve">   Técnico Científico del Ministerio Público emitió un dictamen  en  que  se</w:t>
        <w:br/>
        <w:t xml:space="preserve">   determinó la presencia de sangre animal en ambas  manos  de  la  presunta</w:t>
        <w:br/>
        <w:t xml:space="preserve">   víctima[83]. En consecuencia, el 11 de agosto de 2011 el auxiliar  fiscal</w:t>
        <w:br/>
        <w:t xml:space="preserve">   solicitó a la Universidad de San Carlos  de  Guatemala  y  al  INACIF  un</w:t>
        <w:br/>
        <w:t xml:space="preserve">   análisis de laboratorio para  determinar  a  qué  animal  corresponderían</w:t>
        <w:br/>
        <w:t xml:space="preserve">   dichas muestras de sangre. En respuesta, el  19  de  agosto  de  2011  el</w:t>
        <w:br/>
        <w:t xml:space="preserve">   Laboratorio de Toxicología de la Universidad indicó  que  “este  tipo  de</w:t>
        <w:br/>
        <w:t xml:space="preserve">   análisis no [era] posible […]  en  ninguno  de  los  laboratorios  de  la</w:t>
        <w:br/>
        <w:t xml:space="preserve">   [misma]”, y que la prueba podría realizarse en el Decanato de Veterinaria</w:t>
        <w:br/>
        <w:t xml:space="preserve">   en una Universidad de Venezuela[84]. Por su parte, el 1 de septiembre  de</w:t>
        <w:br/>
        <w:t xml:space="preserve">   2011 el INACIF se excusó de atender el requerimiento dado que “estudio[s]</w:t>
        <w:br/>
        <w:t xml:space="preserve">   de tipo veterinario no son manejados en [dicha] institución”[85].  El  11</w:t>
        <w:br/>
        <w:t xml:space="preserve">   de agosto de 2011 el auxiliar fiscal solicitó  a  la  Administradora  del</w:t>
        <w:br/>
        <w:t xml:space="preserve">   Mercado Roosevelt, que informara sobre los puestos de dicho  mercado  que</w:t>
        <w:br/>
        <w:t xml:space="preserve">   expidieron carne el 12 de agosto de 2005, así como  los  nombres  de  las</w:t>
        <w:br/>
        <w:t xml:space="preserve">   carnicerías y los datos personales de sus propietarios. El 13 de  octubre</w:t>
        <w:br/>
        <w:t xml:space="preserve">   de 2011 el Director  de  Mercado  remitió  los  nombres  y  datos  de  10</w:t>
        <w:br/>
        <w:t xml:space="preserve">   carnicerías del Mercado[86].</w:t>
        <w:br/>
        <w:br/>
        <w:t>70. Diligencias practicadas a partir  de  la  evidencia  recolectada  en  la</w:t>
        <w:br/>
        <w:t xml:space="preserve">   escena del crimen.- El 13 de agosto de 2005 se recolectó  como  evidencia</w:t>
        <w:br/>
        <w:t xml:space="preserve">   en la escena del crimen un casquillo y un proyectil de arma de fuego, así</w:t>
        <w:br/>
        <w:t xml:space="preserve">   como un sobre de vegetales deshidratados “Cup Ramen” y  un  suéter  color</w:t>
        <w:br/>
        <w:t xml:space="preserve">   rosa que vestía Claudina Velásquez. Al respecto, consta que se realizaron</w:t>
        <w:br/>
        <w:t xml:space="preserve">   diversas diligencias, las cuales se detallan en los siguientes párrafos.</w:t>
        <w:br/>
        <w:br/>
        <w:t>71. El 23 de septiembre de 2005 el Técnico de Investigaciones  Criminalistas</w:t>
        <w:br/>
        <w:t xml:space="preserve">   del Ministerio Público remitió para análisis al Laboratorio un  sobre  de</w:t>
        <w:br/>
        <w:t xml:space="preserve">   vegetales deshidratados “Cup Ramen” y un suéter color rosa  con  posibles</w:t>
        <w:br/>
        <w:t xml:space="preserve">   manchas  de  sangre[87].  Mediante  dictamen  de  Laboratorio  de  26  de</w:t>
        <w:br/>
        <w:t xml:space="preserve">   septiembre de 2005 se determinó la presencia de sangre de  origen  humano</w:t>
        <w:br/>
        <w:t xml:space="preserve">   del grupo “O” en ambos indicios y 10 elementos pilosos de  origen  humano</w:t>
        <w:br/>
        <w:t xml:space="preserve">   en el suéter color rosa[88]. Los elementos pilosos fueron  cotejados  con</w:t>
        <w:br/>
        <w:t xml:space="preserve">   los aportados el 6 de septiembre de  2005  por  el  señor  Jorge  Rolando</w:t>
        <w:br/>
        <w:t xml:space="preserve">   Velásquez  Durán  a  la  Fiscalía  y  que  tomó  de  ropa   de   Claudina</w:t>
        <w:br/>
        <w:t xml:space="preserve">   Velásquez[89]. Mediante dictamen de 27 de octubre de 2005 se concluyó que</w:t>
        <w:br/>
        <w:t xml:space="preserve">   2 de 5 elementos  pilosos  presentaban  características  macroscópicas  y</w:t>
        <w:br/>
        <w:t xml:space="preserve">   microscópicas similares a las encontradas en el  suéter[90],  los  cuales</w:t>
        <w:br/>
        <w:t xml:space="preserve">   correspondían a Claudina Velásquez, según el informe ampliatorio de 12 de</w:t>
        <w:br/>
        <w:t xml:space="preserve">   junio de 2006[91]. El 11 de julio de 2006 la Dirección de Investigaciones</w:t>
        <w:br/>
        <w:t xml:space="preserve">   Criminalísticas recibió una solicitud de  6  de  junio  de  2006[92]  del</w:t>
        <w:br/>
        <w:t xml:space="preserve">   auxiliar fiscal para realizar un  peritaje  dactiloscópico  al  sobre  de</w:t>
        <w:br/>
        <w:t xml:space="preserve">   vegetales deshidratados. En respuesta, el 20 de julio de 2006 indicó  que</w:t>
        <w:br/>
        <w:t xml:space="preserve">   el peritaje no se pudo efectuar, toda vez que  el  mismo  no  había  sido</w:t>
        <w:br/>
        <w:t xml:space="preserve">   preservado para análisis lofoscópico[93].</w:t>
        <w:br/>
        <w:br/>
        <w:t>72. Los días 14 de octubre y 6 de diciembre de 2005, y una vez que  les  fue</w:t>
        <w:br/>
        <w:t xml:space="preserve">   solicitado por  el  auxiliar  fiscal,  la  Sección  de  Balística  de  la</w:t>
        <w:br/>
        <w:t xml:space="preserve">   Dirección de Investigaciones Criminalísticas del Ministerio Público y  el</w:t>
        <w:br/>
        <w:t xml:space="preserve">   Laboratorio Balístico de la Dirección General de  la  PNC  emitieron  sus</w:t>
        <w:br/>
        <w:t xml:space="preserve">   respectivos peritajes balísticos practicados  al  casquillo  y  proyectil</w:t>
        <w:br/>
        <w:t xml:space="preserve">   recolectados en la escena del crimen, mediante los cuales se determinó el</w:t>
        <w:br/>
        <w:t xml:space="preserve">   calibre, tipo y probable marca del  arma  de  fuego  por  la  que  fueron</w:t>
        <w:br/>
        <w:t xml:space="preserve">   disparados[94]. Asimismo,  el  4  de  noviembre  de  2005  se  realizaron</w:t>
        <w:br/>
        <w:t xml:space="preserve">   diligencias de inspección, registro y secuestro de armas de fuego en  los</w:t>
        <w:br/>
        <w:t xml:space="preserve">   inmuebles que habitaban dos de las personas que fueron  vinculadas  a  la</w:t>
        <w:br/>
        <w:t xml:space="preserve">   investigación penal[95], y a raíz de dichas diligencias  se  localizó  un</w:t>
        <w:br/>
        <w:t xml:space="preserve">   arma de fuego tipo revólver en la residencia de uno de ellos[96].  El  17</w:t>
        <w:br/>
        <w:t xml:space="preserve">   de enero de 2006 se practicó un peritaje balístico sobre  esta  arma,  el</w:t>
        <w:br/>
        <w:t xml:space="preserve">   cual determinó que tenía un calibre distinto  al  casquillo  y  proyectil</w:t>
        <w:br/>
        <w:t xml:space="preserve">   recolectados en la escena del crimen[97]. Además, el 22 de septiembre  de</w:t>
        <w:br/>
        <w:t xml:space="preserve">   2010 se realizó el allanamiento,  inspección,  registro  y  secuestro  de</w:t>
        <w:br/>
        <w:t xml:space="preserve">   cuatro inmuebles relacionados con una  tercera  persona  vinculada  a  la</w:t>
        <w:br/>
        <w:t xml:space="preserve">   investigación  penal,  con  resultados  negativos[98].   Consta   en   el</w:t>
        <w:br/>
        <w:t xml:space="preserve">   expediente  que  posteriormente  se  practicaron   diversas   diligencias</w:t>
        <w:br/>
        <w:t xml:space="preserve">   respecto de las cuales la Corte no  tiene  claridad  sobre  su  número  y</w:t>
        <w:br/>
        <w:t xml:space="preserve">   continuidad, las cuales se detallan en los siguientes párrafos.</w:t>
        <w:br/>
        <w:br/>
        <w:t>73. Los días 21 de septiembre, 7 de octubre y 29 de noviembre de 2005, 7  de</w:t>
        <w:br/>
        <w:t xml:space="preserve">   abril, 6, 7, 27 y 28 de julio, 1 de agosto,  13  de  septiembre  y  6  de</w:t>
        <w:br/>
        <w:t xml:space="preserve">   noviembre de 2006, 14 de marzo de 2008 y 5 de agosto de 2011 el  auxiliar</w:t>
        <w:br/>
        <w:t xml:space="preserve">   fiscal solicitó al Departamento de Control  de  Armas  y  Municiones  que</w:t>
        <w:br/>
        <w:t xml:space="preserve">   informara sobre la existencia de licencias vigentes de portación de armas</w:t>
        <w:br/>
        <w:t xml:space="preserve">   y el número de armas  con  sus  correspondientes  huellas  balísticas  de</w:t>
        <w:br/>
        <w:t xml:space="preserve">   aproximadamente 51 personas[99]. En respuesta, los días 28 de octubre y 6</w:t>
        <w:br/>
        <w:t xml:space="preserve">   de diciembre de 2005, 2 y 8 de mayo, 7 de junio, 11, 13, 14, 17 y  27  de</w:t>
        <w:br/>
        <w:t xml:space="preserve">   julio, 7 y 10 de agosto, 12, 14 y 20 de septiembre y 8  de  noviembre  de</w:t>
        <w:br/>
        <w:t xml:space="preserve">   2006, 3 de abril de 2008, 9 de agosto de 2011 y 26 de marzo y 31 de  mayo</w:t>
        <w:br/>
        <w:t xml:space="preserve">   de 2014 el auxiliar fiscal recibió  la  información  relacionada  con  su</w:t>
        <w:br/>
        <w:t xml:space="preserve">   solicitud[100].</w:t>
        <w:br/>
        <w:br/>
        <w:t>74. Asimismo, los días 5 de junio y 5 de julio de 2006 el fiscal de  sección</w:t>
        <w:br/>
        <w:t xml:space="preserve">   solicitó a los jefes de las Comisarías 11, 14 y 16 de la Policía Nacional</w:t>
        <w:br/>
        <w:t xml:space="preserve">   Civil, información sobre la cantidad de armas de fuego incautadas y sobre</w:t>
        <w:br/>
        <w:t xml:space="preserve">   las armas que se utilizaron para cometer delitos desde el 12 de agosto de</w:t>
        <w:br/>
        <w:t xml:space="preserve">   2005 al 4 de julio de  2006  dentro  de  la  circunscripción  territorial</w:t>
        <w:br/>
        <w:t xml:space="preserve">   competente a cada  Comisaría[101].  A  su  vez,  los  días  11  y  12  de</w:t>
        <w:br/>
        <w:t xml:space="preserve">   septiembre de 2006 el auxiliar fiscal solicitó al jefe  del  Departamento</w:t>
        <w:br/>
        <w:t xml:space="preserve">   de Control de Armas y Municiones que le informara si las Comisarías 14  y</w:t>
        <w:br/>
        <w:t xml:space="preserve">   16  le  remitieron  armas  de  fuego   específicamente   de   calibre   9</w:t>
        <w:br/>
        <w:t xml:space="preserve">   milímetros[102]. En respuesta, los días 14 y 20  de  septiembre  de  2006</w:t>
        <w:br/>
        <w:t xml:space="preserve">   dicho Departamento remitió los listados de las armas de fuego  calibre  9</w:t>
        <w:br/>
        <w:t xml:space="preserve">   milímetros procedentes de las Comisarías  14  y  16  que  se  encontraban</w:t>
        <w:br/>
        <w:t xml:space="preserve">   ahí[103].</w:t>
        <w:br/>
        <w:br/>
        <w:t>75. Por otro lado, consta que una vez que fue  solicitado  por  el  auxiliar</w:t>
        <w:br/>
        <w:t xml:space="preserve">   fiscal, los días 30 de junio, 18 de agosto y 5  de  octubre  de  2006  se</w:t>
        <w:br/>
        <w:t xml:space="preserve">   realizaron peritajes balísticos mediante el cotejo  de  diversas  huellas</w:t>
        <w:br/>
        <w:t xml:space="preserve">   balísticas con el proyectil y casquillo recolectados  en  la  escena  del</w:t>
        <w:br/>
        <w:t xml:space="preserve">   crimen, todos con resultados negativos[104]. Asimismo, el 20 de agosto de</w:t>
        <w:br/>
        <w:t xml:space="preserve">   2008 y el 31  de  enero  de  2011  se  realizaron  peritajes  balísticos,</w:t>
        <w:br/>
        <w:t xml:space="preserve">   mediante los cuales  se  identificaron  diversas  armas  de  fuego  y  se</w:t>
        <w:br/>
        <w:t xml:space="preserve">   estableció   el   calibre   de   diversos   cartuchos,    casquillos    y</w:t>
        <w:br/>
        <w:t xml:space="preserve">   proyectiles[105].</w:t>
        <w:br/>
        <w:br/>
        <w:t>76. El 7 de noviembre  de  2006  el  Departamento  de  Control  de  Armas  y</w:t>
        <w:br/>
        <w:t xml:space="preserve">   Municiones del Ministerio de la Defensa Nacional remitió  ocho  armas  de</w:t>
        <w:br/>
        <w:t xml:space="preserve">   fuego  con  sus  respectivos  cargadores,  cartuchos  y   casquillos   al</w:t>
        <w:br/>
        <w:t xml:space="preserve">   Laboratorio  de  Balística  del  Departamento  Técnico   Científico   del</w:t>
        <w:br/>
        <w:t xml:space="preserve">   Ministerio Público[106], los cuales a su vez fueron remitidos  el  16  de</w:t>
        <w:br/>
        <w:t xml:space="preserve">   septiembre de 2008 al  Almacén  Central  de  Evidencia  del  INACIF[107].</w:t>
        <w:br/>
        <w:t xml:space="preserve">   Posteriormente, el auxiliar fiscal solicitó a la Unidad  de  Laboratorios</w:t>
        <w:br/>
        <w:t xml:space="preserve">   de Criminalística del INACIF que informara si dentro de la base de  datos</w:t>
        <w:br/>
        <w:t xml:space="preserve">   del Sistema Integral de Identificación Balística  (en  adelante  “Sistema</w:t>
        <w:br/>
        <w:t xml:space="preserve">   IBIS”)  se  contaba  con  huellas  balísticas  de  las  armas  de   fuego</w:t>
        <w:br/>
        <w:t xml:space="preserve">   registradas en la Dirección General de  Control  de  Armas  y  Municiones</w:t>
        <w:br/>
        <w:t xml:space="preserve">   (DIGECAM), y que estableciera si  existía  alguna  coincidencia  con  las</w:t>
        <w:br/>
        <w:t xml:space="preserve">   mencionadas ocho armas de fuego con los registros del Sistema IBIS. El 25</w:t>
        <w:br/>
        <w:t xml:space="preserve">   de octubre 2011 la Unidad de Laboratorios de Criminalística  informó  que</w:t>
        <w:br/>
        <w:t xml:space="preserve">   no se contaba con los registros de las huellas balísticas de las armas de</w:t>
        <w:br/>
        <w:t xml:space="preserve">   fuego registradas en la DIGECAM, y que de momento no era posible realizar</w:t>
        <w:br/>
        <w:t xml:space="preserve">   lo solicitado debido a la imposibilidad material  de  poder  ingresar  al</w:t>
        <w:br/>
        <w:t xml:space="preserve">   Sistema IBIS casos cuyas fechas de ocurrencia fueran anteriores al  7  de</w:t>
        <w:br/>
        <w:t xml:space="preserve">   diciembre de 2010, fecha  en  la  cual  se  inició  la  alimentación  del</w:t>
        <w:br/>
        <w:t xml:space="preserve">   sistema[108]. Finalmente y tras previa  solicitud  del  auxiliar  fiscal,</w:t>
        <w:br/>
        <w:t xml:space="preserve">   consta que al menos al 15  de  noviembre  de  2012  el  INACIF  ya  había</w:t>
        <w:br/>
        <w:t xml:space="preserve">   ingresado al Sistema IBIS el casquillo y el  proyectil  recolectados  sin</w:t>
        <w:br/>
        <w:t xml:space="preserve">   que en ese momento se tuviera correspondencia con otros casos  ingresados</w:t>
        <w:br/>
        <w:t xml:space="preserve">   en dicho sistema[109].</w:t>
        <w:br/>
        <w:br/>
        <w:t>77. Declaraciones recibidas.- En el expediente consta que  al  menos  en  el</w:t>
        <w:br/>
        <w:t xml:space="preserve">   periodo comprendido entre los años 2005 y 2013  el  agente  fiscal  y  el</w:t>
        <w:br/>
        <w:t xml:space="preserve">   auxiliar fiscal recibieron múltiples declaraciones  en  el  marco  de  la</w:t>
        <w:br/>
        <w:t xml:space="preserve">   investigación[110].</w:t>
        <w:br/>
        <w:br/>
        <w:t>78.  Diligencias  para  identificar  los  últimos   lugares   en   los   que</w:t>
        <w:br/>
        <w:t xml:space="preserve">   aparentemente estuvo Claudina Velásquez.- El 4 de septiembre de  2005  el</w:t>
        <w:br/>
        <w:t xml:space="preserve">   agente y auxiliar fiscal se constituyeron en la Gasolinera de la  Zona  8</w:t>
        <w:br/>
        <w:t xml:space="preserve">   de Mixco con el fin de solicitar el video de seguridad grabado  los  días</w:t>
        <w:br/>
        <w:t xml:space="preserve">   12 y 13 de agosto de 2005. En respuesta, el administrador de dicho  lugar</w:t>
        <w:br/>
        <w:t xml:space="preserve">   informó que contaban con un sistema de seguridad con apenas 30 “cassetes”</w:t>
        <w:br/>
        <w:t xml:space="preserve">   sobre los cuales hacían grabaciones un mes después de haber sido  usados.</w:t>
        <w:br/>
        <w:t xml:space="preserve">   Por tanto, ya no contaban con dichas grabaciones[111]. Asimismo, el 30 de</w:t>
        <w:br/>
        <w:t xml:space="preserve">   octubre de 2007, se solicitó al gerente de la Gasolinera de la Zona 8  de</w:t>
        <w:br/>
        <w:t xml:space="preserve">   Mixco, información acerca de las facturas de sopas instantáneas y  formas</w:t>
        <w:br/>
        <w:t xml:space="preserve">   de pago efectuados los días 12 y 13 de agosto  de  2005[112].  El  23  de</w:t>
        <w:br/>
        <w:t xml:space="preserve">   abril de 2008  el  auxiliar  fiscal  tuvo  por  recibida  la  información</w:t>
        <w:br/>
        <w:t xml:space="preserve">   requerida, y solicitó información adicional acerca del sabor de las sopas</w:t>
        <w:br/>
        <w:t xml:space="preserve">   facturadas[113].</w:t>
        <w:br/>
        <w:br/>
        <w:t>79. Diligencias relacionadas con la búsqueda de un vehículo tipo taxi.-  Los</w:t>
        <w:br/>
        <w:t xml:space="preserve">   días 21 de septiembre, 5 y 14 de octubre y 9 y 28 de noviembre  de  2005,</w:t>
        <w:br/>
        <w:t xml:space="preserve">   28 de marzo, 6 de junio y 6 de agosto de 2006, 31 de marzo, 28 de abril y</w:t>
        <w:br/>
        <w:t xml:space="preserve">   18 de noviembre de 2008, y 15 de septiembre, 5, 6, 7 y 31 de  octubre  de</w:t>
        <w:br/>
        <w:t xml:space="preserve">   2011, y 28 de noviembre de 2013 el auxiliar fiscal  solicitó  a  diversas</w:t>
        <w:br/>
        <w:t xml:space="preserve">   entidades e instituciones información acerca de  los  datos  de  diversos</w:t>
        <w:br/>
        <w:t xml:space="preserve">   vehículos, líneas de taxi y licencias de  conducir[114].  La  información</w:t>
        <w:br/>
        <w:t xml:space="preserve">   requerida fue generada y/o remitida los días 10 y 14 de octubre, y  10  y</w:t>
        <w:br/>
        <w:t xml:space="preserve">   30 de noviembre de 2005, 28 de marzo, 6 de junio y 14 de julio  de  2006,</w:t>
        <w:br/>
        <w:t xml:space="preserve">   15 de abril y 19 y 20 de mayo de 2008, 5, 7, 10, 21 y 31  de  octubre  de</w:t>
        <w:br/>
        <w:t xml:space="preserve">   2011, y 19 y 20 de marzo, 17 de abril, 10 de mayo, 1, 29 y 30 de  octubre</w:t>
        <w:br/>
        <w:t xml:space="preserve">   y 30 de noviembre de 2013[115].</w:t>
        <w:br/>
        <w:br/>
        <w:t>80. Arraigos decretados.- El 3  de  octubre  de  2005  y  una  vez  que  fue</w:t>
        <w:br/>
        <w:t xml:space="preserve">   solicitado por el agente fiscal[116] el  Juez  de  la  causa  decretó  el</w:t>
        <w:br/>
        <w:t xml:space="preserve">   arraigo de dos personas vinculadas a la investigación  penal.  El  10  de</w:t>
        <w:br/>
        <w:t xml:space="preserve">   agosto de 2006 y una vez que fue  solicitado  por  una  de  las  personas</w:t>
        <w:br/>
        <w:t xml:space="preserve">   sujetas al arraigo, el Juez de la causa decretó  su  levantamiento  sobre</w:t>
        <w:br/>
        <w:t xml:space="preserve">   esta,  en  razón  de  que  “no  exist[ía]  vinculación  procesal”  y  “la</w:t>
        <w:br/>
        <w:t xml:space="preserve">   investigación  no  est[aba]  sujeta  a  plazos”[117].  No  consta  en  el</w:t>
        <w:br/>
        <w:t xml:space="preserve">   expediente la situación de la segunda persona sobre  la  que  también  se</w:t>
        <w:br/>
        <w:t xml:space="preserve">   decretó el arraigo.</w:t>
        <w:br/>
        <w:br/>
        <w:t>81. Diligencias relacionadas con  las  supuestas  llamadas  telefónicas  que</w:t>
        <w:br/>
        <w:t xml:space="preserve">   recibió y realizó la presunta  víctima  antes  de  su  muerte  y  uso  de</w:t>
        <w:br/>
        <w:t xml:space="preserve">   teléfonos.- Con previa autorización del Juez de la causa, los días  18  y</w:t>
        <w:br/>
        <w:t xml:space="preserve">   28 de octubre y 9 de noviembre de 2005; 24 a 26 de julio, 7 de agosto, 31</w:t>
        <w:br/>
        <w:t xml:space="preserve">   de octubre y 15 de noviembre de 2006; 7 y 30 de mayo, y  5  de  julio  de</w:t>
        <w:br/>
        <w:t xml:space="preserve">   2007; 31 de marzo y 2 de abril de 2008; 13 de abril  de  2009,  y  26  de</w:t>
        <w:br/>
        <w:t xml:space="preserve">   abril de 2012[118], el auxiliar fiscal  requirió  a  varias  empresas  de</w:t>
        <w:br/>
        <w:t xml:space="preserve">   telefonía  nacional,  entidades  bancarias  y  universidades  del   país,</w:t>
        <w:br/>
        <w:t xml:space="preserve">   información  detallada  de  diversos  números  telefónicos,  nombres   de</w:t>
        <w:br/>
        <w:t xml:space="preserve">   usuarios, listado de llamadas entrantes y salientes, y demás datos.  Solo</w:t>
        <w:br/>
        <w:t xml:space="preserve">   algunas de dichas solicitudes fueron respondidas, los días 17, 19,  25  y</w:t>
        <w:br/>
        <w:t xml:space="preserve">   27 de octubre, y 2, 14 y 24 de noviembre de 2005; 27, 28 y 31  de  julio,</w:t>
        <w:br/>
        <w:t xml:space="preserve">   2, 3, 9, 10, 11, y 18 de agosto, 4 de octubre, y 17 de noviembre de 2006;</w:t>
        <w:br/>
        <w:t xml:space="preserve">   22 y 30 de mayo, y 5 de julio de 2007; 2 de abril de 2008; 13, 20 a 24 de</w:t>
        <w:br/>
        <w:t xml:space="preserve">   abril, 4, 5, 11, 13 y 14 de mayo, y 5 y 10 de junio  de  2009,  y  26  de</w:t>
        <w:br/>
        <w:t xml:space="preserve">   enero, 8 de febrero, y 5, 6 y 13 de marzo de 2012[119], informándose que:</w:t>
        <w:br/>
        <w:t xml:space="preserve">   i) los mensajes de texto no quedan almacenados en sus  sistemas;  ii)  no</w:t>
        <w:br/>
        <w:t xml:space="preserve">   tenían registro de llamadas realizadas los días 12  y  13  de  agosto  de</w:t>
        <w:br/>
        <w:t xml:space="preserve">   2005, pues usualmente solo tenían información de los últimos  dos  meses;</w:t>
        <w:br/>
        <w:t xml:space="preserve">   iii) algunos de los números telefónicos no correspondían  a  numeraciones</w:t>
        <w:br/>
        <w:t xml:space="preserve">   asignadas por la Superintendencia de Telecomunicaciones, y iv) se trataba</w:t>
        <w:br/>
        <w:t xml:space="preserve">   de números activos en rangos prepago, por lo que las compañías no  tenían</w:t>
        <w:br/>
        <w:t xml:space="preserve">   constancia de datos personales del usuario  o  propietario  de  la  línea</w:t>
        <w:br/>
        <w:t xml:space="preserve">   telefónica. Finalmente, el 27 de  octubre  de  2010  el  auxiliar  fiscal</w:t>
        <w:br/>
        <w:t xml:space="preserve">   solicitó  al  jefe  de  análisis  del  Ministerio  Público  un   análisis</w:t>
        <w:br/>
        <w:t xml:space="preserve">   exhaustivo de las llamadas entrantes y salientes realizadas entre el 10 y</w:t>
        <w:br/>
        <w:t xml:space="preserve">   15 de agosto de 2005 de diversos números telefónicos[120].</w:t>
        <w:br/>
        <w:br/>
        <w:t>82. La actividad del señor Jorge Rolando Velásquez  Durán  como  querellante</w:t>
        <w:br/>
        <w:t xml:space="preserve">   adhesivo.- El 15 de noviembre  de  2005  Jorge  Rolando  Velásquez  Durán</w:t>
        <w:br/>
        <w:t xml:space="preserve">   solicitó intervención provisional en el proceso como querellante adhesivo</w:t>
        <w:br/>
        <w:t xml:space="preserve">   al Juez de la causa, y el 28 de noviembre de 2005 este  le  otorgó  dicha</w:t>
        <w:br/>
        <w:t xml:space="preserve">   calidad[121]. Consta en el expediente que al menos mediante  escritos  de</w:t>
        <w:br/>
        <w:t xml:space="preserve">   19 de julio, 3 y 25 de agosto, y 12 de octubre de 2006, 12  de  enero  de</w:t>
        <w:br/>
        <w:t xml:space="preserve">   2007, 18 de julio de 2008 y 5 de febrero de 2009[122], el señor Velásquez</w:t>
        <w:br/>
        <w:t xml:space="preserve">   Durán realizó diversas observaciones, comentarios y recomendaciones en la</w:t>
        <w:br/>
        <w:t xml:space="preserve">   investigación al Fiscal General de la República y al Jefe del  Ministerio</w:t>
        <w:br/>
        <w:t xml:space="preserve">   Público. Asimismo, consta que el señor Velásquez Durán ha participado  en</w:t>
        <w:br/>
        <w:t xml:space="preserve">   diversas reuniones con  el  auxiliar  y  agente  fiscal  a  cargo  de  la</w:t>
        <w:br/>
        <w:t xml:space="preserve">   investigación.</w:t>
        <w:br/>
        <w:br/>
        <w:t>83. Diligencias de reconstrucción de hechos.- El 26  de  junio  de  2006  se</w:t>
        <w:br/>
        <w:t xml:space="preserve">   realizaron dos diligencias de reconstrucción de hechos en  presencia  del</w:t>
        <w:br/>
        <w:t xml:space="preserve">   auxiliar fiscal y los especialistas en escena del  crimen  encargados  de</w:t>
        <w:br/>
        <w:t xml:space="preserve">   planimetría y fotografía, así  como  con  la  comparecencia  de  diversas</w:t>
        <w:br/>
        <w:t xml:space="preserve">   personas[123]. En dicha diligencia participaron las cuatro  personas  que</w:t>
        <w:br/>
        <w:t xml:space="preserve">   en ese momento se encontraban vinculadas a la investigación penal.</w:t>
        <w:br/>
        <w:br/>
        <w:t>84. Información sobre personas que recobraron su libertad los días 12  y  13</w:t>
        <w:br/>
        <w:t xml:space="preserve">   de agosto de 2005.- Una vez que fue solicitado por  el  auxiliar  fiscal,</w:t>
        <w:br/>
        <w:t xml:space="preserve">   los días 12 y 13  de  julio  de  2006  el  Director  General  del  Centro</w:t>
        <w:br/>
        <w:t xml:space="preserve">   Penitenciario recibió información acerca de las personas  que  recobraron</w:t>
        <w:br/>
        <w:t xml:space="preserve">   su  libertad  los  días  12  y  13  de  agosto  de  2005  en  15  centros</w:t>
        <w:br/>
        <w:t xml:space="preserve">   penitenciarios. De acuerdo con la información obtenida en dichos  centros</w:t>
        <w:br/>
        <w:t xml:space="preserve">   penitenciarios, un total de aproximadamente  64  personas  recobraron  la</w:t>
        <w:br/>
        <w:t xml:space="preserve">   libertad en esas fechas[124]. Dicha información se  remitió  al  auxiliar</w:t>
        <w:br/>
        <w:t xml:space="preserve">   fiscal de la causa.</w:t>
        <w:br/>
        <w:br/>
        <w:t>85. Recompensa ofrecida en el caso.- En el marco de la  investigación  penal</w:t>
        <w:br/>
        <w:t xml:space="preserve">   y previo acuerdo del Ministro de Gobernación, se ofreció  una  recompensa</w:t>
        <w:br/>
        <w:t xml:space="preserve">   de cien mil quetzales (Q.100,000.00) a  quien  aportara  información  que</w:t>
        <w:br/>
        <w:t xml:space="preserve">   permitiera la individualización y  captura  de  los  responsables  de  la</w:t>
        <w:br/>
        <w:t xml:space="preserve">   muerte de Claudina Isabel Velásquez Paiz, lo cual se publicó en medios de</w:t>
        <w:br/>
        <w:t xml:space="preserve">   comunicación de Guatemala el 16 de enero de 2008[125]. Además,  el  6  de</w:t>
        <w:br/>
        <w:t xml:space="preserve">   marzo de 2012 la Asesora  del  Despacho  del  Ministerio  de  Gobernación</w:t>
        <w:br/>
        <w:t xml:space="preserve">   remitió al Agente Fiscal 500 afiches de recompensa por información en  el</w:t>
        <w:br/>
        <w:t xml:space="preserve">   caso[126]. Los días 28 de octubre y 8 de noviembre de 2011,  una  persona</w:t>
        <w:br/>
        <w:t xml:space="preserve">   se comunicó con el Ministerio Público manifestando que tenía  información</w:t>
        <w:br/>
        <w:t xml:space="preserve">   sobre el caso y  que  estaba  interesada  en  la  recompensa[127].  Dicha</w:t>
        <w:br/>
        <w:t xml:space="preserve">   persona rindió declaración ante el auxiliar fiscal  el  20  de  abril  de</w:t>
        <w:br/>
        <w:t xml:space="preserve">   2012, mediante la cual explicó que otra persona  iba  a  proporcionar  la</w:t>
        <w:br/>
        <w:t xml:space="preserve">   información y, a su  vez,  la  información  de  esta  última  no  era  de</w:t>
        <w:br/>
        <w:t xml:space="preserve">   conocimiento directo ya que se la había proporcionado otra  persona,  por</w:t>
        <w:br/>
        <w:t xml:space="preserve">   lo que “no era fiable y m[á]s parecía ser un chisme”[128].</w:t>
        <w:br/>
        <w:br/>
        <w:t>86.  Denuncia  al  número  de  urgencias  110.-  En  cuanto  a  la  denuncia</w:t>
        <w:br/>
        <w:t xml:space="preserve">   telefónica que la PNC recibió al número 110  por  una  posible  violación</w:t>
        <w:br/>
        <w:t xml:space="preserve">   sexual, en el acervo probatorio del presente caso consta una copia de  la</w:t>
        <w:br/>
        <w:t xml:space="preserve">   boleta de la PNC identificada como “Información Confidencial  y  Llamadas</w:t>
        <w:br/>
        <w:t xml:space="preserve">   de Auxilio Sistema 110” que fue encontrada en los “archivos  muertos”  de</w:t>
        <w:br/>
        <w:t xml:space="preserve">   CECOM (Sistema 110) y remitida por el coordinador de la División  110  de</w:t>
        <w:br/>
        <w:t xml:space="preserve">   la PNC al Investigador del Ministerio de Gobernación el 13 de  septiembre</w:t>
        <w:br/>
        <w:t xml:space="preserve">   de 2007. En dicha boleta únicamente se indica que el 13 de agosto de 2005</w:t>
        <w:br/>
        <w:t xml:space="preserve">   a las 2:12 a.m. una “vecina” denunció al número de urgencias  110  de  la</w:t>
        <w:br/>
        <w:t xml:space="preserve">   PNC una posible violación en la 7ª  calle  “A”  11-32  Zona  11,  Colonia</w:t>
        <w:br/>
        <w:t xml:space="preserve">   Roosevelt[129]. Del expediente se desprende que el 26 de junio de 2008 el</w:t>
        <w:br/>
        <w:t xml:space="preserve">   auxiliar fiscal solicitó a la  Comisaría  14  de  la  PNC  que  remitiera</w:t>
        <w:br/>
        <w:t xml:space="preserve">   información  sobre  los  hechos   reportados   mediante   dicha   llamada</w:t>
        <w:br/>
        <w:t xml:space="preserve">   telefónica[130]. En respuesta, el 18 de julio  de  2008  la  Subdirección</w:t>
        <w:br/>
        <w:t xml:space="preserve">   General de Seguridad Pública de la PNC informó que: a) se empezó  con  el</w:t>
        <w:br/>
        <w:t xml:space="preserve">   sistema de grabación de llamadas de auxilio a partir del mes  de  febrero</w:t>
        <w:br/>
        <w:t xml:space="preserve">   de 2006; b) por no haber archivo de ninguna  clase  se  ignora  quién  se</w:t>
        <w:br/>
        <w:t xml:space="preserve">   encontraba al mando y los agentes asignados a la vigilancia y  patrullaje</w:t>
        <w:br/>
        <w:t xml:space="preserve">   el 13 de agosto de 2005, y c) según el libro de diligencias de  los  días</w:t>
        <w:br/>
        <w:t xml:space="preserve">   12 y 13 de agosto de 2005 no  se  tiene  registrada  ninguna  información</w:t>
        <w:br/>
        <w:t xml:space="preserve">   referente a una posible violación en la 7ª Calle “A”, frente al  inmueble</w:t>
        <w:br/>
        <w:t xml:space="preserve">   marcado con el numeral 11-32 de la Colonia Roosevelt Zona 11[131].</w:t>
        <w:br/>
        <w:br/>
        <w:t>87. Peritaje de trayectoria balística.- El 23 de julio de 2008  el  auxiliar</w:t>
        <w:br/>
        <w:t xml:space="preserve">   fiscal solicitó al Gabinete Criminalístico de la PNC realizar un peritaje</w:t>
        <w:br/>
        <w:t xml:space="preserve">   teniendo como elementos el álbum fotográfico de la escena del crimen,  el</w:t>
        <w:br/>
        <w:t xml:space="preserve">   video del procesamiento de escena del crimen, el informe de  necropsia  y</w:t>
        <w:br/>
        <w:t xml:space="preserve">   su ampliación correspondiente, y el croquis de la escena  del  crimen,  y</w:t>
        <w:br/>
        <w:t xml:space="preserve">   con el objetivo de establecer: 1) la trayectoria balística conforme a los</w:t>
        <w:br/>
        <w:t xml:space="preserve">   elementos proporcionados; 2) la posición de  la  víctima  al  momento  de</w:t>
        <w:br/>
        <w:t xml:space="preserve">   recibir el impacto de proyectil de arma de  fuego;  3)  la  posición  del</w:t>
        <w:br/>
        <w:t xml:space="preserve">   victimario al momento de realizar el disparo  de  proyectil  de  arma  de</w:t>
        <w:br/>
        <w:t xml:space="preserve">   fuego; 4) la distancia en que se encontraba el cañón del arma de fuego al</w:t>
        <w:br/>
        <w:t xml:space="preserve">   disparo; 5) la estatura del victimario; 6) si el victimario  es  zurdo  o</w:t>
        <w:br/>
        <w:t xml:space="preserve">   diestro, y 7) toda la información que  se  pueda  obtener  y  la  que  se</w:t>
        <w:br/>
        <w:t xml:space="preserve">   considere  útil  para  la  investigación  y  el  esclarecimiento  de  los</w:t>
        <w:br/>
        <w:t xml:space="preserve">   hechos[132]. En respuesta, el perito balístico asignado  informó  que  no</w:t>
        <w:br/>
        <w:t xml:space="preserve">   era posible realizar una trayectoria balística con base en los  elementos</w:t>
        <w:br/>
        <w:t xml:space="preserve">   proporcionados, ya que la misma debía  realizarse  en  el  lugar  de  los</w:t>
        <w:br/>
        <w:t xml:space="preserve">   hechos[133]. Posteriormente, el 19 de mayo de  2009  el  auxiliar  fiscal</w:t>
        <w:br/>
        <w:t xml:space="preserve">   solicitó al INACIF un peritaje de trayectoria balística. En respuesta, el</w:t>
        <w:br/>
        <w:t xml:space="preserve">   9 de junio de 2009 el INACIF informó que en el expediente aparecían  “una</w:t>
        <w:br/>
        <w:t xml:space="preserve">   serie  de  peritajes  no  útiles  para   determinación   de   trayectoria</w:t>
        <w:br/>
        <w:t xml:space="preserve">   balística”, por lo que con base en los  datos  que  se  contaban  no  era</w:t>
        <w:br/>
        <w:t xml:space="preserve">   factible  atender  el  requerimiento  de  determinación  de   trayectoria</w:t>
        <w:br/>
        <w:t xml:space="preserve">   balística[134].</w:t>
        <w:br/>
        <w:br/>
        <w:t>88. Perfil psiquiátrico de víctima, victimario y escena del  crimen.-  El  7</w:t>
        <w:br/>
        <w:t xml:space="preserve">   de agosto de 2008 el auxiliar fiscal solicitó a un perito profesional  de</w:t>
        <w:br/>
        <w:t xml:space="preserve">   la medicina del Área de Psiquiatría del INACIF que  realizara  un  Perfil</w:t>
        <w:br/>
        <w:t xml:space="preserve">   Psiquiátrico de Victimario, Víctima y Escena del Crimen sobre el caso  de</w:t>
        <w:br/>
        <w:t xml:space="preserve">   Claudina Velásquez. En respuesta, el 24 de noviembre de  2008  el  perito</w:t>
        <w:br/>
        <w:t xml:space="preserve">   emitió  un  Dictamen  Psiquiátrico  Forense,  en  el  cual  incluyó   sus</w:t>
        <w:br/>
        <w:t xml:space="preserve">   conclusiones respecto al perfil psiquiátrico y psicológico de la  víctima</w:t>
        <w:br/>
        <w:t xml:space="preserve">   y victimológico, así como  la  valoración  de  la  escena  del  crimen  y</w:t>
        <w:br/>
        <w:t xml:space="preserve">   consideraciones  sobre  el  victimario  en  función  de  la  escena   del</w:t>
        <w:br/>
        <w:t xml:space="preserve">   crimen[135]. El 15 de enero de  2009  el  auxiliar  fiscal  solicitó  una</w:t>
        <w:br/>
        <w:t xml:space="preserve">   ampliación de este dictamen[136].</w:t>
        <w:br/>
        <w:br/>
        <w:t>89. Respecto a los policías asignados a la zona.- Los días 24  de  agosto  y</w:t>
        <w:br/>
        <w:t xml:space="preserve">   17  de  octubre  de  2011  el  agente  y  auxiliar   fiscal   solicitaron</w:t>
        <w:br/>
        <w:t xml:space="preserve">   respectivamente a las Comisarías 16 y 14 de la PNC, información sobre las</w:t>
        <w:br/>
        <w:t xml:space="preserve">   unidades policiales asignadas a las mismas los días 12 y 13 de agosto  de</w:t>
        <w:br/>
        <w:t xml:space="preserve">   2005, así como los papeles y servicios  con  sus  respectivas  novedades,</w:t>
        <w:br/>
        <w:t xml:space="preserve">   entre otros. Dicha información fue remitida al auxiliar fiscal  los  días</w:t>
        <w:br/>
        <w:t xml:space="preserve">   30 de agosto y 17, 19 y 20 de octubre de 2011[137].</w:t>
        <w:br/>
        <w:br/>
        <w:t>90. Constancias de cedulas catastrales.- Los días 2 de  septiembre  y  2  de</w:t>
        <w:br/>
        <w:t xml:space="preserve">   noviembre de 2011 la  Sección  de  Nomenclatura  y  Registro  de  Tierras</w:t>
        <w:br/>
        <w:t xml:space="preserve">   Municipales de la Dirección de Catastro y Administración del IUSI remitió</w:t>
        <w:br/>
        <w:t xml:space="preserve">   al  auxiliar  fiscal  información  catastral  referente  a  39  inmuebles</w:t>
        <w:br/>
        <w:t xml:space="preserve">   ubicados en la Colonia Roosevelt[138].</w:t>
        <w:br/>
        <w:br/>
        <w:t>B.4. Investigación de la Procuraduría de los Derechos Humanos de Guatemala</w:t>
        <w:br/>
        <w:br/>
        <w:t>91. El 6 de febrero de 2006 la  Procuraduría  de  los  Derechos  Humanos  de</w:t>
        <w:br/>
        <w:t xml:space="preserve">   Guatemala abrió expediente respecto de una  denuncia  presentada  por  el</w:t>
        <w:br/>
        <w:t xml:space="preserve">   señor Jorge Rolando Velásquez Durán  en  relación  con  la  investigación</w:t>
        <w:br/>
        <w:t xml:space="preserve">   criminal de la muerte de Claudina Velásquez. El 20 de julio  de  2006  la</w:t>
        <w:br/>
        <w:t xml:space="preserve">   Procuraduría emitió una resolución en, la cual declaró “la  violación  al</w:t>
        <w:br/>
        <w:t xml:space="preserve">   deber de respetar y garantizar los derechos a la  vida,  a  la  seguridad</w:t>
        <w:br/>
        <w:t xml:space="preserve">   personal, a la justicia dentro del plazo razonable  y  al  derecho  a  la</w:t>
        <w:br/>
        <w:t xml:space="preserve">   tutela  judicial  efectiva  de  Claudina  Isabel  Velásquez  Paiz  y  sus</w:t>
        <w:br/>
        <w:t xml:space="preserve">   familiares”, así como la  “[v]iolación  al  derecho  a  ser  tratado  con</w:t>
        <w:br/>
        <w:t xml:space="preserve">   dignidad y respeto para los familiares de  la  víctima  que  han  exigido</w:t>
        <w:br/>
        <w:t xml:space="preserve">   justicia”.</w:t>
        <w:br/>
        <w:br/>
        <w:t>92. Asimismo, declaró como responsables de  las  violaciones  mencionadas  a</w:t>
        <w:br/>
        <w:t xml:space="preserve">   las siguientes autoridades: a) la agente fiscal encargada de la  fiscalía</w:t>
        <w:br/>
        <w:t xml:space="preserve">   número 10 “por no coordinar debidamente  la  dirección  funcional  de  la</w:t>
        <w:br/>
        <w:t xml:space="preserve">   investigación y omitir que el personal a su cargo diligenciara  en  forma</w:t>
        <w:br/>
        <w:t xml:space="preserve">   adecuada el procesamiento de  la  escena  el  crimen  […]  incluyendo  el</w:t>
        <w:br/>
        <w:t xml:space="preserve">   levantamiento de la ficha decadactilar, causando con ello la interrupción</w:t>
        <w:br/>
        <w:t xml:space="preserve">   del duelo luctuoso de la familia Velásquez  Paiz”;  b)  al  Director  del</w:t>
        <w:br/>
        <w:t xml:space="preserve">   Servicio Médico Forense del Organismo  Judicial  por  “permitir  que  los</w:t>
        <w:br/>
        <w:t xml:space="preserve">   médicos  a  su  cargo  desarrollen  procedimientos  deficientes   en   la</w:t>
        <w:br/>
        <w:t xml:space="preserve">   realización  de  las  autopsias  médico  legales  y  presenten   informes</w:t>
        <w:br/>
        <w:t xml:space="preserve">   incompletos o con información incorrecta”, y c)  al  médico  forense  del</w:t>
        <w:br/>
        <w:t xml:space="preserve">   Organismo Judicial que  practicó  la  necropsia  al  cuerpo  de  Claudina</w:t>
        <w:br/>
        <w:t xml:space="preserve">   Velásquez  “por  omisiones  graves  y  deficiencias  inexcusables  en  la</w:t>
        <w:br/>
        <w:t xml:space="preserve">   realización   de   la   necropsia”.    Finalmente,    realizó    diversas</w:t>
        <w:br/>
        <w:t xml:space="preserve">   recomendaciones al Fiscal General, al Jefe  del  Ministerio  Público,  al</w:t>
        <w:br/>
        <w:t xml:space="preserve">   Director General de la Policía Nacional Civil, a la Comisión de  Derechos</w:t>
        <w:br/>
        <w:t xml:space="preserve">   Humanos del Congreso de la República y al  Servicio  Médico  Forense  del</w:t>
        <w:br/>
        <w:t xml:space="preserve">   Organismo Judicial[139].</w:t>
        <w:br/>
        <w:br/>
        <w:t>B.5. Procedimientos Disciplinarios en la Jefatura de la Fiscalía de  Sección</w:t>
        <w:br/>
        <w:t>de Delitos Contra la Vida y la Integridad de las Personas y la Dirección  de</w:t>
        <w:br/>
        <w:t>Investigaciones Criminalísticas</w:t>
        <w:br/>
        <w:br/>
        <w:t>93. Consta en el expediente que en la Jefatura de la Fiscalía de Sección  de</w:t>
        <w:br/>
        <w:t xml:space="preserve">   Delitos Contra la Vida y la Integridad de las Personas, así  como  en  la</w:t>
        <w:br/>
        <w:t xml:space="preserve">   Dirección de Investigaciones Criminalísticas, se iniciaron procedimientos</w:t>
        <w:br/>
        <w:t xml:space="preserve">   disciplinarios en contra  de  la  auxiliar  fiscal  y  tres  Técnicos  de</w:t>
        <w:br/>
        <w:t xml:space="preserve">   Investigaciones Criminalísticas que participaron en los primeros momentos</w:t>
        <w:br/>
        <w:t xml:space="preserve">   de la investigación abierta por la muerte de Claudina Velásquez[140].  Al</w:t>
        <w:br/>
        <w:t xml:space="preserve">   respecto, el 11 de febrero de 2009 se declaró con lugar el  procedimiento</w:t>
        <w:br/>
        <w:t xml:space="preserve">   disciplinario contra la auxiliar fiscal y se le  impuso  una  sanción  de</w:t>
        <w:br/>
        <w:t xml:space="preserve">   amonestación escrita[141]. Además, el 5 de julio de 2012 la Dirección  de</w:t>
        <w:br/>
        <w:t xml:space="preserve">   Investigaciones Criminalísticas informó al agente fiscal que  en  el  año</w:t>
        <w:br/>
        <w:t xml:space="preserve">   2009 se sancionó a dos de los Técnicos de Investigaciones Criminalísticas</w:t>
        <w:br/>
        <w:t xml:space="preserve">   con amonestación verbal, y en cuanto al tercero, se decidió sin lugar  el</w:t>
        <w:br/>
        <w:t xml:space="preserve">   procedimiento promovido en su contra[142].</w:t>
        <w:br/>
        <w:br/>
        <w:t>B.6. Procedimiento Disciplinario en la Unidad de Régimen Disciplinario del</w:t>
        <w:br/>
        <w:t>Sistema de Recursos Humanos del Organismo Judicial</w:t>
        <w:br/>
        <w:br/>
        <w:t>94. El 6 de noviembre de 2006 la Auditoría Interna  del  Organismo  Judicial</w:t>
        <w:br/>
        <w:t xml:space="preserve">   realizó  informe  circunstanciado  de  investigación   derivado   de   la</w:t>
        <w:br/>
        <w:t xml:space="preserve">   Resolución de la  Procuraduría  de  los  Derechos  Humanos  de  Guatemala</w:t>
        <w:br/>
        <w:t xml:space="preserve">   emitida el 20 de julio de 2006 (supra párr. 91)[143]. Sobre esta base, el</w:t>
        <w:br/>
        <w:t xml:space="preserve">   8 de noviembre de 2006 la Unidad de Régimen Disciplinario del Sistema  de</w:t>
        <w:br/>
        <w:t xml:space="preserve">   Recursos Humanos del Organismo Judicial (en adelante “Unidad  de  Régimen</w:t>
        <w:br/>
        <w:t xml:space="preserve">   Disciplinario”) admitió para trámite la queja planteada por el Procurador</w:t>
        <w:br/>
        <w:t xml:space="preserve">   de los Derechos Humanos en contra del  médico  forense  que  practicó  la</w:t>
        <w:br/>
        <w:t xml:space="preserve">   necropsia al cuerpo de Claudina Velásquez[144]. Concluido dicho  trámite,</w:t>
        <w:br/>
        <w:t xml:space="preserve">   mediante resolución de 29 de noviembre  de  2006  la  Unidad  de  Régimen</w:t>
        <w:br/>
        <w:t xml:space="preserve">   Disciplinario declaró en rebeldía al médico forense contra  quien  inició</w:t>
        <w:br/>
        <w:t xml:space="preserve">   la queja planteada, se inhibió de conocer del procedimiento al considerar</w:t>
        <w:br/>
        <w:t xml:space="preserve">   que se refería a una falta leve y remitió copia de la resolución al  Jefe</w:t>
        <w:br/>
        <w:t xml:space="preserve">   de Servicio Médico Forense para continuar el trámite respectivo. Según la</w:t>
        <w:br/>
        <w:t xml:space="preserve">   Unidad de Régimen Disciplinario, al  proceder  a  realizar  su  actividad</w:t>
        <w:br/>
        <w:t xml:space="preserve">   laboral, el médico  forense  “lo  hizo  de  manera  negligente”  por  las</w:t>
        <w:br/>
        <w:t xml:space="preserve">   siguientes dos razones:</w:t>
        <w:br/>
        <w:br/>
        <w:t xml:space="preserve">    [R]indió informe Médico Forense a la [a]uxiliar [f]iscal del Ministerio</w:t>
        <w:br/>
        <w:t xml:space="preserve">    Público, indicando que había practicado a una persona no  identificada,</w:t>
        <w:br/>
        <w:t xml:space="preserve">    de sexo femenino, cuando la  misma  ya  había  sido  identificada  como</w:t>
        <w:br/>
        <w:t xml:space="preserve">    Claudina Isabel Velásquez Paiz[. Asimismo,] queda probado  que  el  hoy</w:t>
        <w:br/>
        <w:t xml:space="preserve">    denunciado cuando rindió la ampliación  del  informe  de  necropsia  de</w:t>
        <w:br/>
        <w:t xml:space="preserve">    fecha siete de octubre de  dos  mil  cinco,  que  oportunamente  se  le</w:t>
        <w:br/>
        <w:t xml:space="preserve">    requirió, consignó que el tiempo de fallecida de la víctima había  sido</w:t>
        <w:br/>
        <w:t xml:space="preserve">    entre siete y once horas de cuando se efectuó la necropsia, lo que  era</w:t>
        <w:br/>
        <w:t xml:space="preserve">    irreal, ya que a requerimiento del Ministerio Público tuvo que corregir</w:t>
        <w:br/>
        <w:t xml:space="preserve">    por actuar en forma negligente en su actividad laboral[145].</w:t>
        <w:br/>
        <w:br/>
        <w:t>95. Contra dicha  decisión,  el  médico  forense  y  el  Procurador  de  los</w:t>
        <w:br/>
        <w:t xml:space="preserve">   Derechos Humanos promovieron recurso de revisión los días 9 de  noviembre</w:t>
        <w:br/>
        <w:t xml:space="preserve">   y 7 de diciembre de 2006[146]. El 17 de enero de 2007 la Gerencia General</w:t>
        <w:br/>
        <w:t xml:space="preserve">   del Organismo Judicial declaró sin lugar el recurso  interpuesto  por  el</w:t>
        <w:br/>
        <w:t xml:space="preserve">   médico forense y con lugar parcialmente el  recurso  interpuesto  por  el</w:t>
        <w:br/>
        <w:t xml:space="preserve">   Procurador y concluyó que las faltas  que  se  cometieron  fueron  leves,</w:t>
        <w:br/>
        <w:t xml:space="preserve">   graves y gravísimas, las cuales produjeron  grave  daño  a  los  derechos</w:t>
        <w:br/>
        <w:t xml:space="preserve">   humanos de terceros y a la imagen del Organismo Judicial. En tal  virtud,</w:t>
        <w:br/>
        <w:t xml:space="preserve">   se recomendó que la Unidad de Régimen Disciplinario impusiera la  sanción</w:t>
        <w:br/>
        <w:t xml:space="preserve">   correspondiente[147]. En contra de la decisión de 17 de enero de 2007  el</w:t>
        <w:br/>
        <w:t xml:space="preserve">   médico forense interpuso  recurso  de  revocatoria  el  25  de  enero  de</w:t>
        <w:br/>
        <w:t xml:space="preserve">   2007[148]. En respuesta, el 1 de febrero de 2007 la Gerencia General  del</w:t>
        <w:br/>
        <w:t xml:space="preserve">   Organismo Judicial declaró sin  lugar  el  recurso  interpuesto[149].  En</w:t>
        <w:br/>
        <w:t xml:space="preserve">   contra de dicha decisión el médico forense interpuso recurso  de  nulidad</w:t>
        <w:br/>
        <w:t xml:space="preserve">   el 12 de febrero de 2007[150]. La Gerencia General del Organismo Judicial</w:t>
        <w:br/>
        <w:t xml:space="preserve">   rechazó dicho recurso el 12 de marzo de 2007[151]. A su vez, derivado  de</w:t>
        <w:br/>
        <w:t xml:space="preserve">   la decisión de 17 de enero de 2007, el 12 de febrero de 2007 la Unidad de</w:t>
        <w:br/>
        <w:t xml:space="preserve">   Régimen Disciplinario declaró en rebeldía al médico forense y  con  lugar</w:t>
        <w:br/>
        <w:t xml:space="preserve">   la denuncia  presentada  en  razón  que  rindió  Informe  Médico  Forense</w:t>
        <w:br/>
        <w:t xml:space="preserve">   “indicando que había practicado necropsia a una persona no  identificada,</w:t>
        <w:br/>
        <w:t xml:space="preserve">   de sexo femenino, cuando la misma ya había  sido  identificada”.  Además,</w:t>
        <w:br/>
        <w:t xml:space="preserve">   calificó la conducta del médico como falta grave y le impuso como sanción</w:t>
        <w:br/>
        <w:t xml:space="preserve">   veinte días de suspensión sin goce de salario[152]. En  contra  de  dicha</w:t>
        <w:br/>
        <w:t xml:space="preserve">   resolución el médico forense interpuso recurso de revocatoria los días 21</w:t>
        <w:br/>
        <w:t xml:space="preserve">   de febrero y 2 de octubre de 2007[153].</w:t>
        <w:br/>
        <w:br/>
        <w:t>96. Asimismo, el 5 de  septiembre  de  2007  la  Presidencia  del  Organismo</w:t>
        <w:br/>
        <w:t xml:space="preserve">   Judicial devolvió certificación de las actuaciones a la Unidad de Régimen</w:t>
        <w:br/>
        <w:t xml:space="preserve">   Disciplinario a efecto que emitiera resolución que impusiera  la  sanción</w:t>
        <w:br/>
        <w:t xml:space="preserve">   respectiva[154]. En respuesta, el 16 de octubre  de  2007  la  Unidad  de</w:t>
        <w:br/>
        <w:t xml:space="preserve">   Régimen Disciplinario declaró en rebeldía al médico forense, con lugar la</w:t>
        <w:br/>
        <w:t xml:space="preserve">   denuncia presentada en su contra y calificó su conducta como falta  grave</w:t>
        <w:br/>
        <w:t xml:space="preserve">   debido a que  cuando  rindió  la  ampliación  del  informe  de  necropsia</w:t>
        <w:br/>
        <w:t xml:space="preserve">   consignó que el tiempo de fallecida  de  Claudina  Velásquez  había  sido</w:t>
        <w:br/>
        <w:t xml:space="preserve">   entre siete y once horas de cuando se efectuó la necropsia, lo  que  tuvo</w:t>
        <w:br/>
        <w:t xml:space="preserve">   que corregir a requerimiento del Ministerio Público, por lo que le impuso</w:t>
        <w:br/>
        <w:t xml:space="preserve">   veinte días de suspensión sin goce de salario[155].</w:t>
        <w:br/>
        <w:br/>
        <w:t>97. El 30 de  octubre  de  2007[156]  el  médico  forense  solicitó  que  se</w:t>
        <w:br/>
        <w:t xml:space="preserve">   enmendara el procedimiento debido a que no había sido resuelto el recurso</w:t>
        <w:br/>
        <w:t xml:space="preserve">   de revocatoria planteado (supra párr. 95). En respuesta, el 31 de octubre</w:t>
        <w:br/>
        <w:t xml:space="preserve">   de 2007[157] la Presidencia del Organismo Judicial ordenó  estarse  a  lo</w:t>
        <w:br/>
        <w:t xml:space="preserve">   resuelto el 5 de septiembre de 2007 (supra párr. 96). Los días 30 y 31 de</w:t>
        <w:br/>
        <w:t xml:space="preserve">   octubre de 2007 el médico forense y el Procurador de los Derechos Humanos</w:t>
        <w:br/>
        <w:t xml:space="preserve">   plantearon, respectivamente, recursos de  revocatoria  en  contra  de  la</w:t>
        <w:br/>
        <w:t xml:space="preserve">   decisión de 16 de octubre de 2007[158].  Específicamente,  el  Procurador</w:t>
        <w:br/>
        <w:t xml:space="preserve">   solicitó que se impusiera la sanción de suspensión o destitución.  El  25</w:t>
        <w:br/>
        <w:t xml:space="preserve">   de febrero de 2008 la Presidencia  del  Organismo  Judicial  declaró  sin</w:t>
        <w:br/>
        <w:t xml:space="preserve">   lugar los recursos planteados[159]. En contra de dicha decisión, el 13 de</w:t>
        <w:br/>
        <w:t xml:space="preserve">   marzo de 2008 el médico forense planteó recurso de apelación[160]. El  25</w:t>
        <w:br/>
        <w:t xml:space="preserve">   de febrero de 2008 la Cámara de Amparo y Antejuicio de la  Corte  Suprema</w:t>
        <w:br/>
        <w:t xml:space="preserve">   de Justicia, declaró sin lugar el recurso planteado[161]. Al respecto, la</w:t>
        <w:br/>
        <w:t xml:space="preserve">   Corte Suprema de Justicia  consideró  que  el  5  de  diciembre  de  2007</w:t>
        <w:br/>
        <w:t xml:space="preserve">   finalizó la relación laboral del médico forense, ya que dichos  servicios</w:t>
        <w:br/>
        <w:t xml:space="preserve">   se suprimieron en toda la República al iniciar sus funciones  el  INACIF.</w:t>
        <w:br/>
        <w:t xml:space="preserve">   Por  lo  tanto,  consideró  que  “la  sanción  disciplinaria  resulta[ba]</w:t>
        <w:br/>
        <w:t xml:space="preserve">   inaplicable al  ex  trabajador  aludido”.  Sin  perjuicio  de  ello,  “la</w:t>
        <w:br/>
        <w:t xml:space="preserve">   responsabilidad de la comisión de la  falta  grave  imputada  al  [médico</w:t>
        <w:br/>
        <w:t xml:space="preserve">   forense], [había] qued[ado] plenamente probada y establecida,  en  virtud</w:t>
        <w:br/>
        <w:t xml:space="preserve">   de lo cual no [resultaba]  procedente  anular  la  resolución  impugnada,</w:t>
        <w:br/>
        <w:t xml:space="preserve">   siendo que además deber[ía] quedar como parte del expediente laboral  del</w:t>
        <w:br/>
        <w:t xml:space="preserve">   ex trabajador en el Organismo Judicial”.</w:t>
        <w:br/>
        <w:br/>
        <w:t>98. El 9 de octubre de 2008 el médico forense interpuso el amparo en  contra</w:t>
        <w:br/>
        <w:t xml:space="preserve">   de la decisión de 29 de julio de 2008. El 30 de abril de 2009 la Corte de</w:t>
        <w:br/>
        <w:t xml:space="preserve">   Constitucionalidad en calidad de Tribunal Extraordinario de  Amparo  negó</w:t>
        <w:br/>
        <w:t xml:space="preserve">   el amparo por notoriamente improcedente[162]. Finalmente, el 1  de  julio</w:t>
        <w:br/>
        <w:t xml:space="preserve">   de 2009 la Unidad de Régimen Disciplinario ordenó archivar el trámite del</w:t>
        <w:br/>
        <w:t xml:space="preserve">   procedimiento administrativo disciplinario, en virtud de  que  el  médico</w:t>
        <w:br/>
        <w:t xml:space="preserve">   forense finalizó su relación laboral con el Organismo Judicial  el  5  de</w:t>
        <w:br/>
        <w:t xml:space="preserve">   diciembre de 2007[163].</w:t>
        <w:br/>
        <w:br/>
        <w:t xml:space="preserve">                                     VII</w:t>
        <w:br/>
        <w:t xml:space="preserve">                                    FONDO</w:t>
        <w:br/>
        <w:br/>
        <w:t>99. Se  ha  alegado  que  los  hechos  probados  en  el  caso  configurarían</w:t>
        <w:br/>
        <w:t xml:space="preserve">   violaciones  de  varios  derechos  y  obligaciones  consagradas   en   la</w:t>
        <w:br/>
        <w:t xml:space="preserve">   Convención Americana, así como en el artículo 7 de la Convención de Belém</w:t>
        <w:br/>
        <w:t xml:space="preserve">   do Pará. Dichos alegatos serán abordados en el siguiente orden:</w:t>
        <w:br/>
        <w:br/>
        <w:br/>
        <w:t xml:space="preserve">   a) En el capítulo VII.I los argumentos  que  se  refieren  a  la  alegada</w:t>
        <w:br/>
        <w:t xml:space="preserve">      violación de los derechos  a  la  vida,  integridad  personal  y  vida</w:t>
        <w:br/>
        <w:t xml:space="preserve">      privada, en relación con los  artículos  1.1  y  2  de  la  Convención</w:t>
        <w:br/>
        <w:t xml:space="preserve">      Americana y con el artículo 7 de la Convención de Belém  do  Pará,  en</w:t>
        <w:br/>
        <w:t xml:space="preserve">      perjuicio de Claudina Isabel Velásquez Paiz;</w:t>
        <w:br/>
        <w:t xml:space="preserve">   b) En el capítulo VII.II los argumentos que  se  refieren  a  la  alegada</w:t>
        <w:br/>
        <w:t xml:space="preserve">      violación de los  derechos  a  las  garantías  judiciales,  protección</w:t>
        <w:br/>
        <w:t xml:space="preserve">      judicial e igualdad ante la ley, en relación con los artículos 1.1 y 2</w:t>
        <w:br/>
        <w:t xml:space="preserve">      de la Convención Americana y el artículo 7 de la Convención  de  Belém</w:t>
        <w:br/>
        <w:t xml:space="preserve">      do Pará, en perjuicio de los familiares de Claudina  Isabel  Velásquez</w:t>
        <w:br/>
        <w:t xml:space="preserve">      Paiz, así como los derechos a la libertad de expresión, circulación  e</w:t>
        <w:br/>
        <w:t xml:space="preserve">      igualdad ante la ley, en perjuicio de Claudina Velásquez, y</w:t>
        <w:br/>
        <w:t xml:space="preserve">   c) En el capítulo VII.III los argumentos que se  refieren  a  la  alegada</w:t>
        <w:br/>
        <w:t xml:space="preserve">      violación de los derechos a la integridad personal y al respeto de  la</w:t>
        <w:br/>
        <w:t xml:space="preserve">      honra y  el  reconocimiento  de  la  dignidad,  en  perjuicio  de  los</w:t>
        <w:br/>
        <w:t xml:space="preserve">      familiares de Claudina Isabel Velásquez Paiz.</w:t>
        <w:br/>
        <w:br/>
        <w:t>VII.I. Derechos a la vida[164] e integridad personal[165], en  relación  con</w:t>
        <w:br/>
        <w:t>los artículos 1.1[166]  y  2[167]  de  la  Convención  Americana  y  con  el</w:t>
        <w:br/>
        <w:t>artículo 7 de la Convención de Belém do Pará[168], en perjuicio de  Claudina</w:t>
        <w:br/>
        <w:t>Isabel Velásquez Paiz</w:t>
        <w:br/>
        <w:br/>
        <w:t>A. Argumentos de la Comisión y de las partes</w:t>
        <w:br/>
        <w:br/>
        <w:t>100. La Comisión sostuvo que el Estado incumplió su obligación  positiva  de</w:t>
        <w:br/>
        <w:t xml:space="preserve">   prevenir y garantizar la vida e integridad personal  de  Claudina  Isabel</w:t>
        <w:br/>
        <w:t xml:space="preserve">   Velásquez  Paiz,  teniendo  en  cuenta  que  para  el  año   2005   tenía</w:t>
        <w:br/>
        <w:t xml:space="preserve">   conocimiento de un incremento de la violencia  contra  las  niñas  y  las</w:t>
        <w:br/>
        <w:t xml:space="preserve">   mujeres en el país y, consecuentemente, de un riesgo real e inmediato  de</w:t>
        <w:br/>
        <w:t xml:space="preserve">   una posible agresión sexual y asesinato.  Argumentó  que,  a  partir  del</w:t>
        <w:br/>
        <w:t xml:space="preserve">   primer intento de denuncia de desaparición que hicieron los padres de  la</w:t>
        <w:br/>
        <w:t xml:space="preserve">   presunta víctima, no se evidencia que el  Estado  haya  adoptado  medidas</w:t>
        <w:br/>
        <w:t xml:space="preserve">   efectivas e inmediatas para encontrarla con vida. En efecto, los  agentes</w:t>
        <w:br/>
        <w:t xml:space="preserve">   de  la  policía  no  solamente  omitieron  realizar   una   investigación</w:t>
        <w:br/>
        <w:t xml:space="preserve">   diligente, sino que se  rehusaron  a  recibir  la  denuncia  durante  las</w:t>
        <w:br/>
        <w:t xml:space="preserve">   primeras horas, de vital importancia  en  el  caso  de  una  joven  mujer</w:t>
        <w:br/>
        <w:t xml:space="preserve">   reportada desaparecida. Más aún, no tomaron en serio  la  denuncia  y  la</w:t>
        <w:br/>
        <w:t xml:space="preserve">   preocupación de sus padres  respecto  a  la  desaparición,  a  pesar  del</w:t>
        <w:br/>
        <w:t xml:space="preserve">   conocido contexto de violencia contra mujeres y niñas mencionado. En este</w:t>
        <w:br/>
        <w:t xml:space="preserve">   caso, Claudina Velásquez fue hallada sin vida con signos de  violencia  y</w:t>
        <w:br/>
        <w:t xml:space="preserve">   otros maltratos, inclusive violencia sexual, con lo  cual,  la  falta  de</w:t>
        <w:br/>
        <w:t xml:space="preserve">   prevención por parte del  Estado  tuvo  repercusiones  en  su  integridad</w:t>
        <w:br/>
        <w:t xml:space="preserve">   personal. Así, la Comisión concluyó que el Estado contravino el “artículo</w:t>
        <w:br/>
        <w:t xml:space="preserve">   4.1 de la Convención Americana, en relación con el artículo 1.1 de  dicha</w:t>
        <w:br/>
        <w:t xml:space="preserve">   Convención, el artículo 5 de la Convención Americana, en relación con  el</w:t>
        <w:br/>
        <w:t xml:space="preserve">   artículo 1.1 y el artículo 7 de la Convención de Belém do Pará”.</w:t>
        <w:br/>
        <w:br/>
        <w:t>101. Por otra parte, durante la audiencia y en respuesta a  lo  alegado  por</w:t>
        <w:br/>
        <w:t xml:space="preserve">   el Estado (infra  párr.  104),  la  Comisión  señaló  que  “la  expresión</w:t>
        <w:br/>
        <w:t xml:space="preserve">   ‘posibilidades razonables de evitar la consumación del riesgo’, según  la</w:t>
        <w:br/>
        <w:t xml:space="preserve">   jurisprudencia primigenia de la Corte Europea en el caso Osman v.  United</w:t>
        <w:br/>
        <w:t xml:space="preserve">   Kingdom significa verificar si las autoridades […]  adoptaron  o  no  las</w:t>
        <w:br/>
        <w:t xml:space="preserve">   medidas que dentro del alcance de sus poderes,  juzgadas  razonablemente,</w:t>
        <w:br/>
        <w:t xml:space="preserve">   podían esperarse para evitar dicho riesgo. […] [E]n el presente  caso  no</w:t>
        <w:br/>
        <w:t xml:space="preserve">   corresponde determinar si Claudina se encontraba viva  o  no  cuando  las</w:t>
        <w:br/>
        <w:t xml:space="preserve">   autoridades tuvieron conocimiento de la situación  de  riesgo  y  si  tal</w:t>
        <w:br/>
        <w:t xml:space="preserve">   situación  incidía  en  las  posibilidades  de  encontrarla;  lo  que  sí</w:t>
        <w:br/>
        <w:t xml:space="preserve">   corresponde determinar es si las autoridades que tuvieron conocimiento de</w:t>
        <w:br/>
        <w:t xml:space="preserve">   la desaparición de Claudina adoptaron o no las  medidas  que  dentro  del</w:t>
        <w:br/>
        <w:t xml:space="preserve">   alcance de sus atribuciones se esperaba o se podía esperar  […a  fin  de]</w:t>
        <w:br/>
        <w:t xml:space="preserve">   evitar dicho riesgo”. Sin perjuicio de ello, resaltó que el  Estado  tuvo</w:t>
        <w:br/>
        <w:t xml:space="preserve">   al menos una hora para buscar a Claudina Velásquez y “[e]n todo  caso  la</w:t>
        <w:br/>
        <w:t xml:space="preserve">   determinación de la hora precisa de [su] muerte […] es un aspecto  en  el</w:t>
        <w:br/>
        <w:t xml:space="preserve">   cual las autoridades incurrieron en dilaciones y  falencias,  las  cuales</w:t>
        <w:br/>
        <w:t xml:space="preserve">   generan hasta hoy dudas sobre su certeza”.</w:t>
        <w:br/>
        <w:br/>
        <w:t>102. Los representantes argumentaron que en el contexto de  los  hechos  del</w:t>
        <w:br/>
        <w:t xml:space="preserve">   caso, los abusos perpetrados  contra  Claudina  Velásquez  constituyeron,</w:t>
        <w:br/>
        <w:t xml:space="preserve">   individualmente y colectivamente, violencia  contra  la  mujer  según  la</w:t>
        <w:br/>
        <w:t xml:space="preserve">   Convención Americana y la Convención de Belém do Pará. Señalaron  que  el</w:t>
        <w:br/>
        <w:t xml:space="preserve">   Estado violó su deber de prevenir y garantizar los derechos  a  la  vida,</w:t>
        <w:br/>
        <w:t xml:space="preserve">   integridad personal, y honra y dignidad de Claudina Velásquez, en  primer</w:t>
        <w:br/>
        <w:t xml:space="preserve">   lugar, antes de su desaparición, al no implementar y ejecutar programas y</w:t>
        <w:br/>
        <w:t xml:space="preserve">   políticas efectivos de prevención y sanción de  la  violencia  contra  la</w:t>
        <w:br/>
        <w:t xml:space="preserve">   mujer, inclusive la falta de voluntad política traducida  en  no  asignar</w:t>
        <w:br/>
        <w:t xml:space="preserve">   los recursos necesarios para enfrentar la violencia  de  género[169].  En</w:t>
        <w:br/>
        <w:t xml:space="preserve">   segundo lugar, el Estado violó dichos derechos tras las denuncias de  sus</w:t>
        <w:br/>
        <w:t xml:space="preserve">   padres y antes de la localización  de  su  cuerpo,  ya  que  tenía  pleno</w:t>
        <w:br/>
        <w:t xml:space="preserve">   conocimiento de la situación de riesgo en la que se encontraba debido  al</w:t>
        <w:br/>
        <w:t xml:space="preserve">   patrón de violencia feminicida en Guatemala, no obstante, se negó en  dos</w:t>
        <w:br/>
        <w:t xml:space="preserve">   oportunidades a recibir dichas denuncias, exigiendo la espera de 24 horas</w:t>
        <w:br/>
        <w:t xml:space="preserve">   para admitirlas[170]. Alegaron  igualmente  que  el  cuerpo  de  Claudina</w:t>
        <w:br/>
        <w:t xml:space="preserve">   Velásquez fue encontrado con  signos  de  violencia  y  otros  maltratos.</w:t>
        <w:br/>
        <w:t xml:space="preserve">   Además, alegaron que “la violación sexual contra Claudina Isabel  por  sí</w:t>
        <w:br/>
        <w:t xml:space="preserve">   misma constituyó una de las más agresivas  injerencias  a  su  privacidad</w:t>
        <w:br/>
        <w:t xml:space="preserve">   como mujer. En el momento en que la agredieron sexualmente invadieron  de</w:t>
        <w:br/>
        <w:t xml:space="preserve">   la manera más arbitraria su cuerpo, afectando su ámbito más íntimo”[171].</w:t>
        <w:br/>
        <w:t xml:space="preserve">   Por otra parte, en respuesta a lo alegado por el Estado en  sentido  que,</w:t>
        <w:br/>
        <w:t xml:space="preserve">   en el mejor de los casos,  hubiese  tenido  una  hora  para  localizar  a</w:t>
        <w:br/>
        <w:t xml:space="preserve">   Claudina Velásquez (infra párr. 104), los representantes argumentaron que</w:t>
        <w:br/>
        <w:t xml:space="preserve">   “no existe ninguna duda que en esa hora se podría haber salvado”,  si  en</w:t>
        <w:br/>
        <w:t xml:space="preserve">   lugar de rechazar la denuncia de la familia,  se  hubiese  buscado  a  la</w:t>
        <w:br/>
        <w:t xml:space="preserve">   presunta víctima. Así, solicitaron que se declare  la  violación  de  los</w:t>
        <w:br/>
        <w:t xml:space="preserve">   artículos 4, 5 y 11 de la Convención Americana, en  concordancia  con  el</w:t>
        <w:br/>
        <w:t xml:space="preserve">   incumplimiento de las obligaciones contenidas en los artículos 1.1 y 2 de</w:t>
        <w:br/>
        <w:t xml:space="preserve">   la misma y el artículo 7 de la Convención de Belém do Pará, en  perjuicio</w:t>
        <w:br/>
        <w:t xml:space="preserve">   de Claudina Velásquez[172].</w:t>
        <w:br/>
        <w:br/>
        <w:t>103. Finalmente, los representantes alegaron que,  “para  determinar  si  el</w:t>
        <w:br/>
        <w:t xml:space="preserve">   Estado tenía posibilidades razonables de prevenir o evitar  la  violación</w:t>
        <w:br/>
        <w:t xml:space="preserve">   de sus derechos, no importa cuánto tiempo transcurrió entre el momento en</w:t>
        <w:br/>
        <w:t xml:space="preserve">   que sus padres denunciaron su desaparición […] y la hora probable  de  su</w:t>
        <w:br/>
        <w:t xml:space="preserve">   muerte - determinada muchos meses después  de  localizar  su  cuerpo  sin</w:t>
        <w:br/>
        <w:t xml:space="preserve">   vida. Lo que importa […] es la información que tuvieron  las  autoridades</w:t>
        <w:br/>
        <w:t xml:space="preserve">   al momento en que los padres hicieron la denuncia:  que  Claudina  Isabel</w:t>
        <w:br/>
        <w:t xml:space="preserve">   había desaparecido y que había una probabilidad  extremadamente  alta  de</w:t>
        <w:br/>
        <w:t xml:space="preserve">   que su vida e integridad  estuvieran  amenazadas,  dado  el  contexto  de</w:t>
        <w:br/>
        <w:t xml:space="preserve">   femicidio en Guatemala y la  interrupción  abrupta  luego  de  gritos  de</w:t>
        <w:br/>
        <w:t xml:space="preserve">   Claudina Isabel de su comunicación con  la  [s]eñora  [ZMB]”.  Resaltaron</w:t>
        <w:br/>
        <w:t xml:space="preserve">   que, al analizar si el  Estado  ha  violado  su  obligación  positiva  de</w:t>
        <w:br/>
        <w:t xml:space="preserve">   proteger la vida,  el  Tribunal  Europeo  de  Derechos  Humanos  “siempre</w:t>
        <w:br/>
        <w:t xml:space="preserve">   aprecia la razonabilidad de las medidas que tomaron las autoridades desde</w:t>
        <w:br/>
        <w:t xml:space="preserve">   la perspectiva del conocimiento que tuvieron en el momento en que  fueron</w:t>
        <w:br/>
        <w:t xml:space="preserve">   notificadas del riesgo de la víctima. El destino real  de  la  víctima  –</w:t>
        <w:br/>
        <w:t xml:space="preserve">   sólo inteligible a posteriori – no entra en la consideración”.</w:t>
        <w:br/>
        <w:br/>
        <w:t>104. El Estado destacó que en este caso no se está alegando  que  haya  sido</w:t>
        <w:br/>
        <w:t xml:space="preserve">   algún agente estatal quien haya  dado  muerte  ni  que  haya  violado  la</w:t>
        <w:br/>
        <w:t xml:space="preserve">   integridad de Claudina Velásquez. Asimismo, alegó que los derechos  a  la</w:t>
        <w:br/>
        <w:t xml:space="preserve">   vida, integridad personal y honra y dignidad se encuentran protegidos  en</w:t>
        <w:br/>
        <w:t xml:space="preserve">   su legislación interna. Por otra parte, respecto al momento antes  de  la</w:t>
        <w:br/>
        <w:t xml:space="preserve">   desaparición de Claudina Velásquez, argumentó que ni la Comisión  ni  los</w:t>
        <w:br/>
        <w:t xml:space="preserve">   representantes han alegado acerca de una amenaza que existiera en  contra</w:t>
        <w:br/>
        <w:t xml:space="preserve">   de aquella, y la Corte ya reconoció en el Caso Veliz Franco y  otros  que</w:t>
        <w:br/>
        <w:t xml:space="preserve">   Guatemala efectuó acciones dirigidas  a  tratar  la  problemática  de  la</w:t>
        <w:br/>
        <w:t xml:space="preserve">   violencia en contra de las mujeres con anterioridad a diciembre de  2001.</w:t>
        <w:br/>
        <w:t xml:space="preserve">   Con respecto al momento anterior a la localización  del  cuerpo,  sostuvo</w:t>
        <w:br/>
        <w:t xml:space="preserve">   que fue a partir de las 3:00 am, cuando llegaron los agentes  policiales,</w:t>
        <w:br/>
        <w:t xml:space="preserve">   que se podría indicar que el Estado tuvo conocimiento de la  desaparición</w:t>
        <w:br/>
        <w:t xml:space="preserve">   de la presunta víctima. Aclaró que no existe prueba  de  que  se  intentó</w:t>
        <w:br/>
        <w:t xml:space="preserve">   poner una  denuncia  de  “desaparición”,  y  se  podría  asumir  que  los</w:t>
        <w:br/>
        <w:t xml:space="preserve">   policías, al indicar que iban a seguir patrullando, también iban a seguir</w:t>
        <w:br/>
        <w:t xml:space="preserve">   buscando a la joven. En sus alegatos finales escritos, resaltó que dichos</w:t>
        <w:br/>
        <w:t xml:space="preserve">   policías asistieron de forma inmediata  al  lugar  dónde  fue  vista  por</w:t>
        <w:br/>
        <w:t xml:space="preserve">   última vez Claudina Velásquez y apoyaron a los familiares en su  búsqueda</w:t>
        <w:br/>
        <w:t xml:space="preserve">   por los alrededores de la Colonia Panorama y en los sectores  aledaños  a</w:t>
        <w:br/>
        <w:t xml:space="preserve">   la misma. Así, la falta de una denuncia por escrito  debe  ser  apreciada</w:t>
        <w:br/>
        <w:t xml:space="preserve">   como un simple formalismo, con independencia de la conducta y actitud  de</w:t>
        <w:br/>
        <w:t xml:space="preserve">   los  agentes  policiales.  Por  otra  parte,  sostuvo  que  probablemente</w:t>
        <w:br/>
        <w:t xml:space="preserve">   Claudina Velásquez falleció antes de que el Estado  tuviera  conocimiento</w:t>
        <w:br/>
        <w:t xml:space="preserve">   de su desaparición, por lo  que  no  tuvo  posibilidades  para  evitar  o</w:t>
        <w:br/>
        <w:t xml:space="preserve">   prevenir la consumación del hecho delictivo. “Y en el mejor de los casos,</w:t>
        <w:br/>
        <w:t xml:space="preserve">   el Estado sólo hubiera tenido 1 hora para localizarla, ya que  su  cuerpo</w:t>
        <w:br/>
        <w:t xml:space="preserve">   apareció alrededor de 2 horas después de la llamada a la Policía”.  Según</w:t>
        <w:br/>
        <w:t xml:space="preserve">   el Estado, la Corte debe tener en cuenta la razonabilidad del tiempo  que</w:t>
        <w:br/>
        <w:t xml:space="preserve">   tuvo  para  proteger  la  vida  e  integridad  de   Claudina   Velásquez.</w:t>
        <w:br/>
        <w:t xml:space="preserve">   Finalmente, agregó que los exámenes practicados por médicos del Organismo</w:t>
        <w:br/>
        <w:t xml:space="preserve">   Judicial y del Ministerio Público no determinan  que  Claudina  Velásquez</w:t>
        <w:br/>
        <w:t xml:space="preserve">   haya sufrido alguna violación a su integridad  antes  de  su  muerte.  En</w:t>
        <w:br/>
        <w:t xml:space="preserve">   razón de lo anterior, el Estado sostuvo que no violó los artículos 4, 5 y</w:t>
        <w:br/>
        <w:t xml:space="preserve">   11 de la Convención Americana[173], en relación con los artículos 1.1 y 2</w:t>
        <w:br/>
        <w:t xml:space="preserve">   de la misma y el artículo 7 de la Convención de Belém do Pará.</w:t>
        <w:br/>
        <w:br/>
        <w:t>B. Consideraciones de la Corte</w:t>
        <w:br/>
        <w:br/>
        <w:t>105. En este caso no se han alegado violaciones  del  deber  del  Estado  de</w:t>
        <w:br/>
        <w:t xml:space="preserve">   respetar los derechos a la vida, integridad personal y honra y  dignidad.</w:t>
        <w:br/>
        <w:t xml:space="preserve">   La  controversia  ha  sido  planteada  únicamente  respecto  al   alegado</w:t>
        <w:br/>
        <w:t xml:space="preserve">   incumplimiento de la obligación del Estado de garantizar dichos derechos,</w:t>
        <w:br/>
        <w:t xml:space="preserve">   por un lado, al no haber prevenido su violación y, por otro lado,  al  no</w:t>
        <w:br/>
        <w:t xml:space="preserve">   haber investigado el  caso  efectivamente.  En  este  capítulo  la  Corte</w:t>
        <w:br/>
        <w:t xml:space="preserve">   únicamente analizará el alegado incumplimiento del Estado de su deber  de</w:t>
        <w:br/>
        <w:t xml:space="preserve">   prevenir  la  violación  de  los   derechos   mencionados.   El   alegado</w:t>
        <w:br/>
        <w:t xml:space="preserve">   incumplimiento del deber de investigar  será  analizado  en  el  capítulo</w:t>
        <w:br/>
        <w:t xml:space="preserve">   siguiente de esta Sentencia.</w:t>
        <w:br/>
        <w:br/>
        <w:t>106. De acuerdo con el artículo 1.1 de  la  Convención,  los  Estados  están</w:t>
        <w:br/>
        <w:t xml:space="preserve">   obligados a respetar y garantizar los  derechos  humanos  reconocidos  en</w:t>
        <w:br/>
        <w:t xml:space="preserve">   ella[174]. En particular, en cuanto a los derechos a la vida,  integridad</w:t>
        <w:br/>
        <w:t xml:space="preserve">   personal, y honra y dignidad, estas obligaciones no solo implican que  el</w:t>
        <w:br/>
        <w:t xml:space="preserve">   Estado debe respetarlos (obligación negativa), sino que, además, requiere</w:t>
        <w:br/>
        <w:t xml:space="preserve">   que el Estado adopte todas  las  medidas  apropiadas  para  garantizarlos</w:t>
        <w:br/>
        <w:t xml:space="preserve">   (obligación positiva)[175].</w:t>
        <w:br/>
        <w:br/>
        <w:t>107. Esta Corte ha establecido que la obligación de garantizar los  derechos</w:t>
        <w:br/>
        <w:t xml:space="preserve">   a la vida e integridad personal presupone el  deber  de  los  Estados  de</w:t>
        <w:br/>
        <w:t xml:space="preserve">   prevenir las violaciones a dichos  derechos.  Este  deber  de  prevención</w:t>
        <w:br/>
        <w:t xml:space="preserve">   abarca  todas  aquellas   medidas   de   carácter   jurídico,   político,</w:t>
        <w:br/>
        <w:t xml:space="preserve">   administrativo y cultural que promuevan la salvaguarda  de  los  derechos</w:t>
        <w:br/>
        <w:t xml:space="preserve">   humanos y que aseguren que las eventuales violaciones a los  mismos  sean</w:t>
        <w:br/>
        <w:t xml:space="preserve">   efectivamente consideradas y tratadas como un  hecho  ilícito  que,  como</w:t>
        <w:br/>
        <w:t xml:space="preserve">   tal, es susceptible de acarrear sanciones para quien las cometa, así como</w:t>
        <w:br/>
        <w:t xml:space="preserve">   la  obligación  de  indemnizar  a  las  víctimas  por  sus  consecuencias</w:t>
        <w:br/>
        <w:t xml:space="preserve">   perjudiciales. Es claro, a su vez, que la obligación de  prevenir  es  de</w:t>
        <w:br/>
        <w:t xml:space="preserve">   medio o comportamiento y no se demuestra su incumplimiento  por  el  mero</w:t>
        <w:br/>
        <w:t xml:space="preserve">   hecho de que un derecho haya sido violado[176].</w:t>
        <w:br/>
        <w:br/>
        <w:t>108. El artículo 7 de la Convención  de  Belém  do  Pará  instituye  deberes</w:t>
        <w:br/>
        <w:t xml:space="preserve">   estatales para prevenir, sancionar y erradicar  la  violencia  contra  la</w:t>
        <w:br/>
        <w:t xml:space="preserve">   mujer[177] que especifican y complementan las obligaciones que  tiene  el</w:t>
        <w:br/>
        <w:t xml:space="preserve">   Estado respecto  al  cumplimiento  de  los  derechos  consagrados  en  la</w:t>
        <w:br/>
        <w:t xml:space="preserve">   Convención Americana, tales como los establecidos en los  artículos  4  y</w:t>
        <w:br/>
        <w:t xml:space="preserve">   5[178]. Al respecto, el Tribunal ha establecido  que  los  Estados  deben</w:t>
        <w:br/>
        <w:t xml:space="preserve">   adoptar medidas integrales para cumplir con la debida diligencia en casos</w:t>
        <w:br/>
        <w:t xml:space="preserve">   de violencia contra las mujeres.  En  particular,  deben  contar  con  un</w:t>
        <w:br/>
        <w:t xml:space="preserve">   adecuado marco jurídico de protección, con una  aplicación  efectiva  del</w:t>
        <w:br/>
        <w:t xml:space="preserve">   mismo y con políticas de prevención y prácticas que  permitan  actuar  de</w:t>
        <w:br/>
        <w:t xml:space="preserve">   una manera eficaz ante las denuncias[179]. La  estrategia  de  prevención</w:t>
        <w:br/>
        <w:t xml:space="preserve">   debe ser integral, es decir, debe prevenir los factores de riesgo y a  la</w:t>
        <w:br/>
        <w:t xml:space="preserve">   vez  fortalecer  las  instituciones  para  que  puedan  proporcionar  una</w:t>
        <w:br/>
        <w:t xml:space="preserve">   respuesta efectiva a los casos de violencia contra  la  mujer.  Asimismo,</w:t>
        <w:br/>
        <w:t xml:space="preserve">   los Estados deben adoptar medidas preventivas en casos específicos en los</w:t>
        <w:br/>
        <w:t xml:space="preserve">   que es evidente que determinadas mujeres y niñas pueden ser  víctimas  de</w:t>
        <w:br/>
        <w:t xml:space="preserve">   violencia[180]. Todo esto debe tomar en cuenta que, en casos de violencia</w:t>
        <w:br/>
        <w:t xml:space="preserve">   contra la mujer, los Estados tienen, además de las obligaciones genéricas</w:t>
        <w:br/>
        <w:t xml:space="preserve">   contenidas en la Convención Americana, obligaciones específicas a  partir</w:t>
        <w:br/>
        <w:t xml:space="preserve">   de la Convención de Belém do Pará.</w:t>
        <w:br/>
        <w:br/>
        <w:t>109. Ahora bien, conforme a la jurisprudencia de la Corte, es claro  que  un</w:t>
        <w:br/>
        <w:t xml:space="preserve">   Estado no puede ser  responsable  por  cualquier  violación  de  derechos</w:t>
        <w:br/>
        <w:t xml:space="preserve">   humanos cometida entre particulares dentro de su jurisdicción. En efecto,</w:t>
        <w:br/>
        <w:t xml:space="preserve">   las obligaciones convencionales de garantía a cargo  de  los  Estados  no</w:t>
        <w:br/>
        <w:t xml:space="preserve">   implican una responsabilidad ilimitada de estos frente a cualquier acto o</w:t>
        <w:br/>
        <w:t xml:space="preserve">   hecho de particulares, pues sus deberes de adoptar medidas de  prevención</w:t>
        <w:br/>
        <w:t xml:space="preserve">   y protección de los particulares en sus relaciones entre sí se encuentran</w:t>
        <w:br/>
        <w:t xml:space="preserve">   condicionados al conocimiento de una situación de riesgo real e inmediato</w:t>
        <w:br/>
        <w:t xml:space="preserve">   para un individuo o grupo de individuos determinado – o a que  el  Estado</w:t>
        <w:br/>
        <w:t xml:space="preserve">   debió conocer dicha situación de riesgo  real  e  inmediato  -  y  a  las</w:t>
        <w:br/>
        <w:t xml:space="preserve">   posibilidades razonables de prevenir o evitar ese riesgo[181]. Es  decir,</w:t>
        <w:br/>
        <w:t xml:space="preserve">   aunque un acto  u  omisión  de  un  particular  tenga  como  consecuencia</w:t>
        <w:br/>
        <w:t xml:space="preserve">   jurídica  la  violación  de  determinados  derechos   humanos   de   otro</w:t>
        <w:br/>
        <w:t xml:space="preserve">   particular, aquél no es automáticamente atribuible al Estado,  pues  debe</w:t>
        <w:br/>
        <w:t xml:space="preserve">   atenderse a la luz de las circunstancias particulares del  caso  y  a  la</w:t>
        <w:br/>
        <w:t xml:space="preserve">   concreción de dichas obligaciones de garantía[182]. Al respecto, la Corte</w:t>
        <w:br/>
        <w:t xml:space="preserve">   aclara que, a fin de establecer un incumplimiento del deber  de  prevenir</w:t>
        <w:br/>
        <w:t xml:space="preserve">   violaciones a  los  derechos  a  la  vida  e  integridad  personal,  debe</w:t>
        <w:br/>
        <w:t xml:space="preserve">   verificarse que: i) las autoridades  estatales  sabían,  o  debían  haber</w:t>
        <w:br/>
        <w:t xml:space="preserve">   sabido, de la existencia de un riesgo real e inmediato para la  vida  y/o</w:t>
        <w:br/>
        <w:t xml:space="preserve">   integridad personal de un individuo o grupo de individuos determinado,  y</w:t>
        <w:br/>
        <w:t xml:space="preserve">   que ii) tales autoridades no adoptaron las medidas necesarias dentro  del</w:t>
        <w:br/>
        <w:t xml:space="preserve">   ámbito de sus atribuciones que, juzgadas razonablemente, podían esperarse</w:t>
        <w:br/>
        <w:t xml:space="preserve">   para prevenir o evitar ese riesgo[183]. Este  ha  sido  el  criterio  del</w:t>
        <w:br/>
        <w:t xml:space="preserve">   Tribunal desde la emisión de su Sentencia en el Caso  de  la  Masacre  de</w:t>
        <w:br/>
        <w:t xml:space="preserve">   Pueblo  Bello  Vs.  Colombia[184]  y  reiterado  en   su   jurisprudencia</w:t>
        <w:br/>
        <w:t xml:space="preserve">   constante[185].</w:t>
        <w:br/>
        <w:br/>
        <w:t>110. En el presente caso, existen dos  períodos  en  los  que  el  deber  de</w:t>
        <w:br/>
        <w:t xml:space="preserve">   prevención debe ser analizado. El primero es antes de la desaparición  de</w:t>
        <w:br/>
        <w:t xml:space="preserve">   Claudina Velásquez y el segundo es antes de la localización de su  cuerpo</w:t>
        <w:br/>
        <w:t xml:space="preserve">   sin vida.</w:t>
        <w:br/>
        <w:br/>
        <w:t xml:space="preserve">      B.1. Antes de la desaparición de Claudina Velásquez: deber general de</w:t>
        <w:br/>
        <w:t xml:space="preserve">      prevenir el homicidio y las desapariciones de mujeres</w:t>
        <w:br/>
        <w:br/>
        <w:t>111. En cuanto al primer período, es decir,  antes  de  la  desaparición  de</w:t>
        <w:br/>
        <w:t xml:space="preserve">   Claudina Velásquez, este Tribunal ya estableció  que  para  diciembre  de</w:t>
        <w:br/>
        <w:t xml:space="preserve">   2001 existía un contexto de aumento de la violencia homicida  contra  las</w:t>
        <w:br/>
        <w:t xml:space="preserve">   mujeres en Guatemala, que dicho incremento presentó un aumento sostenible</w:t>
        <w:br/>
        <w:t xml:space="preserve">   a nivel nacional en los años 2004 y 2005, y  que  sus  niveles  continúan</w:t>
        <w:br/>
        <w:t xml:space="preserve">   siendo elevados hasta el presente (supra párr. 45). Es claro que para  el</w:t>
        <w:br/>
        <w:t xml:space="preserve">   momento de los hechos del presente caso, ocurridos en agosto de 2005,  el</w:t>
        <w:br/>
        <w:t xml:space="preserve">   Estado  ya  había  sido  alertado  de  dicha  situación  por   organismos</w:t>
        <w:br/>
        <w:t xml:space="preserve">   internacionales y nacionales, así  como  organizaciones  de  la  sociedad</w:t>
        <w:br/>
        <w:t xml:space="preserve">   civil, en documentos que  datan  desde  el  año  2001  hasta  febrero  de</w:t>
        <w:br/>
        <w:t xml:space="preserve">   2005[186]. Cabe resaltar que, para enero de 2003, la Procuraduría de  los</w:t>
        <w:br/>
        <w:t xml:space="preserve">   Derechos Humanos, un órgano estatal, ya había vinculado la existencia  de</w:t>
        <w:br/>
        <w:t xml:space="preserve">   actos violentos cometidos contra mujeres en 2001  a  “la  discriminación,</w:t>
        <w:br/>
        <w:t xml:space="preserve">   culturalmente enraizada en  la  sociedad  guatemalteca”,  y  enmarcó  tal</w:t>
        <w:br/>
        <w:t xml:space="preserve">   violencia  en  un  contexto  de  discriminación  contra  las  mujeres  en</w:t>
        <w:br/>
        <w:t xml:space="preserve">   Guatemala en diversos ámbitos[187]. Asimismo, como ya  se  señaló,  desde</w:t>
        <w:br/>
        <w:t xml:space="preserve">   ese entonces se ha agravado el grado de violencia contra las mujeres y el</w:t>
        <w:br/>
        <w:t xml:space="preserve">   ensañamiento ejercidos contra los cuerpos  de  muchas  de  las  víctimas.</w:t>
        <w:br/>
        <w:t xml:space="preserve">   Aunado a ello, los homicidios de  mujeres  en  Guatemala  ocurren  en  un</w:t>
        <w:br/>
        <w:t xml:space="preserve">   entorno de diversas formas  de  violencia  contra  aquellas,  tales  como</w:t>
        <w:br/>
        <w:t xml:space="preserve">   violencia  intrafamiliar  y  doméstica,   rapto   y   violación,   acoso,</w:t>
        <w:br/>
        <w:t xml:space="preserve">   explotación y otras formas de violencia sexual (supra párr. 48).</w:t>
        <w:br/>
        <w:br/>
        <w:t>112. Ahora bien, en su Sentencia del Caso Veliz Franco  y  otros,  la  Corte</w:t>
        <w:br/>
        <w:t xml:space="preserve">   resaltó que, antes[188] y después de los hechos de ese caso, acaecidos en</w:t>
        <w:br/>
        <w:t xml:space="preserve">   el año 2001, el Estado  había  adoptado  diversas  medidas  tendientes  a</w:t>
        <w:br/>
        <w:t xml:space="preserve">   afrontar la discriminación y violencia contra las mujeres.  Así,  destacó</w:t>
        <w:br/>
        <w:t xml:space="preserve">   la Ley para Prevenir, Sancionar y Erradicar la  Violencia  Intrafamiliar,</w:t>
        <w:br/>
        <w:t xml:space="preserve">   de 28 de noviembre de 1996, así como la Ley contra el Femicidio  y  otras</w:t>
        <w:br/>
        <w:t xml:space="preserve">   formas  de  Violencia  contra  la  Mujer  (en  adelante  “Ley  contra  el</w:t>
        <w:br/>
        <w:t xml:space="preserve">   Femicidio”), adoptada en 2008[189].</w:t>
        <w:br/>
        <w:br/>
        <w:t>113. En el presente  caso,  el  Estado  se  refirió  a  diversas  medidas  o</w:t>
        <w:br/>
        <w:t xml:space="preserve">   mecanismos implementados para afrontar el problema de la violencia contra</w:t>
        <w:br/>
        <w:t xml:space="preserve">   la mujer en Guatemala. La Corte nota que  el  Estado  ha  mencionado:  i)</w:t>
        <w:br/>
        <w:t xml:space="preserve">   medidas implementadas antes de los hechos de este caso, esto es, antes de</w:t>
        <w:br/>
        <w:t xml:space="preserve">   agosto de 2005; ii) medidas implementadas con posterioridad a los  hechos</w:t>
        <w:br/>
        <w:t xml:space="preserve">   del caso[190],  y  iii)  medidas  que  Guatemala  asegura  que  han  sido</w:t>
        <w:br/>
        <w:t xml:space="preserve">   implementadas pero respecto de las cuales  no  aportó  información  clara</w:t>
        <w:br/>
        <w:t xml:space="preserve">   acerca de las fechas de su implementación[191]. Para efectos del análisis</w:t>
        <w:br/>
        <w:t xml:space="preserve">   del primer momento de la obligación de prevenir, es decir,  antes  de  la</w:t>
        <w:br/>
        <w:t xml:space="preserve">   desaparición de la presunta víctima, la Corte solamente  considerará  las</w:t>
        <w:br/>
        <w:t xml:space="preserve">   medidas que fueron implementadas antes de los hechos del caso.</w:t>
        <w:br/>
        <w:br/>
        <w:t>114. De los escritos y pruebas aportadas por el  Estado,  se  desprende  que</w:t>
        <w:br/>
        <w:t xml:space="preserve">   entre los años 2000 y 2001 Guatemala creó la Coordinadora  Nacional  para</w:t>
        <w:br/>
        <w:t xml:space="preserve">   la Prevención de Violencia Intrafamiliar y Contra la  Mujer  (CONAPREVI),</w:t>
        <w:br/>
        <w:t xml:space="preserve">   la cual, según el Estado, es “la entidad encargada de coordinar, asesorar</w:t>
        <w:br/>
        <w:t xml:space="preserve">   e impulsar políticas públicas para reducir la violencia contra la mujer”,</w:t>
        <w:br/>
        <w:t xml:space="preserve">   y tiene la misión de  “erradicar  la  violencia  contra  las  mujeres  en</w:t>
        <w:br/>
        <w:t xml:space="preserve">   Guatemala,  mediante  el  impulso,  asesoría  y  monitoreo  de  políticas</w:t>
        <w:br/>
        <w:t xml:space="preserve">   públicas  en  coordinación  con  las  instituciones  vinculadas  con   el</w:t>
        <w:br/>
        <w:t xml:space="preserve">   problema”[192]. En el año 2004, la CONAPREVI lanzó el  Plan  Nacional  de</w:t>
        <w:br/>
        <w:t xml:space="preserve">   Prevención y Erradicación de la  Violencia  Intrafamiliar  y  contra  las</w:t>
        <w:br/>
        <w:t xml:space="preserve">   Mujeres (PLANOVI) 2004-2014, con el “objetivo general [de] fortalecer  el</w:t>
        <w:br/>
        <w:t xml:space="preserve">   marco político institucional estatal que aborde efectivamente el problema</w:t>
        <w:br/>
        <w:t xml:space="preserve">   de la violencia contra las mujeres en Guatemala, [m]ejorando la respuesta</w:t>
        <w:br/>
        <w:t xml:space="preserve">   institucional, la calidad y oportunidad  de  los  servicios  de  atención</w:t>
        <w:br/>
        <w:t xml:space="preserve">   integral   y   fortalecimiento   de   procesos   de   sensibilización   y</w:t>
        <w:br/>
        <w:t xml:space="preserve">   educación”[193].</w:t>
        <w:br/>
        <w:br/>
        <w:t>115. Asimismo, en el año 2000 se  creó  la  Secretaría  Presidencial  de  la</w:t>
        <w:br/>
        <w:t xml:space="preserve">   Mujer (SEPREM), la cual, según el Estado, “es la instancia del  Organismo</w:t>
        <w:br/>
        <w:t xml:space="preserve">   Ejecutivo que asesora y coordina  políticas  públicas  para  promover  el</w:t>
        <w:br/>
        <w:t xml:space="preserve">   desarrollo integral de las mujeres  guatemaltecas  y  el  fomento  de  la</w:t>
        <w:br/>
        <w:t xml:space="preserve">   cultura democrática”[194], y cuya “función principal es asesorar y apoyar</w:t>
        <w:br/>
        <w:t xml:space="preserve">   al Presidente de la República  en  los  programas  y  proyectos  para  la</w:t>
        <w:br/>
        <w:t xml:space="preserve">   promoción y adopción de las políticas públicas inherentes  al  desarrollo</w:t>
        <w:br/>
        <w:t xml:space="preserve">   integral de las mujeres, propiciando los efectos y condiciones de equidad</w:t>
        <w:br/>
        <w:t xml:space="preserve">   entre hombres y mujeres, atendiendo a la diversidad  socio  cultural  del</w:t>
        <w:br/>
        <w:t xml:space="preserve">   país”.</w:t>
        <w:br/>
        <w:br/>
        <w:t>116. Por otro lado, es un hecho no controvertido que, antes  de  los  hechos</w:t>
        <w:br/>
        <w:t xml:space="preserve">   del caso, el Estado implementó la Fiscalía de la Mujer y  estableció  una</w:t>
        <w:br/>
        <w:t xml:space="preserve">   Política Nacional de Promoción y Desarrollo Integral de las Mujeres y  su</w:t>
        <w:br/>
        <w:t xml:space="preserve">   Plan de Equidad de Oportunidades (2001-2006)[195].</w:t>
        <w:br/>
        <w:br/>
        <w:br/>
        <w:t>117. En cuanto a las medidas adoptadas por parte del Organismo Judicial,  el</w:t>
        <w:br/>
        <w:t xml:space="preserve">   Estado señaló que, a partir del año 2001, la Unidad de Modernización  del</w:t>
        <w:br/>
        <w:t xml:space="preserve">   Organismo Judicial inició el abordaje del tema de la violencia en  contra</w:t>
        <w:br/>
        <w:t xml:space="preserve">   de  las  mujeres  y  de  las  niñas   al   implementar   talleres   sobre</w:t>
        <w:br/>
        <w:t xml:space="preserve">   interculturalidad, los derechos humanos de las mujeres en el contexto  de</w:t>
        <w:br/>
        <w:t xml:space="preserve">   los valores culturales de  los  pueblos  indígenas,  el  abordaje  de  la</w:t>
        <w:br/>
        <w:t xml:space="preserve">   violencia contra la mujer, el sistema jurídico maya y  el  papel  de  las</w:t>
        <w:br/>
        <w:t xml:space="preserve">   autoridades indígenas.</w:t>
        <w:br/>
        <w:br/>
        <w:t>118. Al respecto, la Corte  nota  que  diversos  informes  de  organismos  u</w:t>
        <w:br/>
        <w:t xml:space="preserve">   organizaciones internacionales y nacionales criticaron en su  momento  la</w:t>
        <w:br/>
        <w:t xml:space="preserve">   efectividad de estas medidas e instituciones estatales:</w:t>
        <w:br/>
        <w:br/>
        <w:t xml:space="preserve"> a) En febrero de 2005, la Relatora Especial sobre la violencia  contra  la</w:t>
        <w:br/>
        <w:t xml:space="preserve">    mujer,  sus  causas  y  consecuencias  señaló   que   “existen   varias</w:t>
        <w:br/>
        <w:t xml:space="preserve">    instituciones paralelas para el  adelanto  de  la  mujer  con  mandatos</w:t>
        <w:br/>
        <w:t xml:space="preserve">    superpuestos que reflejan la naturaleza fragmentada y  dividida  de  la</w:t>
        <w:br/>
        <w:t xml:space="preserve">    sociedad  guatemalteca”.  Asimismo,  indicó  que  “hasta  la  fecha  la</w:t>
        <w:br/>
        <w:t xml:space="preserve">    CONAPREVI no  ha[bía]  recibido  el  apoyo  político  y  presupuestario</w:t>
        <w:br/>
        <w:t xml:space="preserve">    necesario para cumplir su mandato”[196].</w:t>
        <w:br/>
        <w:br/>
        <w:br/>
        <w:t xml:space="preserve"> b) En febrero de 2006, la Alta Comisionada de las Naciones Unidas para los</w:t>
        <w:br/>
        <w:t xml:space="preserve">    Derechos Humanos sostuvo en  su  informe  sobre  la  situación  de  los</w:t>
        <w:br/>
        <w:t xml:space="preserve">    derechos humanos en Guatemala que,  “[a]demás  de  la  Fiscalía  de  la</w:t>
        <w:br/>
        <w:t xml:space="preserve">    Mujer, existen instituciones como  la  Secretaría  Presidencial  de  la</w:t>
        <w:br/>
        <w:t xml:space="preserve">    Mujer [(SEPREM)], la Defensoría de la Mujer Indígena y las oficinas  de</w:t>
        <w:br/>
        <w:t xml:space="preserve">    la PNC de equidad de género y atención a la víctima y la  recientemente</w:t>
        <w:br/>
        <w:t xml:space="preserve">    creada Unidad de Homicidios de Mujeres”. Sin  embargo,  señaló  también</w:t>
        <w:br/>
        <w:t xml:space="preserve">    que algunos  de  los  mayores  problemas  son  “la  débil  coordinación</w:t>
        <w:br/>
        <w:t xml:space="preserve">    institucional  y  la  falta  de  recursos  para  llevar  adelante   sus</w:t>
        <w:br/>
        <w:t xml:space="preserve">    programas, como el Plan Nacional para la Prevención y  Erradicación  de</w:t>
        <w:br/>
        <w:t xml:space="preserve">    Violencia Intra-familiar [sic] y  contra  las  Mujeres  (PLANOVI  2004-</w:t>
        <w:br/>
        <w:t xml:space="preserve">    2014)”[197].</w:t>
        <w:br/>
        <w:br/>
        <w:br/>
        <w:t xml:space="preserve"> c) En mayo de 2006, el Comité de la Convención para la Eliminación  de  la</w:t>
        <w:br/>
        <w:t xml:space="preserve">    Discriminación contra la Mujer (CEDAW)  señaló  respecto  de  Guatemala</w:t>
        <w:br/>
        <w:t xml:space="preserve">    que, “[s]i bien toma nota de las medidas adoptadas por el Estado  parte</w:t>
        <w:br/>
        <w:t xml:space="preserve">    en apoyo de los mecanismos nacionales para el adelanto de la mujer, […]</w:t>
        <w:br/>
        <w:t xml:space="preserve">    expresa su preocupación por el hecho de que esos mecanismos no  cuenten</w:t>
        <w:br/>
        <w:t xml:space="preserve">    con suficientes recursos  humanos  y  financieros  para  desempeñar  su</w:t>
        <w:br/>
        <w:t xml:space="preserve">    mandato […]. También le preocupa la limitada capacidad de la Secretaría</w:t>
        <w:br/>
        <w:t xml:space="preserve">    Presidencial para realizar una coordinación y una cooperación  eficaces</w:t>
        <w:br/>
        <w:t xml:space="preserve">    con las ramas legislativa y judicial”. El Comité instó al Estado a  que</w:t>
        <w:br/>
        <w:t xml:space="preserve">    prestara atención prioritaria a la adopción  de  un  enfoque  amplio  e</w:t>
        <w:br/>
        <w:t xml:space="preserve">    integrado para hacer frente a la violencia contra la mujer y la niña, y</w:t>
        <w:br/>
        <w:t xml:space="preserve">    a que aprobara las reformas pendientes del Código Penal para  tipificar</w:t>
        <w:br/>
        <w:t xml:space="preserve">    como  delito  la  violencia  intrafamiliar  y  asignara  los   recursos</w:t>
        <w:br/>
        <w:t xml:space="preserve">    necesarios para la aplicación del PLANOVI 2004-2014[198].</w:t>
        <w:br/>
        <w:br/>
        <w:br/>
        <w:t xml:space="preserve"> d) En septiembre de 2004, la Relatora Especial sobre los  Derechos  de  la</w:t>
        <w:br/>
        <w:t xml:space="preserve">    Mujer de  la  Comisión  Interamericana  observó  que  el  Estado  había</w:t>
        <w:br/>
        <w:t xml:space="preserve">    obtenido ciertos avances institucionales para enfrentar la epidemia  de</w:t>
        <w:br/>
        <w:t xml:space="preserve">    violencia  contra  la  mujer,   no   obstante,   destacó   que   “estas</w:t>
        <w:br/>
        <w:t xml:space="preserve">    instituciones  tienen  escasos  recursos  presupuestales  para   llevar</w:t>
        <w:br/>
        <w:t xml:space="preserve">    adelante  su  misión  y  que  no  existe  la   necesaria   coordinación</w:t>
        <w:br/>
        <w:t xml:space="preserve">    interinstitucional”[199].</w:t>
        <w:br/>
        <w:br/>
        <w:br/>
        <w:t xml:space="preserve"> e) En junio de 2005, la Procuraduría de los Derechos Humanos de  Guatemala</w:t>
        <w:br/>
        <w:t xml:space="preserve">    señaló que los esfuerzos gubernamentales frente a la  violencia  contra</w:t>
        <w:br/>
        <w:t xml:space="preserve">    las mujeres realizados hasta ese entonces “llega[ba]n a niveles como la</w:t>
        <w:br/>
        <w:t xml:space="preserve">    creación de instancias de atención, la aprobación de leyes  específicas</w:t>
        <w:br/>
        <w:t xml:space="preserve">    y la  elaboración  de  propuestas.  Sin  embargo,  las  pocas  acciones</w:t>
        <w:br/>
        <w:t xml:space="preserve">    directas que se han tomado resultan insuficientes  para  combatir  este</w:t>
        <w:br/>
        <w:t xml:space="preserve">    fenómeno. Por otra parte  se  trata  de  medidas  aisladas  que  no  se</w:t>
        <w:br/>
        <w:t xml:space="preserve">    encuentran enmarcadas en una  política  específica  y,  por  lo  tanto,</w:t>
        <w:br/>
        <w:t xml:space="preserve">    resulta difícil evaluarl[a]s en cuanto a sus resultados”[200].</w:t>
        <w:br/>
        <w:br/>
        <w:br/>
        <w:t xml:space="preserve"> f) En junio de 2005, en su informe “Ni protección ni justicia:  Homicidios</w:t>
        <w:br/>
        <w:t xml:space="preserve">    de mujeres  en  Guatemala”,  Amnistía  Internacional  “reconoc[ió]  que</w:t>
        <w:br/>
        <w:t xml:space="preserve">    autoridades guatemaltecas han tomado  algunas  medidas  positivas  para</w:t>
        <w:br/>
        <w:t xml:space="preserve">    prevenir la violencia contra las mujeres […]. Sin embargo, [señaló que]</w:t>
        <w:br/>
        <w:t xml:space="preserve">    estas medidas a menudo no se  han  aplicado,  vigilado  o  revisado  de</w:t>
        <w:br/>
        <w:t xml:space="preserve">    manera efectiva, por lo que raras veces han servido  para  impedir  que</w:t>
        <w:br/>
        <w:t xml:space="preserve">    las mujeres sufran violencia”[201].</w:t>
        <w:br/>
        <w:br/>
        <w:t>119. Por otra parte, en un informe pericial  presentado  a  esta  Corte,  la</w:t>
        <w:br/>
        <w:t xml:space="preserve">   experta Karen Musalo señaló que, si bien el gobierno  guatemalteco  lanzó</w:t>
        <w:br/>
        <w:t xml:space="preserve">   algunas iniciativas para enfrentar la violencia contra las mujeres  entre</w:t>
        <w:br/>
        <w:t xml:space="preserve">   los años 2000 y 2005, estas se vieron limitadas en gran parte  “debido  a</w:t>
        <w:br/>
        <w:t xml:space="preserve">   la falta de fondos asignados para cumplir sus objetivos” y “la  falta  de</w:t>
        <w:br/>
        <w:t xml:space="preserve">   voluntad política”[202].</w:t>
        <w:br/>
        <w:br/>
        <w:t>120. Al respecto, el Tribunal observa que, para agosto de  2005,  es  decir,</w:t>
        <w:br/>
        <w:t xml:space="preserve">   para el momento en que acontecieron los hechos de este  caso,  el  Estado</w:t>
        <w:br/>
        <w:t xml:space="preserve">   implementó acciones dirigidas a abordar la problemática de  la  violencia</w:t>
        <w:br/>
        <w:t xml:space="preserve">   contra las mujeres. Sin embargo,  las  organizaciones  internacionales  y</w:t>
        <w:br/>
        <w:t xml:space="preserve">   nacionales señaladas, así como la perita Musalo, coinciden en que  dichas</w:t>
        <w:br/>
        <w:t xml:space="preserve">   medidas fueron insuficientes para solucionar  el  problema  debido  a  la</w:t>
        <w:br/>
        <w:t xml:space="preserve">   carencia de recursos asignados y a la falta  de  coordinación  entre  las</w:t>
        <w:br/>
        <w:t xml:space="preserve">   diversas instituciones y de una estrategia integral de protección  (supra</w:t>
        <w:br/>
        <w:t xml:space="preserve">   párrs. 118 y 119). En este sentido, la Corte  nota  que,  en  su  Informe</w:t>
        <w:br/>
        <w:t xml:space="preserve">   nacional presentado  al  Grupo  de  Trabajo  sobre  el  Examen  Periódico</w:t>
        <w:br/>
        <w:t xml:space="preserve">   Universal del Consejo de Derechos Humanos de la ONU, de 7  de  agosto  de</w:t>
        <w:br/>
        <w:t xml:space="preserve">   2012, el Estado reconoció que dentro  de  los  desafíos  que  enfrentaba,</w:t>
        <w:br/>
        <w:t xml:space="preserve">   estaba el de “[o]perativizar una estrategia interinstitucional articulada</w:t>
        <w:br/>
        <w:t xml:space="preserve">   para atender la prevención de la violencia contra la mujer en  todos  los</w:t>
        <w:br/>
        <w:t xml:space="preserve">   ámbitos”[203].</w:t>
        <w:br/>
        <w:br/>
        <w:t xml:space="preserve">      B.2. Antes de la localización del cuerpo de Claudina Velásquez:  deber</w:t>
        <w:br/>
        <w:t xml:space="preserve">      específico de prevenir violaciones a los derechos a  la  integridad  y</w:t>
        <w:br/>
        <w:t xml:space="preserve">      vida de Claudina Velásquez</w:t>
        <w:br/>
        <w:br/>
        <w:br/>
        <w:t>121. En relación al segundo período –  antes  del  hallazgo  del  cuerpo  de</w:t>
        <w:br/>
        <w:t xml:space="preserve">   Claudina Velásquez – es necesario, primeramente, verificar el momento  en</w:t>
        <w:br/>
        <w:t xml:space="preserve">   que las  autoridades  estatales  sabían  o  debían  haber  sabido  de  la</w:t>
        <w:br/>
        <w:t xml:space="preserve">   existencia de un riesgo real e inmediato para la  vida  e  integridad  de</w:t>
        <w:br/>
        <w:t xml:space="preserve">   Claudina Velásquez. Al respecto, consta en el expediente que, a partir de</w:t>
        <w:br/>
        <w:t xml:space="preserve">   las 2:50 o 2:55 a.m. aproximadamente, sus padres, Jorge Velásquez y  Elsa</w:t>
        <w:br/>
        <w:t xml:space="preserve">   Paiz, realizaron una llamada telefónica a la Policía Nacional Civil y, en</w:t>
        <w:br/>
        <w:t xml:space="preserve">   respuesta, una patrulla  llegó  a  la  garita  principal  de  la  Colonia</w:t>
        <w:br/>
        <w:t xml:space="preserve">   Panorama a las 3:00 a.m. aproximadamente. En  ese  momento,  los  agentes</w:t>
        <w:br/>
        <w:t xml:space="preserve">   policiales fueron informados por los padres de Claudina Velásquez que  se</w:t>
        <w:br/>
        <w:t xml:space="preserve">   encontraban realizando la búsqueda de su hija tras su desaparición y  que</w:t>
        <w:br/>
        <w:t xml:space="preserve">   tenían información de que ella podría estar en peligro[204]. Así, dado el</w:t>
        <w:br/>
        <w:t xml:space="preserve">   contexto de aumento de  la  violencia  homicida  contra  las  mujeres  en</w:t>
        <w:br/>
        <w:t xml:space="preserve">   Guatemala y agravamiento del grado de violencia y ensañamiento  ejercidos</w:t>
        <w:br/>
        <w:t xml:space="preserve">   contra los cuerpos de muchas de las víctimas (supra párrs. 45 a  48),  es</w:t>
        <w:br/>
        <w:t xml:space="preserve">   evidente que a partir de este momento el Estado tuvo conocimiento de  que</w:t>
        <w:br/>
        <w:t xml:space="preserve">   existía un riesgo real  e  inmediato  de  que  Claudina  Velásquez  fuera</w:t>
        <w:br/>
        <w:t xml:space="preserve">   agredida sexualmente, sometida a vejámenes y/o asesinada.</w:t>
        <w:br/>
        <w:br/>
        <w:t>122. La Corte ha considerado reiteradamente que ante tal contexto  surge  un</w:t>
        <w:br/>
        <w:t xml:space="preserve">   deber de debida diligencia estricta frente a denuncias de desaparición de</w:t>
        <w:br/>
        <w:t xml:space="preserve">   mujeres, respecto a su búsqueda durante las primeras horas y los primeros</w:t>
        <w:br/>
        <w:t xml:space="preserve">   días. Esta obligación de medio, al ser más estricta, exige la realización</w:t>
        <w:br/>
        <w:t xml:space="preserve">   exhaustiva de actividades de búsqueda. En particular,  es  imprescindible</w:t>
        <w:br/>
        <w:t xml:space="preserve">   la actuación pronta e inmediata de las autoridades policiales, fiscales y</w:t>
        <w:br/>
        <w:t xml:space="preserve">   judiciales ordenando  medidas  oportunas  y  necesarias  dirigidas  a  la</w:t>
        <w:br/>
        <w:t xml:space="preserve">   determinación del paradero de la víctima.  Deben  existir  procedimientos</w:t>
        <w:br/>
        <w:t xml:space="preserve">   adecuados para las denuncias y  que  estas  conlleven  una  investigación</w:t>
        <w:br/>
        <w:t xml:space="preserve">   efectiva desde las primeras horas. Las autoridades deben presumir que  la</w:t>
        <w:br/>
        <w:t xml:space="preserve">   persona desaparecida  sigue  con  vida  hasta  que  se  ponga  fin  a  la</w:t>
        <w:br/>
        <w:t xml:space="preserve">   incertidumbre sobre la suerte que ha corrido[205].</w:t>
        <w:br/>
        <w:br/>
        <w:t>123. De este modo, corresponde al Tribunal  analizar,  a  continuación,  las</w:t>
        <w:br/>
        <w:t xml:space="preserve">   acciones tomadas por las autoridades  guatemaltecas  frente  al  contexto</w:t>
        <w:br/>
        <w:t xml:space="preserve">   conocido y la naturaleza del riesgo denunciado, con el fin de  determinar</w:t>
        <w:br/>
        <w:t xml:space="preserve">   si dichas autoridades  adoptaron  oportunamente  las  medidas  necesarias</w:t>
        <w:br/>
        <w:t xml:space="preserve">   dentro del ámbito  de  sus  atribuciones  que,  juzgadas  razonablemente,</w:t>
        <w:br/>
        <w:t xml:space="preserve">   podían esperarse para prevenir o evitar ese riesgo.</w:t>
        <w:br/>
        <w:br/>
        <w:t>124. Ahora bien, se desprende de las reiteradas declaraciones de los  padres</w:t>
        <w:br/>
        <w:t xml:space="preserve">   de Claudina Velásquez, que estos siguieron  a  la  patrulla  policial  en</w:t>
        <w:br/>
        <w:t xml:space="preserve">   búsqueda de su hija desde la entrada principal  de  la  Colonia  Panorama</w:t>
        <w:br/>
        <w:t xml:space="preserve">   hasta la entrada de la Colonia  Pinares,  en  donde  los  agentes  de  la</w:t>
        <w:br/>
        <w:t xml:space="preserve">   policía les dijeron que “no se podía hacer nada más y que  ellos  iban  a</w:t>
        <w:br/>
        <w:t xml:space="preserve">   seguir patrullando”[206], indicándoles también que  tenían  “que  esperar</w:t>
        <w:br/>
        <w:t xml:space="preserve">   por lo menos veinticuatro horas” para poder reportar a Claudina Velásquez</w:t>
        <w:br/>
        <w:t xml:space="preserve">   como desaparecida[207].</w:t>
        <w:br/>
        <w:br/>
        <w:br/>
        <w:t>125. Una vez que los  agentes  de  la  policía  se  fueron,  los  padres  de</w:t>
        <w:br/>
        <w:t xml:space="preserve">   Claudina Velásquez  continuaron  sus  esfuerzos  por  encontrarla  (infra</w:t>
        <w:br/>
        <w:t xml:space="preserve">   párrs. 127 y 128). A las 5:00 a.m. aproximadamente fueron a  la  estación</w:t>
        <w:br/>
        <w:t xml:space="preserve">   de policía de Ciudad San Cristóbal para reportar la  desaparición  de  su</w:t>
        <w:br/>
        <w:t xml:space="preserve">   hija; sin embargo, nuevamente se les indicó que deberían  transcurrir  24</w:t>
        <w:br/>
        <w:t xml:space="preserve">   horas[208]. Al respecto, durante la audiencia pública ante este Tribunal,</w:t>
        <w:br/>
        <w:t xml:space="preserve">   el señor Jorge Velásquez declaró: “les dijimos,  les  explicamos  que  la</w:t>
        <w:br/>
        <w:t xml:space="preserve">   situación era de riesgo,  incluso  mi  esposa  llevo  una  fotografía  de</w:t>
        <w:br/>
        <w:t xml:space="preserve">   Claudina para que con base a esa fotografía se le buscara y  nos  dijeron</w:t>
        <w:br/>
        <w:t xml:space="preserve">   que no, que tenían que transcurrir las famosas 24 horas”. Posteriormente,</w:t>
        <w:br/>
        <w:t xml:space="preserve">   se acercaron a la Sub-Estación San Cristóbal 1651 de la PNC y a las  8:30</w:t>
        <w:br/>
        <w:t xml:space="preserve">   a.m. la  policía  finalmente  recibió  por  escrito  la  denuncia  de  la</w:t>
        <w:br/>
        <w:t xml:space="preserve">   desaparición de Claudina Velásquez[209].</w:t>
        <w:br/>
        <w:br/>
        <w:br/>
        <w:t>126. En relación con estos hechos, la Corte nota, en primer  lugar,  que  si</w:t>
        <w:br/>
        <w:t xml:space="preserve">   bien los funcionarios de la Policía Nacional Civil se  apersonaron  a  la</w:t>
        <w:br/>
        <w:t xml:space="preserve">   brevedad tras la llamada de los padres de Claudina Velásquez,  únicamente</w:t>
        <w:br/>
        <w:t xml:space="preserve">   acompañaron a estos desde la garita principal de  una  colonia  hasta  la</w:t>
        <w:br/>
        <w:t xml:space="preserve">   entrada de otra, tras lo cual les indicaron que iban a seguir patrullando</w:t>
        <w:br/>
        <w:t xml:space="preserve">   y que esperaran a presentar la denuncia. Dado el  contexto  de  violencia</w:t>
        <w:br/>
        <w:t xml:space="preserve">   contra la mujer conocido por  el  Estado  (supra  párrs.  45  a  48),  la</w:t>
        <w:br/>
        <w:t xml:space="preserve">   respuesta de las autoridades estatales fue claramente insuficiente frente</w:t>
        <w:br/>
        <w:t xml:space="preserve">   a la posibilidad de que  peligraba  la  integridad  personal  y  vida  de</w:t>
        <w:br/>
        <w:t xml:space="preserve">   Claudina Velásquez. Lo anterior, debido a  que  no  consta  siquiera  que</w:t>
        <w:br/>
        <w:t xml:space="preserve">   hayan  recolectado  los  datos  y  descripciones   que   permitirían   su</w:t>
        <w:br/>
        <w:t xml:space="preserve">   identificación,  ni  que  hayan  emprendido  una   búsqueda   exhaustiva,</w:t>
        <w:br/>
        <w:t xml:space="preserve">   estratégica y coordinada con otras autoridades estatales, recorriendo los</w:t>
        <w:br/>
        <w:t xml:space="preserve">   lugares donde  razonablemente  sería  más  probable  encontrarla,  ni  se</w:t>
        <w:br/>
        <w:t xml:space="preserve">   entrevistó a personas que razonablemente podrían tener información  sobre</w:t>
        <w:br/>
        <w:t xml:space="preserve">   su paradero.</w:t>
        <w:br/>
        <w:br/>
        <w:br/>
        <w:t>127. Por el contrario, consta en  este  caso  que  los  padres  de  Claudina</w:t>
        <w:br/>
        <w:t xml:space="preserve">   Velásquez se vieron obligados a realizar ellos mismos las actividades  de</w:t>
        <w:br/>
        <w:t xml:space="preserve">   búsqueda de su hija que correspondían al Estado, tales como recorrer  los</w:t>
        <w:br/>
        <w:t xml:space="preserve">   lugares donde podría encontrarse, inclusive las calles principales de  la</w:t>
        <w:br/>
        <w:t xml:space="preserve">   Ciudad San Cristóbal y las casas  de  personas  que  podrían  conocer  el</w:t>
        <w:br/>
        <w:t xml:space="preserve">   paradero de su hija; llamar o entrevistar personalmente  a  las  personas</w:t>
        <w:br/>
        <w:t xml:space="preserve">   que  podrían  tener  información  sobre  su  paradero,  y  averiguar   en</w:t>
        <w:br/>
        <w:t xml:space="preserve">   hospitales y morgues si ahí se encontraba alguien con la  descripción  de</w:t>
        <w:br/>
        <w:t xml:space="preserve">   su hija, entre otros[210].</w:t>
        <w:br/>
        <w:br/>
        <w:br/>
        <w:t>128. Por otra parte, en relación al momento en que  fue  posible  interponer</w:t>
        <w:br/>
        <w:t xml:space="preserve">   una denuncia sobre  la  desaparición  de  Claudina  Velásquez,  la  Corte</w:t>
        <w:br/>
        <w:t xml:space="preserve">   observa que no hay claridad, con base en las declaraciones que constan en</w:t>
        <w:br/>
        <w:t xml:space="preserve">   el expediente, a partir de qué momento debían transcurrir 24  horas  para</w:t>
        <w:br/>
        <w:t xml:space="preserve">   la interposición de dicha denuncia. Mediante declaración de 24  de  enero</w:t>
        <w:br/>
        <w:t xml:space="preserve">   de 2006 ante la Jefatura de la Fiscalía de Sección de Delitos  Contra  la</w:t>
        <w:br/>
        <w:t xml:space="preserve">   Vida e Integridad de las Personas, el señor Jorge  Velásquez  indicó  que</w:t>
        <w:br/>
        <w:t xml:space="preserve">   había sido informado que no podría reportar la desaparición  de  su  hija</w:t>
        <w:br/>
        <w:t xml:space="preserve">   sino  hasta  que  hubiesen  transcurrido  24  horas   desde   la   última</w:t>
        <w:br/>
        <w:t xml:space="preserve">   comunicación con ella[211]. En  sentido  similar,  en  el  reconocimiento</w:t>
        <w:br/>
        <w:t xml:space="preserve">   médico psiquiátrico realizado el 21 de octubre de 2009 señaló  que  dicho</w:t>
        <w:br/>
        <w:t xml:space="preserve">   plazo debía transcurrir desde el momento de la desaparición[212].  Consta</w:t>
        <w:br/>
        <w:t xml:space="preserve">   en el expediente que la última comunicación que tuvieron  los  padres  de</w:t>
        <w:br/>
        <w:t xml:space="preserve">   Claudina Velásquez con su hija fue a las 11:45 p.m. aproximadamente[213].</w:t>
        <w:br/>
        <w:t xml:space="preserve">   No obstante, la denuncia de la desaparición fue recibida  aproximadamente</w:t>
        <w:br/>
        <w:t xml:space="preserve">   8 horas y media luego de  esta  comunicación,  pero  24  horas  desde  el</w:t>
        <w:br/>
        <w:t xml:space="preserve">   momento que Claudina Velásquez salió de su casa (supra párr. 52).</w:t>
        <w:br/>
        <w:br/>
        <w:br/>
        <w:t>129. Al  respecto,  cabe  resaltar  que  durante  la  audiencia  pública  el</w:t>
        <w:br/>
        <w:t xml:space="preserve">   Tribunal solicitó al Estado informar si existía alguna norma  o  práctica</w:t>
        <w:br/>
        <w:t xml:space="preserve">   según la cual las autoridades estatales debían esperar 24 horas antes  de</w:t>
        <w:br/>
        <w:t xml:space="preserve">   recibir una denuncia. En sus alegatos finales escritos, el Estado  señaló</w:t>
        <w:br/>
        <w:t xml:space="preserve">   que  dentro  de  la  legislación  interna  no  existe  norma  alguna  que</w:t>
        <w:br/>
        <w:t xml:space="preserve">   establezca un plazo de 24 a 48 horas para  interponer  una  denuncia  por</w:t>
        <w:br/>
        <w:t xml:space="preserve">   desaparición de personas. Sin embargo, sostuvo que los agentes policiales</w:t>
        <w:br/>
        <w:t xml:space="preserve">   al referirse al plazo de las 24 horas actuaban conforme  al  artículo  51</w:t>
        <w:br/>
        <w:t xml:space="preserve">   del Decreto No. 40-90 de la Ley Orgánica del Ministerio  Público  vigente</w:t>
        <w:br/>
        <w:t xml:space="preserve">   en ese entonces, que establecía: “la  policía  y  las  demás  fuerzas  de</w:t>
        <w:br/>
        <w:t xml:space="preserve">   seguridad no podrán realizar investigaciones  por  sí,  salvo  los  casos</w:t>
        <w:br/>
        <w:t xml:space="preserve">   urgentes y de prevención policial.  En  este  caso  deberán  informar  al</w:t>
        <w:br/>
        <w:t xml:space="preserve">   Ministerio Público de las diligencias practicadas, en un plazo  no  mayor</w:t>
        <w:br/>
        <w:t xml:space="preserve">   de veinticuatro horas”.</w:t>
        <w:br/>
        <w:br/>
        <w:br/>
        <w:t>130. Al respecto, cabe resaltar que la norma citada no explica la  actuación</w:t>
        <w:br/>
        <w:t xml:space="preserve">   de los policías en el presente caso, ya que ni siquiera se refiere  a  la</w:t>
        <w:br/>
        <w:t xml:space="preserve">   recepción de una denuncia y más bien refleja confusión respecto  de  cuál</w:t>
        <w:br/>
        <w:t xml:space="preserve">   era la reglamentación que los  policías  debían  seguir.  En  efecto,  es</w:t>
        <w:br/>
        <w:t xml:space="preserve">   evidente que los policías que atendieron a la familia no tenían  claridad</w:t>
        <w:br/>
        <w:t xml:space="preserve">   respecto al procedimiento a seguir frente al hecho denunciado.  Aunado  a</w:t>
        <w:br/>
        <w:t xml:space="preserve">   ello, las reiteradas declaraciones de los funcionarios  en  cuanto  a  la</w:t>
        <w:br/>
        <w:t xml:space="preserve">   necesidad de esperar para interponer una denuncia demuestran  que,  a  su</w:t>
        <w:br/>
        <w:t xml:space="preserve">   criterio, la desaparición  puesta  en  su  conocimiento  no  merecía  ser</w:t>
        <w:br/>
        <w:t xml:space="preserve">   tratada con urgencia e inmediatez. Lo anterior,  pese  a  que  tenían  un</w:t>
        <w:br/>
        <w:t xml:space="preserve">   deber de debida diligencia estricta respecto a su  búsqueda  durante  las</w:t>
        <w:br/>
        <w:t xml:space="preserve">   primeras horas (supra párr. 122).</w:t>
        <w:br/>
        <w:br/>
        <w:t>131.  Respecto  a  este  punto,  en  su  “Informe  de   verificación   sobre</w:t>
        <w:br/>
        <w:t xml:space="preserve">   violaciones al deber de investigar” en el  caso  de  la  desaparición  de</w:t>
        <w:br/>
        <w:t xml:space="preserve">   Claudina Velásquez, la Procuraduría de los Derechos Humanos de  Guatemala</w:t>
        <w:br/>
        <w:t xml:space="preserve">   señaló que:</w:t>
        <w:br/>
        <w:br/>
        <w:t xml:space="preserve">   Esta situación es una denegación material […] a la obligación del  Estado</w:t>
        <w:br/>
        <w:t xml:space="preserve">   de iniciar investigaciones serias y efectivas en el  momento  en  que  se</w:t>
        <w:br/>
        <w:t xml:space="preserve">   tiene indicios de una situación de violación a los derechos  humanos.  De</w:t>
        <w:br/>
        <w:t xml:space="preserve">   haberse puesto de  inmediato  la  denuncia,  se  podrían  haber  iniciado</w:t>
        <w:br/>
        <w:t xml:space="preserve">   acciones de búsqueda  efectiva  de  CLAUDINA  ISABEL  VELÁSQUEZ  y  haber</w:t>
        <w:br/>
        <w:t xml:space="preserve">   prevenido la violación a su derecho a la vida. Exigir  la  espera  de  24</w:t>
        <w:br/>
        <w:t xml:space="preserve">   horas para recibir una denuncia por desaparición genera, en primer lugar,</w:t>
        <w:br/>
        <w:t xml:space="preserve">   un espacio de tiempo en el cual se deja en situación de indefensión a  la</w:t>
        <w:br/>
        <w:t xml:space="preserve">   víctima. Por otra parte, se impide que se cuente con un registro adecuado</w:t>
        <w:br/>
        <w:t xml:space="preserve">   de datos de personas desaparecidas, para su identificación  inmediata  al</w:t>
        <w:br/>
        <w:t xml:space="preserve">   momento de que aparezca un cadáver. En el caso concreto, impidió  que  la</w:t>
        <w:br/>
        <w:t xml:space="preserve">   víctima hubiese sido reconocida al  momento  en  que  fue  encontrado  su</w:t>
        <w:br/>
        <w:t xml:space="preserve">   cadáver y el inicio de  una  investigación  inmediata  de  la  muerte  de</w:t>
        <w:br/>
        <w:t xml:space="preserve">   Claudina Isabel. La Procuraduría considera que es  necesario  generar  un</w:t>
        <w:br/>
        <w:t xml:space="preserve">   sistema de recepción de denuncias  informático  que  pueda  facilitar  la</w:t>
        <w:br/>
        <w:t xml:space="preserve">   identificación de personas desaparecidas, accesible a ser  consultado  al</w:t>
        <w:br/>
        <w:t xml:space="preserve">   momento de aparecer un cadáver, y de esta manera poder contactar con  los</w:t>
        <w:br/>
        <w:t xml:space="preserve">   familiares  de  la  víctima,  de  forma  inmediata   para   su   efectivo</w:t>
        <w:br/>
        <w:t xml:space="preserve">   reconocimiento[214].</w:t>
        <w:br/>
        <w:br/>
        <w:t>132. En vista de  lo  expuesto,  la  Corte  considera  que  las  autoridades</w:t>
        <w:br/>
        <w:t xml:space="preserve">   estatales no adoptaron las medidas necesarias dentro del  ámbito  de  sus</w:t>
        <w:br/>
        <w:t xml:space="preserve">   atribuciones que, juzgadas razonablemente, podían esperarse para prevenir</w:t>
        <w:br/>
        <w:t xml:space="preserve">   o evitar la vulneración de los derechos a la vida e  integridad  personal</w:t>
        <w:br/>
        <w:t xml:space="preserve">   de Claudina Velásquez Paiz, desde  el  momento  en  que  el  Estado  tuvo</w:t>
        <w:br/>
        <w:t xml:space="preserve">   conocimiento del riesgo en que esta se encontraba.</w:t>
        <w:br/>
        <w:br/>
        <w:t xml:space="preserve">            B.3. Conclusión</w:t>
        <w:br/>
        <w:br/>
        <w:br/>
        <w:t>133. Con base en todo lo anterior, la  Corte  considera  que  el  Estado  no</w:t>
        <w:br/>
        <w:t xml:space="preserve">   demostró haber implementado las medidas necesarias, conforme el  artículo</w:t>
        <w:br/>
        <w:t xml:space="preserve">   2 de la Convención Americana y el artículo 7 de la Convención de Belém do</w:t>
        <w:br/>
        <w:t xml:space="preserve">   Pará, de forma que los funcionarios responsables de recibir denuncias  de</w:t>
        <w:br/>
        <w:t xml:space="preserve">   desaparición tuvieran la capacidad y la  sensibilidad  para  entender  la</w:t>
        <w:br/>
        <w:t xml:space="preserve">   gravedad de las mismas frente al contexto de violencia contra  la  mujer,</w:t>
        <w:br/>
        <w:t xml:space="preserve">   así como la voluntad y entrenamiento para actuar de inmediato y de  forma</w:t>
        <w:br/>
        <w:t xml:space="preserve">   eficaz. Además, la Corte concluye que las  autoridades  guatemaltecas  no</w:t>
        <w:br/>
        <w:t xml:space="preserve">   actuaron con la debida diligencia requerida para  prevenir  adecuadamente</w:t>
        <w:br/>
        <w:t xml:space="preserve">   la muerte y agresiones sufridas por Claudina Velásquez y no actuaron como</w:t>
        <w:br/>
        <w:t xml:space="preserve">   razonablemente era de esperarse de acuerdo al contexto del caso y  a  las</w:t>
        <w:br/>
        <w:t xml:space="preserve">   circunstancias del hecho denunciado. Este  incumplimiento  del  deber  de</w:t>
        <w:br/>
        <w:t xml:space="preserve">   garantía es particularmente serio debido  al  contexto  conocido  por  el</w:t>
        <w:br/>
        <w:t xml:space="preserve">   Estado - el cual pone a las mujeres en una situación especial de riesgo -</w:t>
        <w:br/>
        <w:t xml:space="preserve">   y a las obligaciones específicas impuestas en casos de  violencia  contra</w:t>
        <w:br/>
        <w:t xml:space="preserve">   la mujer por el artículo 7 de la Convención de Belém do Pará.</w:t>
        <w:br/>
        <w:br/>
        <w:br/>
        <w:t>134. En razón de todo lo expuesto,  el  Tribunal  considera  que  el  Estado</w:t>
        <w:br/>
        <w:t xml:space="preserve">   violó su deber de garantizar el libre y pleno ejercicio de los derechos a</w:t>
        <w:br/>
        <w:t xml:space="preserve">   la vida e integridad personal reconocidos en los artículos 4.1 y  5.1  de</w:t>
        <w:br/>
        <w:t xml:space="preserve">   la Convención  Americana,  en  relación  con  la  obligación  general  de</w:t>
        <w:br/>
        <w:t xml:space="preserve">   garantía contemplada en el artículo 1.1 y en relación con  la  obligación</w:t>
        <w:br/>
        <w:t xml:space="preserve">   de adoptar disposiciones de derecho interno contemplada en el artículo  2</w:t>
        <w:br/>
        <w:t xml:space="preserve">   de la misma, así como con las obligaciones establecidas en el artículo  7</w:t>
        <w:br/>
        <w:t xml:space="preserve">   de la Convención de Belém  do  Pará,  en  perjuicio  de  Claudina  Isabel</w:t>
        <w:br/>
        <w:t xml:space="preserve">   Velásquez Paiz.</w:t>
        <w:br/>
        <w:br/>
        <w:br/>
        <w:t>135. Ahora bien, en el presente caso, el cuerpo de  Claudina  Velásquez  fue</w:t>
        <w:br/>
        <w:t xml:space="preserve">   encontrado con indicios de que posiblemente fue sometida a violencia  y/o</w:t>
        <w:br/>
        <w:t xml:space="preserve">   violación sexual (supra párr. 56). Al respecto, el Tribunal analizará  en</w:t>
        <w:br/>
        <w:t xml:space="preserve">   el capítulo VII.II de  esta  Sentencia  la  alegada  responsabilidad  del</w:t>
        <w:br/>
        <w:t xml:space="preserve">   Estado por la falta de investigación de la posible violencia sexual,  por</w:t>
        <w:br/>
        <w:t xml:space="preserve">   lo que no considera necesario analizar la violación del artículo 11 de la</w:t>
        <w:br/>
        <w:t xml:space="preserve">   Convención Americana, en perjuicio de Claudina  Velásquez,  que  ha  sido</w:t>
        <w:br/>
        <w:t xml:space="preserve">   alegada en este capítulo por los representantes.</w:t>
        <w:br/>
        <w:br/>
        <w:t>VII.II.  Derechos  a  las  garantías  judiciales[215],   a   la   protección</w:t>
        <w:br/>
        <w:t>judicial[216] y a  la  igualdad  ante  la  ley[217],  en  relación  con  los</w:t>
        <w:br/>
        <w:t>artículos 1.1 y 2  de  la  Convención  Americana  y  el  artículo  7  de  la</w:t>
        <w:br/>
        <w:t>Convención de Belém do Pará, en perjuicio  de  los  familiares  de  Claudina</w:t>
        <w:br/>
        <w:t>Velásquez Paiz</w:t>
        <w:br/>
        <w:br/>
        <w:t xml:space="preserve">      A. Argumentos de la Comisión y de las partes</w:t>
        <w:br/>
        <w:br/>
        <w:t>136. La Comisión argumentó  que  en  la  época  de  los  hechos  existía  un</w:t>
        <w:br/>
        <w:t xml:space="preserve">   contexto de violencia contra las mujeres conocido por el Estado en  donde</w:t>
        <w:br/>
        <w:t xml:space="preserve">   los actos de violencia quedaban en la  impunidad.  Además,  ya  se  había</w:t>
        <w:br/>
        <w:t xml:space="preserve">   documentado  como   operaban   estereotipos   discriminatorios   en   las</w:t>
        <w:br/>
        <w:t xml:space="preserve">   investigaciones.  En  el  caso  concreto,   identificó   una   serie   de</w:t>
        <w:br/>
        <w:t xml:space="preserve">   irregularidades  durante  la  investigación  de  la  muerte  de  Claudina</w:t>
        <w:br/>
        <w:t xml:space="preserve">   Velásquez, entre las que destacó fallas en la preservación de  la  escena</w:t>
        <w:br/>
        <w:t xml:space="preserve">   del crimen y evidencias, deficiencias en el manejo y en el análisis de la</w:t>
        <w:br/>
        <w:t xml:space="preserve">   evidencia  recolectada,  falta   de   rigurosidad   y   retardo   en   la</w:t>
        <w:br/>
        <w:t xml:space="preserve">   investigación, omisiones y falta  de  consistencia  de  los  informes  de</w:t>
        <w:br/>
        <w:t xml:space="preserve">   investigación realizados. También  indicó  que  la  Procuraduría  de  los</w:t>
        <w:br/>
        <w:t xml:space="preserve">   Derechos Humanos encontró que  por  períodos  se  impidió  el  acceso  al</w:t>
        <w:br/>
        <w:t xml:space="preserve">   expediente al señor  Jorge  Rolando  Velásquez.  Por  todo  lo  anterior,</w:t>
        <w:br/>
        <w:t xml:space="preserve">   consideró que Guatemala incumplió con su  obligación  de  actuar  con  la</w:t>
        <w:br/>
        <w:t xml:space="preserve">   debida  diligencia  para  identificar  a  los  responsables  del  crimen,</w:t>
        <w:br/>
        <w:t xml:space="preserve">   quedando este acto de violencia en la impunidad  y  creando  un  ambiente</w:t>
        <w:br/>
        <w:t xml:space="preserve">   propicio para la repetición crónica de actos de  violaciones  contra  las</w:t>
        <w:br/>
        <w:t xml:space="preserve">   mujeres, en contravención de los artículos 8.1 y 25 de la Convención,  en</w:t>
        <w:br/>
        <w:t xml:space="preserve">   relación con el artículo 1.1 de la misma y el artículo 7 de la Convención</w:t>
        <w:br/>
        <w:t xml:space="preserve">   de Belém do Pará.</w:t>
        <w:br/>
        <w:br/>
        <w:t>137. La Comisión sostuvo que tampoco se  investigó  la  muerte  de  Claudina</w:t>
        <w:br/>
        <w:t xml:space="preserve">   Velásquez como un caso de violencia basada en género ni  se  pusieron  en</w:t>
        <w:br/>
        <w:t xml:space="preserve">   práctica medidas, protocolos o directivas para investigar debidamente tal</w:t>
        <w:br/>
        <w:t xml:space="preserve">   violencia.  Al  respecto,  se  refirió  a   la   ausencia   de   acciones</w:t>
        <w:br/>
        <w:t xml:space="preserve">   investigativas ante la  sospecha  de  violencia  sexual  ejercida  en  su</w:t>
        <w:br/>
        <w:t xml:space="preserve">   contra. Además, consideró que fue víctima de estereotipos por ser  joven,</w:t>
        <w:br/>
        <w:t xml:space="preserve">   por haberse encontrado su cuerpo en una zona de pocos  recursos,  por  la</w:t>
        <w:br/>
        <w:t xml:space="preserve">   forma de vestir y por llevar un aro en el ombligo, y que  como  resultado</w:t>
        <w:br/>
        <w:t xml:space="preserve">   se justificó la violencia  contra  ella  y  no  se  investigó  su  muerte</w:t>
        <w:br/>
        <w:t xml:space="preserve">   debidamente. En consecuencia, determinó la violación del artículo 7 de la</w:t>
        <w:br/>
        <w:t xml:space="preserve">   Convención de Belém do Pará,  en  relación  con  el  artículo  24  de  la</w:t>
        <w:br/>
        <w:t xml:space="preserve">   Convención Americana,  en  concordancia  con  el  artículo  1.1  de  este</w:t>
        <w:br/>
        <w:t xml:space="preserve">   instrumento. Asimismo, determinó que se violó el  artículo  11  de  dicha</w:t>
        <w:br/>
        <w:t xml:space="preserve">   Convención, en relación con artículo 1.1 de la  misma,  en  perjuicio  de</w:t>
        <w:br/>
        <w:t xml:space="preserve">   Claudina Isabel Velásquez Paiz.</w:t>
        <w:br/>
        <w:br/>
        <w:t>138. Los representantes coincidieron con la Comisión. Además, agregaron  que</w:t>
        <w:br/>
        <w:t xml:space="preserve">   a pesar de que el médico que realizó la necropsia fue sancionado por  los</w:t>
        <w:br/>
        <w:t xml:space="preserve">   errores cometidos en la misma, los errores  se  siguen  cometiendo  y  el</w:t>
        <w:br/>
        <w:t xml:space="preserve">   Estado “no ha tomado medidas efectivas para  mejorar  los  protocolos  de</w:t>
        <w:br/>
        <w:t xml:space="preserve">   necropsia ni ha ordenado que los médicos forenses utilicen el  Manual  de</w:t>
        <w:br/>
        <w:t xml:space="preserve">   Naciones Unidas”. Además, alegaron que  el  Estado  ha  sido  incapaz  de</w:t>
        <w:br/>
        <w:t xml:space="preserve">   obtener  el  testimonio  de  todas  las  personas  relevantes   para   la</w:t>
        <w:br/>
        <w:t xml:space="preserve">   investigación, y que dicha deficiencia se origina en  la  negligencia  de</w:t>
        <w:br/>
        <w:t xml:space="preserve">   los fiscales a cargo de la investigación, el temor de los testigos  y  la</w:t>
        <w:br/>
        <w:t xml:space="preserve">   falta  de  programas  efectivos  de  protección  de   testigos.   También</w:t>
        <w:br/>
        <w:t xml:space="preserve">   explicaron que el señor Jorge Velásquez se  constituyó  como  querellante</w:t>
        <w:br/>
        <w:t xml:space="preserve">   adhesivo dentro del proceso,  y  que  “ha  recibido  un  trato  hostil  e</w:t>
        <w:br/>
        <w:t xml:space="preserve">   indecoroso por parte de los fiscales,  quienes  lo  han  re  victimizado,</w:t>
        <w:br/>
        <w:t xml:space="preserve">   impidiéndole el acceso  pleno  a  ejercer  su  derecho  a  la  justicia”.</w:t>
        <w:br/>
        <w:t xml:space="preserve">   Argumentaron que la investigación “fue nula” en las primeras 72 horas,  y</w:t>
        <w:br/>
        <w:t xml:space="preserve">   “se inició meses después, transcurriendo casi un año para iniciar a tomar</w:t>
        <w:br/>
        <w:t xml:space="preserve">   declaraciones”, y eso debido al impulso y constante insistencia del señor</w:t>
        <w:br/>
        <w:t xml:space="preserve">   Velásquez. Por tanto, consideraron  que  el  Estado  violó  los  derechos</w:t>
        <w:br/>
        <w:t xml:space="preserve">   consagrados en los artículos 8.1 y 25.1 de la  Convención  Americana,  en</w:t>
        <w:br/>
        <w:t xml:space="preserve">   relación con los artículos 1.1 y 2 de la misma, y 7 de la  Convención  de</w:t>
        <w:br/>
        <w:t xml:space="preserve">   Belém do Pará, en perjuicio de los familiares de Claudina Velásquez.</w:t>
        <w:br/>
        <w:br/>
        <w:t>139. A su  vez,  los  representantes  argumentaron  que  subsisten  patrones</w:t>
        <w:br/>
        <w:t xml:space="preserve">   estereotipados en cuanto a la valoración de los  casos  que  merecen  ser</w:t>
        <w:br/>
        <w:t xml:space="preserve">   investigados y se culpabiliza a la víctima sobre  la  base  de  criterios</w:t>
        <w:br/>
        <w:t xml:space="preserve">   discriminadores, lo cual  impide  la  persecución  penal  y  favorece  la</w:t>
        <w:br/>
        <w:t xml:space="preserve">   repetición de asesinatos y  la  misoginia.  Todo  ello  en  violación  el</w:t>
        <w:br/>
        <w:t xml:space="preserve">   derecho a la igualdad ante la ley contenido  en  el  artículo  24  de  la</w:t>
        <w:br/>
        <w:t xml:space="preserve">   Convención Americana, en relación  con  el  artículo  1.1  de  la  misma.</w:t>
        <w:br/>
        <w:t xml:space="preserve">   Sostuvieron que la estigmatización de la presunta  víctima  “no  permitió</w:t>
        <w:br/>
        <w:t xml:space="preserve">   realizar una investigación exhaustiva” y generó la  “completa  impunidad”</w:t>
        <w:br/>
        <w:t xml:space="preserve">   de su caso, en violación del derecho a la  igualdad  ante  la  ley  y  no</w:t>
        <w:br/>
        <w:t xml:space="preserve">   discriminación, contenidos en los artículos 24 y 1.1 de la Convención, en</w:t>
        <w:br/>
        <w:t xml:space="preserve">   relación con el deber de garantía de  los  derechos  consagrados  en  los</w:t>
        <w:br/>
        <w:t xml:space="preserve">   artículos 4, 5 y 11 de la misma y el artículo 7 de la Convención de Belém</w:t>
        <w:br/>
        <w:t xml:space="preserve">   do Pará, en perjuicio de Claudina Velásquez, así como en relación con  el</w:t>
        <w:br/>
        <w:t xml:space="preserve">   acceso a la justicia  consagrado  en  los  artículos  8  y  25  de  dicho</w:t>
        <w:br/>
        <w:t xml:space="preserve">   instrumento, en perjuicio de sus familiares. Señalaron también que en  el</w:t>
        <w:br/>
        <w:t xml:space="preserve">   presente caso “la policía emitió suposiciones erróneas” sobre la presunta</w:t>
        <w:br/>
        <w:t xml:space="preserve">   víctima, el valor de su vida y la importancia de la investigación  de  su</w:t>
        <w:br/>
        <w:t xml:space="preserve">   caso, solo con base en su forma de vestir, en violación  del  derecho  de</w:t>
        <w:br/>
        <w:t xml:space="preserve">   Claudina Velásquez a la libertad de expresión contenido  en  el  artículo</w:t>
        <w:br/>
        <w:t xml:space="preserve">   13, en relación con los artículos 1.1 y 24 de la Convención  y  7  de  la</w:t>
        <w:br/>
        <w:t xml:space="preserve">   Convención de Belém do  Pará.  Finalmente,  alegaron  que  debido  a  los</w:t>
        <w:br/>
        <w:t xml:space="preserve">   prejuicios asociados con la forma de vestir y el lugar en que el  cadáver</w:t>
        <w:br/>
        <w:t xml:space="preserve">   fue encontrado, un “barrio de clase media baja”, la investigación  de  la</w:t>
        <w:br/>
        <w:t xml:space="preserve">   escena del crimen se realizó  de  manera  descuidada,  en  violación  del</w:t>
        <w:br/>
        <w:t xml:space="preserve">   derecho a la libertad de movimiento  contenido  en  el  artículo  22,  en</w:t>
        <w:br/>
        <w:t xml:space="preserve">   relación con los artículos 1.1 y 24 de la Convención y 7 de la Convención</w:t>
        <w:br/>
        <w:t xml:space="preserve">   de Belém do Pará, en perjuicio de Claudina Velásquez.</w:t>
        <w:br/>
        <w:br/>
        <w:t>140. El Estado indicó que se ha realizado la mejor investigación  dentro  de</w:t>
        <w:br/>
        <w:t xml:space="preserve">   la medida de sus posibilidades y acorde a los recursos que  dispone,  que</w:t>
        <w:br/>
        <w:t xml:space="preserve">   no ha existido inactividad del Ministerio  Público  y  que  la  falta  de</w:t>
        <w:br/>
        <w:t xml:space="preserve">   individualización de un responsable se debe a  que  el  asunto  sea  “tan</w:t>
        <w:br/>
        <w:t xml:space="preserve">   complejo”. Sostuvo que muchos de los argumentos  presentados  respecto  a</w:t>
        <w:br/>
        <w:t xml:space="preserve">   las supuestas fallas en la preservación en  la  escena  del  crimen  “son</w:t>
        <w:br/>
        <w:t xml:space="preserve">   totalmente infundados”  porque  queda  “plenamente  documentado”  que  el</w:t>
        <w:br/>
        <w:t xml:space="preserve">   Estado cumplió diligentemente con las actuaciones que en  el  tratamiento</w:t>
        <w:br/>
        <w:t xml:space="preserve">   de dichas circunstancias se requieren. Al respecto, presentó  su  defensa</w:t>
        <w:br/>
        <w:t xml:space="preserve">   en dos sentidos: a) informó sobre las diligencias  realizadas,  y  b)  se</w:t>
        <w:br/>
        <w:t xml:space="preserve">   refirió  a  las  medidas  realizadas  a  fin  subsanar  algunas  de   las</w:t>
        <w:br/>
        <w:t xml:space="preserve">   irregularidades en la investigación. Además, sostuvo que, de acuerdo  con</w:t>
        <w:br/>
        <w:t xml:space="preserve">   lo establecido en el Caso Veliz Franco, cumplió con los criterios mínimos</w:t>
        <w:br/>
        <w:t xml:space="preserve">   para una investigación de este tipo, debido a que se ha: i)  identificado</w:t>
        <w:br/>
        <w:t xml:space="preserve">   a la víctima; ii)  recuperado  y  preservado  material  probatorio;  iii)</w:t>
        <w:br/>
        <w:t xml:space="preserve">   identificado a los posibles testigos y obtenido  sus  declaraciones;  iv)</w:t>
        <w:br/>
        <w:t xml:space="preserve">   determinado la  forma,  lugar,  causa  y  momento  de  la  muerte,  y  v)</w:t>
        <w:br/>
        <w:t xml:space="preserve">   distinguido que no fue muerte natural,  muerte  accidental  ni  suicidio.</w:t>
        <w:br/>
        <w:t xml:space="preserve">   También, negó que haya violado los artículos 11[218], 13[219]  y  22[220]</w:t>
        <w:br/>
        <w:t xml:space="preserve">   de la Convención Americana, en relación con los artículos 1.1, 2 y 24  de</w:t>
        <w:br/>
        <w:t xml:space="preserve">   dicho instrumento y el artículo 7 de la  Convención  de  Belém  do  Pará.</w:t>
        <w:br/>
        <w:t xml:space="preserve">   Afirmó que respeta y garantiza el derecho  a  la  honra  y  dignidad,  la</w:t>
        <w:br/>
        <w:t xml:space="preserve">   libertad de expresión, la  libertad  de  pensamiento,  de  opinión  y  de</w:t>
        <w:br/>
        <w:t xml:space="preserve">   información, la libertad de locomoción y la igualdad ante la ley, ya  que</w:t>
        <w:br/>
        <w:t xml:space="preserve">   se encuentran contemplados en su normativa interna en conformidad con  la</w:t>
        <w:br/>
        <w:t xml:space="preserve">   Convención Americana.</w:t>
        <w:br/>
        <w:br/>
        <w:t>141. En particular, el Estado sostuvo que la normativa interna establece  un</w:t>
        <w:br/>
        <w:t xml:space="preserve">   marco jurídico que protege  y  garantiza  la  vida  de  las  mujeres,  su</w:t>
        <w:br/>
        <w:t xml:space="preserve">   desarrollo integral y su participación en todos  los  niveles  del  país,</w:t>
        <w:br/>
        <w:t xml:space="preserve">   donde además se regula la aplicación de medidas de  protección,  sanción,</w:t>
        <w:br/>
        <w:t xml:space="preserve">   atención integral y prevención de la violencia  y  discriminación  contra</w:t>
        <w:br/>
        <w:t xml:space="preserve">   las mujeres. Explicó que ha creado diversas instituciones con  el  objeto</w:t>
        <w:br/>
        <w:t xml:space="preserve">   de prevenir y sancionar la  posible  comisión  de  hechos  delictivos  en</w:t>
        <w:br/>
        <w:t xml:space="preserve">   contra de mujeres. En el caso específico de Claudina Velásquez, negó  que</w:t>
        <w:br/>
        <w:t xml:space="preserve">   hubiera una falta de debida diligencia frente a un caso de  violencia  de</w:t>
        <w:br/>
        <w:t xml:space="preserve">   género, destacando que sus funcionarios actuaron de  conformidad  con  el</w:t>
        <w:br/>
        <w:t xml:space="preserve">   marco legal vigente al momento de los hechos. Sostuvo “que no obra en  el</w:t>
        <w:br/>
        <w:t xml:space="preserve">   proceso ningún documento  que  haga  constar  [el]  extremo”  de  que  la</w:t>
        <w:br/>
        <w:t xml:space="preserve">   presunta víctima fue sujeta de estereotipos durante la  investigación,  y</w:t>
        <w:br/>
        <w:t xml:space="preserve">   que en ningún momento se ha discriminado a la familia Velásquez Paiz  por</w:t>
        <w:br/>
        <w:t xml:space="preserve">   razón de raza, credo, sexo, religión o cualquier  otro  atributo  de  sus</w:t>
        <w:br/>
        <w:t xml:space="preserve">   personalidades. Argumentó que independiente de las falencias o  la  forma</w:t>
        <w:br/>
        <w:t xml:space="preserve">   del tratamiento de la escena del crimen, la  postura  estatal  en  ningún</w:t>
        <w:br/>
        <w:t xml:space="preserve">   momento  ha  sido  encaminada  a  discriminar  a  la  víctima  ni  a  sus</w:t>
        <w:br/>
        <w:t xml:space="preserve">   familiares. Indicó que aunque pudieron haber  existido  falencias  en  la</w:t>
        <w:br/>
        <w:t xml:space="preserve">   necropsia realizada, se  actuó  para  determinar  si  existió  o  no  una</w:t>
        <w:br/>
        <w:t xml:space="preserve">   violación sexual en contra la presunta víctima  y,  en  ese  sentido,  se</w:t>
        <w:br/>
        <w:t xml:space="preserve">   obtuvieron muestras de los  hisopados  vaginales  y  anales,  los  cuales</w:t>
        <w:br/>
        <w:t xml:space="preserve">   sirvieron para establecer la presencia de residuos  seminales.  Asimismo,</w:t>
        <w:br/>
        <w:t xml:space="preserve">   señaló que “no  existe  ningún  protocolo  de  actuación,  ni  orden,  ni</w:t>
        <w:br/>
        <w:t xml:space="preserve">   diligencia”, en donde se haya externado por parte  los  funcionarios  del</w:t>
        <w:br/>
        <w:t xml:space="preserve">   Estado  alguna  calificación  discriminatoria  en  contra   de   Claudina</w:t>
        <w:br/>
        <w:t xml:space="preserve">   Velásquez por su forma de vestir, su  apariencia,  condición,  situación,</w:t>
        <w:br/>
        <w:t xml:space="preserve">   posición o en atención al lugar donde fue encontrada,  y  que  no  se  ha</w:t>
        <w:br/>
        <w:t xml:space="preserve">   tratado de trasladar en ningún momento la  culpa  de  lo  sucedido  a  la</w:t>
        <w:br/>
        <w:t xml:space="preserve">   presunta víctima. Asimismo, argumentó que la  investigación  es  dirigida</w:t>
        <w:br/>
        <w:t xml:space="preserve">   por el Ministerio Público, al cual la Policía se  encuentra  subordinada,</w:t>
        <w:br/>
        <w:t xml:space="preserve">   por lo que cualquier juicio por parte de una oficial de policía “lo  hizo</w:t>
        <w:br/>
        <w:t xml:space="preserve">   a título personal y no afectó la investigación”.</w:t>
        <w:br/>
        <w:br/>
        <w:t xml:space="preserve">      B. Consideraciones de la Corte</w:t>
        <w:br/>
        <w:br/>
        <w:t>142.  La  Corte  ha  establecido  que,  de  conformidad  con  la  Convención</w:t>
        <w:br/>
        <w:t xml:space="preserve">   Americana, los Estados Partes  están  obligados  a  suministrar  recursos</w:t>
        <w:br/>
        <w:t xml:space="preserve">   judiciales efectivos a  las  víctimas  de  violaciones  de  los  derechos</w:t>
        <w:br/>
        <w:t xml:space="preserve">   humanos (artículo 25), recursos que deben ser sustanciados de conformidad</w:t>
        <w:br/>
        <w:t xml:space="preserve">   con las reglas del debido proceso legal (artículo 8.1), todo ello  dentro</w:t>
        <w:br/>
        <w:t xml:space="preserve">   de la obligación general de garantizar el libre y pleno ejercicio de  los</w:t>
        <w:br/>
        <w:t xml:space="preserve">   derechos reconocidos por la Convención a toda persona  que  se  encuentre</w:t>
        <w:br/>
        <w:t xml:space="preserve">   bajo su jurisdicción (artículo 1.1)[221]. Asimismo, ha  señalado  que  el</w:t>
        <w:br/>
        <w:t xml:space="preserve">   derecho de acceso a la justicia debe asegurar, en  tiempo  razonable,  el</w:t>
        <w:br/>
        <w:t xml:space="preserve">   derecho de las presuntas víctimas o sus familiares a que se haga todo  lo</w:t>
        <w:br/>
        <w:t xml:space="preserve">   necesario para conocer la verdad de lo sucedido e investigar,  juzgar  y,</w:t>
        <w:br/>
        <w:t xml:space="preserve">   en su caso, sancionar a los eventuales responsables[222].</w:t>
        <w:br/>
        <w:br/>
        <w:t>143. En su jurisprudencia reiterada este Tribunal ha señalado que  el  deber</w:t>
        <w:br/>
        <w:t xml:space="preserve">   de investigar es una obligación de medios y no de resultado, que debe ser</w:t>
        <w:br/>
        <w:t xml:space="preserve">   asumida por el Estado como un deber jurídico propio y no como una  simple</w:t>
        <w:br/>
        <w:t xml:space="preserve">   formalidad condenada de antemano a  ser  infructuosa,  o  como  una  mera</w:t>
        <w:br/>
        <w:t xml:space="preserve">   gestión de intereses particulares[223],  que  dependa  de  la  iniciativa</w:t>
        <w:br/>
        <w:t xml:space="preserve">   procesal de las víctimas o de sus familiares o de la  aportación  privada</w:t>
        <w:br/>
        <w:t xml:space="preserve">   de elementos probatorios[224]. La investigación debe ser seria, imparcial</w:t>
        <w:br/>
        <w:t xml:space="preserve">   y efectiva, y estar orientada a la determinación de  la  verdad  y  a  la</w:t>
        <w:br/>
        <w:t xml:space="preserve">   persecución, captura, enjuiciamiento y eventual castigo de los autores de</w:t>
        <w:br/>
        <w:t xml:space="preserve">   los hechos[225]. La obligación referida se mantiene  “cualquiera  sea  el</w:t>
        <w:br/>
        <w:t xml:space="preserve">   agente al cual pueda  eventualmente  atribuirse  la  violación,  aún  los</w:t>
        <w:br/>
        <w:t xml:space="preserve">   particulares, pues, si  sus  actos  no  son  investigados  con  seriedad,</w:t>
        <w:br/>
        <w:t xml:space="preserve">   resultarían, en cierto modo, auxiliados por  el  poder  público,  lo  que</w:t>
        <w:br/>
        <w:t xml:space="preserve">   comprometería  la   responsabilidad   internacional   del   Estado”[226].</w:t>
        <w:br/>
        <w:t xml:space="preserve">   Asimismo, la debida diligencia exige que el órgano que investiga lleve  a</w:t>
        <w:br/>
        <w:t xml:space="preserve">   cabo todas aquellas actuaciones y averiguaciones necesarias para procurar</w:t>
        <w:br/>
        <w:t xml:space="preserve">   el resultado que se persigue.  De  otro  modo,  la  investigación  no  es</w:t>
        <w:br/>
        <w:t xml:space="preserve">   efectiva en los términos de la Convención[227].</w:t>
        <w:br/>
        <w:br/>
        <w:t>144. La Corte también ha señalado que del artículo 8  de  la  Convención  se</w:t>
        <w:br/>
        <w:t xml:space="preserve">   desprende que las víctimas de violaciones  de  derechos  humanos,  o  sus</w:t>
        <w:br/>
        <w:t xml:space="preserve">   familiares, deben contar con amplias posibilidades de ser oídos y  actuar</w:t>
        <w:br/>
        <w:t xml:space="preserve">   en los respectivos procesos, tanto en procura del esclarecimiento de  los</w:t>
        <w:br/>
        <w:t xml:space="preserve">   hechos y del castigo de los responsables, como en  busca  de  una  debida</w:t>
        <w:br/>
        <w:t xml:space="preserve">   reparación[228]. Asimismo, el Tribunal ha establecido que  la  obligación</w:t>
        <w:br/>
        <w:t xml:space="preserve">   de investigar y el correspondiente derecho de la presunta  víctima  o  de</w:t>
        <w:br/>
        <w:t xml:space="preserve">   los familiares no solo se  desprende  de  las  normas  convencionales  de</w:t>
        <w:br/>
        <w:t xml:space="preserve">   derecho internacional imperativas para los Estados Parte, sino que además</w:t>
        <w:br/>
        <w:t xml:space="preserve">   se deriva de la legislación interna  que  hace  referencia  al  deber  de</w:t>
        <w:br/>
        <w:t xml:space="preserve">   investigar de oficio ciertas  conductas  ilícitas  y  a  las  normas  que</w:t>
        <w:br/>
        <w:t xml:space="preserve">   permiten  que  las  víctimas  o  sus  familiares  denuncien  o  presenten</w:t>
        <w:br/>
        <w:t xml:space="preserve">   querellas, pruebas o peticiones  o  cualquier  otra  diligencia,  con  la</w:t>
        <w:br/>
        <w:t xml:space="preserve">   finalidad de participar procesalmente en la investigación  penal  con  la</w:t>
        <w:br/>
        <w:t xml:space="preserve">   pretensión de establecer la verdad de los hechos[229].</w:t>
        <w:br/>
        <w:br/>
        <w:t>145. La Corte recuerda que  en  casos  de  violencia  contra  la  mujer  las</w:t>
        <w:br/>
        <w:t xml:space="preserve">   obligaciones generales establecidas  en  los  artículos  8  y  25  de  la</w:t>
        <w:br/>
        <w:t xml:space="preserve">   Convención Americana se complementan y refuerzan  para  aquellos  Estados</w:t>
        <w:br/>
        <w:t xml:space="preserve">   que son Parte, con las obligaciones derivadas del tratado  interamericano</w:t>
        <w:br/>
        <w:t xml:space="preserve">   específico, la Convención de Belém do Pará[230]. En su artículo 7.b dicha</w:t>
        <w:br/>
        <w:t xml:space="preserve">   Convención obliga de manera específica a los Estados Partes a utilizar la</w:t>
        <w:br/>
        <w:t xml:space="preserve">   debida diligencia para  prevenir,  sancionar  y  erradicar  la  violencia</w:t>
        <w:br/>
        <w:t xml:space="preserve">   contra la mujer[231]. Asimismo, en su artículo 7.c obliga a  los  Estados</w:t>
        <w:br/>
        <w:t xml:space="preserve">   Partes a adoptar la normativa necesaria para investigar  y  sancionar  la</w:t>
        <w:br/>
        <w:t xml:space="preserve">   violencia contra la mujer[232]. En estos casos, las autoridades estatales</w:t>
        <w:br/>
        <w:t xml:space="preserve">   deben iniciar  ex  officio  y  sin  dilación,  una  investigación  seria,</w:t>
        <w:br/>
        <w:t xml:space="preserve">   imparcial y efectiva una vez que tomen conocimiento  de  los  hechos  que</w:t>
        <w:br/>
        <w:t xml:space="preserve">   constituyan  violencia  contra  la   mujer,   incluyendo   la   violencia</w:t>
        <w:br/>
        <w:t xml:space="preserve">   sexual[233]. De tal modo que ante un acto de violencia contra una  mujer,</w:t>
        <w:br/>
        <w:t xml:space="preserve">   resulta particularmente importante que las  autoridades  a  cargo  de  la</w:t>
        <w:br/>
        <w:t xml:space="preserve">   investigación la lleven adelante con determinación y  eficacia,  teniendo</w:t>
        <w:br/>
        <w:t xml:space="preserve">   en cuenta el deber de la sociedad de rechazar  la  violencia  contra  las</w:t>
        <w:br/>
        <w:t xml:space="preserve">   mujeres y las  obligaciones  del  Estado  de  erradicarla  y  de  brindar</w:t>
        <w:br/>
        <w:t xml:space="preserve">   confianza  a  las  víctimas  en  las  instituciones  estatales  para   su</w:t>
        <w:br/>
        <w:t xml:space="preserve">   protección[234].</w:t>
        <w:br/>
        <w:br/>
        <w:t>146. La Corte también ha señalado que el deber de investigar tiene  alcances</w:t>
        <w:br/>
        <w:t xml:space="preserve">   adicionales cuando se trata de una mujer que sufre una muerte, maltrato o</w:t>
        <w:br/>
        <w:t xml:space="preserve">   afectación a su libertad personal en el marco de un contexto  general  de</w:t>
        <w:br/>
        <w:t xml:space="preserve">   violencia contra las mujeres[235]. A  menudo  es  difícil  probar  en  la</w:t>
        <w:br/>
        <w:t xml:space="preserve">   práctica que un homicidio o acto de agresión violento contra una mujer ha</w:t>
        <w:br/>
        <w:t xml:space="preserve">   sido perpetrado por razón de género. Dicha dificultad a veces  deriva  de</w:t>
        <w:br/>
        <w:t xml:space="preserve">   la ausencia de una investigación profunda y efectiva  por  parte  de  las</w:t>
        <w:br/>
        <w:t xml:space="preserve">   autoridades sobre el incidente violento y sus causas. Es por ello que las</w:t>
        <w:br/>
        <w:t xml:space="preserve">   autoridades estatales tienen la obligación de investigar ex  officio  las</w:t>
        <w:br/>
        <w:t xml:space="preserve">   posibles connotaciones discriminatorias por razón de género en un acto de</w:t>
        <w:br/>
        <w:t xml:space="preserve">   violencia perpetrado  contra  una  mujer,  especialmente  cuando  existen</w:t>
        <w:br/>
        <w:t xml:space="preserve">   indicios concretos de violencia sexual de  algún  tipo  o  evidencias  de</w:t>
        <w:br/>
        <w:t xml:space="preserve">   ensañamiento contra el cuerpo de la mujer (por ejemplo, mutilaciones),  o</w:t>
        <w:br/>
        <w:t xml:space="preserve">   bien cuando dicho acto se enmarca dentro  de  un  contexto  de  violencia</w:t>
        <w:br/>
        <w:t xml:space="preserve">   contra la mujer que se da en un país o región determinada[236]. Asimismo,</w:t>
        <w:br/>
        <w:t xml:space="preserve">   la  investigación  penal  debe  incluir  una  perspectiva  de  género   y</w:t>
        <w:br/>
        <w:t xml:space="preserve">   realizarse por funcionarios capacitados en casos similares y en  atención</w:t>
        <w:br/>
        <w:t xml:space="preserve">   a víctimas de discriminación y violencia por razón de género[237].</w:t>
        <w:br/>
        <w:br/>
        <w:t>147. Asimismo,  la  Corte  ha  establecido  que  en  casos  de  sospecha  de</w:t>
        <w:br/>
        <w:t xml:space="preserve">   homicidio por razón de género, la obligación estatal de investigar con la</w:t>
        <w:br/>
        <w:t xml:space="preserve">   debida diligencia incluye el deber de ordenar de oficio  los  exámenes  y</w:t>
        <w:br/>
        <w:t xml:space="preserve">   pericias correspondientes tendientes a verificar si el homicidio tuvo  un</w:t>
        <w:br/>
        <w:t xml:space="preserve">   móvil sexual o si se produjo algún tipo  de  violencia  sexual.  En  este</w:t>
        <w:br/>
        <w:t xml:space="preserve">   sentido, la investigación sobre un supuesto homicidio por razón de género</w:t>
        <w:br/>
        <w:t xml:space="preserve">   no debe limitarse a la muerte de la víctima, sino que debe abarcar  otras</w:t>
        <w:br/>
        <w:t xml:space="preserve">   afectaciones  específicas  contra  la  integridad  personal,  tales  como</w:t>
        <w:br/>
        <w:t xml:space="preserve">   torturas y actos de violencia sexual[238]. En una investigación penal por</w:t>
        <w:br/>
        <w:t xml:space="preserve">   violencia sexual es necesario que se documenten  y  coordinen  los  actos</w:t>
        <w:br/>
        <w:t xml:space="preserve">   investigativos y se maneje diligentemente  la  prueba,  tomando  muestras</w:t>
        <w:br/>
        <w:t xml:space="preserve">   suficientes, realizando estudios para determinar la posible  autoría  del</w:t>
        <w:br/>
        <w:t xml:space="preserve">   hecho,  asegurando  otras  pruebas  como  la  ropa  de  la  víctima,   la</w:t>
        <w:br/>
        <w:t xml:space="preserve">   investigación inmediata  del  lugar  de  los  hechos  y  garantizando  la</w:t>
        <w:br/>
        <w:t xml:space="preserve">   correcta cadena de custodia[239].</w:t>
        <w:br/>
        <w:br/>
        <w:br/>
        <w:t>148. En ese tenor,  las  primeras  fases  de  la  investigación  pueden  ser</w:t>
        <w:br/>
        <w:t xml:space="preserve">   especialmente cruciales en casos de homicidio contra la mujer  por  razón</w:t>
        <w:br/>
        <w:t xml:space="preserve">   de género, ya que las fallas que se puedan producir en diligencias  tales</w:t>
        <w:br/>
        <w:t xml:space="preserve">   como las autopsias y en  la  recolección  y  conservación  de  evidencias</w:t>
        <w:br/>
        <w:t xml:space="preserve">   físicas pueden llegar a impedir u  obstaculizar  la  prueba  de  aspectos</w:t>
        <w:br/>
        <w:t xml:space="preserve">   relevantes, como por  ejemplo,  la  violencia  sexual.  En  cuanto  a  la</w:t>
        <w:br/>
        <w:t xml:space="preserve">   realización de autopsias en un contexto de homicidio por razón de género,</w:t>
        <w:br/>
        <w:t xml:space="preserve">   la Corte ha especificado que se debe examinar  cuidadosamente  las  áreas</w:t>
        <w:br/>
        <w:t xml:space="preserve">   genital y para-genital en búsqueda de señales de abuso sexual,  así  como</w:t>
        <w:br/>
        <w:t xml:space="preserve">   preservar líquido oral, vaginal y rectal, y vello externo y púbico de  la</w:t>
        <w:br/>
        <w:t xml:space="preserve">   víctima[240]. Adicionalmente, la Corte ha señalado que los Estados tienen</w:t>
        <w:br/>
        <w:t xml:space="preserve">   la obligación de adoptar normas o  implementar  las  medidas  necesarias,</w:t>
        <w:br/>
        <w:t xml:space="preserve">   conforme al artículo 2 de la Convención Americana y al artículo 7.c de la</w:t>
        <w:br/>
        <w:t xml:space="preserve">   Convención de Belém do Pará, que permitan a las autoridades  ofrecer  una</w:t>
        <w:br/>
        <w:t xml:space="preserve">   investigación con debida diligencia en casos de presunta violencia contra</w:t>
        <w:br/>
        <w:t xml:space="preserve">   la mujer[241].</w:t>
        <w:br/>
        <w:br/>
        <w:t>149. En consideración de lo anterior, debe  analizarse,  tomando  en  cuenta</w:t>
        <w:br/>
        <w:t xml:space="preserve">   los señalamientos de las partes y la Comisión, si el modo  en  que  hasta</w:t>
        <w:br/>
        <w:t xml:space="preserve">   ahora se ha desarrollado la investigación de la muerte de Claudina Isabel</w:t>
        <w:br/>
        <w:t xml:space="preserve">   Velásquez  Paiz  constituye  o  no  una  violación  de  las  obligaciones</w:t>
        <w:br/>
        <w:t xml:space="preserve">   derivadas en los derechos consagrados en los artículos 8.1, 24 y 25.1  de</w:t>
        <w:br/>
        <w:t xml:space="preserve">   la Convención Americana, en relación con el artículo 1.1 de la misma, así</w:t>
        <w:br/>
        <w:t xml:space="preserve">   como con el artículo 7 de la Convención de Belém do Pará. Para  tal  fin,</w:t>
        <w:br/>
        <w:t xml:space="preserve">   en el presente capítulo el Tribunal analizará los siguientes aspectos:</w:t>
        <w:br/>
        <w:br/>
        <w:br/>
        <w:t xml:space="preserve"> B.1. Irregularidades en la investigación a partir del hallazgo del  cuerpo</w:t>
        <w:br/>
        <w:t xml:space="preserve">      de  Claudina  Velásquez  Paiz  y  posteriores   actuaciones   de   los</w:t>
        <w:br/>
        <w:t xml:space="preserve">      funcionarios estatales;</w:t>
        <w:br/>
        <w:t xml:space="preserve"> B.2. Falta de debida diligencia en relación  con  las  líneas  lógicas  de</w:t>
        <w:br/>
        <w:t xml:space="preserve">      investigación, en  la  recaudación  y  práctica  de  prueba,  y  plazo</w:t>
        <w:br/>
        <w:t xml:space="preserve">      razonable;</w:t>
        <w:br/>
        <w:t xml:space="preserve"> B.3. Discriminación por aplicación de  estereotipos  e  investigación  sin</w:t>
        <w:br/>
        <w:t xml:space="preserve">      enfoque de género, y</w:t>
        <w:br/>
        <w:t xml:space="preserve"> B.4. Conclusión general</w:t>
        <w:br/>
        <w:br/>
        <w:t>B.1.  Irregularidades en la investigación a partir del hallazgo  del  cuerpo</w:t>
        <w:br/>
        <w:t>de Claudina Velásquez Paiz y posteriores  actuaciones  de  los  funcionarios</w:t>
        <w:br/>
        <w:t>estatales</w:t>
        <w:br/>
        <w:br/>
        <w:t>150. La Corte ha establecido que la eficiente determinación de la verdad  en</w:t>
        <w:br/>
        <w:t xml:space="preserve">   el marco de la obligación de investigar una muerte, debe mostrarse  desde</w:t>
        <w:br/>
        <w:t xml:space="preserve">   las primeras diligencias con toda acuciosidad[242].  En  este  punto,  en</w:t>
        <w:br/>
        <w:t xml:space="preserve">   cuanto al manejo de la escena del crimen, el levantamiento y  tratamiento</w:t>
        <w:br/>
        <w:t xml:space="preserve">   del cadáver de la víctima, la necropsia, así como el mantenimiento de  la</w:t>
        <w:br/>
        <w:t xml:space="preserve">   cadena  de  custodia  de  todo  elemento  de  prueba   forense,   en   su</w:t>
        <w:br/>
        <w:t xml:space="preserve">   jurisprudencia[243]  y  siguiendo  el  Manual  sobre  la   Prevención   e</w:t>
        <w:br/>
        <w:t xml:space="preserve">   Investigación Efectiva  de  Ejecuciones  Extrajudiciales,  Arbitrarias  y</w:t>
        <w:br/>
        <w:t xml:space="preserve">   Sumarias de  Naciones  Unidas  (Protocolo  de  Minnesota),  la  Corte  ha</w:t>
        <w:br/>
        <w:t xml:space="preserve">   sustentado  que  deben   realizarse   algunas   diligencias   mínimas   e</w:t>
        <w:br/>
        <w:t xml:space="preserve">   indispensables  para  la  conservación  de  los  elementos  de  prueba  y</w:t>
        <w:br/>
        <w:t xml:space="preserve">   evidencias que puedan contribuir al éxito de la  investigación.  En  este</w:t>
        <w:br/>
        <w:t xml:space="preserve">   sentido, ha especificado los principios rectores que es preciso  observar</w:t>
        <w:br/>
        <w:t xml:space="preserve">   en una investigación cuando se está frente a una muerte violenta[244].</w:t>
        <w:br/>
        <w:br/>
        <w:t>151. La Corte ha especificado que las  autoridades  estatales  que  conducen</w:t>
        <w:br/>
        <w:t xml:space="preserve">   una investigación de este tipo deben intentar como mínimo, inter alia: i)</w:t>
        <w:br/>
        <w:t xml:space="preserve">   identificar  a  la  víctima;  ii)  recuperar  y  preservar  el   material</w:t>
        <w:br/>
        <w:t xml:space="preserve">   probatorio relacionado con la muerte, con el fin de ayudar  en  cualquier</w:t>
        <w:br/>
        <w:t xml:space="preserve">   potencial investigación  penal  de  los  responsables;  iii)  identificar</w:t>
        <w:br/>
        <w:t xml:space="preserve">   posibles testigos y obtener sus declaraciones en relación con  la  muerte</w:t>
        <w:br/>
        <w:t xml:space="preserve">   que se investiga; iv) determinar la causa, forma, lugar y momento  de  la</w:t>
        <w:br/>
        <w:t xml:space="preserve">   muerte, así como cualquier patrón o práctica que pueda haber  causado  la</w:t>
        <w:br/>
        <w:t xml:space="preserve">   muerte, y v) distinguir entre muerte natural, muerte accidental, suicidio</w:t>
        <w:br/>
        <w:t xml:space="preserve">   y homicidio. Además, es necesario investigar  exhaustivamente  la  escena</w:t>
        <w:br/>
        <w:t xml:space="preserve">   del crimen, se deben realizar autopsias y análisis de restos humanos,  en</w:t>
        <w:br/>
        <w:t xml:space="preserve">   forma  rigurosa,  por   profesionales   competentes   y   empleando   los</w:t>
        <w:br/>
        <w:t xml:space="preserve">   procedimientos más apropiados[245].</w:t>
        <w:br/>
        <w:br/>
        <w:t>152. La Corte destaca que el correcto manejo de la escena del crimen  es  un</w:t>
        <w:br/>
        <w:t xml:space="preserve">   punto de partida de la investigación  y,  por  tanto,  determinante  para</w:t>
        <w:br/>
        <w:t xml:space="preserve">   esclarecer la naturaleza, circunstancias y  características  del  delito,</w:t>
        <w:br/>
        <w:t xml:space="preserve">   así como los participantes en el hecho. Es por ello que  su  manejo  debe</w:t>
        <w:br/>
        <w:t xml:space="preserve">   ser mediante profesionales entrenados en la importancia de sus  acciones,</w:t>
        <w:br/>
        <w:t xml:space="preserve">   la preservación de la escena del crimen, las actividades  a  realizar  en</w:t>
        <w:br/>
        <w:t xml:space="preserve">   esta, y en la  recuperación  y  preservación  de  la  evidencia[246].  La</w:t>
        <w:br/>
        <w:t xml:space="preserve">   jurisprudencia  de  la  Corte  ha  señalado  que  un  Estado  puede   ser</w:t>
        <w:br/>
        <w:t xml:space="preserve">   responsable por dejar  de  “ordenar,  practicar  o  valorar  pruebas  que</w:t>
        <w:br/>
        <w:t xml:space="preserve">   hubieran sido de mucha importancia para el debido esclarecimiento de  los</w:t>
        <w:br/>
        <w:t xml:space="preserve">   homicidios”[247].  En  relación   con   la   escena   del   crimen,   los</w:t>
        <w:br/>
        <w:t xml:space="preserve">   investigadores deben, como mínimo, fotografiar  dicha  escena,  cualquier</w:t>
        <w:br/>
        <w:t xml:space="preserve">   otra evidencia física y el cuerpo como se encontró y después de  moverlo;</w:t>
        <w:br/>
        <w:t xml:space="preserve">   todas las muestras de sangre, cabello, fibras, hilos u otras pistas deben</w:t>
        <w:br/>
        <w:t xml:space="preserve">   ser recogidas y conservadas; examinar el área  en  busca  de  huellas  de</w:t>
        <w:br/>
        <w:t xml:space="preserve">   zapatos o cualquier otra que tenga naturaleza de evidencia,  y  hacer  un</w:t>
        <w:br/>
        <w:t xml:space="preserve">   informe detallando cualquier observación de la escena,  las  acciones  de</w:t>
        <w:br/>
        <w:t xml:space="preserve">   los investigadores y la disposición de toda la evidencia coleccionada. Se</w:t>
        <w:br/>
        <w:t xml:space="preserve">   debe cerrar la zona contigua  al  cadáver,  y  prohibir,  salvo  para  el</w:t>
        <w:br/>
        <w:t xml:space="preserve">   investigador y su equipo, el ingreso a la misma[248].  Mientras  ello  no</w:t>
        <w:br/>
        <w:t xml:space="preserve">   suceda debe evitarse cualquier contaminación de  la  misma  y  mantenerla</w:t>
        <w:br/>
        <w:t xml:space="preserve">   bajo custodia permanente[249]. Una  de  las  acciones  en  el  sitio  del</w:t>
        <w:br/>
        <w:t xml:space="preserve">   hallazgo de mayor riesgo es la manipulación del cadáver, el cual no  debe</w:t>
        <w:br/>
        <w:t xml:space="preserve">   ser  manipulado  sin  la  presencia  de  profesionales,   quienes   deben</w:t>
        <w:br/>
        <w:t xml:space="preserve">   examinarlo  y  movilizarlo   adecuadamente   según   la   condición   del</w:t>
        <w:br/>
        <w:t xml:space="preserve">   cuerpo[250].</w:t>
        <w:br/>
        <w:br/>
        <w:t>153. Igualmente, la debida diligencia en una investigación  médico-legal  de</w:t>
        <w:br/>
        <w:t xml:space="preserve">   una muerte exige el mantenimiento  de  la  cadena  de  custodia  de  todo</w:t>
        <w:br/>
        <w:t xml:space="preserve">   elemento de prueba forense[251]. La Corte ha señalado que  ello  consiste</w:t>
        <w:br/>
        <w:t xml:space="preserve">   en llevar un registro escrito preciso, complementado, según  corresponda,</w:t>
        <w:br/>
        <w:t xml:space="preserve">   por fotografías y demás elementos gráficos, para documentar  la  historia</w:t>
        <w:br/>
        <w:t xml:space="preserve">   del elemento de prueba a medida  que  pasa  por  las  manos  de  diversos</w:t>
        <w:br/>
        <w:t xml:space="preserve">   investigadores  encargados  del  caso.  La  cadena  de   custodia   puede</w:t>
        <w:br/>
        <w:t xml:space="preserve">   extenderse más allá del juicio y la  condena  del  autor,  dado  que  las</w:t>
        <w:br/>
        <w:t xml:space="preserve">   pruebas  antiguas,  debidamente  preservadas,  podrían  servir  para   el</w:t>
        <w:br/>
        <w:t xml:space="preserve">   sobreseimiento de una persona condenada  erróneamente.  La  excepción  la</w:t>
        <w:br/>
        <w:t xml:space="preserve">   constituyen los restos de víctimas positivamente identificadas que pueden</w:t>
        <w:br/>
        <w:t xml:space="preserve">   ser devueltos a sus familias para su debida sepultura, con la reserva  de</w:t>
        <w:br/>
        <w:t xml:space="preserve">   que no pueden ser  cremados  y  que  pueden  ser  exhumados  para  nuevas</w:t>
        <w:br/>
        <w:t xml:space="preserve">   autopsias[252].</w:t>
        <w:br/>
        <w:br/>
        <w:t>154. En cuanto a las autopsias, como lo ha señalado la  Corte,  tienen  como</w:t>
        <w:br/>
        <w:t xml:space="preserve">   objetivo recolectar, como  mínimo,  información  para  identificar  a  la</w:t>
        <w:br/>
        <w:t xml:space="preserve">   persona muerta, la hora, la fecha, causa y forma de muerte.  Estas  deben</w:t>
        <w:br/>
        <w:t xml:space="preserve">   respetar ciertas formalidades básicas, como indicar la fecha  y  hora  de</w:t>
        <w:br/>
        <w:t xml:space="preserve">   inicio y finalización, así como el lugar donde se realiza y el nombre del</w:t>
        <w:br/>
        <w:t xml:space="preserve">   funcionario que la ejecuta. Asimismo, se debe,  inter  alia,  fotografiar</w:t>
        <w:br/>
        <w:t xml:space="preserve">   adecuadamente el cuerpo; tomar radiografías del cadáver, de  su  bolsa  o</w:t>
        <w:br/>
        <w:t xml:space="preserve">   envoltorio y después de desvestirlo,  documentar  toda  lesión.  Se  debe</w:t>
        <w:br/>
        <w:t xml:space="preserve">   documentar la ausencia, soltura o daño de los dientes, así como cualquier</w:t>
        <w:br/>
        <w:t xml:space="preserve">   trabajo dental, y examinar  cuidadosamente  las  áreas  genital  y  para-</w:t>
        <w:br/>
        <w:t xml:space="preserve">   genital en búsqueda de señales de abuso sexual. Asimismo,  el  Manual  de</w:t>
        <w:br/>
        <w:t xml:space="preserve">   Naciones Unidas indica que en los protocolos de autopsia se  debe  anotar</w:t>
        <w:br/>
        <w:t xml:space="preserve">   la posición del cuerpo y sus condiciones,  incluyendo  si  está  tibio  o</w:t>
        <w:br/>
        <w:t xml:space="preserve">   frío, ligero o rígido; proteger  las  manos  del  cadáver,  registrar  la</w:t>
        <w:br/>
        <w:t xml:space="preserve">   temperatura del ambiente y recoger cualquier insecto[253].</w:t>
        <w:br/>
        <w:br/>
        <w:t>155. La Corte recuerda que es un hecho no controvertido que  aproximadamente</w:t>
        <w:br/>
        <w:t xml:space="preserve">   a las 8:30 a.m. del  12  de  agosto  de  2005  Claudina  Velásquez  salió</w:t>
        <w:br/>
        <w:t xml:space="preserve">   acompañada de su hermano rumbo a la Universidad.  Según  han  manifestado</w:t>
        <w:br/>
        <w:t xml:space="preserve">   sus familiares, tras ser informados por Claudina que se encontraba en una</w:t>
        <w:br/>
        <w:t xml:space="preserve">   fiesta y sostener una última llamada telefónica alrededor  de  las  11:45</w:t>
        <w:br/>
        <w:t xml:space="preserve">   p.m., perdieron contacto con ella. Sus padres comenzaron su  búsqueda  al</w:t>
        <w:br/>
        <w:t xml:space="preserve">   ser informados, aproximadamente a las 2:00 a.m. del 13 de agosto de 2005,</w:t>
        <w:br/>
        <w:t xml:space="preserve">   que podría encontrarse en peligro, según se los manifestó una persona que</w:t>
        <w:br/>
        <w:t xml:space="preserve">   dijo  haber  tenido  comunicación  telefónica  con  ella,  y  que  acudió</w:t>
        <w:br/>
        <w:t xml:space="preserve">   directamente  al  domicilio  de  la  familia  para  alertarlos  de  dicha</w:t>
        <w:br/>
        <w:t xml:space="preserve">   situación. A las 2:12 a.m. la PNC recibió en el número 110  una  denuncia</w:t>
        <w:br/>
        <w:t xml:space="preserve">   por una posible violación sexual en la Colonia  Roosevelt.  Alrededor  de</w:t>
        <w:br/>
        <w:t xml:space="preserve">   las 2:50 o 2:55 a.m., los padres de  Claudina  Velásquez  realizaron  una</w:t>
        <w:br/>
        <w:t xml:space="preserve">   llamada telefónica a la PNC. En respuesta, una patrulla llegó a la garita</w:t>
        <w:br/>
        <w:t xml:space="preserve">   principal de la Colonia Panorama aproximadamente  a  las  3:00  a.m.  Los</w:t>
        <w:br/>
        <w:t xml:space="preserve">   padres siguieron a la patrulla policial en búsqueda de su hija  desde  la</w:t>
        <w:br/>
        <w:t xml:space="preserve">   entrada principal de la Colonia Panorama hasta la entrada de  la  Colonia</w:t>
        <w:br/>
        <w:t xml:space="preserve">   Pinares, en donde los agentes de la policía les indicaron que tenían “que</w:t>
        <w:br/>
        <w:t xml:space="preserve">   esperar por lo menos veinticuatro horas” para poder reportar  a  Claudina</w:t>
        <w:br/>
        <w:t xml:space="preserve">   Velásquez como desaparecida. Entre las 3:00 y 5:00 a.m.,  los  padres  de</w:t>
        <w:br/>
        <w:t xml:space="preserve">   Claudina Velásquez continuaron su búsqueda con la ayuda de  familiares  y</w:t>
        <w:br/>
        <w:t xml:space="preserve">   amigos. Alrededor de las 5:00 a.m., los padres de Claudina  fueron  a  la</w:t>
        <w:br/>
        <w:t xml:space="preserve">   estación de  policía  para  reportar  su  desaparición.  En  dicho  lugar</w:t>
        <w:br/>
        <w:t xml:space="preserve">   nuevamente les reiteraron que debían esperar veinticuatro  horas.  A  esa</w:t>
        <w:br/>
        <w:t xml:space="preserve">   misma hora aproximada, el Cuerpo  Voluntario  de  Bomberos  de  Guatemala</w:t>
        <w:br/>
        <w:t xml:space="preserve">   recibió una llamada anónima sobre el hallazgo de un cadáver en la Colonia</w:t>
        <w:br/>
        <w:t xml:space="preserve">   Roosevelt y acudieron al lugar. También, dos agentes de la PNC  acudieron</w:t>
        <w:br/>
        <w:t xml:space="preserve">   a dicho lugar, aproximadamente a las 5:30  a.m.  Alrededor  de  las  6:30</w:t>
        <w:br/>
        <w:t xml:space="preserve">   a.m., arribó al lugar personal del Ministerio Público (supra párrs. 52  a</w:t>
        <w:br/>
        <w:t xml:space="preserve">   55).</w:t>
        <w:br/>
        <w:br/>
        <w:t>156. Primeramente, la Corte advierte que no consta que  se  haya  desplegado</w:t>
        <w:br/>
        <w:t xml:space="preserve">   actividad alguna por parte de los investigadores del Ministerio Público y</w:t>
        <w:br/>
        <w:t xml:space="preserve">   de la PNC a raíz de las  denuncias  sobre  la  desaparición  de  Claudina</w:t>
        <w:br/>
        <w:t xml:space="preserve">   Velásquez presentadas por sus padres aproximadamente  a  las  3:00  a.m.,</w:t>
        <w:br/>
        <w:t xml:space="preserve">   5:00 a.m. y 8:30 a.m. a  diversos  agentes  de  la  PNC.  Tampoco  consta</w:t>
        <w:br/>
        <w:t xml:space="preserve">   reporte policial alguno realizado al respecto, más allá de la  boleta  de</w:t>
        <w:br/>
        <w:t xml:space="preserve">   denuncia de desaparición elaborada a las 8:30 a.m. el día 13 de agosto de</w:t>
        <w:br/>
        <w:t xml:space="preserve">   2005 (supra párr. 54). En definitiva, la investigación penal no inició  a</w:t>
        <w:br/>
        <w:t xml:space="preserve">   partir de las denuncias sobre la desaparición de la víctima, sino que  el</w:t>
        <w:br/>
        <w:t xml:space="preserve">   momento específico de su inicio fue a partir del hallazgo del cuerpo  sin</w:t>
        <w:br/>
        <w:t xml:space="preserve">   vida de Claudina Velásquez. Por otro lado, este  Tribunal  ha  constatado</w:t>
        <w:br/>
        <w:t xml:space="preserve">   irregularidades  en  las   primeras   diligencias   practicadas   en   la</w:t>
        <w:br/>
        <w:t xml:space="preserve">   investigación, las cuales se analizan en los siguientes párrafos.</w:t>
        <w:br/>
        <w:br/>
        <w:t>157. Falta de un registro  policial  sobre  el  hallazgo  del  cuerpo.-  Del</w:t>
        <w:br/>
        <w:t xml:space="preserve">   acervo probatorio del presente caso se desprende que,  aproximadamente  a</w:t>
        <w:br/>
        <w:t xml:space="preserve">   las 5:00 a.m. del 13 de agosto de 2003, el Cuerpo Voluntario de  Bomberos</w:t>
        <w:br/>
        <w:t xml:space="preserve">   de  Guatemala  recibió  una  llamada  por  parte  de   una   persona   no</w:t>
        <w:br/>
        <w:t xml:space="preserve">   identificada, reportando el hallazgo del cuerpo de una persona fallecida,</w:t>
        <w:br/>
        <w:t xml:space="preserve">   razón por la cual se trasladaron al lugar. Por otro lado, dos agentes  de</w:t>
        <w:br/>
        <w:t xml:space="preserve">   la Policía Nacional Civil se constituyeron en el lugar, aproximadamente a</w:t>
        <w:br/>
        <w:t xml:space="preserve">   las 5:30 a.m., una vez que recibieron la orden de  “la  operadora  de  la</w:t>
        <w:br/>
        <w:t xml:space="preserve">   planta central de  transmisiones”  (supra  párr.  55).  Al  respecto,  se</w:t>
        <w:br/>
        <w:t xml:space="preserve">   desconoce cómo la planta central de transmisiones se enteró del  hallazgo</w:t>
        <w:br/>
        <w:t xml:space="preserve">   del cadáver, es decir, quién lo encontró y las circunstancias en  que  se</w:t>
        <w:br/>
        <w:t xml:space="preserve">   descubrió el cadáver. Tampoco consta que en el marco de la  investigación</w:t>
        <w:br/>
        <w:t xml:space="preserve">   penal  se  hubiera  indagado  sobre  estos  aspectos  a  fin  de  obtener</w:t>
        <w:br/>
        <w:t xml:space="preserve">   información sobre los primeros momentos del hallazgo.</w:t>
        <w:br/>
        <w:br/>
        <w:t>158. Manipulación del cadáver.- La Corte  constata  que  el  cadáver  de  la</w:t>
        <w:br/>
        <w:t xml:space="preserve">   víctima fue manipulado previo al arribo  al  lugar  del  hallazgo  de  la</w:t>
        <w:br/>
        <w:t xml:space="preserve">   auxiliar fiscal  y  los  integrantes  del  Servicio  Médico  Forense.  Al</w:t>
        <w:br/>
        <w:t xml:space="preserve">   respecto, la Corte  advierte  que  el  cuerpo  presentaba  al  menos  los</w:t>
        <w:br/>
        <w:t xml:space="preserve">   siguientes indicios de manipulación: a) se encontraba  cubierto  por  una</w:t>
        <w:br/>
        <w:t xml:space="preserve">   sábana blanca, y b) presentaba excoriaciones en la rodilla izquierda y  a</w:t>
        <w:br/>
        <w:t xml:space="preserve">   nivel flanco derecho, las cuales, según  señaló  el  médico  forense,  no</w:t>
        <w:br/>
        <w:t xml:space="preserve">   tenían reacción vital, es decir, fueron heridas causadas  después  de  la</w:t>
        <w:br/>
        <w:t xml:space="preserve">   muerte (supra párr. 56). En razón de que  el  Estado  no  realizó  ningún</w:t>
        <w:br/>
        <w:t xml:space="preserve">   esfuerzo por investigar dichos indicios, no  se  cuenta  con  información</w:t>
        <w:br/>
        <w:t xml:space="preserve">   sobre el grado de manipulación que hubo y tampoco  se  tiene  información</w:t>
        <w:br/>
        <w:t xml:space="preserve">   sobre quiénes fueron  sus  responsables  ni  las  circunstancias  en  que</w:t>
        <w:br/>
        <w:t xml:space="preserve">   ocurrieron. En consecuencia, se afectó el curso de  la  investigación  ya</w:t>
        <w:br/>
        <w:t xml:space="preserve">   que aún no se tiene claridad de lo sucedido entre el momento de la muerte</w:t>
        <w:br/>
        <w:t xml:space="preserve">   de la víctima, el hallazgo del cuerpo y su reconocimiento médico forense.</w:t>
        <w:br/>
        <w:br/>
        <w:t>159. Incorrecto manejo de la escena del crimen.- La Corte  constata  que  en</w:t>
        <w:br/>
        <w:t xml:space="preserve">   el lugar del hallazgo del cuerpo  de  Claudina  Velásquez  y  durante  el</w:t>
        <w:br/>
        <w:t xml:space="preserve">   procesamiento de la escena por los expertos forenses el 13 de  agosto  de</w:t>
        <w:br/>
        <w:t xml:space="preserve">   2005, se recolectó como evidencia: un casquillo y un proyectil de arma de</w:t>
        <w:br/>
        <w:t xml:space="preserve">   fuego calibre desconocido, un sobre de vegetales deshidratados de leyenda</w:t>
        <w:br/>
        <w:t xml:space="preserve">   “CUP RAMEN VEGETALES”, un suéter color rosa que  vestía  y  con  posibles</w:t>
        <w:br/>
        <w:t xml:space="preserve">   manchas de sangre, un arete de rosca pequeño color plateado con una perla</w:t>
        <w:br/>
        <w:t xml:space="preserve">   color rosada y una cadena tipo gargantilla de tela color  rosada  con  un</w:t>
        <w:br/>
        <w:t xml:space="preserve">   dije de la reina Osiris que portaba (supra párr. 57, nota al pie 53). Sin</w:t>
        <w:br/>
        <w:t xml:space="preserve">   embargo, más allá de estos elementos no consta  que  se  hayan  realizado</w:t>
        <w:br/>
        <w:t xml:space="preserve">   otros  trabajos  de  recolección  y  documentación  que  ayudaran  en  la</w:t>
        <w:br/>
        <w:t xml:space="preserve">   prosecución   de   la   investigación.   En   específico,   se   obviaron</w:t>
        <w:br/>
        <w:t xml:space="preserve">   procedimientos fundamentales para determinar la hora de la muerte,  tales</w:t>
        <w:br/>
        <w:t xml:space="preserve">   como toma de la temperatura del cuerpo y del ambiente, así como  medición</w:t>
        <w:br/>
        <w:t xml:space="preserve">   de la talla del cadáver. Tampoco hay constancia que las  inspecciones  en</w:t>
        <w:br/>
        <w:t xml:space="preserve">   el lugar se realizaran con la  minuciosidad  requerida  para  identificar</w:t>
        <w:br/>
        <w:t xml:space="preserve">   detalles tales como si había manchas de sangre en las  inmediaciones  del</w:t>
        <w:br/>
        <w:t xml:space="preserve">   lugar, cabellos, fibras, hilos, huellas u otras  pistas,  ni  huellas  de</w:t>
        <w:br/>
        <w:t xml:space="preserve">   vehículo o cualquier otra evidencia relevante.</w:t>
        <w:br/>
        <w:br/>
        <w:t>160. Irregularidades en la documentación y preservación  de  la  evidencia.-</w:t>
        <w:br/>
        <w:t xml:space="preserve">   La Corte constató que en el marco de la  investigación  se  documentó  el</w:t>
        <w:br/>
        <w:t xml:space="preserve">   hallazgo de un sobre de vegetales deshidratados con la  descripción  “CUP</w:t>
        <w:br/>
        <w:t xml:space="preserve">   RAMEN VEGETALES”. Al respecto, si bien el auxiliar fiscal solicitó  a  la</w:t>
        <w:br/>
        <w:t xml:space="preserve">   Dirección  de  Investigaciones  Criminalísticas  realizar   un   peritaje</w:t>
        <w:br/>
        <w:t xml:space="preserve">   dactiloscópico a dicho sobre, no fue posible su práctica ya que el  mismo</w:t>
        <w:br/>
        <w:t xml:space="preserve">   no había sido preservado para análisis lofoscópico (supra párr. 71).</w:t>
        <w:br/>
        <w:br/>
        <w:t>161. Falta en la recaudación y preservación de  evidencia.-  Consta  que  el</w:t>
        <w:br/>
        <w:t xml:space="preserve">   cuerpo de Claudina Velásquez vestía: i) un pantalón de  lona  color  azul</w:t>
        <w:br/>
        <w:t xml:space="preserve">   con el zipper abajo; ii) una blusa  negra  puesta  al  revés;  iii)  unas</w:t>
        <w:br/>
        <w:t xml:space="preserve">   sandalias negras; iv) un brasier (blanco/rosado) manchado de  sangre  que</w:t>
        <w:br/>
        <w:t xml:space="preserve">   no tenía puesto sino colocado entre el pantalón y la cadera; v) un calzón</w:t>
        <w:br/>
        <w:t xml:space="preserve">   rosa manchado de sangre, y vi) un cincho removido. Además,  portaba  como</w:t>
        <w:br/>
        <w:t xml:space="preserve">   accesorios un arete en el ombligo y una cadena  tipo  gargantilla  (supra</w:t>
        <w:br/>
        <w:t xml:space="preserve">   párr. 56). A pesar de que todos estos indicios fueron documentados en los</w:t>
        <w:br/>
        <w:t xml:space="preserve">   informes iniciales de la investigación, las prendas que vestía la víctima</w:t>
        <w:br/>
        <w:t xml:space="preserve">   no fueron recolectadas como evidencia que permitiera su  análisis  en  el</w:t>
        <w:br/>
        <w:t xml:space="preserve">   laboratorio y la búsqueda de huellas dactilares  o  elementos  pilosos  o</w:t>
        <w:br/>
        <w:t xml:space="preserve">   biológicos como semen y otros residuos, sino que fueron devueltas  a  los</w:t>
        <w:br/>
        <w:t xml:space="preserve">   padres de Claudina Velásquez. Por otro lado, si bien consta que el  arete</w:t>
        <w:br/>
        <w:t xml:space="preserve">   que portaba en  el  ombligo  y  la  cadena  tipo  gargantilla  sí  fueron</w:t>
        <w:br/>
        <w:t xml:space="preserve">   recolectados, la Corte no tiene información sobre su destino.</w:t>
        <w:br/>
        <w:br/>
        <w:t>162.  Irregularidades  respecto  a  la  práctica  de  la  necropsia   y   su</w:t>
        <w:br/>
        <w:t xml:space="preserve">   documentación.-  La  Corte  ha  constatado  que  el  médico  forense  del</w:t>
        <w:br/>
        <w:t xml:space="preserve">   Organismo  Judicial  que  practicó  la  necropsia  a  Claudina  Velásquez</w:t>
        <w:br/>
        <w:t xml:space="preserve">   incurrió en irregularidades al momento de realizarla y omitió información</w:t>
        <w:br/>
        <w:t xml:space="preserve">   relevante sobre la misma en el informe elaborado al  respecto  el  16  de</w:t>
        <w:br/>
        <w:t xml:space="preserve">   agosto de 2005.  Primero,  en  el  informe  de  necropsia  no  señaló  la</w:t>
        <w:br/>
        <w:t xml:space="preserve">   identificación de la víctima, la distancia en que el arma  de  fuego  fue</w:t>
        <w:br/>
        <w:t xml:space="preserve">   disparada, la hora aproximada ni el lugar de la muerte,  si  los  órganos</w:t>
        <w:br/>
        <w:t xml:space="preserve">   genitales de la víctima presentaban señales de violación, ni la  hora  de</w:t>
        <w:br/>
        <w:t xml:space="preserve">   inicio y conclusión de la necropsia. Ante dichas omisiones,  el  auxiliar</w:t>
        <w:br/>
        <w:t xml:space="preserve">   fiscal debió solicitar diversas ampliaciones y correcciones,  siendo  que</w:t>
        <w:br/>
        <w:t xml:space="preserve">   hasta diciembre de 2007, es decir, más de dos años después  de  realizada</w:t>
        <w:br/>
        <w:t xml:space="preserve">   la necropsia, se logró obtener información precisa  de  la  misma  (supra</w:t>
        <w:br/>
        <w:t xml:space="preserve">   párr. 61). Segundo, tanto en el informe  de  la  necropsia  como  en  las</w:t>
        <w:br/>
        <w:t xml:space="preserve">   ampliaciones y correcciones de la misma, el médico forense  omitió  hacer</w:t>
        <w:br/>
        <w:t xml:space="preserve">   referencia a los hematomas en el lado izquierdo de la cara de la víctima,</w:t>
        <w:br/>
        <w:t xml:space="preserve">   información que ya se encontraba documentada en la investigación el 13 de</w:t>
        <w:br/>
        <w:t xml:space="preserve">   agosto de 2005[254], y que requería de su estudio  forense.  Tercero,  si</w:t>
        <w:br/>
        <w:t xml:space="preserve">   bien se indicó que el cuerpo de Claudina Velásquez presentaba excoriación</w:t>
        <w:br/>
        <w:t xml:space="preserve">   en región lumbar derecha, rodilla izquierda y dorso de pie izquierdo,  no</w:t>
        <w:br/>
        <w:t xml:space="preserve">   se realizó un estudio forense  ni  una  descripción  adecuada  de  dichas</w:t>
        <w:br/>
        <w:t xml:space="preserve">   lesiones, ni se indicó las características de forma,  patrones  y  signos</w:t>
        <w:br/>
        <w:t xml:space="preserve">   que podrían determinar si las mismas  fueron  pre  o  post  mortem.  Cabe</w:t>
        <w:br/>
        <w:t xml:space="preserve">   recordar que en el marco de la investigación  penal  fueron  documentadas</w:t>
        <w:br/>
        <w:t xml:space="preserve">   lesiones en el cuerpo de la víctima aparentemente sin reacción vital,  es</w:t>
        <w:br/>
        <w:t xml:space="preserve">   decir, ocurridas post mortem (supra párrs. 56, 158 y  165)[255].  Cuarto,</w:t>
        <w:br/>
        <w:t xml:space="preserve">   durante la necropsia el médico forense no tomó las impresiones dactilares</w:t>
        <w:br/>
        <w:t xml:space="preserve">   de la  víctima,  por  lo  que  la  auxiliar  fiscal  y  los  Técnicos  de</w:t>
        <w:br/>
        <w:t xml:space="preserve">   Investigaciones  Criminalísticas  del  Ministerio  Público  tuvieron  que</w:t>
        <w:br/>
        <w:t xml:space="preserve">   trasladarse a la funeraria para realizar la toma de huellas dactilares.</w:t>
        <w:br/>
        <w:br/>
        <w:t>163. Irregularidades y falta de determinación de la hora de la  muerte.-  La</w:t>
        <w:br/>
        <w:t xml:space="preserve">   Corte constata que en el marco de la  investigación  penal  se  presentan</w:t>
        <w:br/>
        <w:t xml:space="preserve">   contradicciones e irregularidades en relación con la determinación de  la</w:t>
        <w:br/>
        <w:t xml:space="preserve">   hora de la muerte de Claudina Velásquez y que, después  de  más  de  diez</w:t>
        <w:br/>
        <w:t xml:space="preserve">   años, no se tiene certeza de la hora aproximada en que sucedió.  Primero,</w:t>
        <w:br/>
        <w:t xml:space="preserve">   la Certificación de Defunción asentada el 13 de agosto de 2005 indica que</w:t>
        <w:br/>
        <w:t xml:space="preserve">   la  víctima  murió  a  las  6:30  a.m.[256].  Segundo,  el   informe   de</w:t>
        <w:br/>
        <w:t xml:space="preserve">   reconocimiento médico forense en la escena del crimen de 30 de agosto  de</w:t>
        <w:br/>
        <w:t xml:space="preserve">   2005 indica que dicho examen fue practicado a las 8:10  a.m.  del  13  de</w:t>
        <w:br/>
        <w:t xml:space="preserve">   agosto de 2005 y que el tiempo estimado desde la muerte de la víctima era</w:t>
        <w:br/>
        <w:t xml:space="preserve">   de 1 a 3 horas[257], por lo que se infiere como  hora  aproximada  de  la</w:t>
        <w:br/>
        <w:t xml:space="preserve">   muerte entre las 5:00 a.m. y las 7:00 a.m. Posteriormente, el 21 de junio</w:t>
        <w:br/>
        <w:t xml:space="preserve">   de 2006 el médico forense informó al auxiliar fiscal que la hora correcta</w:t>
        <w:br/>
        <w:t xml:space="preserve">   en que practicó el examen fue a las 6:55 a.m.[258], por lo que se infiere</w:t>
        <w:br/>
        <w:t xml:space="preserve">   como hora de la muerte entre las 4:00 a.m. y 6:00 a.m. Tercero, el  3  de</w:t>
        <w:br/>
        <w:t xml:space="preserve">   diciembre de 2007 el médico forense que realizó la necropsia informó  que</w:t>
        <w:br/>
        <w:t xml:space="preserve">   el proceso de necropsia inició a las 11:00 a.m. y finalizó  a  las  12:00</w:t>
        <w:br/>
        <w:t xml:space="preserve">   p.m. del 13 de agosto de 2005, y que la víctima tenía entre 7 y 11  horas</w:t>
        <w:br/>
        <w:t xml:space="preserve">   de muerta al momento en que esta se efectuó, por lo que se infiere que la</w:t>
        <w:br/>
        <w:t xml:space="preserve">   víctima falleció entre las 00:00 y 4:00 a.m.[259]. Cualquiera que sea  el</w:t>
        <w:br/>
        <w:t xml:space="preserve">   caso, es claro que aproximadamente a las 5:00 a.m. ya se había  reportado</w:t>
        <w:br/>
        <w:t xml:space="preserve">   el hallazgo del cuerpo sin vida de Claudina Velásquez (supra párr. 55).</w:t>
        <w:br/>
        <w:br/>
        <w:t>164. Referencia a la víctima como  “XX”  en  informes  de  investigación  de</w:t>
        <w:br/>
        <w:t xml:space="preserve">   2005, 2006 y 2008 no obstante haber sido identificada por sus  padres  el</w:t>
        <w:br/>
        <w:t xml:space="preserve">   13 de agosto de 2005.- Consta que alrededor del mediodía del 13 de agosto</w:t>
        <w:br/>
        <w:t xml:space="preserve">   de 2005 la madre y el padre de Claudina Velásquez se  presentaron  en  la</w:t>
        <w:br/>
        <w:t xml:space="preserve">   morgue del Servicio Médico Forense del Organismo Judicial, en  donde  les</w:t>
        <w:br/>
        <w:t xml:space="preserve">   fue entregado el cuerpo de su hija, una vez que lo  identificaron  (supra</w:t>
        <w:br/>
        <w:t xml:space="preserve">   párr. 58). No obstante, se  desprende  que  en  informes  elaborados  con</w:t>
        <w:br/>
        <w:t xml:space="preserve">   posterioridad a la  identificación  de  la  víctima  se  siguió  haciendo</w:t>
        <w:br/>
        <w:t xml:space="preserve">   referencia a ella como “XX” o como  “una  persona  de  sexo  femenino  no</w:t>
        <w:br/>
        <w:t xml:space="preserve">   identificada”.  Ello  evidencia  la  falta  de  seguimiento  al  caso   y</w:t>
        <w:br/>
        <w:t xml:space="preserve">   actualización de la información en este por  parte  de  los  agentes  que</w:t>
        <w:br/>
        <w:t xml:space="preserve">   intervinieron en la investigación, e incluso, de los  agentes  encargados</w:t>
        <w:br/>
        <w:t xml:space="preserve">   de esta. Cabe señalar que la omisión de identificar  correctamente  a  la</w:t>
        <w:br/>
        <w:t xml:space="preserve">   víctima puede provocar la pérdida de información y, por ende,  perjudicar</w:t>
        <w:br/>
        <w:t xml:space="preserve">   el avance de la investigación. Dichos informes son de  16,  23  y  30  de</w:t>
        <w:br/>
        <w:t xml:space="preserve">   agosto, 16, 19 y 26 de septiembre y 14 de octubre de  2005,  7  y  21  de</w:t>
        <w:br/>
        <w:t xml:space="preserve">   junio de 2006, y 18 de julio de 2008, y fueron elaborados por  el  médico</w:t>
        <w:br/>
        <w:t xml:space="preserve">   forense que realizó el reconocimiento del cuerpo  de  la  víctima  en  el</w:t>
        <w:br/>
        <w:t xml:space="preserve">   lugar de su hallazgo, el médico forense que  practicó  la  necropsia,  el</w:t>
        <w:br/>
        <w:t xml:space="preserve">   auxiliar  fiscal,  Técnicos  de   Investigaciones   Criminalísticas   del</w:t>
        <w:br/>
        <w:t xml:space="preserve">   Ministerio Público y expertos del  Departamento  Técnico  Científico  del</w:t>
        <w:br/>
        <w:t xml:space="preserve">   Ministerio Público[260]</w:t>
        <w:br/>
        <w:br/>
        <w:t>165. Irregularidades en  el  reconocimiento  médico  forense  y  su  informe</w:t>
        <w:br/>
        <w:t xml:space="preserve">   respectivo.- La Corte constata que  el  médico  forense  que  realizó  el</w:t>
        <w:br/>
        <w:t xml:space="preserve">   reconocimiento del cuerpo de la víctima en el lugar de su hallazgo el  13</w:t>
        <w:br/>
        <w:t xml:space="preserve">   de agosto de 2005, recién el 20 de  enero  de  2009  en  una  declaración</w:t>
        <w:br/>
        <w:t xml:space="preserve">   rendida ante el auxiliar fiscal[261], mencionó  los  siguientes  detalles</w:t>
        <w:br/>
        <w:t xml:space="preserve">   que no fueron incluidos en el informe que realizó al respecto  el  30  de</w:t>
        <w:br/>
        <w:t xml:space="preserve">   agosto de 2005: i) la víctima habría sido llevada con vida hasta el lugar</w:t>
        <w:br/>
        <w:t xml:space="preserve">   de los hechos y estando de pie recibió el disparo a una distancia de  más</w:t>
        <w:br/>
        <w:t xml:space="preserve">   o menos quince centímetros y que el victimario habría sido  diestro;  ii)</w:t>
        <w:br/>
        <w:t xml:space="preserve">   se podría inferir  que  hubo  violencia  sexual;  iii)  probablemente  la</w:t>
        <w:br/>
        <w:t xml:space="preserve">   víctima conocía a su atacante por lo que este se vio en la  necesidad  de</w:t>
        <w:br/>
        <w:t xml:space="preserve">   eliminarla para evitar ser reconocido;  iv)  los  hematomas  en  el  lado</w:t>
        <w:br/>
        <w:t xml:space="preserve">   izquierdo de la cara de la víctima habrían sido ocasionados cuando aún se</w:t>
        <w:br/>
        <w:t xml:space="preserve">   encontraba con vida y no más de 24 horas antes de su  muerte;  y  v)  las</w:t>
        <w:br/>
        <w:t xml:space="preserve">   lesiones en la rodilla izquierda y costado derecho se  habrían  producido</w:t>
        <w:br/>
        <w:t xml:space="preserve">   después de su muerte. Al respecto y al ser interrogado sobre  la  omisión</w:t>
        <w:br/>
        <w:t xml:space="preserve">   en el informe de dichas  lesiones,  indicó  que  la  función  del  médico</w:t>
        <w:br/>
        <w:t xml:space="preserve">   forense que va a la escena del crimen es realizar una apreciación  de  la</w:t>
        <w:br/>
        <w:t xml:space="preserve">   manera de la muerte, y  que  es  al  forense  encargado  de  realizar  la</w:t>
        <w:br/>
        <w:t xml:space="preserve">   necropsia a quien le corresponde hacer la descripción exacta de cada  una</w:t>
        <w:br/>
        <w:t xml:space="preserve">   de estas. En consecuencia, dicha información se obtuvo a más de tres años</w:t>
        <w:br/>
        <w:t xml:space="preserve">   de  la  muerte  de  Claudina  Velásquez,  afectando  el   curso   de   la</w:t>
        <w:br/>
        <w:t xml:space="preserve">   investigación.</w:t>
        <w:br/>
        <w:br/>
        <w:t>166. Cabe recordar que, debido a las recomendaciones de la  Procuraduría  de</w:t>
        <w:br/>
        <w:t xml:space="preserve">   los Derechos Humanos, se inició un procedimiento disciplinario en  contra</w:t>
        <w:br/>
        <w:t xml:space="preserve">   del médico forense que practicó la necropsia.  Como  resultado  de  dicho</w:t>
        <w:br/>
        <w:t xml:space="preserve">   procedimiento, la Unidad de Régimen Disciplinario del Sistema de Recursos</w:t>
        <w:br/>
        <w:t xml:space="preserve">   Humanos del Organismo Judicial consideró que las omisiones del médico  en</w:t>
        <w:br/>
        <w:t xml:space="preserve">   cuanto  al  nombre  y  la  hora  precisa  de  la  muerte  de  la  víctima</w:t>
        <w:br/>
        <w:t xml:space="preserve">   constituyeron faltas leves, graves y gravísimas, por lo que le impuso una</w:t>
        <w:br/>
        <w:t xml:space="preserve">   sanción de veinte días de suspensión sin goce de salario. Sin embargo, ya</w:t>
        <w:br/>
        <w:t xml:space="preserve">   que el 5 de diciembre de 2007 finalizó la  relación  laboral  del  médico</w:t>
        <w:br/>
        <w:t xml:space="preserve">   forense con el Organismo Judicial, la Corte Suprema de Justicia consideró</w:t>
        <w:br/>
        <w:t xml:space="preserve">   que la sanción disciplinaria resultaba inaplicable (supra párr.  97).  La</w:t>
        <w:br/>
        <w:t xml:space="preserve">   Corte reconoce las acciones que el Estado ha  tratado  de  impulsar,  sin</w:t>
        <w:br/>
        <w:t xml:space="preserve">   embargo, el procedimiento  disciplinario  contra  el  médico  forense  no</w:t>
        <w:br/>
        <w:t xml:space="preserve">   consideró todas las irregularidades incurridas durante la realización  de</w:t>
        <w:br/>
        <w:t xml:space="preserve">   la necropsia y su documentación, las cuales han sido detalladas  en  este</w:t>
        <w:br/>
        <w:t xml:space="preserve">   sub-capítulo.</w:t>
        <w:br/>
        <w:br/>
        <w:t>167. Asimismo, la Corte recuerda que, en  la  Jefatura  de  la  Fiscalía  de</w:t>
        <w:br/>
        <w:t xml:space="preserve">   Sección de Delitos Contra la Vida y la Integridad de  las  Personas,  así</w:t>
        <w:br/>
        <w:t xml:space="preserve">   como en la Dirección de  Investigaciones  Criminalísticas,  se  iniciaron</w:t>
        <w:br/>
        <w:t xml:space="preserve">   procedimientos disciplinarios en contra de  la  auxiliar  fiscal  y  tres</w:t>
        <w:br/>
        <w:t xml:space="preserve">   Técnicos de  Investigaciones  Criminalísticas  que  participaron  en  los</w:t>
        <w:br/>
        <w:t xml:space="preserve">   primeros momentos de la investigación. Consta que, en el marco de  dichos</w:t>
        <w:br/>
        <w:t xml:space="preserve">   procedimientos, en el año 2009 se  sancionó  a  la  auxiliar  fiscal  con</w:t>
        <w:br/>
        <w:t xml:space="preserve">   amonestación  escrita,  a  dos  de  los   Técnicos   de   Investigaciones</w:t>
        <w:br/>
        <w:t xml:space="preserve">   Criminalísticas con amonestación  verbal,  y  respecto  del  tercero,  se</w:t>
        <w:br/>
        <w:t xml:space="preserve">   decidió sin lugar el procedimiento promovido en su  contra  (supra  párr.</w:t>
        <w:br/>
        <w:t xml:space="preserve">   93). Sin embargo,  debido  a  que  este  Tribunal  no  cuenta  con  mayor</w:t>
        <w:br/>
        <w:t xml:space="preserve">   información, no es posible identificar hasta qué punto  y  en  qué  grado</w:t>
        <w:br/>
        <w:t xml:space="preserve">   dichas   sanciones   guardarían   relación   con   las    irregularidades</w:t>
        <w:br/>
        <w:t xml:space="preserve">   identificadas en este sub-capítulo. A su vez, no consta en  qué  concluyó</w:t>
        <w:br/>
        <w:t xml:space="preserve">   el trámite abierto en contra de la auxiliar fiscal del caso.</w:t>
        <w:br/>
        <w:br/>
        <w:t>168. Por todo lo anterior, la Corte concluye que  en  el  presente  caso  se</w:t>
        <w:br/>
        <w:t xml:space="preserve">   presentaron las siguientes  irregularidades:  i)  falta  de  un  registro</w:t>
        <w:br/>
        <w:t xml:space="preserve">   policial sobre el hallazgo del cuerpo; ii) falta de investigación en  los</w:t>
        <w:br/>
        <w:t xml:space="preserve">   indicios de manipulación del cadáver; iii) incorrecto manejo de la escena</w:t>
        <w:br/>
        <w:t xml:space="preserve">   del crimen; iv) irregularidades en la documentación y preservación de  la</w:t>
        <w:br/>
        <w:t xml:space="preserve">   evidencia; v) falta de  recaudación  y  preservación  de  evidencia;  vi)</w:t>
        <w:br/>
        <w:t xml:space="preserve">   irregularidades  respecto  a  la  práctica   de   la   necropsia   y   su</w:t>
        <w:br/>
        <w:t xml:space="preserve">   documentación; vii) irregularidades y falta de determinación de  la  hora</w:t>
        <w:br/>
        <w:t xml:space="preserve">   de la muerte; viii) referencia a la víctima  como  “XX”  en  informes  de</w:t>
        <w:br/>
        <w:t xml:space="preserve">   investigación elaborados con posterioridad a  su  identificación,  e  ix)</w:t>
        <w:br/>
        <w:t xml:space="preserve">   irregularidades  en  el  reconocimiento  médico  forense  y  su   informe</w:t>
        <w:br/>
        <w:t xml:space="preserve">   respectivo. Las falencias de las primeras diligencias de la investigación</w:t>
        <w:br/>
        <w:t xml:space="preserve">   difícilmente pueden  ser  subsanadas  por  las  tardías  e  insuficientes</w:t>
        <w:br/>
        <w:t xml:space="preserve">   diligencias probatorias que el Estado ha tratado de impulsar. Además,  la</w:t>
        <w:br/>
        <w:t xml:space="preserve">   pérdida de  evidencia  deviene  en  irreparable.  En  razón  de  todo  lo</w:t>
        <w:br/>
        <w:t xml:space="preserve">   anterior, se afectó la debida diligencia y rigor en la investigación.</w:t>
        <w:br/>
        <w:br/>
        <w:t>B.2.  Falta de debida diligencia en relación con las líneas lógicas de</w:t>
        <w:br/>
        <w:t>investigación, en la recaudación y práctica de prueba, y plazo razonable</w:t>
        <w:br/>
        <w:br/>
        <w:t>169. La Corte ha establecido que, en aras de garantizar su  efectividad,  en</w:t>
        <w:br/>
        <w:t xml:space="preserve">   la investigación de violaciones de los derechos humanos  se  debe  evitar</w:t>
        <w:br/>
        <w:t xml:space="preserve">   omisiones en la recaudación de prueba  y  en  el  seguimiento  de  líneas</w:t>
        <w:br/>
        <w:t xml:space="preserve">   lógicas de investigación[262]. Al respecto, la Corte  ha  precisado  que,</w:t>
        <w:br/>
        <w:t xml:space="preserve">   cuando los hechos se refieren a la muerte violenta  de  una  persona,  la</w:t>
        <w:br/>
        <w:t xml:space="preserve">   investigación iniciada debe  ser  conducida  de  tal  forma  que  pudiese</w:t>
        <w:br/>
        <w:t xml:space="preserve">   garantizar el debido análisis de las hipótesis de autoría surgidas a raíz</w:t>
        <w:br/>
        <w:t xml:space="preserve">   de la misma[263]. En este punto, cabe recordar que no  corresponde  a  la</w:t>
        <w:br/>
        <w:t xml:space="preserve">   Corte  analizar  las  hipótesis   de   autoría   manejadas   durante   la</w:t>
        <w:br/>
        <w:t xml:space="preserve">   investigación   de   los   hechos   y    en    consecuencia    determinar</w:t>
        <w:br/>
        <w:t xml:space="preserve">   responsabilidades individuales, cuya definición compete a los  tribunales</w:t>
        <w:br/>
        <w:t xml:space="preserve">   penales internos, sino  evaluar  las  acciones  u  omisiones  de  agentes</w:t>
        <w:br/>
        <w:t xml:space="preserve">   estatales, según la prueba presentada por las partes[264]. De igual modo,</w:t>
        <w:br/>
        <w:t xml:space="preserve">   no compete a la Corte sustituir a la jurisdicción interna,  estableciendo</w:t>
        <w:br/>
        <w:t xml:space="preserve">   las modalidades específicas de investigación y  juzgamiento  en  un  caso</w:t>
        <w:br/>
        <w:t xml:space="preserve">   concreto para obtener un mejor o más eficaz resultado, sino constatar  si</w:t>
        <w:br/>
        <w:t xml:space="preserve">   en los pasos efectivamente  dados  a  nivel  interno  se  violaron  o  no</w:t>
        <w:br/>
        <w:t xml:space="preserve">   obligaciones internacionales del Estado derivadas de los artículos 8 y 25</w:t>
        <w:br/>
        <w:t xml:space="preserve">   de la Convención Americana[265].  La  Corte  recuerda  que  la  falta  de</w:t>
        <w:br/>
        <w:t xml:space="preserve">   diligencia  tiene  como  consecuencia  que  conforme   el   tiempo   vaya</w:t>
        <w:br/>
        <w:t xml:space="preserve">   transcurriendo, se afecte  indebidamente  la  posibilidad  de  obtener  y</w:t>
        <w:br/>
        <w:t xml:space="preserve">   presentar pruebas  pertinentes  que  permitan  esclarecer  los  hechos  y</w:t>
        <w:br/>
        <w:t xml:space="preserve">   determinar las responsabilidades que correspondan, con lo cual el  Estado</w:t>
        <w:br/>
        <w:t xml:space="preserve">   contribuye a la impunidad[266].</w:t>
        <w:br/>
        <w:br/>
        <w:t>170.  La  Corte  ha  constatado  que,  aun  cuando  se  desplegó   actividad</w:t>
        <w:br/>
        <w:t xml:space="preserve">   investigativa por los hechos de la muerte violenta de Claudina  Velásquez</w:t>
        <w:br/>
        <w:t xml:space="preserve">   Paiz, a lo largo de diez años las diligencias se han realizado de  manera</w:t>
        <w:br/>
        <w:t xml:space="preserve">   tardía. En efecto, si bien la investigación inició el  13  de  agosto  de</w:t>
        <w:br/>
        <w:t xml:space="preserve">   2005, consta que  los  agentes  y  auxiliares  fiscales  a  cargo  de  la</w:t>
        <w:br/>
        <w:t xml:space="preserve">   investigación solicitaron acceder a los videos de seguridad de uno de los</w:t>
        <w:br/>
        <w:t xml:space="preserve">   lugares en que presuntamente Claudina Velásquez había estado tiempo antes</w:t>
        <w:br/>
        <w:t xml:space="preserve">   de su muerte, recién el 4 de septiembre de 2005; el  6  de  diciembre  de</w:t>
        <w:br/>
        <w:t xml:space="preserve">   2005 recibieron  la  declaración  de  uno  de  los  miembros  del  cuerpo</w:t>
        <w:br/>
        <w:t xml:space="preserve">   voluntario de bomberos  que  adicionó  información  sobre  los  hallazgos</w:t>
        <w:br/>
        <w:t xml:space="preserve">   realizados en la escena del crimen; el 26 de junio de 2006 practicaron la</w:t>
        <w:br/>
        <w:t xml:space="preserve">   reconstrucción de los  hechos  en  presencia  de  los  especialistas  del</w:t>
        <w:br/>
        <w:t xml:space="preserve">   Ministerio Público; los días 30 de octubre de 2007 y 23 de abril de  2008</w:t>
        <w:br/>
        <w:t xml:space="preserve">   solicitaron información acerca de las facturas de sopas instantáneas;  el</w:t>
        <w:br/>
        <w:t xml:space="preserve">   26 de junio de 2008 solicitaron información sobre  hechos  reportados  al</w:t>
        <w:br/>
        <w:t xml:space="preserve">   número 110 de la PNC en la madrugada del 13 de agosto de 2005;  los  días</w:t>
        <w:br/>
        <w:t xml:space="preserve">   23 de julio de 2008 y  19  de  mayo  de  2009  solicitaron  realizar  los</w:t>
        <w:br/>
        <w:t xml:space="preserve">   peritajes de trayectoria balística; el 24 de noviembre de 2008 se realizó</w:t>
        <w:br/>
        <w:t xml:space="preserve">   el Perfil Psiquiátrico de Victimario, Víctima y Escena del Crimen; el  20</w:t>
        <w:br/>
        <w:t xml:space="preserve">   de enero de  2009  recibieron  la  declaración  del  médico  forense  que</w:t>
        <w:br/>
        <w:t xml:space="preserve">   practicó el reconocimiento y procesamiento médico legal de la escena  del</w:t>
        <w:br/>
        <w:t xml:space="preserve">   crimen que adicionó información sobre  los  hallazgos  realizados  en  la</w:t>
        <w:br/>
        <w:t xml:space="preserve">   escena del crimen, y el 11 de agosto de 2011 solicitaron el  análisis  de</w:t>
        <w:br/>
        <w:t xml:space="preserve">   laboratorio para determinar a qué animal corresponderían las muestras  de</w:t>
        <w:br/>
        <w:t xml:space="preserve">   sangre animal halladas en las manos de la víctima (supra párrs.  60,  63,</w:t>
        <w:br/>
        <w:t xml:space="preserve">   69, 78, 83, 86 a 88 y 165). La práctica tardía de dichas diligencias tuvo</w:t>
        <w:br/>
        <w:t xml:space="preserve">   como consecuencia que la información que  se  hubiera  podido  obtener  a</w:t>
        <w:br/>
        <w:t xml:space="preserve">   través de estas no se integrara  a  la  investigación  desde  un  inicio.</w:t>
        <w:br/>
        <w:t xml:space="preserve">   Además, en algunos casos consta que no fue posible obtener la información</w:t>
        <w:br/>
        <w:t xml:space="preserve">   requerida con los elementos aportados. Asimismo,  en  algunos  casos  los</w:t>
        <w:br/>
        <w:t xml:space="preserve">   registros no fueron conservados a través del tiempo, por lo que la demora</w:t>
        <w:br/>
        <w:t xml:space="preserve">   ocasionó la pérdida irreparable de la prueba.</w:t>
        <w:br/>
        <w:br/>
        <w:t>171. Aunado a lo anterior, la Corte constata que las  diligencias  han  sido</w:t>
        <w:br/>
        <w:t xml:space="preserve">   repetitivas y que han retrasado la investigación. En este sentido, el  18</w:t>
        <w:br/>
        <w:t xml:space="preserve">   de noviembre de 2011 se emitió  un  dictamen  pericial  sobre  examen  de</w:t>
        <w:br/>
        <w:t xml:space="preserve">   alcohol en el cual se adicionó una  tabla  estándar  de  alcoholemia,  no</w:t>
        <w:br/>
        <w:t xml:space="preserve">   obstante que el 16 de septiembre de 2005 ya se había emitido un  dictamen</w:t>
        <w:br/>
        <w:t xml:space="preserve">   pericial sobre examen de alcohol y drogas. A partir de septiembre de 2005</w:t>
        <w:br/>
        <w:t xml:space="preserve">   se  ha  solicitado  reiteradamente  a  empresas  de  telefonía  nacional,</w:t>
        <w:br/>
        <w:t xml:space="preserve">   entidades y universidades del  país  información  detallada  de  diversos</w:t>
        <w:br/>
        <w:t xml:space="preserve">   números telefónicos. En respuesta, se  ha  informado  que  no  tienen  el</w:t>
        <w:br/>
        <w:t xml:space="preserve">   registro de llamadas realizadas los días 12 y 13 de agosto de  2005,  los</w:t>
        <w:br/>
        <w:t xml:space="preserve">   mensajes de texto no fueron almacenados  en  sus  sistemas,  los  números</w:t>
        <w:br/>
        <w:t xml:space="preserve">   telefónicos no corresponden  a  numeraciones  asignadas  y  no  se  tiene</w:t>
        <w:br/>
        <w:t xml:space="preserve">   constancia de datos personales del usuario  o  propietario  de  la  línea</w:t>
        <w:br/>
        <w:t xml:space="preserve">   telefónica. Sin embargo, las solicitudes de información se han prolongado</w:t>
        <w:br/>
        <w:t xml:space="preserve">   a través del tiempo al menos  hasta  marzo  de  2012,  sin  que  se  haya</w:t>
        <w:br/>
        <w:t xml:space="preserve">   desplegado  alguna  medida  específica  en  atención  a  las   respuestas</w:t>
        <w:br/>
        <w:t xml:space="preserve">   recibidas. El 29 de septiembre de 2006 y 20 de mayo de 2009 se realizaron</w:t>
        <w:br/>
        <w:t xml:space="preserve">   estudios de Laboratorio para comparar  el  perfil  genético  de  Claudina</w:t>
        <w:br/>
        <w:t xml:space="preserve">   Velásquez con el de Jorge Rolando Velásquez Durán y  Elsa  Claudina  Paiz</w:t>
        <w:br/>
        <w:t xml:space="preserve">   Vidal, mediante los cuales se determinó que aquel era compatible  con  el</w:t>
        <w:br/>
        <w:t xml:space="preserve">   que tendría una hija biológica de estos últimos, y el 2 de septiembre y 2</w:t>
        <w:br/>
        <w:t xml:space="preserve">   de noviembre  de  2011  se  remitió  información  catastral  referente  a</w:t>
        <w:br/>
        <w:t xml:space="preserve">   inmuebles ubicados en la Colonia Roosevelt (supra párrs.  66,  68,  81  y</w:t>
        <w:br/>
        <w:t xml:space="preserve">   90), sin que la Corte tenga claridad sobre las razones por las cuales  se</w:t>
        <w:br/>
        <w:t xml:space="preserve">   practicaron dichas diligencias.</w:t>
        <w:br/>
        <w:br/>
        <w:t>172. En conclusión, la Corte ha constatado que han transcurrido  más  de  10</w:t>
        <w:br/>
        <w:t xml:space="preserve">   años desde los hechos del caso y desde que se inició la investigación,  y</w:t>
        <w:br/>
        <w:t xml:space="preserve">   aún no se ha determinado la verdad de lo  ocurrido.  Las  diligencias  de</w:t>
        <w:br/>
        <w:t xml:space="preserve">   investigación han sido tardías y  repetitivas,  afectando  con  ello  los</w:t>
        <w:br/>
        <w:t xml:space="preserve">   resultados de la misma. Además, respecto a algunas otras diligencias,  no</w:t>
        <w:br/>
        <w:t xml:space="preserve">   se tiene claridad sobre las razones por las  cuales  se  han  practicado.</w:t>
        <w:br/>
        <w:t xml:space="preserve">   Finalmente, otras diligencias se han prolongado a través del  tiempo  sin</w:t>
        <w:br/>
        <w:t xml:space="preserve">   resultados concretos. La falta de debida diligencia en el  presente  caso</w:t>
        <w:br/>
        <w:t xml:space="preserve">   ha afectado el derecho al acceso a  la  justicia  de  los  familiares  de</w:t>
        <w:br/>
        <w:t xml:space="preserve">   Claudina Velásquez en un plazo razonable, en violación  a  las  garantías</w:t>
        <w:br/>
        <w:t xml:space="preserve">   judiciales.</w:t>
        <w:br/>
        <w:br/>
        <w:t>B.3. Discriminación por  aplicación  de  estereotipos  e  investigación  sin</w:t>
        <w:br/>
        <w:t>enfoque de género</w:t>
        <w:br/>
        <w:br/>
        <w:t>173. Sobre el principio de igualdad ante la ley y la no  discriminación,  la</w:t>
        <w:br/>
        <w:t xml:space="preserve">   Corte ha señalado que la noción de igualdad se desprende directamente  de</w:t>
        <w:br/>
        <w:t xml:space="preserve">   la unidad de naturaleza del género humano y es inseparable de la dignidad</w:t>
        <w:br/>
        <w:t xml:space="preserve">   esencial de la persona, frente a la cual es incompatible  toda  situación</w:t>
        <w:br/>
        <w:t xml:space="preserve">   que, por considerar superior a un determinado grupo, conduzca a  tratarlo</w:t>
        <w:br/>
        <w:t xml:space="preserve">   con privilegio; o que, a la inversa, por considerarlo inferior, lo  trate</w:t>
        <w:br/>
        <w:t xml:space="preserve">   con hostilidad o de cualquier forma lo discrimine del  goce  de  derechos</w:t>
        <w:br/>
        <w:t xml:space="preserve">   que  sí  se  reconocen  a  quienes  no  se  consideran  incursos  en  tal</w:t>
        <w:br/>
        <w:t xml:space="preserve">   situación[267].  En  la  actual  etapa  de  la  evolución   del   derecho</w:t>
        <w:br/>
        <w:t xml:space="preserve">   internacional, el principio fundamental de igualdad y  no  discriminación</w:t>
        <w:br/>
        <w:t xml:space="preserve">   ha ingresado en el dominio del jus cogens. Sobre él descansa el andamiaje</w:t>
        <w:br/>
        <w:t xml:space="preserve">   jurídico del orden público nacional e  internacional  y  permea  todo  el</w:t>
        <w:br/>
        <w:t xml:space="preserve">   ordenamiento jurídico. Los Estados deben abstenerse de realizar  acciones</w:t>
        <w:br/>
        <w:t xml:space="preserve">   que de cualquier manera vayan  dirigidas,  directa  o  indirectamente,  a</w:t>
        <w:br/>
        <w:t xml:space="preserve">   crear situaciones de discriminación de jure o de facto[268].</w:t>
        <w:br/>
        <w:br/>
        <w:t>174. La Corte ha señalado que, mientras la obligación general  del  artículo</w:t>
        <w:br/>
        <w:t xml:space="preserve">   1.1 de la Convención Americana se refiere al deber del Estado de respetar</w:t>
        <w:br/>
        <w:t xml:space="preserve">   y garantizar  “sin  discriminación”  los  derechos  contenidos  en  dicho</w:t>
        <w:br/>
        <w:t xml:space="preserve">   tratado, el artículo 24 protege el derecho  a  “igual  protección  de  la</w:t>
        <w:br/>
        <w:t xml:space="preserve">   ley”[269].  El  artículo  24  de  la  Convención  Americana  prohíbe   la</w:t>
        <w:br/>
        <w:t xml:space="preserve">   discriminación de derecho o de hecho, no solo en cuanto  a  los  derechos</w:t>
        <w:br/>
        <w:t xml:space="preserve">   consagrados en la misma, sino en lo que respecta a todas  las  leyes  que</w:t>
        <w:br/>
        <w:t xml:space="preserve">   apruebe el Estado y a su aplicación. Es decir, no se limita a reiterar lo</w:t>
        <w:br/>
        <w:t xml:space="preserve">   dispuesto en el artículo 1.1 de la Convención, respecto de la  obligación</w:t>
        <w:br/>
        <w:t xml:space="preserve">   de los Estados de respetar y garantizar, sin discriminación, los derechos</w:t>
        <w:br/>
        <w:t xml:space="preserve">   reconocidos en dicho  tratado,  sino  consagra  un  derecho  que  también</w:t>
        <w:br/>
        <w:t xml:space="preserve">   acarrea obligaciones al Estado de respetar y garantizar el  principio  de</w:t>
        <w:br/>
        <w:t xml:space="preserve">   igualdad y no discriminación en la salvaguardia de otros  derechos  y  en</w:t>
        <w:br/>
        <w:t xml:space="preserve">   toda la legislación interna que apruebe[270]. En definitiva, la Corte  ha</w:t>
        <w:br/>
        <w:t xml:space="preserve">   afirmado que si un Estado discrimina en  el  respeto  o  garantía  de  un</w:t>
        <w:br/>
        <w:t xml:space="preserve">   derecho convencional, violaría el artículo 1.1 y el derecho sustantivo en</w:t>
        <w:br/>
        <w:t xml:space="preserve">   cuestión. Si, por el  contrario,  la  discriminación  se  refiere  a  una</w:t>
        <w:br/>
        <w:t xml:space="preserve">   protección desigual de la ley interna o  su  aplicación,  el  hecho  debe</w:t>
        <w:br/>
        <w:t xml:space="preserve">   analizarse a la luz del artículo 24 de la Convención Americana[271].</w:t>
        <w:br/>
        <w:br/>
        <w:t>175. En el ámbito interamericano, la Convención de Belém do Pará  señala  en</w:t>
        <w:br/>
        <w:t xml:space="preserve">   su preámbulo que la violencia contra la mujer es  “una  manifestación  de</w:t>
        <w:br/>
        <w:t xml:space="preserve">   las  relaciones  de  poder  históricamente  desiguales  entre  mujeres  y</w:t>
        <w:br/>
        <w:t xml:space="preserve">   hombres” y además reconoce que el derecho de toda mujer a una vida  libre</w:t>
        <w:br/>
        <w:t xml:space="preserve">   de  violencia  incluye  el  derecho  a  ser  libre  de  toda   forma   de</w:t>
        <w:br/>
        <w:t xml:space="preserve">   discriminación[272]. Desde una perspectiva general, la  Convención  sobre</w:t>
        <w:br/>
        <w:t xml:space="preserve">   la eliminación de todas las formas de discriminación contra la mujer  (en</w:t>
        <w:br/>
        <w:t xml:space="preserve">   adelante, “la CEDAW”, por sus siglas en inglés) define la  discriminación</w:t>
        <w:br/>
        <w:t xml:space="preserve">   contra la mujer como “toda distinción, exclusión o restricción basada  en</w:t>
        <w:br/>
        <w:t xml:space="preserve">   el sexo que tenga por objeto o  por  resultado  menoscabar  o  anular  el</w:t>
        <w:br/>
        <w:t xml:space="preserve">   reconocimiento, goce o ejercicio por la mujer, independientemente  de  su</w:t>
        <w:br/>
        <w:t xml:space="preserve">   estado civil, sobre la base de la igualdad del hombre y la mujer, de  los</w:t>
        <w:br/>
        <w:t xml:space="preserve">   derechos humanos y las libertades fundamentales en las esferas  política,</w:t>
        <w:br/>
        <w:t xml:space="preserve">   económica, social, cultural y civil o en cualquier otra esfera”[273].  En</w:t>
        <w:br/>
        <w:t xml:space="preserve">   este sentido, el Comité para la Eliminación de la  Discriminación  contra</w:t>
        <w:br/>
        <w:t xml:space="preserve">   la Mujer de las Naciones Unidas (en adelante, “el Comité de la CEDAW”) ha</w:t>
        <w:br/>
        <w:t xml:space="preserve">   declarado que la definición de la discriminación contra la mujer “incluye</w:t>
        <w:br/>
        <w:t xml:space="preserve">   la violencia basada en el sexo, es decir, la violencia dirigida contra la</w:t>
        <w:br/>
        <w:t xml:space="preserve">   mujer  [i]  porque  es  mujer   o   [ii]   que   la   afecta   en   forma</w:t>
        <w:br/>
        <w:t xml:space="preserve">   desproporcionada”. También ha señalado  que  “[l]a  violencia  contra  la</w:t>
        <w:br/>
        <w:t xml:space="preserve">   mujer es una forma de discriminación que impide gravemente  que  goce  de</w:t>
        <w:br/>
        <w:t xml:space="preserve">   derechos y libertades en pie de igualdad con el hombre”[274].</w:t>
        <w:br/>
        <w:br/>
        <w:br/>
        <w:t>176.  La  Corte  reitera  que  la  ineficacia  judicial   frente   a   casos</w:t>
        <w:br/>
        <w:t xml:space="preserve">   individuales de violencia contra las  mujeres  propicia  un  ambiente  de</w:t>
        <w:br/>
        <w:t xml:space="preserve">   impunidad que  facilita  y  promueve  la  repetición  de  los  hechos  de</w:t>
        <w:br/>
        <w:t xml:space="preserve">   violencia en general y envía un mensaje según el cual la violencia contra</w:t>
        <w:br/>
        <w:t xml:space="preserve">   las  mujeres  puede  ser  tolerada  y  aceptada,  lo  que   favorece   su</w:t>
        <w:br/>
        <w:t xml:space="preserve">   perpetuación y la aceptación social del fenómeno,  el  sentimiento  y  la</w:t>
        <w:br/>
        <w:t xml:space="preserve">   sensación de  inseguridad  de  las  mujeres,  así  como  una  persistente</w:t>
        <w:br/>
        <w:t xml:space="preserve">   desconfianza de estas en el sistema de administración  de  justicia[275].</w:t>
        <w:br/>
        <w:t xml:space="preserve">   Dicha ineficacia o indiferencia constituye en sí misma una discriminación</w:t>
        <w:br/>
        <w:t xml:space="preserve">   de la mujer en el acceso a la justicia. Por ello, cuando existan indicios</w:t>
        <w:br/>
        <w:t xml:space="preserve">   o sospechas concretas de violencia de género, la falta  de  investigación</w:t>
        <w:br/>
        <w:t xml:space="preserve">   por parte de las autoridades de los posibles móviles discriminatorios que</w:t>
        <w:br/>
        <w:t xml:space="preserve">   tuvo un acto de violencia contra la mujer, puede constituir en  sí  misma</w:t>
        <w:br/>
        <w:t xml:space="preserve">   una forma de discriminación basada en el género[276].</w:t>
        <w:br/>
        <w:br/>
        <w:t>177. Las declaraciones del señor Jorge Rolando Velásquez Durán y  la  señora</w:t>
        <w:br/>
        <w:t xml:space="preserve">   Elsa Claudina Paiz Vidal,  padre  y  madre  de  Claudina  Velásquez,  son</w:t>
        <w:br/>
        <w:t xml:space="preserve">   consistentes en cuanto a que el día que la  agente  de  la  PNC  Carolina</w:t>
        <w:br/>
        <w:t xml:space="preserve">   Elizabeth Ruiz se constituyó en su domicilio para entrevistarlos, hizo de</w:t>
        <w:br/>
        <w:t xml:space="preserve">   su  conocimiento  que   la   escena   del   crimen   no   fue   trabajada</w:t>
        <w:br/>
        <w:t xml:space="preserve">   profesionalmente debido a que hubo  un  prejuzgamiento  con  respecto  al</w:t>
        <w:br/>
        <w:t xml:space="preserve">   origen y condición de la víctima, siendo  que  se  le  había  clasificado</w:t>
        <w:br/>
        <w:t xml:space="preserve">   “como una cualquiera”, debido a: i) el lugar en que apareció  su  cuerpo;</w:t>
        <w:br/>
        <w:t xml:space="preserve">   ii) porque usaba una gargantilla en el cuello y un arete en el ombligo; y</w:t>
        <w:br/>
        <w:t xml:space="preserve">   iii) porque calzaba sandalias. Sin embargo, indicó que  al  observar  con</w:t>
        <w:br/>
        <w:t xml:space="preserve">   más detalle las características de Claudina Velásquez, se  dieron  cuenta</w:t>
        <w:br/>
        <w:t xml:space="preserve">   que estaban prejuzgando mal y estudiaron un  poco  mejor  la  escena  del</w:t>
        <w:br/>
        <w:t xml:space="preserve">   crimen[277].</w:t>
        <w:br/>
        <w:br/>
        <w:t>178. Al respecto, si bien no hubo una  negativa  categórica  por  parte  del</w:t>
        <w:br/>
        <w:t xml:space="preserve">   Estado en cuanto a que dichas manifestaciones hubiesen  sido  realizadas,</w:t>
        <w:br/>
        <w:t xml:space="preserve">   su defensa se basó en  sostener  que  ante  la  posibilidad  de  que  una</w:t>
        <w:br/>
        <w:t xml:space="preserve">   funcionaria policial hubiera emitido cualquier juicio lo habría hecho  “a</w:t>
        <w:br/>
        <w:t xml:space="preserve">   título personal” sin que afectara la investigación, y que  el  Ministerio</w:t>
        <w:br/>
        <w:t xml:space="preserve">   Público es el encargado de dirigir la investigación (supra párr. 141).</w:t>
        <w:br/>
        <w:br/>
        <w:t>179. La Corte constata que en agosto de 2005 la  señora  Carolina  Elizabeth</w:t>
        <w:br/>
        <w:t xml:space="preserve">   Ruiz fungía como Investigadora de la Unidad Contra Homicidios de  Mujeres</w:t>
        <w:br/>
        <w:t xml:space="preserve">   del Servicio de Investigación Criminal de la PNC y que fue asignada  como</w:t>
        <w:br/>
        <w:t xml:space="preserve">   investigadora  del  caso  sobre  la  muerte  de  Claudina  Velásquez.  Al</w:t>
        <w:br/>
        <w:t xml:space="preserve">   respecto, consta que, en el marco de  la  investigación  policial,  dicha</w:t>
        <w:br/>
        <w:t xml:space="preserve">   agente estatal realizó diversas diligencias investigativas,  mantuvo  una</w:t>
        <w:br/>
        <w:t xml:space="preserve">   participación  importante   durante   los   primeros   momentos   de   la</w:t>
        <w:br/>
        <w:t xml:space="preserve">   investigación y dirigió informes de investigación al  agente  fiscal  con</w:t>
        <w:br/>
        <w:t xml:space="preserve">   fechas de 13, 22 y 25 de agosto de  2005[278].  La  participación  de  la</w:t>
        <w:br/>
        <w:t xml:space="preserve">   investigadora Carolina Elizabeth Ruiz tenía como fundamento los artículos</w:t>
        <w:br/>
        <w:t xml:space="preserve">   304 y  307  del  Código  Procesal  Penal  vigente  en  la  época  de  los</w:t>
        <w:br/>
        <w:t xml:space="preserve">   hechos[279]. En razón de lo anterior, es claro  que  sus  manifestaciones</w:t>
        <w:br/>
        <w:t xml:space="preserve">   las hizo en el marco de sus  funciones  y  actividad  investigativa  como</w:t>
        <w:br/>
        <w:t xml:space="preserve">   agente  estatal,  y  teniendo  como  referente  importante  haber  estado</w:t>
        <w:br/>
        <w:t xml:space="preserve">   presente en el procesamiento de la escena del crimen  y  haber  observado</w:t>
        <w:br/>
        <w:t xml:space="preserve">   directamente el trabajo de  los  miembros  del  personal  de  la  Policía</w:t>
        <w:br/>
        <w:t xml:space="preserve">   Nacional Civil y del Ministerio Público.</w:t>
        <w:br/>
        <w:br/>
        <w:br/>
        <w:t>180. La Corte reitera que el estereotipo de género se  refiere  a  una  pre-</w:t>
        <w:br/>
        <w:t xml:space="preserve">   concepción de atributos, conductas o características poseídas  o  papeles</w:t>
        <w:br/>
        <w:t xml:space="preserve">   que   son   o   deberían   ser   ejecutados   por   hombres   y   mujeres</w:t>
        <w:br/>
        <w:t xml:space="preserve">   respectivamente[280], y que es posible asociar  la  subordinación  de  la</w:t>
        <w:br/>
        <w:t xml:space="preserve">   mujer  a  prácticas  basadas  en  estereotipos  de   género   socialmente</w:t>
        <w:br/>
        <w:t xml:space="preserve">   dominantes y socialmente persistentes. En este sentido, su creación y uso</w:t>
        <w:br/>
        <w:t xml:space="preserve">   se convierte en una de las causas y  consecuencias  de  la  violencia  de</w:t>
        <w:br/>
        <w:t xml:space="preserve">   género en contra de la  mujer,  condiciones  que  se  agravan  cuando  se</w:t>
        <w:br/>
        <w:t xml:space="preserve">   reflejan,  implícita  o  explícitamente,  en   políticas   y   prácticas,</w:t>
        <w:br/>
        <w:t xml:space="preserve">   particularmente en el razonamiento  y  el  lenguaje  de  las  autoridades</w:t>
        <w:br/>
        <w:t xml:space="preserve">   estatales[281].</w:t>
        <w:br/>
        <w:br/>
        <w:t>181. Las peritas Christine Mary Chinkin[282] y  Paloma  Soria  Montañez[283]</w:t>
        <w:br/>
        <w:t xml:space="preserve">   sostuvieron que las actuaciones investigativas de las  autoridades  sobre</w:t>
        <w:br/>
        <w:t xml:space="preserve">   la muerte violenta de Claudina  Velásquez  estuvieron  influenciadas  por</w:t>
        <w:br/>
        <w:t xml:space="preserve">   estereotipos de género, pues  en  efecto,  consideraron  que  “su  perfil</w:t>
        <w:br/>
        <w:t xml:space="preserve">   correspondía al de las pandillas y al de una prostituta”, “cuya muerte no</w:t>
        <w:br/>
        <w:t xml:space="preserve">   debía investigarse”. La perita Christine  Mary  Chinkin[284]  señaló  que</w:t>
        <w:br/>
        <w:t xml:space="preserve">   “los factores que contribuyeron  a  esta  interpretación  incluyeron  que</w:t>
        <w:br/>
        <w:t xml:space="preserve">   había desaparecido entrada la noche, había estado  en  una  fiesta,  [la]</w:t>
        <w:br/>
        <w:t xml:space="preserve">   ropa y accesorios [que portaba] […], el olor a alcohol en la  escena  del</w:t>
        <w:br/>
        <w:t xml:space="preserve">   crimen, el lugar en que fue encontrado su cuerpo y el hecho  de  que  era</w:t>
        <w:br/>
        <w:t xml:space="preserve">   mujer”. Indicó que “[e]sta aplicación de estereotipos que  caracteriza  a</w:t>
        <w:br/>
        <w:t xml:space="preserve">   las mujeres por su vestimenta impone restricciones  a  las  mujeres  -por</w:t>
        <w:br/>
        <w:t xml:space="preserve">   ejemplo,  su  libertad  de  movimiento,  expresión   y   asociación-   al</w:t>
        <w:br/>
        <w:t xml:space="preserve">   provocarles  temor  por  su  seguridad  e  incertidumbre  sobre  si   las</w:t>
        <w:br/>
        <w:t xml:space="preserve">   autoridades las protegerán adecuadamente”, y que “[e]l clima de impunidad</w:t>
        <w:br/>
        <w:t xml:space="preserve">   creado por las investigaciones inadecuadas contribuye  a  ello”.  Por  su</w:t>
        <w:br/>
        <w:t xml:space="preserve">   parte, la perita Paloma Soria Montañez[285] indicó que Claudina Velásquez</w:t>
        <w:br/>
        <w:t xml:space="preserve">   fue culpabilizada de su muerte “por ser joven, por haberse encontrado  su</w:t>
        <w:br/>
        <w:t xml:space="preserve">   cuerpo en una zona de pocos recursos, por la forma de vestir y por llevar</w:t>
        <w:br/>
        <w:t xml:space="preserve">   un aro en el ombligo”.</w:t>
        <w:br/>
        <w:br/>
        <w:br/>
        <w:t>182. En esta línea, Christine Mary Chinkin explicó que en el  presente  caso</w:t>
        <w:br/>
        <w:t xml:space="preserve">   se presentó una diferencia adversa en el trato con base en un estereotipo</w:t>
        <w:br/>
        <w:t xml:space="preserve">   de género, que fue generada mediante “la práctica de las  autoridades  de</w:t>
        <w:br/>
        <w:t xml:space="preserve">   considerar a la víctima  como  una  persona  cuya  muerte  -un  homicidio</w:t>
        <w:br/>
        <w:t xml:space="preserve">   relacionado  con  el  género-  no  merecía   ser   investigada”.   Dichos</w:t>
        <w:br/>
        <w:t xml:space="preserve">   estereotipos adversos y negativos están  sustentados  en  prejuicios  que</w:t>
        <w:br/>
        <w:t xml:space="preserve">   “evitan la plena aplicación del principio fundamental de  igualdad  entre</w:t>
        <w:br/>
        <w:t xml:space="preserve">   mujeres y hombres”. Sostuvo que su aplicación “afecta al  derecho  de  la</w:t>
        <w:br/>
        <w:t xml:space="preserve">   mujer a un juicio imparcial y justo, en tanto impone obstáculos que deben</w:t>
        <w:br/>
        <w:t xml:space="preserve">   superar las mujeres y que los hombres no enfrentan”. Así pues, “les niega</w:t>
        <w:br/>
        <w:t xml:space="preserve">   a las mujeres la igualdad ante la ley y el acceso a la justicia”. Por  lo</w:t>
        <w:br/>
        <w:t xml:space="preserve">   tanto, “incluso si Claudina Isabel Velásquez Paiz era  de  hecho  miembro</w:t>
        <w:br/>
        <w:t xml:space="preserve">   [de] una pandilla o prostituta o estaba vestida de una forma que  algunos</w:t>
        <w:br/>
        <w:t xml:space="preserve">   consideraran inapropiada, […] el requisito legal de igualdad ante la  ley</w:t>
        <w:br/>
        <w:t xml:space="preserve">   se mantiene  y  el  Estado  debe  ejercer  la  debida  diligencia  en  la</w:t>
        <w:br/>
        <w:t xml:space="preserve">   investigación”[286]. En el mismo sentido, Paloma Soria  Montañez  sostuvo</w:t>
        <w:br/>
        <w:t xml:space="preserve">   que “ser víctima de una muerte violenta […] convierte  [a  la  mujer]  en</w:t>
        <w:br/>
        <w:t xml:space="preserve">   cualquier categoría peyorativa y denigrante de acuerdo al estereotipo  de</w:t>
        <w:br/>
        <w:t xml:space="preserve">   género”. Explicó que “esto hizo que el caso no se investigara  de  manera</w:t>
        <w:br/>
        <w:t xml:space="preserve">   diligente ni se siguieran las  líneas  de  investigación  adecuadas”.  En</w:t>
        <w:br/>
        <w:t xml:space="preserve">   definitiva, “las autoridades culpaban a Claudina Isabel y a través de sus</w:t>
        <w:br/>
        <w:t xml:space="preserve">   actuaciones hacían entender que era merecedora de su  suerte.  Todo  esto</w:t>
        <w:br/>
        <w:t xml:space="preserve">   hace que a[l] día de hoy los actos de violencia ocurridos […]  queden  en</w:t>
        <w:br/>
        <w:t xml:space="preserve">   la impunidad”[287].</w:t>
        <w:br/>
        <w:br/>
        <w:br/>
        <w:t>183. La Corte reconoce, visibiliza y rechaza el estereotipo  de  género  por</w:t>
        <w:br/>
        <w:t xml:space="preserve">   el cual en los casos de  violencia  contra  la  mujer  las  víctimas  son</w:t>
        <w:br/>
        <w:t xml:space="preserve">   asimiladas al perfil  de  una  pandillera  y/o  una  prostituta  y/o  una</w:t>
        <w:br/>
        <w:t xml:space="preserve">   “cualquiera”, y no se consideran lo suficientemente importantes como para</w:t>
        <w:br/>
        <w:t xml:space="preserve">   ser investigados, haciendo además a la mujer responsable o merecedora  de</w:t>
        <w:br/>
        <w:t xml:space="preserve">   haber sido atacada.  En  este  sentido,  rechaza  toda  práctica  estatal</w:t>
        <w:br/>
        <w:t xml:space="preserve">   mediante la cual se justifica la  violencia  contra  la  mujer  y  se  le</w:t>
        <w:br/>
        <w:t xml:space="preserve">   culpabiliza de  esta,  toda  vez  que  valoraciones  de  esta  naturaleza</w:t>
        <w:br/>
        <w:t xml:space="preserve">   muestran un criterio  discrecional  y  discriminatorio  con  base  en  el</w:t>
        <w:br/>
        <w:t xml:space="preserve">   origen, condición y/o comportamiento de la víctima por el solo  hecho  de</w:t>
        <w:br/>
        <w:t xml:space="preserve">   ser mujer. Consecuentemente, la Corte considera que estos estereotipos de</w:t>
        <w:br/>
        <w:t xml:space="preserve">   género son incompatibles con el derecho  internacional  de  los  derechos</w:t>
        <w:br/>
        <w:t xml:space="preserve">   humanos y se deben tomar medidas para erradicarlos donde se presenten.</w:t>
        <w:br/>
        <w:br/>
        <w:t>184. La Corte observa que en el  presente  caso  estos  estereotipos  fueron</w:t>
        <w:br/>
        <w:t xml:space="preserve">   reiterados  por  diversos  agentes  estatales   en   el   marco   de   la</w:t>
        <w:br/>
        <w:t xml:space="preserve">   investigación, tal como se indica en los siguientes párrafos.</w:t>
        <w:br/>
        <w:br/>
        <w:br/>
        <w:t>185. Al respecto, la Procuraduría  de  los  Derechos  Humanos  de  Guatemala</w:t>
        <w:br/>
        <w:t xml:space="preserve">   indicó en su Informe  de  Verificación  sobre  Violaciones  al  deber  de</w:t>
        <w:br/>
        <w:t xml:space="preserve">   investigar en el caso  de  Claudina  Velásquez[288]  que  “el  tiempo  de</w:t>
        <w:br/>
        <w:t xml:space="preserve">   duración de la escena del delito parece demasiado breve, para  evidenciar</w:t>
        <w:br/>
        <w:t xml:space="preserve">   que fue hecho con  la  exhaustividad  necesaria  para  lograr  resultados</w:t>
        <w:br/>
        <w:t xml:space="preserve">   positivos para la investigación”. Dicha situación fue “corroborada por la</w:t>
        <w:br/>
        <w:t xml:space="preserve">   Oficial Carolina  Elizabeth  Ruiz”.  De  este  modo,  “[l]a  indiferencia</w:t>
        <w:br/>
        <w:t xml:space="preserve">   inicial en cuanto a investigar de forma diligente [el] caso,  se  explica</w:t>
        <w:br/>
        <w:t xml:space="preserve">   por la supuesta confusión de la identidad de la víctima”, a quien “por la</w:t>
        <w:br/>
        <w:t xml:space="preserve">   forma de vestir y el lugar del crimen, se pensó que era un delito que  no</w:t>
        <w:br/>
        <w:t xml:space="preserve">   valía  la  pena  investigar”.  Asimismo,  advirtió  que  “[l]a  falta  de</w:t>
        <w:br/>
        <w:t xml:space="preserve">   controles administrativos sobre la actividad del fiscal, incide en que no</w:t>
        <w:br/>
        <w:t xml:space="preserve">   exista una verdadera preocupación por hacer una  investigación  adecuada,</w:t>
        <w:br/>
        <w:t xml:space="preserve">   siendo un patrón generalizado en los casos de homicidios,  principalmente</w:t>
        <w:br/>
        <w:t xml:space="preserve">   si se piensa que la víctima es estereotipada como marginal”.</w:t>
        <w:br/>
        <w:br/>
        <w:t>186. Sumado a lo anterior, la Corte advierte que en  el  Informe  de  22  de</w:t>
        <w:br/>
        <w:t xml:space="preserve">   agosto de 2005  elaborado  por  la  investigadora  de  la  Unidad  Contra</w:t>
        <w:br/>
        <w:t xml:space="preserve">   Homicidios de Mujeres del Servicio de Investigación Criminal  de  la  PNC</w:t>
        <w:br/>
        <w:t xml:space="preserve">   (supra nota 278), se indicó que el móvil de la muerte  fue  “posiblemente</w:t>
        <w:br/>
        <w:t xml:space="preserve">   problema pasional bajo efectos de licor  con  el  saldo  de  una  persona</w:t>
        <w:br/>
        <w:t xml:space="preserve">   fallecida”.</w:t>
        <w:br/>
        <w:br/>
        <w:t>187. Sobre  este  punto,  el  perito  Alberto  Bovino[289]  afirmó  que  “el</w:t>
        <w:br/>
        <w:t xml:space="preserve">   concepto de ‘crimen pasional’ es parte de un estereotipo que justifica la</w:t>
        <w:br/>
        <w:t xml:space="preserve">   violencia contra la mujer. El calificativo ‘pasional’ pone el  acento  en</w:t>
        <w:br/>
        <w:t xml:space="preserve">   justificar la conducta del agresor”. Por ejemplo, “‘la mató  por  celos’,</w:t>
        <w:br/>
        <w:t xml:space="preserve">   ‘en un ataque de furia’, [son] expresiones que promueven la condena a  la</w:t>
        <w:br/>
        <w:t xml:space="preserve">   mujer que sufrió violencia. Se culpabiliza a la víctima y se respalda  la</w:t>
        <w:br/>
        <w:t xml:space="preserve">   acción violenta del agresor”. En este sentido, sostuvo que en el caso  de</w:t>
        <w:br/>
        <w:t xml:space="preserve">   la muerte de Claudina Velásquez se “prejuzgó sobre el móvil, atenuando la</w:t>
        <w:br/>
        <w:t xml:space="preserve">   responsabilidad  del  posible  autor  y  minimizando  la   necesidad   de</w:t>
        <w:br/>
        <w:t xml:space="preserve">   protección de la víctima”. Por otro lado, determinó que en supuestos como</w:t>
        <w:br/>
        <w:t xml:space="preserve">   los de este caso  “la  actividad  omisiva  o  defectuosa  representa  una</w:t>
        <w:br/>
        <w:t xml:space="preserve">   violación a la exigencia convencional  de  la  debida  diligencia  en  la</w:t>
        <w:br/>
        <w:t xml:space="preserve">   investigación y persecución penal de quienes cometieron graves  actos  de</w:t>
        <w:br/>
        <w:t xml:space="preserve">   violencia de género”.</w:t>
        <w:br/>
        <w:br/>
        <w:br/>
        <w:t>188. Además, al menos en un período de 10 días existió  confusión  sobre  la</w:t>
        <w:br/>
        <w:t xml:space="preserve">   naturaleza de un sobre encontrado cerca del cuerpo de Claudina Velásquez,</w:t>
        <w:br/>
        <w:t xml:space="preserve">   el cual en un principio se identificó como un envoltorio de preservativo,</w:t>
        <w:br/>
        <w:t xml:space="preserve">   error que fue subsanado al constatarse que en realidad se trataba  de  un</w:t>
        <w:br/>
        <w:t xml:space="preserve">   sobre de sopa roto sin contenido[290]  pero  que,  sin  embargo,  no  fue</w:t>
        <w:br/>
        <w:t xml:space="preserve">   preservado debidamente (supra  párr.  71).  Dicha  confusión  se  enmarca</w:t>
        <w:br/>
        <w:t xml:space="preserve">   dentro de  las  manifestaciones  y  prejuicios  en  cuanto  al  origen  y</w:t>
        <w:br/>
        <w:t xml:space="preserve">   condición de la víctima.</w:t>
        <w:br/>
        <w:br/>
        <w:t>189. Adicionalmente, más de tres años después de la muerte de la  víctima  y</w:t>
        <w:br/>
        <w:t xml:space="preserve">   en  el  marco  de  la  investigación  penal,  se  elaboró   un   Dictamen</w:t>
        <w:br/>
        <w:t xml:space="preserve">   Psiquiátrico Forense del INACIF el 24 de noviembre de 2008  (supra  párr.</w:t>
        <w:br/>
        <w:t xml:space="preserve">   88). En dicho dictamen, al hacer referencia al  perfil  victimológico  de</w:t>
        <w:br/>
        <w:t xml:space="preserve">   Claudina Velásquez se indicó: “Se considera que [esta] asume una posición</w:t>
        <w:br/>
        <w:t xml:space="preserve">   de víctima imprudente al colocarse en una situación de riesgo y no  medir</w:t>
        <w:br/>
        <w:t xml:space="preserve">   las consecuencias de caminar sola en horas de la  noche  hacia  su  casa;</w:t>
        <w:br/>
        <w:t xml:space="preserve">   esto evidencia una actitud impulsiva, inmadura e irresponsable incluso si</w:t>
        <w:br/>
        <w:t xml:space="preserve">   se logra confirmar [o] descartar que se encontrara bajo efectos de  licor</w:t>
        <w:br/>
        <w:t xml:space="preserve">   [o] droga[s]”. A su vez, al  establecer  el  perfil  psiquiátrico  de  la</w:t>
        <w:br/>
        <w:t xml:space="preserve">   víctima se señalaron observaciones tales como “Claudina Isabel  Velásquez</w:t>
        <w:br/>
        <w:t xml:space="preserve">   Paiz  es  capaz  de  desarrollar  relaciones  afectivas   heterosexuales,</w:t>
        <w:br/>
        <w:t xml:space="preserve">   monógamas”, que “[t]anto  en  las  relaciones  personales  como  sociales</w:t>
        <w:br/>
        <w:t xml:space="preserve">   predomina  el  consumo  de  alcohol  y  la  participación  en   reuniones</w:t>
        <w:br/>
        <w:t xml:space="preserve">   organizadas por sus amigos o los amigos de sus amigos[,]  constituyéndose</w:t>
        <w:br/>
        <w:t xml:space="preserve">   estas relaciones  como  prioritarias  en  su  vida  y  aparece  de  forma</w:t>
        <w:br/>
        <w:t xml:space="preserve">   secundaria el ambiente familiar básico y sus estudios universitarios  [,]</w:t>
        <w:br/>
        <w:t xml:space="preserve">   incluso se ausenta  de  clases  por  participar  en  actividades  de  sus</w:t>
        <w:br/>
        <w:t xml:space="preserve">   amigos”, y “[s]e encuentra también una actitud oposicional respecto a las</w:t>
        <w:br/>
        <w:t xml:space="preserve">   normas familiares y permisiva en las relaciones afectivas”[291].</w:t>
        <w:br/>
        <w:br/>
        <w:t>190. La Corte advierte que las actitudes que asumieron  las  autoridades  en</w:t>
        <w:br/>
        <w:t xml:space="preserve">   la investigación de la muerte  de  Claudina  Velásquez  no  es  un  hecho</w:t>
        <w:br/>
        <w:t xml:space="preserve">   aislado, pues coincide  con  el  contexto  sobre  la  “tendencia  de  los</w:t>
        <w:br/>
        <w:t xml:space="preserve">   investigadores a desacreditar a las víctimas  y  culpabilizarlas  por  su</w:t>
        <w:br/>
        <w:t xml:space="preserve">   estilo de vida, o ropa”, y la indagación  de  aspectos  relativos  a  las</w:t>
        <w:br/>
        <w:t xml:space="preserve">   relaciones personales y sexualidad de las víctimas, así como la impunidad</w:t>
        <w:br/>
        <w:t xml:space="preserve">   de los actos violentos que conllevan la muerte de  mujeres  (supra  párr.</w:t>
        <w:br/>
        <w:t xml:space="preserve">   49). Coincide además con las actitudes que tuvieron  los  funcionarios  a</w:t>
        <w:br/>
        <w:t xml:space="preserve">   cargo de la investigación en el  caso  Caso  Veliz  Franco  y  otros  Vs.</w:t>
        <w:br/>
        <w:t xml:space="preserve">   Guatemala, en el cual la Corte constató que omitieron pruebas pertinentes</w:t>
        <w:br/>
        <w:t xml:space="preserve">   para determinar la violencia  sexual,  o  las  realizaron  tardíamente  y</w:t>
        <w:br/>
        <w:t xml:space="preserve">   cuando los elementos de prueba estaban contaminados; la ausencia  de  una</w:t>
        <w:br/>
        <w:t xml:space="preserve">   investigación profunda y efectiva sobre el incidente violento  que  causó</w:t>
        <w:br/>
        <w:t xml:space="preserve">   la muerte de la víctima, así como de sus posibles causas y  motivaciones;</w:t>
        <w:br/>
        <w:t xml:space="preserve">   efectuaron declaraciones que denotaban la existencia  de  estereotipos  y</w:t>
        <w:br/>
        <w:t xml:space="preserve">   prejuicios sobre el rol social de las mujeres, con influencia negativa en</w:t>
        <w:br/>
        <w:t xml:space="preserve">   la investigación, en  la  medida  en  que  trasladaron  la  culpa  de  lo</w:t>
        <w:br/>
        <w:t xml:space="preserve">   acontecido a la  víctima  y  a  sus  familiares,  cerrando  otras  líneas</w:t>
        <w:br/>
        <w:t xml:space="preserve">   posibles  de  investigación  sobre  las   circunstancias   del   caso   e</w:t>
        <w:br/>
        <w:t xml:space="preserve">   identificación de los autores[292].</w:t>
        <w:br/>
        <w:br/>
        <w:t>191. En el presente caso, la Corte constató que la escena del crimen no  fue</w:t>
        <w:br/>
        <w:t xml:space="preserve">   trabajada como es debido ni con la exhaustividad  requerida  para  lograr</w:t>
        <w:br/>
        <w:t xml:space="preserve">   resultados  positivos  en  la  investigación;  hubo  una  falta   en   la</w:t>
        <w:br/>
        <w:t xml:space="preserve">   recaudación, documentación y preservación de evidencia, e irregularidades</w:t>
        <w:br/>
        <w:t xml:space="preserve">   en el reconocimiento médico forense, en la práctica de la necropsia y  en</w:t>
        <w:br/>
        <w:t xml:space="preserve">   su documentación respectiva. Además, las diligencias de investigación han</w:t>
        <w:br/>
        <w:t xml:space="preserve">   sido tardías, repetitivas y se han prolongado  a  través  del  tiempo,  y</w:t>
        <w:br/>
        <w:t xml:space="preserve">   algunas otras no se tiene claridad sobre las razones por  las  cuales  se</w:t>
        <w:br/>
        <w:t xml:space="preserve">   han practicado (supra párrs. 168 y 172). Dichas falencias  investigativas</w:t>
        <w:br/>
        <w:t xml:space="preserve">   no son  un  hecho  casual  ni  colateral  a  la  investigación;  son  una</w:t>
        <w:br/>
        <w:t xml:space="preserve">   consecuencia directa  de  una  práctica  común  de  las  autoridades  que</w:t>
        <w:br/>
        <w:t xml:space="preserve">   investigan de realizar una valoración estereotipada de la víctima, aunado</w:t>
        <w:br/>
        <w:t xml:space="preserve">   a la ausencia de controles administrativos  sobre  la  actividad  de  los</w:t>
        <w:br/>
        <w:t xml:space="preserve">   agentes estatales que intervinieron y actuaron en  la  investigación  con</w:t>
        <w:br/>
        <w:t xml:space="preserve">   base en estos estereotipos y prejuicios. Todo lo cual derivó  en  que  el</w:t>
        <w:br/>
        <w:t xml:space="preserve">   caso no se investigara de manera diligente ni con rigor, manteniéndose en</w:t>
        <w:br/>
        <w:t xml:space="preserve">   la impunidad hasta el día  de  hoy,  lo  cual  constituyó  una  forma  de</w:t>
        <w:br/>
        <w:t xml:space="preserve">   discriminación en el acceso a la justicia por razones de género.</w:t>
        <w:br/>
        <w:br/>
        <w:t>192. Ahora bien, es posible  asumir  que  la  muerte  violenta  de  Claudina</w:t>
        <w:br/>
        <w:t xml:space="preserve">   Velásquez Paiz fue una manifestación de violencia de género a los efectos</w:t>
        <w:br/>
        <w:t xml:space="preserve">   de la aplicación al caso del artículo 7 de  la  Convención  de  Belém  do</w:t>
        <w:br/>
        <w:t xml:space="preserve">   Pará[293], teniendo en cuenta:</w:t>
        <w:br/>
        <w:br/>
        <w:t xml:space="preserve"> a) los indicios de una probable violación sexual. El brasier no  lo  tenía</w:t>
        <w:br/>
        <w:t xml:space="preserve">    puesto sino colocado entre el pantalón  y  la  cadera,  el  zipper  del</w:t>
        <w:br/>
        <w:t xml:space="preserve">    pantalón estaba abajo, el  cincho  estaba  removido,  la  blusa  estaba</w:t>
        <w:br/>
        <w:t xml:space="preserve">    puesta al revés y se documentó la presencia  de  semen  en  la  cavidad</w:t>
        <w:br/>
        <w:t xml:space="preserve">    vaginal de la víctima (supra párrs. 56 y 67);</w:t>
        <w:br/>
        <w:t xml:space="preserve"> b) las lesiones que presentaba el cuerpo. Una lesión a nivel peri  orbital</w:t>
        <w:br/>
        <w:t xml:space="preserve">    y al lado izquierdo de  la  mejilla  causada  antes  de  su  muerte,  y</w:t>
        <w:br/>
        <w:t xml:space="preserve">    excoriaciones en la rodilla izquierda y a nivel  flanco,  aparentemente</w:t>
        <w:br/>
        <w:t xml:space="preserve">    causadas con posterioridad a la muerte (supra párr. 56), y</w:t>
        <w:br/>
        <w:t xml:space="preserve"> c) el contexto de aumento de la violencia homicida contra las  mujeres  en</w:t>
        <w:br/>
        <w:t xml:space="preserve">    Guatemala, agravamiento del grado de violencia  contra  aquellas  y  el</w:t>
        <w:br/>
        <w:t xml:space="preserve">    ensañamiento ejercidos contra los cuerpos de muchas de las víctimas, lo</w:t>
        <w:br/>
        <w:t xml:space="preserve">    cual ocurre en un entorno de diversas formas  de  violencia  contra  la</w:t>
        <w:br/>
        <w:t xml:space="preserve">    mujer (supra párrs. 45 y 48).</w:t>
        <w:br/>
        <w:br/>
        <w:t>193. Cabe señalar que los dos agentes  policiales  que  acudieron  al  lugar</w:t>
        <w:br/>
        <w:t xml:space="preserve">   donde se encontró  el  cuerpo  sin  vida  de  Claudina  Velásquez  fueron</w:t>
        <w:br/>
        <w:t xml:space="preserve">   entrevistados y, al menos al 24 de octubre de 2005, se tenía registro  de</w:t>
        <w:br/>
        <w:t xml:space="preserve">   que realizaron manifestaciones específicas  sobre  la  posible  violación</w:t>
        <w:br/>
        <w:t xml:space="preserve">   sexual de la víctima. El primero indicó que “el brasier estaba  lleno  de</w:t>
        <w:br/>
        <w:t xml:space="preserve">   sangre [y que] no lo tenía puesto[,] sino que lo tenía entre el pantalón,</w:t>
        <w:br/>
        <w:t xml:space="preserve">   por lo que él presume que a la jovencita la hayan  violado”.  El  segundo</w:t>
        <w:br/>
        <w:t xml:space="preserve">   señaló que “[s]e presume que fue violada porque la  ropa  interior  tenía</w:t>
        <w:br/>
        <w:t xml:space="preserve">   manchas de sangre y no tenía puesto el brasier”[294].</w:t>
        <w:br/>
        <w:br/>
        <w:t>194. Aunado a ello, mediante el Dictamen  Psiquiátrico  Forense  del  INACIF</w:t>
        <w:br/>
        <w:t xml:space="preserve">   elaborado el 24 de noviembre de 2008 se  determinó,  con  respecto  a  la</w:t>
        <w:br/>
        <w:t xml:space="preserve">   valoración de la escena del crimen y consideraciones sobre el victimario,</w:t>
        <w:br/>
        <w:t xml:space="preserve">   que:</w:t>
        <w:br/>
        <w:br/>
        <w:t xml:space="preserve">      [E]n el hecho participaron por lo menos 2  personas  o  más,  [y…]  se</w:t>
        <w:br/>
        <w:t xml:space="preserve">      pueden  establecer  por  lo  menos  3  diferentes   escenarios   donde</w:t>
        <w:br/>
        <w:t xml:space="preserve">      sucedieron los hechos: un lugar de captura de  la  víctima,  un  lugar</w:t>
        <w:br/>
        <w:t xml:space="preserve">      donde se desarrolla la agresión y un lugar de abandono de la  víctima;</w:t>
        <w:br/>
        <w:t xml:space="preserve">      esto sugiere que  el  hecho  si  bien  pudo  haber  tenido  un  inicio</w:t>
        <w:br/>
        <w:t xml:space="preserve">      circunstancial se desarrolló metodológicamente,  sin  saña  y  con  un</w:t>
        <w:br/>
        <w:t xml:space="preserve">      desenlace que orienta a pensar en que, quien ejecutó  el  hecho  tenía</w:t>
        <w:br/>
        <w:t xml:space="preserve">      pleno conocimiento de uso de armas y experiencia con  la  comisión  de</w:t>
        <w:br/>
        <w:t xml:space="preserve">      este tipo de hechos. Es evidente que  fue  objeto  de  algún  tipo  de</w:t>
        <w:br/>
        <w:t xml:space="preserve">      manipulación estando posiblemente  desnuda  y  fue  vestida  por  otra</w:t>
        <w:br/>
        <w:t xml:space="preserve">      persona[295].</w:t>
        <w:br/>
        <w:br/>
        <w:t>195. Sumado a lo anterior, el 20 de enero de  2009  el  médico  forense  que</w:t>
        <w:br/>
        <w:t xml:space="preserve">   realizó el reconocimiento médico forense del cuerpo en  el  lugar  de  su</w:t>
        <w:br/>
        <w:t xml:space="preserve">   hallazgo, declaró que “el brasier estaba sobre  puesto,  la  blusa  y  el</w:t>
        <w:br/>
        <w:t xml:space="preserve">   suéter se encontraban puestos al revés, tenía el cincho desabrochado y el</w:t>
        <w:br/>
        <w:t xml:space="preserve">   zíper del pantalón abajo” y podía inferir “que hubo abuso sexual y que es</w:t>
        <w:br/>
        <w:t xml:space="preserve">   posible que la víctima conociera [a] su atacante”[296].</w:t>
        <w:br/>
        <w:br/>
        <w:t>196. En definitiva, la existencia de indicios  sobre  posible  violencia  de</w:t>
        <w:br/>
        <w:t xml:space="preserve">   género en contra  de  Claudina  Velásquez  fue  de  conocimiento  de  las</w:t>
        <w:br/>
        <w:t xml:space="preserve">   autoridades encargadas de la  investigación  a  partir  de  los  primeros</w:t>
        <w:br/>
        <w:t xml:space="preserve">   momentos en  que  se  inició  la  investigación.  Adicionalmente,  dichos</w:t>
        <w:br/>
        <w:t xml:space="preserve">   indicios fueron referidos reiteradamente en el transcurso de la misma. No</w:t>
        <w:br/>
        <w:t xml:space="preserve">   obstante,   a   causa   de   los   prejuicios   y   las   manifestaciones</w:t>
        <w:br/>
        <w:t xml:space="preserve">   discriminatorias  basadas  en  estereotipos  de  género  de  los  agentes</w:t>
        <w:br/>
        <w:t xml:space="preserve">   estatales que intervinieron en la investigación, se  omitió  conducir  la</w:t>
        <w:br/>
        <w:t xml:space="preserve">   investigación desde  un  enfoque  de  género  y  la  muerte  de  Claudina</w:t>
        <w:br/>
        <w:t xml:space="preserve">   Velásquez fue conducida como un homicidio más[297].</w:t>
        <w:br/>
        <w:br/>
        <w:t>197. Para  la  Corte  tres  aspectos  son  fundamentales  en  cuanto  a  las</w:t>
        <w:br/>
        <w:t xml:space="preserve">   consecuencias derivadas de la  falta  de  un  enfoque  de  género  en  la</w:t>
        <w:br/>
        <w:t xml:space="preserve">   investigación penal. Primero, la invisibilización de  las  circunstancias</w:t>
        <w:br/>
        <w:t xml:space="preserve">   previas a la muerte, siendo que los indicios indican la existencia de  un</w:t>
        <w:br/>
        <w:t xml:space="preserve">   acto  de  violencia  ocurrido   previo   a   la   muerte.   Segundo,   la</w:t>
        <w:br/>
        <w:t xml:space="preserve">   invisibilización de la forma en que ocurrió la muerte, a pesar que de los</w:t>
        <w:br/>
        <w:t xml:space="preserve">   indicios se desprende la  presunta  comisión  de  un  acto  de  violencia</w:t>
        <w:br/>
        <w:t xml:space="preserve">   ocurrido con posterioridad a la muerte. Tercero, la  invisibilización  de</w:t>
        <w:br/>
        <w:t xml:space="preserve">   la posible violencia sexual. Estos tres aspectos se  presentan  como  una</w:t>
        <w:br/>
        <w:t xml:space="preserve">   posible reiteración de la violencia ejercida  en  contra  de  la  víctima</w:t>
        <w:br/>
        <w:t xml:space="preserve">   ocurrida durante el tiempo de su desaparición, y adicionales al hecho  de</w:t>
        <w:br/>
        <w:t xml:space="preserve">   darle muerte.</w:t>
        <w:br/>
        <w:br/>
        <w:t>198. En razón de todo lo anterior, el  Estado  incumplió  su  obligación  de</w:t>
        <w:br/>
        <w:t xml:space="preserve">   investigar ex officio la muerte de Claudina Velásquez  como  una  posible</w:t>
        <w:br/>
        <w:t xml:space="preserve">   manifestación de violencia de género y con un enfoque de género.  Por  el</w:t>
        <w:br/>
        <w:t xml:space="preserve">   contrario, la investigación se  limitó  a  la  muerte  de  la  víctima  y</w:t>
        <w:br/>
        <w:t xml:space="preserve">   continuó como un caso de homicidio sin tener  en  cuenta  los  estándares</w:t>
        <w:br/>
        <w:t xml:space="preserve">   establecidos para este tipo de casos. Así  pues,  no  se  aseguraron  las</w:t>
        <w:br/>
        <w:t xml:space="preserve">   pruebas como la ropa de la víctima ni su correcta cadena de custodia;  no</w:t>
        <w:br/>
        <w:t xml:space="preserve">   se conservaron las evidencias físicas; no se realizaron  los  exámenes  y</w:t>
        <w:br/>
        <w:t xml:space="preserve">   pericias  correspondientes;  no  se  siguieron  líneas  de  investigación</w:t>
        <w:br/>
        <w:t xml:space="preserve">   adecuadas y se cerraron otras líneas posibles de investigación sobre  las</w:t>
        <w:br/>
        <w:t xml:space="preserve">   circunstancias del caso e identificación de los  autores.  Por  ende,  el</w:t>
        <w:br/>
        <w:t xml:space="preserve">   Estado faltó a su deber de investigar con debida diligencia.</w:t>
        <w:br/>
        <w:br/>
        <w:br/>
        <w:t>199. En consecuencia, la Corte estima que la investigación de la  muerte  de</w:t>
        <w:br/>
        <w:t xml:space="preserve">   Claudina Velásquez no ha sido conducida con una perspectiva de género  de</w:t>
        <w:br/>
        <w:t xml:space="preserve">   acuerdo a las obligaciones especiales  impuestas  por  la  Convención  de</w:t>
        <w:br/>
        <w:t xml:space="preserve">   Belém do Pará. Al igual que en el Caso Veliz Franco  y  otros,  la  Corte</w:t>
        <w:br/>
        <w:t xml:space="preserve">   considera que se ha violado tanto el derecho a la igual protección de  la</w:t>
        <w:br/>
        <w:t xml:space="preserve">   ley  (artículo  24)  como  el  deber  de  respetar   y   garantizar   sin</w:t>
        <w:br/>
        <w:t xml:space="preserve">   discriminación  los  derechos  contenidos  en  la  Convención   Americana</w:t>
        <w:br/>
        <w:t xml:space="preserve">   (artículo 1.1), en razón que los  hechos  del  presente  caso  comprenden</w:t>
        <w:br/>
        <w:t xml:space="preserve">   ambas modalidades de discriminación y, por lo tanto, no se hace necesario</w:t>
        <w:br/>
        <w:t xml:space="preserve">   realizar una distinción.</w:t>
        <w:br/>
        <w:br/>
        <w:t>B.4. Conclusión general</w:t>
        <w:br/>
        <w:br/>
        <w:t>200. La Corte considera que en el presente  caso,  el  Estado  incumplió  su</w:t>
        <w:br/>
        <w:t xml:space="preserve">   obligación de investigar la muerte violenta de  Claudina  Velásquez  como</w:t>
        <w:br/>
        <w:t xml:space="preserve">   una posible manifestación de violencia de género  y  con  un  enfoque  de</w:t>
        <w:br/>
        <w:t xml:space="preserve">   género. A su vez, la existencia de estereotipos de  género  y  prejuicios</w:t>
        <w:br/>
        <w:t xml:space="preserve">   por los cuales se consideró a Claudina Isabel  Velásquez  Paiz  como  una</w:t>
        <w:br/>
        <w:t xml:space="preserve">   persona cuya muerte no merecía ser investigada derivó en que el  caso  no</w:t>
        <w:br/>
        <w:t xml:space="preserve">   se investigara de manera  diligente  ni  con  rigor.  Todo  lo  anterior,</w:t>
        <w:br/>
        <w:t xml:space="preserve">   constituyó violencia contra la mujer y una forma de discriminación en  el</w:t>
        <w:br/>
        <w:t xml:space="preserve">   acceso a la justicia por razones de género.</w:t>
        <w:br/>
        <w:br/>
        <w:t>201. En el presente caso, la Corte constató que la escena del crimen no  fue</w:t>
        <w:br/>
        <w:t xml:space="preserve">   trabajada como es debido ni con la exhaustividad  requerida  para  lograr</w:t>
        <w:br/>
        <w:t xml:space="preserve">   resultados  positivos  en  la  investigación;  hubo  una  falta   en   la</w:t>
        <w:br/>
        <w:t xml:space="preserve">   recaudación,  documentación  y  preservación   de   evidencia;   y   hubo</w:t>
        <w:br/>
        <w:t xml:space="preserve">   irregularidades en el reconocimiento médico forense y en la  práctica  de</w:t>
        <w:br/>
        <w:t xml:space="preserve">   la necropsia, así como en su documentación respectiva.  La  presencia  de</w:t>
        <w:br/>
        <w:t xml:space="preserve">   estas  falencias  en  las  primeras  diligencias  de   la   investigación</w:t>
        <w:br/>
        <w:t xml:space="preserve">   difícilmente pueden ser subsanadas, aunado a la pérdida de evidencia  que</w:t>
        <w:br/>
        <w:t xml:space="preserve">   deviene en irreparable. Además, las diligencias de investigación han sido</w:t>
        <w:br/>
        <w:t xml:space="preserve">   tardías, repetitivas y se han prolongado a través del tiempo,  y  algunas</w:t>
        <w:br/>
        <w:t xml:space="preserve">   otras no se tiene claridad sobre  las  razones  por  las  cuales  se  han</w:t>
        <w:br/>
        <w:t xml:space="preserve">   practicado. A su vez, no se siguieron líneas de investigación  adecuadas.</w:t>
        <w:br/>
        <w:t xml:space="preserve">   Dichas falencias  investigativas  son  una  consecuencia  directa  de  la</w:t>
        <w:br/>
        <w:t xml:space="preserve">   valoración estereotipada que las autoridades que investigan  hicieron  de</w:t>
        <w:br/>
        <w:t xml:space="preserve">   la víctima y de la falta de un enfoque de género sobre la misma.  Es  así</w:t>
        <w:br/>
        <w:t xml:space="preserve">   que, transcurridos más de 10 años de los hechos del caso y desde  que  se</w:t>
        <w:br/>
        <w:t xml:space="preserve">   inició la investigación, la muerte de Claudina Velásquez aún se encuentra</w:t>
        <w:br/>
        <w:t xml:space="preserve">   en la más absoluta impunidad, fuera de todo plazo razonable.</w:t>
        <w:br/>
        <w:br/>
        <w:t>202. Por  lo  anterior,  el  Estado  violó  los  derechos  a  las  garantías</w:t>
        <w:br/>
        <w:t xml:space="preserve">   judiciales y a la protección judicial, reconocidos en los artículos 8.1 y</w:t>
        <w:br/>
        <w:t xml:space="preserve">   25.1 de la Convención Americana sobre Derechos Humanos, y el derecho a la</w:t>
        <w:br/>
        <w:t xml:space="preserve">   igualdad ante la ley reconocido en el artículo 24 de  la  Convención,  en</w:t>
        <w:br/>
        <w:t xml:space="preserve">   relación con las obligaciones generales contenidas en los artículos 1.1 y</w:t>
        <w:br/>
        <w:t xml:space="preserve">   2 de la misma, y con el artículo 7 de la Convención  Interamericana  para</w:t>
        <w:br/>
        <w:t xml:space="preserve">   Prevenir,  Sancionar  y  Erradicar  la  Violencia  contra  la  Mujer,  en</w:t>
        <w:br/>
        <w:t xml:space="preserve">   perjuicio de Jorge Rolando Velásquez Durán, Elsa Claudina  Paiz  Vidal  y</w:t>
        <w:br/>
        <w:t xml:space="preserve">   Pablo Andrés Velásquez Paiz, todos ellos familiares  de  Claudina  Isabel</w:t>
        <w:br/>
        <w:t xml:space="preserve">   Velásquez Paiz.</w:t>
        <w:br/>
        <w:br/>
        <w:t>203. Por otro lado, este Tribunal estima que  las  alegadas  violaciones  de</w:t>
        <w:br/>
        <w:t xml:space="preserve">   los artículos 13 y 22 de la Convención Americana  ya  fueron  debidamente</w:t>
        <w:br/>
        <w:t xml:space="preserve">   consideradas en la fundamentación del  presente  capítulo,  sin  que  sea</w:t>
        <w:br/>
        <w:t xml:space="preserve">   necesario emitir un pronunciamiento autónomo sobre su alegada violación.</w:t>
        <w:br/>
        <w:br/>
        <w:br/>
        <w:br/>
        <w:t xml:space="preserve">                                   VII.III</w:t>
        <w:br/>
        <w:t xml:space="preserve">   DERECHOS A LA INTEGRIDAD PERSONAL[298] Y PROTECCIÓN DE LA HONRA Y DE LA</w:t>
        <w:br/>
        <w:t xml:space="preserve">                DIGNIDAD[299], EN PERJUICIO DE LOS FAMILIARES</w:t>
        <w:br/>
        <w:br/>
        <w:t xml:space="preserve">      A. Argumentos de la Comisión y de las partes</w:t>
        <w:br/>
        <w:br/>
        <w:t>204. La Comisión argumentó que en  este  caso  los  familiares  de  Claudina</w:t>
        <w:br/>
        <w:t xml:space="preserve">   Velásquez  habían  padecido  un  profundo  sufrimiento   y   angustia   a</w:t>
        <w:br/>
        <w:t xml:space="preserve">   consecuencia de las irregularidades y demoras en la investigación  de  su</w:t>
        <w:br/>
        <w:t xml:space="preserve">   desaparición y posterior muerte, así como por la falta de sanción de  los</w:t>
        <w:br/>
        <w:t xml:space="preserve">   responsables de estos hechos después de siete años  del  hallazgo  de  su</w:t>
        <w:br/>
        <w:t xml:space="preserve">   cuerpo. Alegó también que el continuo cambio de fiscales encargados de la</w:t>
        <w:br/>
        <w:t xml:space="preserve">   investigación ha sido una fuente de victimización, pues  implicó  que  la</w:t>
        <w:br/>
        <w:t xml:space="preserve">   familia haya tenido que repetir “innumerables veces” los hechos del caso,</w:t>
        <w:br/>
        <w:t xml:space="preserve">   con el subsecuente dolor y daño emocional. Además, se refirió a la escasa</w:t>
        <w:br/>
        <w:t xml:space="preserve">   importancia y sensibilidad que los funcionarios  estatales  otorgaron  al</w:t>
        <w:br/>
        <w:t xml:space="preserve">   sufrimiento de los familiares,  particularmente  por  “la  presencia  del</w:t>
        <w:br/>
        <w:t xml:space="preserve">   Ministerio Público en  el  lugar  donde  los  familiares  se  encontraban</w:t>
        <w:br/>
        <w:t xml:space="preserve">   velando el cuerpo de la presunta víctima, con la finalidad de  tomar  las</w:t>
        <w:br/>
        <w:t xml:space="preserve">   huellas […] dactilares”, situación en que “los funcionarios […]  llegaron</w:t>
        <w:br/>
        <w:t xml:space="preserve">   a amenazarlos con un posible procesamiento si los  padres  se  negaban  a</w:t>
        <w:br/>
        <w:t xml:space="preserve">   este procedimiento”. Sostuvo también que la Procuraduría de los  Derechos</w:t>
        <w:br/>
        <w:t xml:space="preserve">   Humanos había indicado que la familia sufrió comentarios  vejatorios,  en</w:t>
        <w:br/>
        <w:t xml:space="preserve">   sentido que debido a  ciertas  características  se  había  confundido  el</w:t>
        <w:br/>
        <w:t xml:space="preserve">   perfil de la víctima. La Procuraduría también encontró que  por  períodos</w:t>
        <w:br/>
        <w:t xml:space="preserve">   se impidió el acceso al expediente penal al señor  Jorge  Velásquez.  Por</w:t>
        <w:br/>
        <w:t xml:space="preserve">   tanto, la Comisión concluyó que el Estado violó el  artículo  5.1  de  la</w:t>
        <w:br/>
        <w:t xml:space="preserve">   Convención Americana, en  concordancia  con  el  artículo  1.1  de  dicho</w:t>
        <w:br/>
        <w:t xml:space="preserve">   instrumento, en perjuicio de Jorge Rolando Velásquez Durán, Elsa Claudina</w:t>
        <w:br/>
        <w:t xml:space="preserve">   Paiz Vidal y Pablo Andrés Velásquez Paiz.</w:t>
        <w:br/>
        <w:br/>
        <w:t>205.  Los  representantes  coincidieron  sustancialmente  con  la  Comisión.</w:t>
        <w:br/>
        <w:t xml:space="preserve">   Además, hicieron referencia a que la violación  a  la  integridad  de  la</w:t>
        <w:br/>
        <w:t xml:space="preserve">   familia se configuraba debido a que los agentes de la policía se  negaron</w:t>
        <w:br/>
        <w:t xml:space="preserve">   dos veces a recibir los  reportes  de  la  desaparición  de  la  presunta</w:t>
        <w:br/>
        <w:t xml:space="preserve">   víctima y, por tanto, no  se  investigó  efectivamente  su  desaparición.</w:t>
        <w:br/>
        <w:t xml:space="preserve">   Igualmente, la toma inoportuna  de  las  huellas  dactilares  durante  el</w:t>
        <w:br/>
        <w:t xml:space="preserve">   funeral de Claudina Velásquez victimizó a su familia y mostró  una  grave</w:t>
        <w:br/>
        <w:t xml:space="preserve">   falta de respeto a su integridad psíquica y moral. También señalaron  que</w:t>
        <w:br/>
        <w:t xml:space="preserve">   la  familia  ha  sufrido  por  el   desprecio,   falta   de   interés   y</w:t>
        <w:br/>
        <w:t xml:space="preserve">   desconocimiento de los fiscales y funcionarios que han tenido a su  cargo</w:t>
        <w:br/>
        <w:t xml:space="preserve">   el  caso  y  quienes  los  han  obligado  a  relatar  la  misma  historia</w:t>
        <w:br/>
        <w:t xml:space="preserve">   innumerables veces,  con  las  subsecuentes  secuelas  de  dolor  y  daño</w:t>
        <w:br/>
        <w:t xml:space="preserve">   emocional que esto ocasiona. Todo ello sumado a las graves faltas en  que</w:t>
        <w:br/>
        <w:t xml:space="preserve">   han incurrido los distintos funcionarios públicos que han participado  en</w:t>
        <w:br/>
        <w:t xml:space="preserve">   el  proceso  de  investigación.  En  sus   alegatos   finales   escritos,</w:t>
        <w:br/>
        <w:t xml:space="preserve">   sostuvieron que el señor Jorge Velásquez habría  impulsado  las  acciones</w:t>
        <w:br/>
        <w:t xml:space="preserve">   investigativas destinadas a descubrir la verdad de lo que paso a su hija,</w:t>
        <w:br/>
        <w:t xml:space="preserve">   y que  ello  habría  provocado  en  la  familia  “sufrimiento,  angustia,</w:t>
        <w:br/>
        <w:t xml:space="preserve">   inseguridad,  frustración  e  impotencia  ante  las  [omisiones  de  las]</w:t>
        <w:br/>
        <w:t xml:space="preserve">   autoridades estatales”.</w:t>
        <w:br/>
        <w:br/>
        <w:t>206. Por otra parte, los representantes alegaron la violación  del  artículo</w:t>
        <w:br/>
        <w:t xml:space="preserve">   11, en relación con  el  artículo  1.1  de  la  Convención  American,  en</w:t>
        <w:br/>
        <w:t xml:space="preserve">   perjuicio de Claudina Velásquez Paiz y su familia, por el  trato  dado  a</w:t>
        <w:br/>
        <w:t xml:space="preserve">   los restos mortales de aquélla, debido a: i) que  “de  manera  chocante”,</w:t>
        <w:br/>
        <w:t xml:space="preserve">   los funcionarios del Ministerio Publico interrumpieron la vigilia  de  la</w:t>
        <w:br/>
        <w:t xml:space="preserve">   familia en la funeraria para tomar las huellas dactilares del cuerpo; ii)</w:t>
        <w:br/>
        <w:t xml:space="preserve">   el cadáver ya había sido manipulado antes  de  su  examen,  tal  como  se</w:t>
        <w:br/>
        <w:t xml:space="preserve">   indicó en  el  informe  del  médico  forense,  y  iii)  los  funcionarios</w:t>
        <w:br/>
        <w:t xml:space="preserve">   siguieron señalando el cadáver como “XX” tras  su  identificación.  Estos</w:t>
        <w:br/>
        <w:t xml:space="preserve">   hechos y los múltiples otros errores alegados en la investigación forense</w:t>
        <w:br/>
        <w:t xml:space="preserve">   demostrarían una plena falta de respeto a  la  honra  y  la  dignidad  de</w:t>
        <w:br/>
        <w:t xml:space="preserve">   Claudina Velásquez y sus familiares.</w:t>
        <w:br/>
        <w:br/>
        <w:t>207. El Estado afirmó que el derecho a la integridad personal  se  encuentra</w:t>
        <w:br/>
        <w:t xml:space="preserve">   consagrado en su normativa interna. Señaló que la investigación penal  se</w:t>
        <w:br/>
        <w:t xml:space="preserve">   ha llevado de manera diligente y  acorde  con  sus  recursos,  y  que  el</w:t>
        <w:br/>
        <w:t xml:space="preserve">   sufrimiento  producido  por  los  hechos  “es  una  consecuencia  de   su</w:t>
        <w:br/>
        <w:t xml:space="preserve">   acaecimiento y no fue causado por el  Estado”.  Informó  que  cuenta  con</w:t>
        <w:br/>
        <w:t xml:space="preserve">   centros que pueden brindar atención psicológica a los peticionarios.  Sin</w:t>
        <w:br/>
        <w:t xml:space="preserve">   embargo, “no consta que en algún momento hayan requerido  dicho  apoyo  o</w:t>
        <w:br/>
        <w:t xml:space="preserve">   bien ha[y]an asistido a su tratamiento”, por lo que “el  Estado  no  pudo</w:t>
        <w:br/>
        <w:t xml:space="preserve">   siquiera prevenir que se viera afectada la integridad psíquica  ni  moral</w:t>
        <w:br/>
        <w:t xml:space="preserve">   de estas personas”. Rechazó el alegato  de  que  sus  funcionarios  hayan</w:t>
        <w:br/>
        <w:t xml:space="preserve">   tratado a los familiares  con  desprecio  y  falta  de  interés.  Por  lo</w:t>
        <w:br/>
        <w:t xml:space="preserve">   anterior, el Estado consideró que no es responsable de la  violación  del</w:t>
        <w:br/>
        <w:t xml:space="preserve">   derecho a la integridad personal de los familiares de Claudina Velásquez.</w:t>
        <w:br/>
        <w:br/>
        <w:br/>
        <w:br/>
        <w:t>208. Por otro lado, Guatemala argumentó que respecto a la protección  de  la</w:t>
        <w:br/>
        <w:t xml:space="preserve">   honra y de la dignidad, en ninguna circunstancia se violó el artículo  11</w:t>
        <w:br/>
        <w:t xml:space="preserve">   de la Convención Americana. Sostuvo que la toma de huellas dactilares fue</w:t>
        <w:br/>
        <w:t xml:space="preserve">   un  procedimiento  necesario  para  la  investigación,  que  aunque   fue</w:t>
        <w:br/>
        <w:t xml:space="preserve">   realizado durante el funeral de la presunta víctima,  no  se  realizó  de</w:t>
        <w:br/>
        <w:t xml:space="preserve">   forma pública, y  que  los  familiares  autorizaron  a  los  funcionarios</w:t>
        <w:br/>
        <w:t xml:space="preserve">   estatales a realizar  dicha  diligencia.  En  lo  que  se  refiere  a  la</w:t>
        <w:br/>
        <w:t xml:space="preserve">   identificación del cadáver como “XX” y los supuestos errores cometidos en</w:t>
        <w:br/>
        <w:t xml:space="preserve">   la investigación, subrayó que fueron subsanados y el autor sancionado,  y</w:t>
        <w:br/>
        <w:t xml:space="preserve">   que son un porcentaje mínimo del total de diligencias llevadas a cabo  en</w:t>
        <w:br/>
        <w:t xml:space="preserve">   la investigación.</w:t>
        <w:br/>
        <w:br/>
        <w:t xml:space="preserve">      B. Consideraciones de la Corte</w:t>
        <w:br/>
        <w:br/>
        <w:t>209. La Corte ha señalado en otras oportunidades que los familiares  de  las</w:t>
        <w:br/>
        <w:t xml:space="preserve">   víctimas de violaciones de los derechos humanos pueden  ser,  a  su  vez,</w:t>
        <w:br/>
        <w:t xml:space="preserve">   víctimas[300]. El  Tribunal  ha  considerado  violado  el  derecho  a  la</w:t>
        <w:br/>
        <w:t xml:space="preserve">   integridad  psíquica  y  moral  de  algunos  familiares  con  motivo  del</w:t>
        <w:br/>
        <w:t xml:space="preserve">   sufrimiento que estos han padecido a causa de las actuaciones u omisiones</w:t>
        <w:br/>
        <w:t xml:space="preserve">   de las autoridades estatales[301], tomando en cuenta,  entre  otros,  las</w:t>
        <w:br/>
        <w:t xml:space="preserve">   gestiones realizadas para obtener justicia y la existencia de un estrecho</w:t>
        <w:br/>
        <w:t xml:space="preserve">   vínculo familiar[302]. También se  ha  declarado  la  violación  de  este</w:t>
        <w:br/>
        <w:t xml:space="preserve">   derecho por el sufrimiento generado a partir de los hechos perpetrados en</w:t>
        <w:br/>
        <w:t xml:space="preserve">   contra de sus seres queridos[303].</w:t>
        <w:br/>
        <w:br/>
        <w:t>210. A continuación, la  Corte  analizará  si  se  acreditan  las  presuntas</w:t>
        <w:br/>
        <w:t xml:space="preserve">   afectaciones a la integridad personal, alegadas por  la  Comisión  y  los</w:t>
        <w:br/>
        <w:t xml:space="preserve">   representantes. Posteriormente, analizará  si  se  configuró  la  alegada</w:t>
        <w:br/>
        <w:t xml:space="preserve">   violación de la protección de la honra y de la dignidad, argumentada  por</w:t>
        <w:br/>
        <w:t xml:space="preserve">   los representantes.</w:t>
        <w:br/>
        <w:br/>
        <w:br/>
        <w:t>211. En cuanto a las presuntas afectaciones a la integridad personal de  los</w:t>
        <w:br/>
        <w:t xml:space="preserve">   familiares, durante la audiencia pública el señor Jorge Rolando Velásquez</w:t>
        <w:br/>
        <w:t xml:space="preserve">   Durán manifestó lo “aterrador” que fue para él presenciar a  los  agentes</w:t>
        <w:br/>
        <w:t xml:space="preserve">   del Ministerio Público tomar las huellas  dactilares  a  Claudina  Isabel</w:t>
        <w:br/>
        <w:t xml:space="preserve">   Velásquez durante la vela de su cuerpo. Señaló que este hecho  “no  tiene</w:t>
        <w:br/>
        <w:t xml:space="preserve">   nombre, [y] no lo pued[e] calificar”. En este sentido, el señor Velásquez</w:t>
        <w:br/>
        <w:t xml:space="preserve">   Durán declaró:</w:t>
        <w:br/>
        <w:br/>
        <w:t xml:space="preserve">    [Y]o me sentí lastimado, me sentí ultrajado,  me  sentí  ofendido,  ese</w:t>
        <w:br/>
        <w:t xml:space="preserve">    procedimiento no tenía que realizarse en ese momento[. Sin embargo], yo</w:t>
        <w:br/>
        <w:t xml:space="preserve">    autorice el  procedimiento  bajo  amenaza,  autorice  el  procedimiento</w:t>
        <w:br/>
        <w:t xml:space="preserve">    porque pensé que era necesario para que después no fuera eso a ser  una</w:t>
        <w:br/>
        <w:t xml:space="preserve">    excusa para que el caso de Claudina Isabel no  se  resolviera.  […]  No</w:t>
        <w:br/>
        <w:t xml:space="preserve">    bastando eso, traumatizado por el acontecimiento, llegan a decirme, los</w:t>
        <w:br/>
        <w:t xml:space="preserve">    señores de la funeraria, qué hacen con la ropa de mi hija,  que  si  la</w:t>
        <w:br/>
        <w:t xml:space="preserve">    meten en el féretro, por favor, si la ropa de Claudina Isabel tenía que</w:t>
        <w:br/>
        <w:t xml:space="preserve">    ser evidencia. Cualquier persona sabe que la ropa se debe de conservar.</w:t>
        <w:br/>
        <w:t xml:space="preserve">    […] Entonces, yo lleno de ira y de rabia y pensando que a futuro podían</w:t>
        <w:br/>
        <w:t xml:space="preserve">    exhumar el cuerpo de mi hija para corregir su  error  y  a  eso  sí  no</w:t>
        <w:br/>
        <w:t xml:space="preserve">    estaba yo dispuesto a acceder, ordené a los señores de la funeraria que</w:t>
        <w:br/>
        <w:t xml:space="preserve">    la quemaran[304].</w:t>
        <w:br/>
        <w:br/>
        <w:br/>
        <w:t>212. También,  señaló  que  en  relación  al  trabajo  que  desarrolló  para</w:t>
        <w:br/>
        <w:t xml:space="preserve">   impulsar la  investigación  por  la  muerte  de  su  hija,  que  lo  “han</w:t>
        <w:br/>
        <w:t xml:space="preserve">   vituperado”, “lastimado”, “ofendido”, “humillado”, “[y] han  hablado  mal</w:t>
        <w:br/>
        <w:t xml:space="preserve">   de [su] hija, por [su] iniciativa, al […]  adherir[se]  como  querellante</w:t>
        <w:br/>
        <w:t xml:space="preserve">   adhesivo del caso”.  Sostuvo  que  todo  esto  los  “ha  desgastado  como</w:t>
        <w:br/>
        <w:t xml:space="preserve">   familia”,  que  dejaron  de   ser   felices   y   el   “daño”   ha   sido</w:t>
        <w:br/>
        <w:t xml:space="preserve">   “irreparable”[305]. En este  mismo  sentido,  Elsa  Claudina  Paiz  Vidal</w:t>
        <w:br/>
        <w:t xml:space="preserve">   sostuvo que su esposo “desde entonces ha vivido para la investigación del</w:t>
        <w:br/>
        <w:t xml:space="preserve">   caso, […] dejó de trabajar y de mantener [económicamente] a  la  familia,</w:t>
        <w:br/>
        <w:t xml:space="preserve">   […] se metió  en  su  dolor  y  no  se  dio  cuenta  de  que  nos  estaba</w:t>
        <w:br/>
        <w:t xml:space="preserve">   abandonando”[306].</w:t>
        <w:br/>
        <w:br/>
        <w:t>213. Para la señora Paiz Vidal, la muerte de su hija  se  “convirtió  en  un</w:t>
        <w:br/>
        <w:t xml:space="preserve">   dolor indescriptible”. Señaló que “ese ha sido el  día  más  terrible  de</w:t>
        <w:br/>
        <w:t xml:space="preserve">   [su] vida, se [le] destrozó [el] corazón y ha sido imposible  volverlo  a</w:t>
        <w:br/>
        <w:t xml:space="preserve">   reconstruir”. En cuanto a la toma de las huellas decadactilares por parte</w:t>
        <w:br/>
        <w:t xml:space="preserve">   de  agentes  del  Ministerio  Público,  manifestó  que  le  “impactó   de</w:t>
        <w:br/>
        <w:t xml:space="preserve">   sobremanera y [le] causó un profundo dolor”. Además, agregó que:</w:t>
        <w:br/>
        <w:br/>
        <w:t xml:space="preserve">    La conversación con la investigadora [Carolina Ruiz] el lunes siguiente</w:t>
        <w:br/>
        <w:t xml:space="preserve">    al asesinato de Claudina Isabel solamente sirvió para poner  más  dolor</w:t>
        <w:br/>
        <w:t xml:space="preserve">    sobre dolor, nos dijo que al inicio no se preocuparon mucho en hacer un</w:t>
        <w:br/>
        <w:t xml:space="preserve">    adecuado levantamiento del cuerpo  e  investigar  bien  la  escena  del</w:t>
        <w:br/>
        <w:t xml:space="preserve">    crimen porque Claudina  Isabel  les  había  parecido  ‘una  cualquiera’</w:t>
        <w:br/>
        <w:t xml:space="preserve">    debido a que calzaba sandalias, tenía puesta una gargantilla, y  porque</w:t>
        <w:br/>
        <w:t xml:space="preserve">    tenía un arete en el ombligo, nos dijo que el arete a ella  le  parecía</w:t>
        <w:br/>
        <w:t xml:space="preserve">    de mal gusto, también nos dijo que por el lugar donde  había  aparecido</w:t>
        <w:br/>
        <w:t xml:space="preserve">    el cuerpo tenían esa impresión[307].</w:t>
        <w:br/>
        <w:br/>
        <w:t>214. Asimismo, la señora Paiz Vidal relató los  obstáculos  para  cerrar  el</w:t>
        <w:br/>
        <w:t xml:space="preserve">   duelo junto a su esposo e hijo y la fractura de la familia a causa de  la</w:t>
        <w:br/>
        <w:t xml:space="preserve">   ausencia del señor Jorge Rolando Velásquez, quien se dedicó a las labores</w:t>
        <w:br/>
        <w:t xml:space="preserve">   de investigación por la muerte de su hija. Al respecto,  la  señora  Paiz</w:t>
        <w:br/>
        <w:t xml:space="preserve">   Vidal señaló que:</w:t>
        <w:br/>
        <w:br/>
        <w:br/>
        <w:t xml:space="preserve">    Nosotros deberíamos haber podido manejar nuestro dolor juntos como  una</w:t>
        <w:br/>
        <w:t xml:space="preserve">    familia, pero cuando el Estado fue tan negligente con la investigación,</w:t>
        <w:br/>
        <w:t xml:space="preserve">    mi esposo tuvo que asumir el papel de investigador,  se  mantenía  casi</w:t>
        <w:br/>
        <w:t xml:space="preserve">    todos los días en el Ministerio Público […] Esto nos  impidió  sanar  y</w:t>
        <w:br/>
        <w:t xml:space="preserve">    nos dividió en el momento en que más teníamos que estar unidos. También</w:t>
        <w:br/>
        <w:t xml:space="preserve">    sufrió mi relación con Jorge, casi  nos  destruyó  como  pareja,  había</w:t>
        <w:br/>
        <w:t xml:space="preserve">    momentos en que yo tenía ganas de desaparecerme y escapar de todo[308].</w:t>
        <w:br/>
        <w:br/>
        <w:t>215. Por otro lado, Pablo Andrés Velásquez Paiz, hermano de Claudina  Isabel</w:t>
        <w:br/>
        <w:t xml:space="preserve">   Velásquez, manifestó que se ha “guard[ado] toda la rabia y la tristeza, y</w:t>
        <w:br/>
        <w:t xml:space="preserve">   no dejaba de pensar una y otra vez  que  hubiera  pasado  si  la  hubiera</w:t>
        <w:br/>
        <w:t xml:space="preserve">   acompañado hasta la facultad de derecho en la mañana o a la fiesta  a  la</w:t>
        <w:br/>
        <w:t xml:space="preserve">   que fue en la noche”. Sostuvo que le “ha afectado profundamente la muerte</w:t>
        <w:br/>
        <w:t xml:space="preserve">   de [su] hermana”, y que “empe[zó] a tomar  alcohol,  […]  tres  o  cuatro</w:t>
        <w:br/>
        <w:t xml:space="preserve">   veces a la semana hasta perder el conocimiento, [para] olvidar el  dolor,</w:t>
        <w:br/>
        <w:t xml:space="preserve">   [y] dejar de pensar”. Al mismo tiempo le “empezaron  a  dar  pensamientos</w:t>
        <w:br/>
        <w:t xml:space="preserve">   suicidas cada vez más fuertes, al punto que trataba de buscar  la  muerte</w:t>
        <w:br/>
        <w:t xml:space="preserve">   conduciendo [su] carro a velocidades excesivas y en una de esas ocasiones</w:t>
        <w:br/>
        <w:t xml:space="preserve">   [se] accident[ó]”[309]. En este sentido, Elsa Claudina Paiz Vidal  indicó</w:t>
        <w:br/>
        <w:t xml:space="preserve">   que Pablo Andrés Velásquez se deshizo, “prácticamente lo destruyeron”,  y</w:t>
        <w:br/>
        <w:t xml:space="preserve">   fue a quien más le afectó la muerte de Claudina Velásquez, “debido  a  la</w:t>
        <w:br/>
        <w:t xml:space="preserve">   relación tan fuerte que tenía con su hermana”[310].</w:t>
        <w:br/>
        <w:br/>
        <w:br/>
        <w:t>216. Al igual que a sus padres,  Pablo  Andrés  Velásquez  Paiz  expresó  su</w:t>
        <w:br/>
        <w:t xml:space="preserve">   “dolor” y “rabia” al escuchar a una investigadora  que  visitó  su  casa,</w:t>
        <w:br/>
        <w:t xml:space="preserve">   “justificar la negligencia con la que se  hizo  el  levantamiento  de  la</w:t>
        <w:br/>
        <w:t xml:space="preserve">   escena  del  crimen  por  el  hecho  de  que  [su]  hermana  parecía  una</w:t>
        <w:br/>
        <w:t xml:space="preserve">   ‘cualquiera’”, y que por esta razón se “había considerado que no valía la</w:t>
        <w:br/>
        <w:t xml:space="preserve">   pena investigar”. Según Pablo  Andrés  Velásquez,  “[l]o  que  dijo  esta</w:t>
        <w:br/>
        <w:t xml:space="preserve">   investigadora me dolió y ofendió profundamente, todavía siento  rabia  al</w:t>
        <w:br/>
        <w:t xml:space="preserve">   pensar que las autoridades estatales están más interesadas en dar excusas</w:t>
        <w:br/>
        <w:t xml:space="preserve">   para no hacer su trabajo en vez de […] investigar”[311].</w:t>
        <w:br/>
        <w:br/>
        <w:br/>
        <w:t>217. Por último, cabe señalar que la Procuraduría de  los  Derechos  Humanos</w:t>
        <w:br/>
        <w:t xml:space="preserve">   de Guatemala concluyó que “la omisión por parte de  servidores  públicos,</w:t>
        <w:br/>
        <w:t xml:space="preserve">   tanto del ámbito policial, Médico  Forense  y  Ministerio  Público[,]  de</w:t>
        <w:br/>
        <w:t xml:space="preserve">   actuar con la debida diligencia para efectos de  prevenir  e  investigar”</w:t>
        <w:br/>
        <w:t xml:space="preserve">   los hechos del presente caso, “trajo como consecuencia que se conculcaran</w:t>
        <w:br/>
        <w:t xml:space="preserve">   los derechos de seguridad jurídica [e] integridad personal  en  perjuicio</w:t>
        <w:br/>
        <w:t xml:space="preserve">   de Claudina Isabel Velásquez Paiz [y] de sus familiares”. Según esta,  la</w:t>
        <w:br/>
        <w:t xml:space="preserve">   familia Velásquez Paiz “tuvo que sufrir la indiferencia, falta de interés</w:t>
        <w:br/>
        <w:t xml:space="preserve">   y desconocimiento de los fiscales, lo  que  obligó  a  que  tuvieran  que</w:t>
        <w:br/>
        <w:t xml:space="preserve">   relatar el mismo hecho innumerables veces, con las subsecuentes  secuelas</w:t>
        <w:br/>
        <w:t xml:space="preserve">   de dolor y daño emocional a los familiares”[312]. En este mismo  sentido,</w:t>
        <w:br/>
        <w:t xml:space="preserve">   la especialista en psiquiatría Karen Denisse Peña Juárez sostuvo que:</w:t>
        <w:br/>
        <w:br/>
        <w:br/>
        <w:br/>
        <w:t xml:space="preserve">    [E]l duelo no resuelto y la necesidad de haber tenido que asumir  parte</w:t>
        <w:br/>
        <w:t xml:space="preserve">    activa en el proceso de investigación del crimen de la  hija,  ha  sido</w:t>
        <w:br/>
        <w:t xml:space="preserve">    reforzado por las condiciones imperantes dentro del sistema de justicia</w:t>
        <w:br/>
        <w:t xml:space="preserve">    estatal y que los ha hecho objeto a ellos como víctimas colaterales, de</w:t>
        <w:br/>
        <w:t xml:space="preserve">    negligencia, abuso de poder y autoridad y  de  indiferencia,  así  como</w:t>
        <w:br/>
        <w:t xml:space="preserve">    también no se ha garantizado su seguridad y tampoco se ha respetado  su</w:t>
        <w:br/>
        <w:t xml:space="preserve">    dignidad. Esta situación ha provocado en los familiares  la  percepción</w:t>
        <w:br/>
        <w:t xml:space="preserve">    de que el Estado miente y además les  ataca,  lo  cual  intensifica  la</w:t>
        <w:br/>
        <w:t xml:space="preserve">    experiencia de desamparo y de frustración al no resolverse la situación</w:t>
        <w:br/>
        <w:t xml:space="preserve">    legal y no encontrar la verdad.</w:t>
        <w:br/>
        <w:br/>
        <w:br/>
        <w:t xml:space="preserve">    [Asimismo, la perita indicó que el padre, la  madre  y  el  hermano  de</w:t>
        <w:br/>
        <w:t xml:space="preserve">    Claudina Velásquez], son víctimas colaterales del  crimen  y  han  sido</w:t>
        <w:br/>
        <w:t xml:space="preserve">    revictimizad[o]s secundariamente porque han tenido que  ser  ellos  los</w:t>
        <w:br/>
        <w:t xml:space="preserve">    que  aporten  pruebas  e  insistan   en   la   resolución   del   caso,</w:t>
        <w:br/>
        <w:t xml:space="preserve">    constituyéndose como fiscalizadores de todo el proceso y aun así no han</w:t>
        <w:br/>
        <w:t xml:space="preserve">    tenido respuesta[. A] todo  esto[,]  han  tenido  que  someterse  a  la</w:t>
        <w:br/>
        <w:t xml:space="preserve">    opinión de los medios, a la opinión pública y la indiferencia del medio</w:t>
        <w:br/>
        <w:t xml:space="preserve">    y las instituciones de atención y procuración de salud y justicia[313].</w:t>
        <w:br/>
        <w:br/>
        <w:t>218. En virtud de lo expuesto, la Corte concluye que el  Estado  violó  la</w:t>
        <w:br/>
        <w:t xml:space="preserve">   integridad personal de los familiares de Claudina Isabel Velásquez Paiz</w:t>
        <w:br/>
        <w:t xml:space="preserve">   debido a la forma en que se llevó a cabo la investigación del caso,  en</w:t>
        <w:br/>
        <w:t xml:space="preserve">   particular, la manera en la que  los  agentes  del  Ministerio  Público</w:t>
        <w:br/>
        <w:t xml:space="preserve">   irrumpieron  en  la  vela  del  cuerpo  de   Claudina   Velásquez,   la</w:t>
        <w:br/>
        <w:t xml:space="preserve">   calificación de esta como  una  persona  cuya  muerte  no  merecía  ser</w:t>
        <w:br/>
        <w:t xml:space="preserve">   investigada, y las irregularidades y deficiencias a lo largo de toda la</w:t>
        <w:br/>
        <w:t xml:space="preserve">   investigación,  en  la  cual  el  señor   Velásquez   Durán   ha   sido</w:t>
        <w:br/>
        <w:t xml:space="preserve">   particularmente activo. Todo ello configura una violación del  artículo</w:t>
        <w:br/>
        <w:t xml:space="preserve">   5.1 de la Convención Americana, en relación con  el  artículo  1.1,  en</w:t>
        <w:br/>
        <w:t xml:space="preserve">   perjuicio de Jorge Rolando Velásquez Durán, Elsa Claudina Paiz Vidal  y</w:t>
        <w:br/>
        <w:t xml:space="preserve">   Pablo Andrés Velásquez Paiz.</w:t>
        <w:br/>
        <w:br/>
        <w:t>219. Por otra parte, la Corte recuerda que el artículo 11 de la Convención</w:t>
        <w:br/>
        <w:t xml:space="preserve">   Americana establece que toda persona tiene  derecho  al  respeto  a  su</w:t>
        <w:br/>
        <w:t xml:space="preserve">   honra y al reconocimiento de su dignidad, prohíbe  todo  ataque  ilegal</w:t>
        <w:br/>
        <w:t xml:space="preserve">   contra la honra y reputación e impone a los Estados el deber de brindar</w:t>
        <w:br/>
        <w:t xml:space="preserve">   la protección de la ley contra tales ataques. En términos generales, el</w:t>
        <w:br/>
        <w:t xml:space="preserve">   derecho a la honra se relaciona con la estima y valía propia[314].</w:t>
        <w:br/>
        <w:br/>
        <w:t>220. En casos anteriores, la Corte ha establecido que el  cuidado  de  los</w:t>
        <w:br/>
        <w:t xml:space="preserve">   restos mortales de una persona es una forma de observancia del  derecho</w:t>
        <w:br/>
        <w:t xml:space="preserve">   a la dignidad humana. Asimismo, ha señalado que los restos mortales  de</w:t>
        <w:br/>
        <w:t xml:space="preserve">   una persona merecen ser tratados con respeto ante sus  deudos,  por  la</w:t>
        <w:br/>
        <w:t xml:space="preserve">   significación que tienen para estos[315]. En  este  sentido,  la  Corte</w:t>
        <w:br/>
        <w:t xml:space="preserve">   considera que los ritos funerarios son actos por medio  de  los  cuales</w:t>
        <w:br/>
        <w:t xml:space="preserve">   los familiares de una persona fallecida le  rinden  tributo  a  su  ser</w:t>
        <w:br/>
        <w:t xml:space="preserve">   querido, de acuerdo a sus creencias, tratando de obtener un  mínimo  de</w:t>
        <w:br/>
        <w:t xml:space="preserve">   consuelo en los últimos momentos que tendrán con la presencia física de</w:t>
        <w:br/>
        <w:t xml:space="preserve">   este. En el presente  caso,  cuando  los  funcionarios  del  Ministerio</w:t>
        <w:br/>
        <w:t xml:space="preserve">   Público llegaron a la funeraria donde estaba siendo velado el cuerpo de</w:t>
        <w:br/>
        <w:t xml:space="preserve">   Claudina Velásquez y solicitaron  tomar  sus  huellas  dactilares  bajo</w:t>
        <w:br/>
        <w:t xml:space="preserve">   amenazas a sus padres de ser acusados de  obstrucción  a  la  justicia,</w:t>
        <w:br/>
        <w:t xml:space="preserve">   pese a que debieron realizar dicha  diligencia  antes  de  entregar  el</w:t>
        <w:br/>
        <w:t xml:space="preserve">   cuerpo a los familiares, irrumpieron en un momento íntimo y doloroso  a</w:t>
        <w:br/>
        <w:t xml:space="preserve">   fin de manipular nuevamente los restos mortales de  la  hija  de  Jorge</w:t>
        <w:br/>
        <w:t xml:space="preserve">   Rolando Velásquez Durán y Elsa Claudina Paiz Vidal, y hermana de  Pablo</w:t>
        <w:br/>
        <w:t xml:space="preserve">   Andrés Velásquez Paiz, afectando el derecho al respeto de su honra y al</w:t>
        <w:br/>
        <w:t xml:space="preserve">   reconocimiento de su dignidad. En consecuencia, el Estado también violó</w:t>
        <w:br/>
        <w:t xml:space="preserve">   el artículo 11 de la Convención Americana, en relación con el  artículo</w:t>
        <w:br/>
        <w:t xml:space="preserve">   1.1 de  la  misma,  en  perjuicio  de  dichos  familiares  de  Claudina</w:t>
        <w:br/>
        <w:t xml:space="preserve">   Velásquez Paiz.</w:t>
        <w:br/>
        <w:br/>
        <w:t xml:space="preserve">                                    VIIi</w:t>
        <w:br/>
        <w:t xml:space="preserve">                                REPARACIONES</w:t>
        <w:br/>
        <w:br/>
        <w:t>221. Sobre la base de lo dispuesto en el  artículo  63.1  de  la  Convención</w:t>
        <w:br/>
        <w:t xml:space="preserve">   Americana[316], la Corte ha indicado que toda violación de una obligación</w:t>
        <w:br/>
        <w:t xml:space="preserve">   internacional que haya producido daño  comporta  el  deber  de  repararlo</w:t>
        <w:br/>
        <w:t xml:space="preserve">   adecuadamente, y que esa disposición recoge una norma consuetudinaria que</w:t>
        <w:br/>
        <w:t xml:space="preserve">   constituye uno de los principios fundamentales del Derecho  Internacional</w:t>
        <w:br/>
        <w:t xml:space="preserve">   contemporáneo sobre responsabilidad de un Estado[317].</w:t>
        <w:br/>
        <w:br/>
        <w:t>222. La reparación del daño ocasionado por la infracción de  una  obligación</w:t>
        <w:br/>
        <w:t xml:space="preserve">   internacional requiere, siempre que sea  posible,  la  plena  restitución</w:t>
        <w:br/>
        <w:t xml:space="preserve">   (restitutio in integrum), que  consiste  en  el  restablecimiento  de  la</w:t>
        <w:br/>
        <w:t xml:space="preserve">   situación anterior. De no ser esto factible, como ocurre en la mayoría de</w:t>
        <w:br/>
        <w:t xml:space="preserve">   los casos de violaciones a  derechos  humanos,  el  Tribunal  determinará</w:t>
        <w:br/>
        <w:t xml:space="preserve">   medidas  para  garantizar  los  derechos  conculcados   y   reparar   las</w:t>
        <w:br/>
        <w:t xml:space="preserve">   consecuencias que las infracciones produjeron[318]. Por tanto,  la  Corte</w:t>
        <w:br/>
        <w:t xml:space="preserve">   ha considerado la necesidad de otorgar diversas medidas de reparación,  a</w:t>
        <w:br/>
        <w:t xml:space="preserve">   fin de resarcir los daños de manera integral, por lo que  además  de  las</w:t>
        <w:br/>
        <w:t xml:space="preserve">   compensaciones pecuniarias, las medidas de  restitución,  satisfacción  y</w:t>
        <w:br/>
        <w:t xml:space="preserve">   garantías de no repetición  tienen  especial  relevancia  por  los  daños</w:t>
        <w:br/>
        <w:t xml:space="preserve">   ocasionados[319].</w:t>
        <w:br/>
        <w:br/>
        <w:t>223. Este Tribunal ha establecido que las reparaciones deben tener  un  nexo</w:t>
        <w:br/>
        <w:t xml:space="preserve">   causal con los hechos del caso, las  violaciones  declaradas,  los  daños</w:t>
        <w:br/>
        <w:t xml:space="preserve">   acreditados, así como las medidas  solicitadas  para  reparar  los  daños</w:t>
        <w:br/>
        <w:t xml:space="preserve">   respectivos.  La  Corte   deberá   observar   dicha   concurrencia   para</w:t>
        <w:br/>
        <w:t xml:space="preserve">   pronunciarse debidamente y conforme a derecho[320].</w:t>
        <w:br/>
        <w:br/>
        <w:t>224. En  consideración  de  las  violaciones  declaradas  en  los  capítulos</w:t>
        <w:br/>
        <w:t xml:space="preserve">   anteriores, la Corte procederá a analizar  las  pretensiones  presentadas</w:t>
        <w:br/>
        <w:t xml:space="preserve">   por la Comisión y los representantes, así como los argumentos del Estado,</w:t>
        <w:br/>
        <w:t xml:space="preserve">   a la luz de los criterios fijados en su jurisprudencia en relación con la</w:t>
        <w:br/>
        <w:t xml:space="preserve">   naturaleza y alcance de la obligación de reparar[321], con el  objeto  de</w:t>
        <w:br/>
        <w:t xml:space="preserve">   disponer las medidas dirigidas a reparar  los  daños  ocasionados  a  las</w:t>
        <w:br/>
        <w:t xml:space="preserve">   víctimas.</w:t>
        <w:br/>
        <w:br/>
        <w:t>A. Parte Lesionada</w:t>
        <w:br/>
        <w:br/>
        <w:t>225. Este  Tribunal  reitera  que  se  considera  parte  lesionada,  en  los</w:t>
        <w:br/>
        <w:t xml:space="preserve">   términos  del  artículo  63.1  de  la  Convención,  a  quienes  han  sido</w:t>
        <w:br/>
        <w:t xml:space="preserve">   declaradas víctimas de la violación de algún  derecho  reconocido  en  la</w:t>
        <w:br/>
        <w:t xml:space="preserve">   misma[322]. Por lo tanto, esta Corte considera como “parte  lesionada”  a</w:t>
        <w:br/>
        <w:t xml:space="preserve">   Claudina Isabel Velásquez  Paiz,  Jorge  Rolando  Velásquez  Durán,  Elsa</w:t>
        <w:br/>
        <w:t xml:space="preserve">   Claudina Paiz Vidal y Pablo Andrés Velásquez Paiz, quienes en su carácter</w:t>
        <w:br/>
        <w:t xml:space="preserve">   de víctimas de las violaciones declaradas en los capítulos VII.I,  VII.II</w:t>
        <w:br/>
        <w:t xml:space="preserve">   y VII.III  serán acreedores de lo que la Corte ordene a continuación.</w:t>
        <w:br/>
        <w:br/>
        <w:t>B. Obligación de investigar los  hechos  que  generaron  las  violaciones  e</w:t>
        <w:br/>
        <w:t>identificar, juzgar y, en su caso, sancionar a los responsables</w:t>
        <w:br/>
        <w:br/>
        <w:t>226. La Comisión solicitó que el Estado complete la investigación de  manera</w:t>
        <w:br/>
        <w:t xml:space="preserve">   oportuna, inmediata, seria e imparcial con el  objeto  de  esclarecer  el</w:t>
        <w:br/>
        <w:t xml:space="preserve">   asesinato de Claudina Isabel Velásquez Paiz e identificar, juzgar  y,  en</w:t>
        <w:br/>
        <w:t xml:space="preserve">   su caso, sancionar a los responsables.</w:t>
        <w:br/>
        <w:br/>
        <w:t>227. Los representantes solicitaron que la  Corte  ordenara  al  Estado:  a)</w:t>
        <w:br/>
        <w:t xml:space="preserve">   investigar los hechos del presente caso  de  manera  seria,  imparcial  e</w:t>
        <w:br/>
        <w:t xml:space="preserve">   independiente, por medio de los órganos competentes para ello y dentro de</w:t>
        <w:br/>
        <w:t xml:space="preserve">   un plazo razonable; b) que las personas que participaron, sea intelectual</w:t>
        <w:br/>
        <w:t xml:space="preserve">   o  materialmente  en   el   asesinato   de   Claudina   Velásquez,   sean</w:t>
        <w:br/>
        <w:t xml:space="preserve">   individualizadas, procesadas y debidamente sancionadas, y c) investigar y</w:t>
        <w:br/>
        <w:t xml:space="preserve">   aplicar las sanciones correspondientes por las faltas funcionales en  las</w:t>
        <w:br/>
        <w:t xml:space="preserve">   que hayan incurrido los funcionarios públicos a cargo de  investigar  los</w:t>
        <w:br/>
        <w:t xml:space="preserve">   hechos del presente caso.</w:t>
        <w:br/>
        <w:br/>
        <w:t>228. El Estado afirmó que todas las  diligencias  investigativas  realizadas</w:t>
        <w:br/>
        <w:t xml:space="preserve">   se han orientado a la individualización del  o  los  responsables  de  la</w:t>
        <w:br/>
        <w:t xml:space="preserve">   muerte de la presunta víctima, por lo que en  un  futuro  mediato  espera</w:t>
        <w:br/>
        <w:t xml:space="preserve">   lograr  resultados  positivos.  Reiteró  que  la  investigación  ha  sido</w:t>
        <w:br/>
        <w:t xml:space="preserve">   continua, oportuna, inmediata, seria e imparcial  desde  el  momento  del</w:t>
        <w:br/>
        <w:t xml:space="preserve">   procesamiento de la escena del crimen hasta  la  presente  fecha,  y  que</w:t>
        <w:br/>
        <w:t xml:space="preserve">   independientemente de la forma en que fueron valoradas por  la  Comisión,</w:t>
        <w:br/>
        <w:t xml:space="preserve">   las diligencias de investigación fueron las que el Estado  pudo  realizar</w:t>
        <w:br/>
        <w:t xml:space="preserve">   en la medida de sus posibilidades, siendo estas diligentes.  Sostuvo  que</w:t>
        <w:br/>
        <w:t xml:space="preserve">   la falta de resultados positivos no se debe a  falta  de  voluntad  ni  a</w:t>
        <w:br/>
        <w:t xml:space="preserve">   falta de diligencia. Por otra parte, el Estado señaló que a pesar de  que</w:t>
        <w:br/>
        <w:t xml:space="preserve">   las diligencias al momento de acaecer los hechos no fueron  ideales,  con</w:t>
        <w:br/>
        <w:t xml:space="preserve">   el paso del tiempo ha ido  subsanando  estos  vacíos  durante  la  última</w:t>
        <w:br/>
        <w:t xml:space="preserve">   década, adoptando una serie de medidas que hoy por hoy hacen más uniforme</w:t>
        <w:br/>
        <w:t xml:space="preserve">   y ordenada la diligencia del levantamiento de  cadáveres  y  el  modo  de</w:t>
        <w:br/>
        <w:t xml:space="preserve">   recolección de las evidencias por la creación del Instituto  Nacional  de</w:t>
        <w:br/>
        <w:t xml:space="preserve">   Ciencias Forenses (INACIF)  y  sus  respectivos  protocolos.  Finalmente,</w:t>
        <w:br/>
        <w:t xml:space="preserve">   expresó que mantendrá abierta la investigación y la continuará realizando</w:t>
        <w:br/>
        <w:t xml:space="preserve">   de manera diligente hasta identificar e individualizar a los responsables</w:t>
        <w:br/>
        <w:t xml:space="preserve">   del hecho.</w:t>
        <w:br/>
        <w:br/>
        <w:t>229. La Corte valora la manifestación  del  Estado  en  el  sentido  de  que</w:t>
        <w:br/>
        <w:t xml:space="preserve">   mantendrá “abierta la investigación y la continuará realizando de  manera</w:t>
        <w:br/>
        <w:t xml:space="preserve">   diligente hasta identificar  e  individualizar  a  los  responsables  del</w:t>
        <w:br/>
        <w:t xml:space="preserve">   hecho”. No obstante, teniendo en cuenta  las  conclusiones  del  capítulo</w:t>
        <w:br/>
        <w:t xml:space="preserve">   VII.II de esta Sentencia, el Tribunal dispone que el Estado debe,  en  un</w:t>
        <w:br/>
        <w:t xml:space="preserve">   plazo razonable, conducir eficazmente la investigación  y,  en  su  caso,</w:t>
        <w:br/>
        <w:t xml:space="preserve">   abrir el o los procesos penales que  correspondieren,  para  identificar,</w:t>
        <w:br/>
        <w:t xml:space="preserve">   procesar y, en su caso, sancionar a los responsables de los  vejámenes  y</w:t>
        <w:br/>
        <w:t xml:space="preserve">   privación de la vida de Claudina Isabel Velásquez Paiz,  conforme  a  los</w:t>
        <w:br/>
        <w:t xml:space="preserve">   lineamientos de esta Sentencia, a fin de evitar la repetición  de  hechos</w:t>
        <w:br/>
        <w:t xml:space="preserve">   iguales o análogos a los del presente caso.  Dicha  investigación  deberá</w:t>
        <w:br/>
        <w:t xml:space="preserve">   incluir una perspectiva de  género,  emprender  líneas  de  investigación</w:t>
        <w:br/>
        <w:t xml:space="preserve">   específicas respecto a la posible violencia sexual, y posibilitar  a  los</w:t>
        <w:br/>
        <w:t xml:space="preserve">   familiares  de  la  víctima  información  sobre   los   avances   en   la</w:t>
        <w:br/>
        <w:t xml:space="preserve">   investigación, de conformidad con la legislación interna y, en  su  caso,</w:t>
        <w:br/>
        <w:t xml:space="preserve">   la participación adecuada en el proceso penal. Asimismo, la investigación</w:t>
        <w:br/>
        <w:t xml:space="preserve">   debe realizarse por funcionarios capacitados  en  casos  similares  y  en</w:t>
        <w:br/>
        <w:t xml:space="preserve">   atención a víctimas de discriminación y violencia por  razón  de  género.</w:t>
        <w:br/>
        <w:t xml:space="preserve">   Por  último,  deberá  asegurarse  que  las  personas  encargadas  de   la</w:t>
        <w:br/>
        <w:t xml:space="preserve">   investigación y del proceso penal,  así  como,  de  ser  el  caso,  otras</w:t>
        <w:br/>
        <w:t xml:space="preserve">   personas  involucradas,  como  testigos,  peritos,  o  familiares  de  la</w:t>
        <w:br/>
        <w:t xml:space="preserve">   víctima, cuenten con las debidas garantías de seguridad.</w:t>
        <w:br/>
        <w:br/>
        <w:t>230. Además, como lo ha hecho en otras oportunidades[323], la Corte  dispone</w:t>
        <w:br/>
        <w:t xml:space="preserve">   que, de acuerdo con la  normativa  disciplinaria  pertinente,  el  Estado</w:t>
        <w:br/>
        <w:t xml:space="preserve">   examine  las  eventuales  irregularidades  procesales  e   investigativas</w:t>
        <w:br/>
        <w:t xml:space="preserve">   relacionadas con el presente caso y, en su caso, sancione la conducta  de</w:t>
        <w:br/>
        <w:t xml:space="preserve">   los servidores públicos correspondientes, sin que sea necesario  que  las</w:t>
        <w:br/>
        <w:t xml:space="preserve">   víctimas del caso interpongan denuncias para tales efectos.</w:t>
        <w:br/>
        <w:br/>
        <w:t>C. Medidas de rehabilitación, satisfacción y garantías de no repetición</w:t>
        <w:br/>
        <w:br/>
        <w:t xml:space="preserve">      C.1. Rehabilitación</w:t>
        <w:br/>
        <w:br/>
        <w:t>231. La Comisión no presentó alegatos específicos en cuanto a este punto.</w:t>
        <w:br/>
        <w:br/>
        <w:t>232. Los representantes solicitaron que la Corte ordene  al  Estado  brindar</w:t>
        <w:br/>
        <w:t xml:space="preserve">   asistencia médica y psicológica a Jorge  Rolando  Velásquez  Durán,  Elsa</w:t>
        <w:br/>
        <w:t xml:space="preserve">   Claudina Paiz Vidal y Pablo Andrés Velásquez Paiz, por cuanto tiempo  sea</w:t>
        <w:br/>
        <w:t xml:space="preserve">   necesario. Dicha asistencia deberá incluir el costo de  los  medicamentos</w:t>
        <w:br/>
        <w:t xml:space="preserve">   que sean necesarios. El centro  médico  que  les  brinde  dicha  atención</w:t>
        <w:br/>
        <w:t xml:space="preserve">   física y psicológica será elegido de mutuo acuerdo con ellos y tendrá  en</w:t>
        <w:br/>
        <w:t xml:space="preserve">   cuenta las circunstancias y necesidades particulares de cada uno.</w:t>
        <w:br/>
        <w:br/>
        <w:t>233. El Estado sostuvo que, de haberse requerido, se  habrían  prestado  los</w:t>
        <w:br/>
        <w:t xml:space="preserve">   servicios de psicología y atención médica a los familiares de la presunta</w:t>
        <w:br/>
        <w:t xml:space="preserve">   víctima  en  el  presente  caso.  Sin  embargo,  en  ningún  momento  los</w:t>
        <w:br/>
        <w:t xml:space="preserve">   familiares han  manifestado  que  deseen  apoyo  psicológico  para  algún</w:t>
        <w:br/>
        <w:t xml:space="preserve">   miembro de su grupo familiar dentro de los programas e instituciones  del</w:t>
        <w:br/>
        <w:t xml:space="preserve">   Estado. Adicionalmente, señaló que no se ha comprobado algún daño  físico</w:t>
        <w:br/>
        <w:t xml:space="preserve">   ni psicológico que sea producto de los hechos del presente caso en ningún</w:t>
        <w:br/>
        <w:t xml:space="preserve">   miembro del grupo familiar. Por tanto, no consideró justo  ni  equitativo</w:t>
        <w:br/>
        <w:t xml:space="preserve">   que se recargue su presupuesto con los gastos  médicos  solicitados.  Por</w:t>
        <w:br/>
        <w:t xml:space="preserve">   último, indicó que si los familiares de Claudina Velásquez  asistieron  a</w:t>
        <w:br/>
        <w:t xml:space="preserve">   médicos y consultorios privados, fue  por  elección  propia,  ya  que  el</w:t>
        <w:br/>
        <w:t xml:space="preserve">   Estado cuenta con un sistema de salud pública que les hubiera brindado el</w:t>
        <w:br/>
        <w:t xml:space="preserve">   servicio requerido de manera gratuita.</w:t>
        <w:br/>
        <w:br/>
        <w:br/>
        <w:t>234. En el capítulo VII.III de la  presente  Sentencia,  la  Corte  declaró,</w:t>
        <w:br/>
        <w:t xml:space="preserve">   inter alia,  internacionalmente  responsable  al  Estado  por  violar  la</w:t>
        <w:br/>
        <w:t xml:space="preserve">   integridad  personal  y  el  derecho  al  respeto  de  la  honra   y   al</w:t>
        <w:br/>
        <w:t xml:space="preserve">   reconocimiento de la dignidad, en perjuicio de  Jorge  Rolando  Velásquez</w:t>
        <w:br/>
        <w:t xml:space="preserve">   Durán, Elsa Claudina Paiz Vidal y  Pablo  Andrés  Velásquez  Paiz,  todos</w:t>
        <w:br/>
        <w:t xml:space="preserve">   ellos familiares de Claudina Isabel Velásquez  Paiz.  Por  lo  tanto,  la</w:t>
        <w:br/>
        <w:t xml:space="preserve">   Corte estima, como lo ha  hecho  en  otros  casos[324],  que  es  preciso</w:t>
        <w:br/>
        <w:t xml:space="preserve">   disponer una medida de reparación que brinde una atención adecuada a  los</w:t>
        <w:br/>
        <w:t xml:space="preserve">   padecimientos psicológicos y físicos sufridos por las víctimas  derivados</w:t>
        <w:br/>
        <w:t xml:space="preserve">   de las  violaciones  establecidas  en  esta  Sentencia.  Con  el  fin  de</w:t>
        <w:br/>
        <w:t xml:space="preserve">   contribuir a la  reparación  de  estos  daños,  el  Tribunal  dispone  la</w:t>
        <w:br/>
        <w:t xml:space="preserve">   obligación a cargo del Estado de brindar gratuitamente, a través  de  sus</w:t>
        <w:br/>
        <w:t xml:space="preserve">   instituciones de salud especializadas, y de  forma  inmediata,  adecuada,</w:t>
        <w:br/>
        <w:t xml:space="preserve">   integral  y  efectiva,  el   tratamiento   médico   y   psicológico   y/o</w:t>
        <w:br/>
        <w:t xml:space="preserve">   psiquiátrico, a las víctimas que así lo soliciten, previo  consentimiento</w:t>
        <w:br/>
        <w:t xml:space="preserve">   informado, incluyendo el suministro  gratuito  de  los  medicamentos  que</w:t>
        <w:br/>
        <w:t xml:space="preserve">   eventualmente se requieran, tomando en consideración los padecimientos de</w:t>
        <w:br/>
        <w:t xml:space="preserve">   cada uno de ellos. Lo anterior implica que las víctimas  deberán  recibir</w:t>
        <w:br/>
        <w:t xml:space="preserve">   un tratamiento diferenciado en relación con el  trámite  y  procedimiento</w:t>
        <w:br/>
        <w:t xml:space="preserve">   que debieran realizar  para  ser  atendidos  en  instituciones  públicas.</w:t>
        <w:br/>
        <w:t xml:space="preserve">   Asimismo, los tratamientos respectivos deberán prestarse, en la medida de</w:t>
        <w:br/>
        <w:t xml:space="preserve">   lo posible, en los centros más cercanos a sus lugares  de  residencia  en</w:t>
        <w:br/>
        <w:t xml:space="preserve">   Guatemala por el tiempo que sea  necesario.  Al  proveer  el  tratamiento</w:t>
        <w:br/>
        <w:t xml:space="preserve">   psicológico o psiquiátrico se debe considerar, además, las circunstancias</w:t>
        <w:br/>
        <w:t xml:space="preserve">   y necesidades particulares de cada víctima, de manera que se les  brinden</w:t>
        <w:br/>
        <w:t xml:space="preserve">   tratamientos familiares e individuales, según lo que se acuerde con  cada</w:t>
        <w:br/>
        <w:t xml:space="preserve">   una de ellas y después de una evaluación  individual.  Las  víctimas  que</w:t>
        <w:br/>
        <w:t xml:space="preserve">   soliciten esta  medida  de  reparación,  o  sus  representantes  legales,</w:t>
        <w:br/>
        <w:t xml:space="preserve">   disponen de un plazo de seis meses, contado a partir de  la  notificación</w:t>
        <w:br/>
        <w:t xml:space="preserve">   de la presente Sentencia, para dar a conocer al Estado  su  intención  de</w:t>
        <w:br/>
        <w:t xml:space="preserve">   recibir atención médica, psicológica o psiquiátrica.</w:t>
        <w:br/>
        <w:br/>
        <w:t xml:space="preserve">      C.2. Medidas de satisfacción</w:t>
        <w:br/>
        <w:br/>
        <w:br/>
        <w:t xml:space="preserve">      C.2.1 Publicación de la Sentencia</w:t>
        <w:br/>
        <w:br/>
        <w:br/>
        <w:t>235. La Comisión no presentó alegatos específicos en cuanto  a  este  punto.</w:t>
        <w:br/>
        <w:t xml:space="preserve">   Los representantes solicitaron que la Corte ordene al Estado publicar  en</w:t>
        <w:br/>
        <w:t xml:space="preserve">   el Diario Oficial y en otro diario de circulación nacional  la  sentencia</w:t>
        <w:br/>
        <w:t xml:space="preserve">   que dicte  sobre  el  presente  caso,  y  que  publique  íntegramente  la</w:t>
        <w:br/>
        <w:t xml:space="preserve">   sentencia, al menos por un año, en un sitio web oficial  del  Estado  que</w:t>
        <w:br/>
        <w:t xml:space="preserve">   sea adecuado, tomando en cuenta las características de la publicación que</w:t>
        <w:br/>
        <w:t xml:space="preserve">   se ordena realizar.</w:t>
        <w:br/>
        <w:br/>
        <w:t>236. El Estado indicó que en caso que la Corte determine que  el  Estado  es</w:t>
        <w:br/>
        <w:t xml:space="preserve">   responsable  de  alguna  de  las  violaciones  alegadas  y  determine  la</w:t>
        <w:br/>
        <w:t xml:space="preserve">   necesidad de publicar la sentencia que emita, el Estado la  publicará  en</w:t>
        <w:br/>
        <w:t xml:space="preserve">   los términos que considere conveniente.</w:t>
        <w:br/>
        <w:br/>
        <w:br/>
        <w:t>237. La Corte dispone, como lo ha hecho en otros casos[325], que  el  Estado</w:t>
        <w:br/>
        <w:t xml:space="preserve">   publique, en un plazo de seis meses, contado a partir de la  notificación</w:t>
        <w:br/>
        <w:t xml:space="preserve">   de la presente Sentencia: a) el resumen oficial de la presente  Sentencia</w:t>
        <w:br/>
        <w:t xml:space="preserve">   elaborado por la Corte, por una  sola  vez,  en  el  diario  oficial;  el</w:t>
        <w:br/>
        <w:t xml:space="preserve">   resumen oficial de la presente Sentencia elaborado por la Corte, por  una</w:t>
        <w:br/>
        <w:t xml:space="preserve">   sola vez, en un diario de amplia circulación nacional de Guatemala, y  c)</w:t>
        <w:br/>
        <w:t xml:space="preserve">   la presente Sentencia en su integridad, disponible por un período  de  al</w:t>
        <w:br/>
        <w:t xml:space="preserve">   menos un año, en un sitio web oficial del Ministerio Público, así como en</w:t>
        <w:br/>
        <w:t xml:space="preserve">   sitios web oficiales del Poder Judicial y la Policía  Nacional  Civil  de</w:t>
        <w:br/>
        <w:t xml:space="preserve">   Guatemala.</w:t>
        <w:br/>
        <w:br/>
        <w:t xml:space="preserve">      C.2.2. Acto público de reconocimiento de responsabilidad internacional</w:t>
        <w:br/>
        <w:br/>
        <w:t>238. La Comisión no presentó alegatos específicos en cuanto  a  este  punto.</w:t>
        <w:br/>
        <w:t xml:space="preserve">   Los representantes solicitaron a la Corte que ordene al  Estado  realizar</w:t>
        <w:br/>
        <w:t xml:space="preserve">   un acto público de reconocimiento de responsabilidad por los  hechos  del</w:t>
        <w:br/>
        <w:t xml:space="preserve">   presente caso y a  llevarse  a  cabo  dentro  del  año  siguiente  de  la</w:t>
        <w:br/>
        <w:t xml:space="preserve">   notificación de la sentencia. La realización y demás particularidades  de</w:t>
        <w:br/>
        <w:t xml:space="preserve">   dicha ceremonia pública deben consultarse previa y  debidamente  con  los</w:t>
        <w:br/>
        <w:t xml:space="preserve">   familiares de Claudina Velásquez, y  en  dicho  acto  deberán  participar</w:t>
        <w:br/>
        <w:t xml:space="preserve">   altos representantes del Poder Judicial de Guatemala.</w:t>
        <w:br/>
        <w:br/>
        <w:t>239. El Estado señaló que al no aceptar  responsabilidad  internacional  por</w:t>
        <w:br/>
        <w:t xml:space="preserve">   los hechos de este caso, tampoco  acepta  que  se  le  requiera  un  acto</w:t>
        <w:br/>
        <w:t xml:space="preserve">   público al respecto.</w:t>
        <w:br/>
        <w:br/>
        <w:t>240. El Tribunal estima que el Estado debe realizar  un  acto  de  disculpas</w:t>
        <w:br/>
        <w:t xml:space="preserve">   públicas, en relación con  los  hechos  del  presente  caso  ocurridos  a</w:t>
        <w:br/>
        <w:t xml:space="preserve">   Claudina Isabel Velásquez Paiz y su  posterior  investigación.  En  dicho</w:t>
        <w:br/>
        <w:t xml:space="preserve">   acto el Estado deberá hacer referencia  a  las  violaciones  de  derechos</w:t>
        <w:br/>
        <w:t xml:space="preserve">   humanos declaradas en la presente Sentencia. El acto  deberá  llevarse  a</w:t>
        <w:br/>
        <w:t xml:space="preserve">   cabo mediante una ceremonia  pública  y  ser  divulgado  ampliamente.  El</w:t>
        <w:br/>
        <w:t xml:space="preserve">   Estado deberá asegurar la participación de Jorge Rolando Velásquez Durán,</w:t>
        <w:br/>
        <w:t xml:space="preserve">   Elsa Claudina Paiz  Vidal  y  Pablo  Andrés  Velásquez  Paiz,  si  dichas</w:t>
        <w:br/>
        <w:t xml:space="preserve">   personas así lo desean, e invitar al  evento  a  las  organizaciones  que</w:t>
        <w:br/>
        <w:t xml:space="preserve">   representaron a los familiares de Claudina Isabel Velásquez Paiz  en  las</w:t>
        <w:br/>
        <w:t xml:space="preserve">   instancias  nacionales  e  internacionales.  La   realización   y   demás</w:t>
        <w:br/>
        <w:t xml:space="preserve">   particularidades de dicha ceremonia pública deben  consultarse  previa  y</w:t>
        <w:br/>
        <w:t xml:space="preserve">   debidamente con los referidos familiares de la víctima.  Las  autoridades</w:t>
        <w:br/>
        <w:t xml:space="preserve">   estatales que deberán estar presentes o participar en dicho acto  deberán</w:t>
        <w:br/>
        <w:t xml:space="preserve">   ser altos funcionarios  estatales.  Corresponderá  al  Estado  definir  a</w:t>
        <w:br/>
        <w:t xml:space="preserve">   quienes se encomienda tal tarea. Para  cumplir  con  esta  obligación  el</w:t>
        <w:br/>
        <w:t xml:space="preserve">   Estado cuenta con un plazo de un año a partir de la  notificación  de  la</w:t>
        <w:br/>
        <w:t xml:space="preserve">   presente Sentencia.</w:t>
        <w:br/>
        <w:br/>
        <w:br/>
        <w:t xml:space="preserve">      C.2.3. Solicitud de un fondo para la creación de la Fundación</w:t>
        <w:br/>
        <w:t xml:space="preserve">      “Claudina Isabel Velásquez Paiz – Guatemala”</w:t>
        <w:br/>
        <w:br/>
        <w:t>241. La Comisión no se  pronunció  de  manera  específica  respecto  a  este</w:t>
        <w:br/>
        <w:t xml:space="preserve">   punto. Los representantes solicitaron que, como medida de satisfacción  y</w:t>
        <w:br/>
        <w:t xml:space="preserve">   dignificación  de  Claudina  Velásquez,  la  Corte   ordene   al   Estado</w:t>
        <w:br/>
        <w:t xml:space="preserve">   proporcionar una suma de dinero a sus familiares que  permita  establecer</w:t>
        <w:br/>
        <w:t xml:space="preserve">   la Fundación “Claudina Isabel Velásquez Paiz – Guatemala”, para que desde</w:t>
        <w:br/>
        <w:t xml:space="preserve">   dicha organización se puedan generar mecanismos de apoyo a  la  población</w:t>
        <w:br/>
        <w:t xml:space="preserve">   vulnerable, programas dirigidos a capacitación y formación a  estudiantes</w:t>
        <w:br/>
        <w:t xml:space="preserve">   jóvenes en Guatemala, a la difusión  de  los  derechos  de  las  mujeres,</w:t>
        <w:br/>
        <w:t xml:space="preserve">   inclusive a través de programas de internet. La suma  de  dinero  que  se</w:t>
        <w:br/>
        <w:t xml:space="preserve">   ordenare pagar al Estado por este concepto sería determinada por la Corte</w:t>
        <w:br/>
        <w:t xml:space="preserve">   en equidad. El Estado se opuso y reiteró que  no  existe  responsabilidad</w:t>
        <w:br/>
        <w:t xml:space="preserve">   respecto al derecho a la vida de Claudina Velásquez, por lo que no  sería</w:t>
        <w:br/>
        <w:t xml:space="preserve">   procedente que la Corte establezca medidas de reparación  “implícitamente</w:t>
        <w:br/>
        <w:t xml:space="preserve">   ligadas al relacionado derecho”.</w:t>
        <w:br/>
        <w:br/>
        <w:t>242. En  vista  de  las  demás  medidas  de  reparación  ordenadas  en  esta</w:t>
        <w:br/>
        <w:t xml:space="preserve">   Sentencia, la Corte no considera necesario ordenar esta medida adicional.</w:t>
        <w:br/>
        <w:br/>
        <w:br/>
        <w:br/>
        <w:br/>
        <w:t xml:space="preserve">      C.3. Garantías de no repetición</w:t>
        <w:br/>
        <w:br/>
        <w:t>243. El Estado reiteró que no es responsable de ninguna de  las  violaciones</w:t>
        <w:br/>
        <w:t xml:space="preserve">   alegadas y, en consecuencia, no corresponde que repare  a  las  presuntas</w:t>
        <w:br/>
        <w:t xml:space="preserve">   víctimas. Advirtió que la mayor parte de las reparaciones reclamadas  son</w:t>
        <w:br/>
        <w:t xml:space="preserve">   enfocadas en prevenir, sancionar y erradicar la violencia en contra de la</w:t>
        <w:br/>
        <w:t xml:space="preserve">   mujer. Al respecto, afirmó que no se ha probado que en el  presente  caso</w:t>
        <w:br/>
        <w:t xml:space="preserve">   el hecho se haya motivado por razón del género de la víctima,  y  que  no</w:t>
        <w:br/>
        <w:t xml:space="preserve">   todos los delitos perpetrados en contra de mujeres se  deben  a  que  las</w:t>
        <w:br/>
        <w:t xml:space="preserve">   víctimas sean mujeres. Aclaró que sí ha tomado medidas  de  prevención  y</w:t>
        <w:br/>
        <w:t xml:space="preserve">   sanción  que  tienen  como  objetivo  principal  la  erradicación  de  la</w:t>
        <w:br/>
        <w:t xml:space="preserve">   violencia  en  contra  de  las  mujeres,  no  obstante,  sostuvo  que  la</w:t>
        <w:br/>
        <w:t xml:space="preserve">   existencia de patrones de violaciones a derechos humanos no es suficiente</w:t>
        <w:br/>
        <w:t xml:space="preserve">   para declarar una violación.</w:t>
        <w:br/>
        <w:br/>
        <w:br/>
        <w:t>244. La Corte analizará las  medidas  solicitadas  por  la  Comisión  y  los</w:t>
        <w:br/>
        <w:t xml:space="preserve">   representantes  tomando  en  cuenta  las  violaciones  declaradas  en  el</w:t>
        <w:br/>
        <w:t xml:space="preserve">   capítulo de Fondo de esta  Sentencia.  Asimismo,  tomará  en  cuenta  los</w:t>
        <w:br/>
        <w:t xml:space="preserve">   alegatos del Estado relativos a las “medidas  de  prevención  y  sanción”</w:t>
        <w:br/>
        <w:t xml:space="preserve">   adoptadas con el objetivo de “erradica[r] la violencia en contra  de  las</w:t>
        <w:br/>
        <w:t xml:space="preserve">   mujeres”.</w:t>
        <w:br/>
        <w:br/>
        <w:br/>
        <w:t xml:space="preserve">      C.3.1. Programas educativos en materia de no discriminación y</w:t>
        <w:br/>
        <w:t xml:space="preserve">      violencia contra la mujer</w:t>
        <w:br/>
        <w:br/>
        <w:t>245. La Comisión solicitó a la Corte que ordene al Estado  adoptar  reformas</w:t>
        <w:br/>
        <w:t xml:space="preserve">   en los programas educativos  del  Estado,  desde  la  etapa  formativa  y</w:t>
        <w:br/>
        <w:t xml:space="preserve">   temprana, para promover el respeto de las mujeres como iguales, así  como</w:t>
        <w:br/>
        <w:t xml:space="preserve">   el respeto de sus derechos a la no violencia y a  la  no  discriminación.</w:t>
        <w:br/>
        <w:t xml:space="preserve">   Por su parte, los representantes  solicitaron  que  la  Corte  ordene  al</w:t>
        <w:br/>
        <w:t xml:space="preserve">   Estado crear en la Universidad Nacional de San Carlos de Guatemala y/o en</w:t>
        <w:br/>
        <w:t xml:space="preserve">   otros establecimientos públicos de educación  superior,  un  curso  sobre</w:t>
        <w:br/>
        <w:t xml:space="preserve">   derechos  de  las  mujeres  que  se  denomine  “Cátedra  Claudina  Isabel</w:t>
        <w:br/>
        <w:t xml:space="preserve">   Velásquez Paiz”, para honrar su  memoria  en  su  Alma  Máter,  así  como</w:t>
        <w:br/>
        <w:t xml:space="preserve">   contribuir a la difusión de los derechos de las mujeres en Guatemala y de</w:t>
        <w:br/>
        <w:t xml:space="preserve">   esta manera, a la erradicación de la violencia contra las  mujeres.  Este</w:t>
        <w:br/>
        <w:t xml:space="preserve">   curso debe impartirse todos los años académicos, a partir del año escolar</w:t>
        <w:br/>
        <w:t xml:space="preserve">   siguiente a la notificación de la sentencia que se emita sobre este caso.</w:t>
        <w:br/>
        <w:br/>
        <w:br/>
        <w:br/>
        <w:t>246. El Estado señaló que su programa educativo “ya  contiene  la  promoción</w:t>
        <w:br/>
        <w:t xml:space="preserve">   del respeto a las mujeres como iguales, al igual que sus derechos”. Según</w:t>
        <w:br/>
        <w:t xml:space="preserve">   Guatemala, el Ministerio de  Educación  ha  impulsado,  por  más  de  una</w:t>
        <w:br/>
        <w:t xml:space="preserve">   década, programas que han contribuido al fortalecimiento de  la  dignidad</w:t>
        <w:br/>
        <w:t xml:space="preserve">   de la niña y la mujer, y citó para el efecto: a) El programa “Educando  a</w:t>
        <w:br/>
        <w:t xml:space="preserve">   la niña”;  b) Proyecto piloto “Eduque a la niña"; c) Proyecto  “Un  mundo</w:t>
        <w:br/>
        <w:t xml:space="preserve">   nuevo para la niña”; d) Campaña “Niña educada, madre del desarrollo”;  e)</w:t>
        <w:br/>
        <w:t xml:space="preserve">   Programa de “Becas para niñas indígenas  del  área  rural”;  f)  Proyecto</w:t>
        <w:br/>
        <w:t xml:space="preserve">   “Global de educación de la niña"; g) Programa de “Educación bilingüe”;  y</w:t>
        <w:br/>
        <w:t xml:space="preserve">   h) Programa de Atención integral al niño y niña menores  de  siete  años.</w:t>
        <w:br/>
        <w:t xml:space="preserve">   Asimismo, resaltó que el diseño e  implementación  de  la  estrategia  de</w:t>
        <w:br/>
        <w:t xml:space="preserve">   Educación  Integral  en  Sexualidad  y  Prevención  de  la  Violencia  es</w:t>
        <w:br/>
        <w:t xml:space="preserve">   realizado por las Direcciones Generales y  Departamentales  con  apoyo  y</w:t>
        <w:br/>
        <w:t xml:space="preserve">   acompañamiento de la Unidad de Equidad de Género con  Pertinencia  Étnica</w:t>
        <w:br/>
        <w:t xml:space="preserve">   adscrita a la Dirección de Planificación Educativa. En este  sentido,  el</w:t>
        <w:br/>
        <w:t xml:space="preserve">   Estado consideró que lo solicitado por la Comisión y  los  representantes</w:t>
        <w:br/>
        <w:t xml:space="preserve">   “ha sido previamente cumplido”.</w:t>
        <w:br/>
        <w:br/>
        <w:br/>
        <w:t>247. La Corte constató que los hechos del presente  caso  ocurrieron  dentro</w:t>
        <w:br/>
        <w:t xml:space="preserve">   de un contexto de aumento de la violencia homicida contra las mujeres  en</w:t>
        <w:br/>
        <w:t xml:space="preserve">   Guatemala, que los niveles de dicha violencia continúan siendo  elevados,</w:t>
        <w:br/>
        <w:t xml:space="preserve">   y que incluso existe un agravamiento en el grado de violencia contra  las</w:t>
        <w:br/>
        <w:t xml:space="preserve">   mujeres y el ensañamiento ejercido contra los cuerpos de  muchas  de  las</w:t>
        <w:br/>
        <w:t xml:space="preserve">   víctimas (supra párrs. 45 y 48). Ante  este  tipo  de  situaciones,  esta</w:t>
        <w:br/>
        <w:t xml:space="preserve">   Corte ha ordenado la implementación de programas de educación  destinados</w:t>
        <w:br/>
        <w:t xml:space="preserve">   a la población en general a fin de superar situaciones de  discriminación</w:t>
        <w:br/>
        <w:t xml:space="preserve">   en contra de la mujer[326].</w:t>
        <w:br/>
        <w:br/>
        <w:br/>
        <w:t>248. Si bien Guatemala ha indicado que ya cuenta  con  programas  educativos</w:t>
        <w:br/>
        <w:t xml:space="preserve">   dirigidos a promover el respeto de los derechos de las mujeres, la  Corte</w:t>
        <w:br/>
        <w:t xml:space="preserve">   nota que, de los programas descritos  por  Guatemala,  solo  uno  estaría</w:t>
        <w:br/>
        <w:t xml:space="preserve">   dirigido a la prevención de la violencia contra la mujer: la “estrategia”</w:t>
        <w:br/>
        <w:t xml:space="preserve">   de  “Prevención  de  la  Violencia”  presuntamente  realizado   por   las</w:t>
        <w:br/>
        <w:t xml:space="preserve">   Direcciones Generales y Departamentales con apoyo y acompañamiento de  la</w:t>
        <w:br/>
        <w:t xml:space="preserve">   Unidad de  Equidad  de  Género  con  Pertinencia  Étnica  adscrita  a  la</w:t>
        <w:br/>
        <w:t xml:space="preserve">   Dirección  de  Planificación  Educativa.  Sin  embargo,  el   Estado   no</w:t>
        <w:br/>
        <w:t xml:space="preserve">   proporcionó  información  alguna  respecto  del  contenido,   alcance   o</w:t>
        <w:br/>
        <w:t xml:space="preserve">   implementación de dicha “estrategia”. En consecuencia, teniendo en cuenta</w:t>
        <w:br/>
        <w:t xml:space="preserve">   la situación  de  discriminación  y  violencia  en  contra  de  la  mujer</w:t>
        <w:br/>
        <w:t xml:space="preserve">   constatada, la Corte ordena al Estado, en un plazo razonable,  incorporar</w:t>
        <w:br/>
        <w:t xml:space="preserve">   al currículo  del  Sistema  Educativo  Nacional,  en  todos  los  niveles</w:t>
        <w:br/>
        <w:t xml:space="preserve">   educativos, un programa de educación permanente  sobre  la  necesidad  de</w:t>
        <w:br/>
        <w:t xml:space="preserve">   erradicar la discriminación de género, los estereotipos de  género  y  la</w:t>
        <w:br/>
        <w:t xml:space="preserve">   violencia contra la  mujer  en  Guatemala,  a  la  luz  de  la  normativa</w:t>
        <w:br/>
        <w:t xml:space="preserve">   internacional en la materia y la jurisprudencia de este Tribunal.  A  tal</w:t>
        <w:br/>
        <w:t xml:space="preserve">   efecto, el Estado deberá presentar un informe anual por tres años, en  el</w:t>
        <w:br/>
        <w:t xml:space="preserve">   que indique las acciones que se han realizado para tal fin. La  Corte  no</w:t>
        <w:br/>
        <w:t xml:space="preserve">   considera necesario ordenar, adicionalmente, la cátedra sobre derechos de</w:t>
        <w:br/>
        <w:t xml:space="preserve">   las mujeres solicitada por los representantes.</w:t>
        <w:br/>
        <w:br/>
        <w:br/>
        <w:br/>
        <w:t xml:space="preserve">      C.3.2. Fortalecimiento institucional en la investigación de casos de</w:t>
        <w:br/>
        <w:t xml:space="preserve">      violencia contra la mujer</w:t>
        <w:br/>
        <w:br/>
        <w:t>249. La Comisión solicitó que  el  Estado  adopte  y/o  en  su  caso  adecúe</w:t>
        <w:br/>
        <w:t xml:space="preserve">   protocolos de investigación y de servicios periciales a ser utilizados en</w:t>
        <w:br/>
        <w:t xml:space="preserve">   todos los delitos que se relacionen con desapariciones, violencia  sexual</w:t>
        <w:br/>
        <w:t xml:space="preserve">   y homicidios de mujeres, conforme a los estándares internacionales  sobre</w:t>
        <w:br/>
        <w:t xml:space="preserve">   la materia, con base en una perspectiva de género. También  solicitó  que</w:t>
        <w:br/>
        <w:t xml:space="preserve">   el  Estado  fortalezca  la  capacidad  institucional  para  combatir   la</w:t>
        <w:br/>
        <w:t xml:space="preserve">   impunidad frente a casos de violencia contra  las  mujeres  a  través  de</w:t>
        <w:br/>
        <w:t xml:space="preserve">   investigaciones criminales  efectivas  con  perspectiva  de  género,  que</w:t>
        <w:br/>
        <w:t xml:space="preserve">   tengan un seguimiento judicial consistente, garantizando así una adecuada</w:t>
        <w:br/>
        <w:t xml:space="preserve">   sanción y reparación.</w:t>
        <w:br/>
        <w:br/>
        <w:t>250. Los representantes señalaron que el sistema  de  justicia  guatemalteco</w:t>
        <w:br/>
        <w:t xml:space="preserve">   sigue  adoleciendo  de  problemas  serios   y   estructurales   para   la</w:t>
        <w:br/>
        <w:t xml:space="preserve">   investigación efectiva de hechos de violencia contra la mujer. Por  ello,</w:t>
        <w:br/>
        <w:t xml:space="preserve">   solicitaron que la Corte ordene al Estado el fortalecimiento  estratégico</w:t>
        <w:br/>
        <w:t xml:space="preserve">   de las entidades  públicas  que  participan  en  la  investigación  y  el</w:t>
        <w:br/>
        <w:t xml:space="preserve">   juzgamiento  de  casos  de  violencia  contra  la  mujer,  incluyendo  el</w:t>
        <w:br/>
        <w:t xml:space="preserve">   fortalecimiento del  Ministerio  Público  y  del  Instituto  Nacional  de</w:t>
        <w:br/>
        <w:t xml:space="preserve">   Ciencias Forenses de  Guatemala  (INACIF),  entre  otros  órganos.  Dicho</w:t>
        <w:br/>
        <w:t xml:space="preserve">   fortalecimiento también debe incluir el entrenamiento y  capacitación  de</w:t>
        <w:br/>
        <w:t xml:space="preserve">   las autoridades  encargadas  de  los  procesos  judiciales  de  casos  de</w:t>
        <w:br/>
        <w:t xml:space="preserve">   violencia contra la mujer, que incluya una estrategia de investigación de</w:t>
        <w:br/>
        <w:t xml:space="preserve">   patrones de este tipo  de  violencia  y  permita  sensibilizarles  en  el</w:t>
        <w:br/>
        <w:t xml:space="preserve">   tratamiento adecuado de las víctimas y familiares de  estos  hechos,  así</w:t>
        <w:br/>
        <w:t xml:space="preserve">   como garantizarles el adecuado acceso a la justicia. Lo anterior  debería</w:t>
        <w:br/>
        <w:t xml:space="preserve">   incluir el fortalecimiento del marco normativo e institucional  existente</w:t>
        <w:br/>
        <w:t xml:space="preserve">   para combatir el femicidio en Guatemala, mediante la  estandarización  de</w:t>
        <w:br/>
        <w:t xml:space="preserve">   los protocolos,  guías  y  métodos  de  investigación  y  actuaciones  de</w:t>
        <w:br/>
        <w:t xml:space="preserve">   carácter forense, así como en la impartición de  justicia  en  los  casos</w:t>
        <w:br/>
        <w:t xml:space="preserve">   relativos a desapariciones y homicidios  de  mujeres  u  otros  tipos  de</w:t>
        <w:br/>
        <w:t xml:space="preserve">   violencia contra las mujeres, a la luz de los estándares  internacionales</w:t>
        <w:br/>
        <w:t xml:space="preserve">   aplicables. Según los representantes, los  programas  de  capacitación  y</w:t>
        <w:br/>
        <w:t xml:space="preserve">   sensibilización  ya  existentes  para  los  agentes  del   gobierno,   en</w:t>
        <w:br/>
        <w:t xml:space="preserve">   particular en los sectores legales y de aplicación de la ley,  deben  ser</w:t>
        <w:br/>
        <w:t xml:space="preserve">   fortalecidos. Asimismo, indicaron que,  deben  ser  incluidos  cursos  de</w:t>
        <w:br/>
        <w:t xml:space="preserve">   formación en la lucha contra la violencia de género y un enfoque sensible</w:t>
        <w:br/>
        <w:t xml:space="preserve">   al género en aplicación de la ley, en la formación de todos  los  agentes</w:t>
        <w:br/>
        <w:t xml:space="preserve">   de la Policía Nacional Civil y de la Defensa  Nacional.  La  capacitación</w:t>
        <w:br/>
        <w:t xml:space="preserve">   debe incluir sensibilización sobre las leyes relacionadas,  como  la  Ley</w:t>
        <w:br/>
        <w:t xml:space="preserve">   contra el Femicidio y la Ley contra la Violencia Sexual. Señalaron que un</w:t>
        <w:br/>
        <w:t xml:space="preserve">   enfoque sensible al género debe incorporarse en las  normas  de  conducta</w:t>
        <w:br/>
        <w:t xml:space="preserve">   para  todos  los  fiscales  además  de  otros  operadores   de   justicia</w:t>
        <w:br/>
        <w:t xml:space="preserve">   involucrados en la fase  de  investigación.  Las  estadísticas  sobre  el</w:t>
        <w:br/>
        <w:t xml:space="preserve">   número de funcionarios capacitados por cada departamento deben ponerse  a</w:t>
        <w:br/>
        <w:t xml:space="preserve">   disposición del público, y las quejas de mala conducta de  la  policía  y</w:t>
        <w:br/>
        <w:t xml:space="preserve">   otros funcionarios  gubernamentales  deben  ser  investigadas  de  manera</w:t>
        <w:br/>
        <w:t xml:space="preserve">   completa, imparcial y transparente.</w:t>
        <w:br/>
        <w:br/>
        <w:t>251. El Estado señaló que ya cuenta con programas cuyo objeto es  fortalecer</w:t>
        <w:br/>
        <w:t xml:space="preserve">   la capacidad  institucional  para  combatir  la  impunidad  en  casos  de</w:t>
        <w:br/>
        <w:t xml:space="preserve">   violencia contra mujeres, mismos que se  han  implementado  en  distintas</w:t>
        <w:br/>
        <w:t xml:space="preserve">   instituciones,  según   sea   su   participación   en   la   persecución,</w:t>
        <w:br/>
        <w:t xml:space="preserve">   investigación y sanción de los delitos. Además, resaltó que  la  Comisión</w:t>
        <w:br/>
        <w:t xml:space="preserve">   no establece exactamente cuáles aspectos considera que aún  no  han  sido</w:t>
        <w:br/>
        <w:t xml:space="preserve">   fortalecidos. Indicó que ha cumplido con la adaptación  y  adecuación  de</w:t>
        <w:br/>
        <w:t xml:space="preserve">   protocolos de investigación y de servicios periciales a ser utilizados en</w:t>
        <w:br/>
        <w:t xml:space="preserve">   todos los delitos que se relacionen con desapariciones, violencia  sexual</w:t>
        <w:br/>
        <w:t xml:space="preserve">   y homicidios de mujeres, conforme a los estándares internacionales  sobre</w:t>
        <w:br/>
        <w:t xml:space="preserve">   la materia, con base en una perspectiva de género.  También  sostuvo  que</w:t>
        <w:br/>
        <w:t xml:space="preserve">   “dentro de su legislación interna, existe la normativa penal tendiente  a</w:t>
        <w:br/>
        <w:t xml:space="preserve">   sancionar la posible comisión de hechos delictivos, [… y]  existen  leyes</w:t>
        <w:br/>
        <w:t xml:space="preserve">   específicas diseñadas para abordar la situación de violencia  a  la  cual</w:t>
        <w:br/>
        <w:t xml:space="preserve">   podría estar expuesta cualquier persona de sexo femenino”. En particular,</w:t>
        <w:br/>
        <w:t xml:space="preserve">   el Estado se refirió a  las  siguientes  medidas  e  instituciones,  cuyo</w:t>
        <w:br/>
        <w:t xml:space="preserve">   fortalecimiento consideró ya  ha  sido  implementado:  a)  Ministerio  de</w:t>
        <w:br/>
        <w:t xml:space="preserve">   Gobernación  que  creó  la  Fuerza  de  Tarea  Especializada  contra   el</w:t>
        <w:br/>
        <w:t xml:space="preserve">   Femicidio; b) Procuraduría General de la Nación  (PGN)  que  coordina  el</w:t>
        <w:br/>
        <w:t xml:space="preserve">   sistema de alerta de la Ley  Alba-Kenneth  y  cuenta  con  la  Unidad  de</w:t>
        <w:br/>
        <w:t xml:space="preserve">   Protección de los Derechos de la  Mujer,  Adulto  Mayor  y  Personas  con</w:t>
        <w:br/>
        <w:t xml:space="preserve">   Discapacidad; c) Organismo Judicial que cuenta con un Juzgado de Turno de</w:t>
        <w:br/>
        <w:t xml:space="preserve">   Primera Instancia Penal  de  Delitos  de  Femicidio  y  otras  Formas  de</w:t>
        <w:br/>
        <w:t xml:space="preserve">   Violencia contra la Mujer a partir de octubre de 2012, con la  Unidad  de</w:t>
        <w:br/>
        <w:t xml:space="preserve">   la Mujer y Análisis de Género que  capacita  y  asesora  a  personal  del</w:t>
        <w:br/>
        <w:t xml:space="preserve">   Organismo, y juzga delitos de violencia intrafamiliar y violencia  contra</w:t>
        <w:br/>
        <w:t xml:space="preserve">   la mujer, así como con Juzgados y Tribunales con Competencia en Femicidio</w:t>
        <w:br/>
        <w:t xml:space="preserve">   y otras Formas de Violencia contra la Mujer creados en 2010; d) Organismo</w:t>
        <w:br/>
        <w:t xml:space="preserve">   Legislativo que tiene entre sus comisiones de trabajo a la Comisión de la</w:t>
        <w:br/>
        <w:t xml:space="preserve">   Mujer; e) Instituto de la Defensa  Pública  Penal  y  sus  esfuerzos  por</w:t>
        <w:br/>
        <w:t xml:space="preserve">   implementar el Programa de Asistencia Legal  Gratuita  a  la  Víctima  de</w:t>
        <w:br/>
        <w:t xml:space="preserve">   Violencia y a sus familiares; f) la creación del  Instituto  Nacional  de</w:t>
        <w:br/>
        <w:t xml:space="preserve">   Ciencias Forenses (INACIF) el 8 de septiembre de 2006, el cual inició sus</w:t>
        <w:br/>
        <w:t xml:space="preserve">   funciones a partir del 19 de julio de 2007[327]. De igual modo, el Estado</w:t>
        <w:br/>
        <w:t xml:space="preserve">   se refirió a las siguientes medidas e instituciones implementadas  en  el</w:t>
        <w:br/>
        <w:t xml:space="preserve">   Ministerio Público: creación de la Fiscalía de la Mujer y  las  Fiscalías</w:t>
        <w:br/>
        <w:t xml:space="preserve">   especializadas que conocen exclusivamente los delitos  de  femicidio;  la</w:t>
        <w:br/>
        <w:t xml:space="preserve">   Fiscalía de la  Mujer  y  Niñez  Víctima  para  otros  departamentos  con</w:t>
        <w:br/>
        <w:t xml:space="preserve">   pertinencia étnica cultural para dar respuesta a las  mujeres  indígenas;</w:t>
        <w:br/>
        <w:t xml:space="preserve">   el Modelo de Atención Integral (MAI) de casos de violencia  intrafamiliar</w:t>
        <w:br/>
        <w:t xml:space="preserve">   y de delitos sexuales en el área metropolitana;  la  Cámara  Gessell;  un</w:t>
        <w:br/>
        <w:t xml:space="preserve">   juzgado de paz móvil con el fin de proteger de manera inmediata a mujeres</w:t>
        <w:br/>
        <w:t xml:space="preserve">   y niñez víctimas en materia sexual; la Unidad de Investigación de Delitos</w:t>
        <w:br/>
        <w:t xml:space="preserve">   Sexuales creada el 1 de agosto de 2012. Además,  señaló  que  dentro  del</w:t>
        <w:br/>
        <w:t xml:space="preserve">   Ministerio  Público  se   ha   implementado   el   Protocolo   Específico</w:t>
        <w:br/>
        <w:t xml:space="preserve">   “Instrucción  General  para  la  Investigación  Criminal  del  Delito  de</w:t>
        <w:br/>
        <w:t xml:space="preserve">   Femicidio”, a través de la Instrucción General  06-2013[328];  la  Fiscal</w:t>
        <w:br/>
        <w:t xml:space="preserve">   General y Jefa del Ministerio Público ha establecido como  parte  de  sus</w:t>
        <w:br/>
        <w:t xml:space="preserve">   políticas  institucionales   para   2011-2014   “la   Persecución   Penal</w:t>
        <w:br/>
        <w:t xml:space="preserve">   Estratégica, la Coordinación Interinstitucional, la Atención y Protección</w:t>
        <w:br/>
        <w:t xml:space="preserve">   a Víctimas  y  Testigos  y  el  Fortalecimiento  Institucional”;  se  han</w:t>
        <w:br/>
        <w:t xml:space="preserve">   desarrollado una serie de directrices orientadas a adecuar  la  labor  de</w:t>
        <w:br/>
        <w:t xml:space="preserve">   investigación y persecución penal a los estándares internacionales en  la</w:t>
        <w:br/>
        <w:t xml:space="preserve">   materia[329]; se promovieron acciones de atención y protección a víctimas</w:t>
        <w:br/>
        <w:t xml:space="preserve">   y testigos[330], y se capacita constantemente al personal.</w:t>
        <w:br/>
        <w:br/>
        <w:t>252. Al igual que en el Caso Veliz Franco y otros, el  Tribunal  valora  los</w:t>
        <w:br/>
        <w:t xml:space="preserve">   esfuerzos del Estado para adoptar  legislación,  otros  actos  jurídicos,</w:t>
        <w:br/>
        <w:t xml:space="preserve">   instituciones y políticas públicas orientadas a combatir la violencia por</w:t>
        <w:br/>
        <w:t xml:space="preserve">   razón de género, así como su esfuerzo por adecuar su sistema  en  materia</w:t>
        <w:br/>
        <w:t xml:space="preserve">   de   investigación   penal.   Estos   avances   constituyen   indicadores</w:t>
        <w:br/>
        <w:t xml:space="preserve">   estructurales relacionados con la adopción de medidas que, en  principio,</w:t>
        <w:br/>
        <w:t xml:space="preserve">   tienen como objetivo enfrentar la violencia y  discriminación  contra  la</w:t>
        <w:br/>
        <w:t xml:space="preserve">   mujer, o que su aplicación coadyuva a ello[331].</w:t>
        <w:br/>
        <w:br/>
        <w:t>253. Sin perjuicio de ello y tal como ha sido  señalado  por  este  Tribunal</w:t>
        <w:br/>
        <w:t xml:space="preserve">   (supra párr. 49), los hechos del presente caso se enmarcan dentro  de  un</w:t>
        <w:br/>
        <w:t xml:space="preserve">   contexto en que los niveles  de  impunidad  respecto  a  actos  violentos</w:t>
        <w:br/>
        <w:t xml:space="preserve">   contra  mujeres  en  Guatemala  permanecen  elevados.  Al  respecto,  los</w:t>
        <w:br/>
        <w:t xml:space="preserve">   representantes  hicieron  referencia  a  que  el  sistema   de   justicia</w:t>
        <w:br/>
        <w:t xml:space="preserve">   guatemalteco sigue adoleciendo de problemas serios y  estructurales  para</w:t>
        <w:br/>
        <w:t xml:space="preserve">   la investigación efectiva de hechos de  violencia  contra  la  mujer.  En</w:t>
        <w:br/>
        <w:t xml:space="preserve">   relación a este punto, la perita Karen  Musalo  señaló  la  necesidad  de</w:t>
        <w:br/>
        <w:t xml:space="preserve">   llevar  a   cabo   inmediatamente   las   siguientes   medidas[332]:   a)</w:t>
        <w:br/>
        <w:t xml:space="preserve">   mejoramientos en las  investigaciones[333];  b)  creación  de  tribunales</w:t>
        <w:br/>
        <w:t xml:space="preserve">   especializados[334];  c)  capacitación,   monitoreo   y   disciplina   de</w:t>
        <w:br/>
        <w:t xml:space="preserve">   funcionarios públicos; d)  asignación  de  fondos  adecuados  para  estas</w:t>
        <w:br/>
        <w:t xml:space="preserve">   actividades, y e) recopilación de datos confiables.</w:t>
        <w:br/>
        <w:br/>
        <w:br/>
        <w:t>254. Al respecto, la Corte nota, primeramente, que en el Caso  Veliz  Franco</w:t>
        <w:br/>
        <w:t xml:space="preserve">   y  otros  ordenó  al  Estado  que  elabore  un  plan  de  fortalecimiento</w:t>
        <w:br/>
        <w:t xml:space="preserve">   calendarizado del Instituto Nacional de Ciencias  Forenses  (INACIF).  En</w:t>
        <w:br/>
        <w:t xml:space="preserve">   dicho caso, la Corte estableció que el funcionamiento  adecuado  de  esta</w:t>
        <w:br/>
        <w:t xml:space="preserve">   entidad resulta relevante a fin de que  los  casos  de  atentados  contra</w:t>
        <w:br/>
        <w:t xml:space="preserve">   mujeres  puedan  ser   debidamente   investigados.   Asimismo,   encontró</w:t>
        <w:br/>
        <w:t xml:space="preserve">   acreditados datos de 2012 que indicaban la necesidad  de  que  el  INACIF</w:t>
        <w:br/>
        <w:t xml:space="preserve">   cuente con mayores recursos, y ello habría  sido  expresado  también,  en</w:t>
        <w:br/>
        <w:t xml:space="preserve">   2010, por autoridades de la entidad[335]. En el presente caso y tal  como</w:t>
        <w:br/>
        <w:t xml:space="preserve">   ocurrió en el caso Veliz Franco y otros, el Estado no ha hecho  llegar  a</w:t>
        <w:br/>
        <w:t xml:space="preserve">   la Corte información que demuestre que ha habido  una  alteración  en  la</w:t>
        <w:br/>
        <w:t xml:space="preserve">   situación referida[336]. Por  tanto,  el  Tribunal  considera  pertinente</w:t>
        <w:br/>
        <w:t xml:space="preserve">   ordenar nuevamente que,  en  un  plazo  razonable,  elabore  un  plan  de</w:t>
        <w:br/>
        <w:t xml:space="preserve">   fortalecimiento calendarizado del Instituto Nacional de Ciencias Forenses</w:t>
        <w:br/>
        <w:t xml:space="preserve">   (INACIF), que incluya una asignación adecuada de  recursos  para  ampliar</w:t>
        <w:br/>
        <w:t xml:space="preserve">   sus actividades en el  territorio  nacional  y  el  cumplimiento  de  sus</w:t>
        <w:br/>
        <w:t xml:space="preserve">   funciones.</w:t>
        <w:br/>
        <w:br/>
        <w:br/>
        <w:t>255. En segundo lugar, en el  Caso  Veliz  Franco  y  otros,  este  Tribunal</w:t>
        <w:br/>
        <w:t xml:space="preserve">   determinó que la Ley contra el Femicidio, aprobada en 2008, previó, en su</w:t>
        <w:br/>
        <w:t xml:space="preserve">   artículo   15,   la   “[c]reación   de   los   órganos   jurisdiccionales</w:t>
        <w:br/>
        <w:t xml:space="preserve">   especializados”. Además, en su artículo 14 estableció que “el  Ministerio</w:t>
        <w:br/>
        <w:t xml:space="preserve">   Público deberá crear la Fiscalía de Delitos contra la Vida  e  Integridad</w:t>
        <w:br/>
        <w:t xml:space="preserve">   Física de la Mujer, especializada en  la  investigación  de  los  delitos</w:t>
        <w:br/>
        <w:t xml:space="preserve">   creados por [dicha]  ley,  con  los  recursos  presupuestarios,  físicos,</w:t>
        <w:br/>
        <w:t xml:space="preserve">   materiales, científicos y humanos que le permitan el cumplimiento de  los</w:t>
        <w:br/>
        <w:t xml:space="preserve">   fines de la misma”. A su vez, en los artículos 22 y 23, dicha Ley fijó un</w:t>
        <w:br/>
        <w:t xml:space="preserve">   plazo  de  12  meses  para  el  “estableci[miento]”  de  “[l]os   órganos</w:t>
        <w:br/>
        <w:t xml:space="preserve">   jurisdiccionales especializados a que se refiere el artículo  15  […]  en</w:t>
        <w:br/>
        <w:t xml:space="preserve">   toda la  República”,  y  de  “[l]a  fiscalía  a  la  que  se  refiere  el</w:t>
        <w:br/>
        <w:t xml:space="preserve">   artículo14”[337].</w:t>
        <w:br/>
        <w:br/>
        <w:t>256. En el Caso Veliz Franco y  otros,  el  Estado  informó  que  “la  Corte</w:t>
        <w:br/>
        <w:t xml:space="preserve">   Suprema de Justicia de Guatemala mediante el acuerdo  1-2010”  aprobó  la</w:t>
        <w:br/>
        <w:t xml:space="preserve">   creación  de  los  órganos  jurisdiccionales  especializados  en  ciertos</w:t>
        <w:br/>
        <w:t xml:space="preserve">   departamentos del país. Sin  embargo,  este  Tribunal  determinó  que  no</w:t>
        <w:br/>
        <w:t xml:space="preserve">   surgía de la información allegada, que ello se habría hecho respecto  del</w:t>
        <w:br/>
        <w:t xml:space="preserve">   resto de los departamentos de Guatemala. En particular, estableció que en</w:t>
        <w:br/>
        <w:t xml:space="preserve">   2010 la Corte Suprema de Justicia  aprobó  la  creación  de  “Juzgados  y</w:t>
        <w:br/>
        <w:t xml:space="preserve">   Tribunales de Femicidio y otras formas de Violencia contra la  Mujer”  en</w:t>
        <w:br/>
        <w:t xml:space="preserve">   los   departamentos   de   Guatemala,   Chiquimula   y    Quetzaltenango.</w:t>
        <w:br/>
        <w:t xml:space="preserve">   Posteriormente, en 2012, aprobó la  creación  de  otros  dos  Juzgados  y</w:t>
        <w:br/>
        <w:t xml:space="preserve">   Tribunales especializados en los departamentos de  Huehuetenango  y  Alta</w:t>
        <w:br/>
        <w:t xml:space="preserve">   Verapaz.  Sin  embargo,  no  constaba  que  se  hubiesen  creado  órganos</w:t>
        <w:br/>
        <w:t xml:space="preserve">   jurisdiccionales  especializados  en  los  otros  17   departamentos   de</w:t>
        <w:br/>
        <w:t xml:space="preserve">   Guatemala[338].</w:t>
        <w:br/>
        <w:br/>
        <w:t>257. En el presente caso,  el  Estado  ha  informado  que  “cuenta  con”  la</w:t>
        <w:br/>
        <w:t xml:space="preserve">   Fiscalía de la Mujer, encargada de la persecución penal para  abordar  la</w:t>
        <w:br/>
        <w:t xml:space="preserve">   violencia intrafamiliar y la violencia contra las mujeres, así como de 12</w:t>
        <w:br/>
        <w:t xml:space="preserve">   fiscalías   especializadas   en   siete   Departamentos    que    conocen</w:t>
        <w:br/>
        <w:t xml:space="preserve">   exclusivamente los delitos de femicidio[339]. Sin embargo,  la  Corte  no</w:t>
        <w:br/>
        <w:t xml:space="preserve">   cuenta con  información  respecto  del  eventual  establecimiento  de  la</w:t>
        <w:br/>
        <w:t xml:space="preserve">   Fiscalía de Delitos contra la  Vida  e  Integridad  Física  de  la  Mujer</w:t>
        <w:br/>
        <w:t xml:space="preserve">   mencionada en los artículos 14 y 23 de la  Ley  contra  el  Femicidio,  y</w:t>
        <w:br/>
        <w:t xml:space="preserve">   tampoco se desprende de  la  información  proporcionada  si  los  órganos</w:t>
        <w:br/>
        <w:t xml:space="preserve">   jurisdiccionales señalados por el Estado (supra párrs. 251 y 256)  fueron</w:t>
        <w:br/>
        <w:t xml:space="preserve">   establecidos en cumplimiento de lo estipulado en los artículos 15 y 22 de</w:t>
        <w:br/>
        <w:t xml:space="preserve">   dicha Ley, es decir, en la totalidad de los departamentos  de  Guatemala.</w:t>
        <w:br/>
        <w:t xml:space="preserve">   Por tanto y teniendo en cuenta lo normado por la Ley contra el Femicidio,</w:t>
        <w:br/>
        <w:t xml:space="preserve">   la Corte considera pertinente ordenar nuevamente al  Estado  que,  en  un</w:t>
        <w:br/>
        <w:t xml:space="preserve">   plazo razonable, implemente  el  funcionamiento  pleno  de  los  “órganos</w:t>
        <w:br/>
        <w:t xml:space="preserve">   jurisdiccionales especializados” en toda la República de  Guatemala,  así</w:t>
        <w:br/>
        <w:t xml:space="preserve">   como de la fiscalía especializada.</w:t>
        <w:br/>
        <w:br/>
        <w:br/>
        <w:t>258. Finalmente y en tercer lugar, si bien en el presente caso el Estado  se</w:t>
        <w:br/>
        <w:t xml:space="preserve">   refirió a las capacitaciones en materia de prevención y  erradicación  de</w:t>
        <w:br/>
        <w:t xml:space="preserve">   la violencia contra la mujer presuntamente realizadas  por  el  Organismo</w:t>
        <w:br/>
        <w:t xml:space="preserve">   Judicial[340],   el   Organismo    Legislativo,    el    Ministerio    de</w:t>
        <w:br/>
        <w:t xml:space="preserve">   Gobernación[341], la Policía Nacional  Civil  (PNC)[342],  el  Ministerio</w:t>
        <w:br/>
        <w:t xml:space="preserve">   Público y la Comisión Presidencial de Derechos  Humanos  (COPREDEH)[343],</w:t>
        <w:br/>
        <w:t xml:space="preserve">   no aportó  documentación  alguna  que  permita  al  Tribunal  valorar  su</w:t>
        <w:br/>
        <w:t xml:space="preserve">   idoneidad y permanencia. Por tanto y teniendo en cuenta lo  ordenado  por</w:t>
        <w:br/>
        <w:t xml:space="preserve">   este Tribunal en el Caso Veliz Franco y otros[344], la Corte dispone  que</w:t>
        <w:br/>
        <w:t xml:space="preserve">   el Estado debe, en un plazo razonable,  implementar  programas  y  cursos</w:t>
        <w:br/>
        <w:t xml:space="preserve">   permanentes para funcionarios públicos pertenecientes al Poder  Judicial,</w:t>
        <w:br/>
        <w:t xml:space="preserve">   Ministerio Público y Policía Nacional Civil, que estén  vinculados  a  la</w:t>
        <w:br/>
        <w:t xml:space="preserve">   investigación de actos de  homicidio  de  mujeres,  sobre  estándares  en</w:t>
        <w:br/>
        <w:t xml:space="preserve">   materia de prevención, eventual sanción y erradicación de  homicidios  de</w:t>
        <w:br/>
        <w:t xml:space="preserve">   mujeres y  capacitarlos  sobre  la  debida  aplicación  de  la  normativa</w:t>
        <w:br/>
        <w:t xml:space="preserve">   internacional y jurisprudencia de este Tribunal en la materia.</w:t>
        <w:br/>
        <w:br/>
        <w:t xml:space="preserve">      C.3.3. Medidas para prevenir violencia contra la mujer: política</w:t>
        <w:br/>
        <w:t xml:space="preserve">      estatal</w:t>
        <w:br/>
        <w:br/>
        <w:t>259. La Comisión solicitó que  el  Estado  implemente  como  medida  de  no-</w:t>
        <w:br/>
        <w:t xml:space="preserve">   repetición, una política estatal integral y  coordinada,  respaldada  con</w:t>
        <w:br/>
        <w:t xml:space="preserve">   recursos públicos adecuados, para la prevención  de  casos  de  violencia</w:t>
        <w:br/>
        <w:t xml:space="preserve">   contra las mujeres. Además, solicitó que  el  Estado  adoptara  políticas</w:t>
        <w:br/>
        <w:t xml:space="preserve">   públicas y programas institucionales integrados destinados a eliminar los</w:t>
        <w:br/>
        <w:t xml:space="preserve">   estereotipos  discriminatorios  sobre  el  rol  de  las  mujeres  y   que</w:t>
        <w:br/>
        <w:t xml:space="preserve">   promoviera la erradicación de patrones  socioculturales  discriminatorios</w:t>
        <w:br/>
        <w:t xml:space="preserve">   que impiden su acceso pleno a la justicia, que  incluyeran  programas  de</w:t>
        <w:br/>
        <w:t xml:space="preserve">   capacitación para funcionarios públicos en todos los sectores del Estado,</w:t>
        <w:br/>
        <w:t xml:space="preserve">   incluyendo el sector educación, las ramas  de  la  administración  de  la</w:t>
        <w:br/>
        <w:t xml:space="preserve">   justicia y la policía, y políticas integrales de prevención.</w:t>
        <w:br/>
        <w:br/>
        <w:t>260. Los representantes solicitaron a la Corte  que  ordene  al  Estado  que</w:t>
        <w:br/>
        <w:t xml:space="preserve">   adopte las medidas afirmativas necesarias para garantizar que las leyes y</w:t>
        <w:br/>
        <w:t xml:space="preserve">   políticas existentes relativas a  la  violencia  contra  las  mujeres  se</w:t>
        <w:br/>
        <w:t xml:space="preserve">   apliquen de manera efectiva e inmediata a fin  de  prevenir  y  sancionar</w:t>
        <w:br/>
        <w:t xml:space="preserve">   este tipo de violencia, y garantizar que las víctimas  reciban  atención,</w:t>
        <w:br/>
        <w:t xml:space="preserve">   protección y compensación que sea  suficiente  y  oportuna[345].  También</w:t>
        <w:br/>
        <w:t xml:space="preserve">   solicitaron que el Estado tome las medidas necesarias para modificar  los</w:t>
        <w:br/>
        <w:t xml:space="preserve">   patrones socioculturales de conducta  y  estereotipos  que  exacerban  la</w:t>
        <w:br/>
        <w:t xml:space="preserve">   violencia  contra  las  mujeres,  para  apoyar  de  manera  efectiva   la</w:t>
        <w:br/>
        <w:t xml:space="preserve">   prevención de la violencia. Este esfuerzo debe  incluir  la  penalización</w:t>
        <w:br/>
        <w:t xml:space="preserve">   del acoso sexual, campañas de sensibilización y programas educativos para</w:t>
        <w:br/>
        <w:t xml:space="preserve">   promover la igualdad de género en Guatemala,  sesiones  de  entrenamiento</w:t>
        <w:br/>
        <w:t xml:space="preserve">   con los periodistas sobre la cobertura de los casos de femicidio y  otras</w:t>
        <w:br/>
        <w:t xml:space="preserve">   formas de violencia contra  las  mujeres,  y  el  establecimiento  de  un</w:t>
        <w:br/>
        <w:t xml:space="preserve">   acuerdo de cooperación o estrategia con  los  medios  de  comunicación  y</w:t>
        <w:br/>
        <w:t xml:space="preserve">   agencias de publicidad para ayudar  a  combatir  estereotipos  de  género</w:t>
        <w:br/>
        <w:t xml:space="preserve">   retratados en los medios de  comunicación.  Además,  solicitaron  que  el</w:t>
        <w:br/>
        <w:t xml:space="preserve">   Estado participe en campañas para difundir información sobre los derechos</w:t>
        <w:br/>
        <w:t xml:space="preserve">   de las mujeres, así como dar a conocer con eficacia los servicios  y  los</w:t>
        <w:br/>
        <w:t xml:space="preserve">   mecanismos existentes de que disponen las víctimas de la violencia.</w:t>
        <w:br/>
        <w:br/>
        <w:t>261. El Estado indicó que esta medida  de  no  repetición  que  solicitó  la</w:t>
        <w:br/>
        <w:t xml:space="preserve">   Comisión ya ha sido implementada en observancia de las  obligaciones  que</w:t>
        <w:br/>
        <w:t xml:space="preserve">   ha  adquirido  al  suscribir  convenciones  internacionales   y   de   su</w:t>
        <w:br/>
        <w:t xml:space="preserve">   legislación vigente respecto de la prevención, sanción y erradicación  de</w:t>
        <w:br/>
        <w:t xml:space="preserve">   la violencia en contra de la mujer. Asimismo, señaló que este Tribunal ya</w:t>
        <w:br/>
        <w:t xml:space="preserve">   dispuso que se implemente dicha medida en los puntos resolutivos undécimo</w:t>
        <w:br/>
        <w:t xml:space="preserve">   y duodécimo de la Sentencia del Caso Veliz  Franco  y  otros  en  el  año</w:t>
        <w:br/>
        <w:t xml:space="preserve">   2014[346]. Además, el Estado  se  refirió  con  detalle  a  la  creación,</w:t>
        <w:br/>
        <w:t xml:space="preserve">   estructura, funciones y trabajo que  realizan  la  Coordinadora  Nacional</w:t>
        <w:br/>
        <w:t xml:space="preserve">   para la Prevención de  la  Violencia  Intrafamiliar  y  contra  la  Mujer</w:t>
        <w:br/>
        <w:t xml:space="preserve">   (CONAPREVI), la  Secretaría  Presidencial  de  la  Mujer  (SEPREM)  y  el</w:t>
        <w:br/>
        <w:t xml:space="preserve">   Gabinete Específico de la Mujer (GEM). Además, se refirió  ampliamente  a</w:t>
        <w:br/>
        <w:t xml:space="preserve">   las  siguientes  políticas  públicas  implementadas  para   afrontar   la</w:t>
        <w:br/>
        <w:t xml:space="preserve">   violencia contra la mujer, en materia de prevención, atención, sanción  y</w:t>
        <w:br/>
        <w:t xml:space="preserve">   erradicación de la  violencia  contra  la  mujer:  Política  Nacional  de</w:t>
        <w:br/>
        <w:t xml:space="preserve">   Promoción y Desarrollo Integral de las Mujeres  (PNPDIM)  y  el  Plan  de</w:t>
        <w:br/>
        <w:t xml:space="preserve">   Equidad y Oportunidades (PEO) 2008-2023, y el Plan Nacional de Prevención</w:t>
        <w:br/>
        <w:t xml:space="preserve">   y  Erradicación  de  la  Violencia  lntrafamiliar  y  contra  la  Mujeres</w:t>
        <w:br/>
        <w:t xml:space="preserve">   (PLANOVI)   2004-2014.   También   se   refirió   a    la    coordinación</w:t>
        <w:br/>
        <w:t xml:space="preserve">   interinstitucional para la implementación de dichas  políticas.  En  este</w:t>
        <w:br/>
        <w:t xml:space="preserve">   sentido, se refirió a la creación de la “Mesa Técnica por la  Vida  y  la</w:t>
        <w:br/>
        <w:t xml:space="preserve">   Seguridad de las Mujeres”, conformado  por  la  CONAPREVI,  SEPREM  y  la</w:t>
        <w:br/>
        <w:t xml:space="preserve">   Defensoría de la Mujer Indígena (DEMI), en coordinación con el Ministerio</w:t>
        <w:br/>
        <w:t xml:space="preserve">   de Gobernación y la Comisión de la Mujer del Congreso  de  la  República.</w:t>
        <w:br/>
        <w:t xml:space="preserve">   Asimismo, se refirió a la creación de una  red  para  hacer  efectiva  la</w:t>
        <w:br/>
        <w:t xml:space="preserve">   atención a mujeres agredidas, establecida por la Oficina de Atención a la</w:t>
        <w:br/>
        <w:t xml:space="preserve">   Víctima y la Fiscalía de la Mujer del Ministerio  Público,  así  como  el</w:t>
        <w:br/>
        <w:t xml:space="preserve">   Instituto Nacional de Ciencias Forenses (INACIF). Además, cuenta con  los</w:t>
        <w:br/>
        <w:t xml:space="preserve">   Centros de Apoyo Integral para las Mujeres  Sobrevivientes  de  Violencia</w:t>
        <w:br/>
        <w:t xml:space="preserve">   (CAIMUS). Finalmente, se refirió a la  implementación  del  Protocolo  de</w:t>
        <w:br/>
        <w:t xml:space="preserve">   Actuación de la Policía Nacional Civil  (PNC)  para  el  Abordaje  de  la</w:t>
        <w:br/>
        <w:t xml:space="preserve">   Violencia contra la Mujer.</w:t>
        <w:br/>
        <w:br/>
        <w:t>262. En cuanto a la eliminación de  los  estereotipos  discriminatorios,  el</w:t>
        <w:br/>
        <w:t xml:space="preserve">   Estado señaló, entre  otros,  que  dentro  de  las  medidas  que  se  han</w:t>
        <w:br/>
        <w:t xml:space="preserve">   implementado para garantizar el acceso  a  la  justicia,  se  encuentran:</w:t>
        <w:br/>
        <w:t xml:space="preserve">   Creación de instituciones de apoyo legal a la mujer indígena; Creación de</w:t>
        <w:br/>
        <w:t xml:space="preserve">   la Defensoría de la Mujer Indígena, de la  Comisión  Nacional  contra  el</w:t>
        <w:br/>
        <w:t xml:space="preserve">   Racismo y la Discriminación, y de las Defensorías Indígenas,  dentro  del</w:t>
        <w:br/>
        <w:t xml:space="preserve">   Instituto de la Defensa Pública Penal; Incorporación  de  intérpretes  en</w:t>
        <w:br/>
        <w:t xml:space="preserve">   las instituciones relacionadas con la aplicación de justicia; Suscripción</w:t>
        <w:br/>
        <w:t xml:space="preserve">   de un Convenio entre la DEMI y la Oficina del  Alto  Comisionado  de  las</w:t>
        <w:br/>
        <w:t xml:space="preserve">   Naciones Unidas para los Derechos  Humanos  y  la  Comisión  Presidencial</w:t>
        <w:br/>
        <w:t xml:space="preserve">   contra la Discriminación  y  el  Racismo;  Incremento  en  el  número  de</w:t>
        <w:br/>
        <w:t xml:space="preserve">   denuncias presentadas ante la  DEMI,  por  mujeres  indígenas  sobre  los</w:t>
        <w:br/>
        <w:t xml:space="preserve">   hechos de violencia de que son objeto; la implementación por la Dirección</w:t>
        <w:br/>
        <w:t xml:space="preserve">   de Educación de la Comisión Presidencial coordinadora de la Política  del</w:t>
        <w:br/>
        <w:t xml:space="preserve">   Ejecutivo  en  Materia  de  Derechos  Humanos  (COPREDEH)  de  diplomados</w:t>
        <w:br/>
        <w:t xml:space="preserve">   dirigidos a empleados y  funcionarios  públicos  del  ejecutivo  y  otras</w:t>
        <w:br/>
        <w:t xml:space="preserve">   instituciones sobre temas relevantes,  dos  en  2012,  nueve  en  2013  y</w:t>
        <w:br/>
        <w:t xml:space="preserve">   catorce en 2014.</w:t>
        <w:br/>
        <w:br/>
        <w:t>263. El Tribunal valora  las  diversas  medidas  adoptadas  por  el  Estado,</w:t>
        <w:br/>
        <w:t xml:space="preserve">   inclusive la creación de diversos organismos, dirigidos a  la  prevención</w:t>
        <w:br/>
        <w:t xml:space="preserve">   de  la  violencia  contra  la  mujer  y  la  erradicación   de   patrones</w:t>
        <w:br/>
        <w:t xml:space="preserve">   socioculturales discriminatorios.</w:t>
        <w:br/>
        <w:br/>
        <w:t>264. Sin perjuicio de ello, en este caso la Corte estableció que, según  los</w:t>
        <w:br/>
        <w:t xml:space="preserve">   informes de diversas organizaciones  internacionales  y  nacionales,  así</w:t>
        <w:br/>
        <w:t xml:space="preserve">   como la perita Karen Musalo, las  medidas  implementadas  por  el  Estado</w:t>
        <w:br/>
        <w:t xml:space="preserve">   dirigidas a abordar la problemática de la violencia  contra  las  mujeres</w:t>
        <w:br/>
        <w:t xml:space="preserve">   hasta  el  momento  en  que  acontecieron  los  hechos  del  caso  fueron</w:t>
        <w:br/>
        <w:t xml:space="preserve">   insuficientes para  solucionar  el  problema  debido  a  la  carencia  de</w:t>
        <w:br/>
        <w:t xml:space="preserve">   recursos  asignados,  la  falta  de  coordinación  entre   las   diversas</w:t>
        <w:br/>
        <w:t xml:space="preserve">   instituciones y de una estrategia  integral  de  protección.  Además,  la</w:t>
        <w:br/>
        <w:t xml:space="preserve">   Corte constató que, en su último Informe nacional presentado al Grupo  de</w:t>
        <w:br/>
        <w:t xml:space="preserve">   Trabajo sobre el Examen  Periódico  Universal  del  Consejo  de  Derechos</w:t>
        <w:br/>
        <w:t xml:space="preserve">   Humanos de la ONU, de 7 de agosto 2012, el Estado reconoció que dentro de</w:t>
        <w:br/>
        <w:t xml:space="preserve">   los desafíos que enfrentaba estaba el de “[o]perativizar  una  estrategia</w:t>
        <w:br/>
        <w:t xml:space="preserve">   interinstitucional articulada para atender la prevención de la  violencia</w:t>
        <w:br/>
        <w:t xml:space="preserve">   contra la mujer en todos los ámbitos”. Para efectos del presente caso, la</w:t>
        <w:br/>
        <w:t xml:space="preserve">   Corte también estableció de manera particular que el Estado  no  demostró</w:t>
        <w:br/>
        <w:t xml:space="preserve">   haber implementado las medidas necesarias a fin de que  los  funcionarios</w:t>
        <w:br/>
        <w:t xml:space="preserve">   responsables de recibir denuncias de desaparición tuvieran la capacidad y</w:t>
        <w:br/>
        <w:t xml:space="preserve">   la sensibilidad para  entender  la  gravedad  de  las  mismas  frente  al</w:t>
        <w:br/>
        <w:t xml:space="preserve">   contexto  de  violencia  contra  la  mujer,  así  como  la   voluntad   y</w:t>
        <w:br/>
        <w:t xml:space="preserve">   entrenamiento para actuar de inmediato y de forma  eficaz  (supra  párrs.</w:t>
        <w:br/>
        <w:t xml:space="preserve">   120 y 133). Ahora  bien,  en  su  contestación,  el  Estado  mencionó  la</w:t>
        <w:br/>
        <w:t xml:space="preserve">   creación del “sistema de alerta de la Ley Alba-Ke[n]eth”, coordinado  por</w:t>
        <w:br/>
        <w:t xml:space="preserve">   la Procuraduría General de la Nación (PGN) (supra  párr.  251),  el  cual</w:t>
        <w:br/>
        <w:t xml:space="preserve">   “busca proteger de mejor manera a los niños, niñas y adolescentes  contra</w:t>
        <w:br/>
        <w:t xml:space="preserve">   el secuestro, el tráfico, la venta y la trata […]”[347]. Sin embargo,  no</w:t>
        <w:br/>
        <w:t xml:space="preserve">   indicó si en su ordenamiento interno existe  algún  sistema  análogo  que</w:t>
        <w:br/>
        <w:t xml:space="preserve">   abarque la situación de mujeres  adultas  reportadas  como  desaparecidas</w:t>
        <w:br/>
        <w:t xml:space="preserve">   dentro en el contexto del presente caso.</w:t>
        <w:br/>
        <w:br/>
        <w:t>265. Esta Corte ha constatado que el 11 de  octubre  de  2012  un  grupo  de</w:t>
        <w:br/>
        <w:t xml:space="preserve">   diputadas y diputados del Congreso de la República de Guatemala, presentó</w:t>
        <w:br/>
        <w:t xml:space="preserve">   una “iniciativa de Ley de Búsqueda Inmediata de  Mujeres  Desaparecidas”.</w:t>
        <w:br/>
        <w:t xml:space="preserve">   En la exposición de motivos de  dicha  iniciativa  se  cita  el  caso  de</w:t>
        <w:br/>
        <w:t xml:space="preserve">   Claudina Isabel Velásquez Paiz como uno de los ejemplos en  los  que  “la</w:t>
        <w:br/>
        <w:t xml:space="preserve">   tardanza  en  realizar  acciones  de  búsqueda  inmediata   de   personas</w:t>
        <w:br/>
        <w:t xml:space="preserve">   desaparecidas, en especial de mujeres, pudo favorecer la actuación de los</w:t>
        <w:br/>
        <w:t xml:space="preserve">   victimarios que les cortaron la vida”[348]. Asimismo, se cita el  informe</w:t>
        <w:br/>
        <w:t xml:space="preserve">   de la Procuraduría de los Derechos Humanos de Guatemala  en  relación  al</w:t>
        <w:br/>
        <w:t xml:space="preserve">   caso de Claudina Velásquez, en el cual se critica la espera de  24  horas</w:t>
        <w:br/>
        <w:t xml:space="preserve">   para recibir una denuncia por desaparición, ya que se genera  un  espacio</w:t>
        <w:br/>
        <w:t xml:space="preserve">   de tiempo en el cual se deja en situación de indefensión a la  víctima  e</w:t>
        <w:br/>
        <w:t xml:space="preserve">   impide que se cuente con un registro adecuado de  personas  desaparecidas</w:t>
        <w:br/>
        <w:t xml:space="preserve">   para su posterior identificación (supra párr. 131). El  18  de  marzo  de</w:t>
        <w:br/>
        <w:t xml:space="preserve">   2014, la Comisión de Legislación y Puntos Constitucionales  del  Congreso</w:t>
        <w:br/>
        <w:t xml:space="preserve">   de la República emitió  un  dictamen  favorable  en  relación  con  dicha</w:t>
        <w:br/>
        <w:t xml:space="preserve">   iniciativa  de  ley,  considerando  que  “no  existe  un   mecanismo   de</w:t>
        <w:br/>
        <w:t xml:space="preserve">   coordinación que permita dar respuesta adecuada a las  desapariciones  de</w:t>
        <w:br/>
        <w:t xml:space="preserve">   mujeres”, “que a pesar de los esfuerzos que se han hecho  en  materia  de</w:t>
        <w:br/>
        <w:t xml:space="preserve">   seguridad y justicia, los niveles de  violencia  contra  las  mujeres  en</w:t>
        <w:br/>
        <w:t xml:space="preserve">   Guatemala es alto y [se han] increment[ado]  año  con  año”  y  que  “los</w:t>
        <w:br/>
        <w:t xml:space="preserve">   niveles de impunidad en los casos de muerte de mujeres significan más del</w:t>
        <w:br/>
        <w:t xml:space="preserve">   90%”[349]. El mencionado anteproyecto no ha sido aprobado por el Congreso</w:t>
        <w:br/>
        <w:t xml:space="preserve">   de Guatemala.</w:t>
        <w:br/>
        <w:br/>
        <w:t>266. De este modo, teniendo en cuenta que se ha  identificado  la  necesidad</w:t>
        <w:br/>
        <w:t xml:space="preserve">   de regular la búsqueda de mujeres desaparecidas en  Guatemala,  la  Corte</w:t>
        <w:br/>
        <w:t xml:space="preserve">   considera  pertinente  ordenar  al  Estado  que  adopte  una  estrategia,</w:t>
        <w:br/>
        <w:t xml:space="preserve">   sistema, mecanismo o programa nacional, a través de medidas  legislativas</w:t>
        <w:br/>
        <w:t xml:space="preserve">   o de otro carácter, a efectos de lograr la búsqueda eficaz e inmediata de</w:t>
        <w:br/>
        <w:t xml:space="preserve">   mujeres desaparecidas. Asimismo, que permita asegurar  que  en  casos  de</w:t>
        <w:br/>
        <w:t xml:space="preserve">   denuncias  de  esta  naturaleza,  las  autoridades  correspondientes  las</w:t>
        <w:br/>
        <w:t xml:space="preserve">   reciban inmediatamente y sin necesidad de ninguna formalidad y, al  mismo</w:t>
        <w:br/>
        <w:t xml:space="preserve">   tiempo, que inicien las acciones que permitan  localizar  y  prevenir  la</w:t>
        <w:br/>
        <w:t xml:space="preserve">   violación de los derechos a la vida e integridad personal de las posibles</w:t>
        <w:br/>
        <w:t xml:space="preserve">   víctimas. Lo  anterior,  en  un  plazo  razonable  y  con  la  respectiva</w:t>
        <w:br/>
        <w:t xml:space="preserve">   disposición presupuestaria e institucional[350].</w:t>
        <w:br/>
        <w:br/>
        <w:t xml:space="preserve">      C.3.4 Solicitud de un sistema de Producción de Información Estadística</w:t>
        <w:br/>
        <w:br/>
        <w:t>267. La Comisión solicitó que el Estado implemente un sistema de  producción</w:t>
        <w:br/>
        <w:t xml:space="preserve">   de información estadística desagregada adecuada, que permita el diseño  y</w:t>
        <w:br/>
        <w:t xml:space="preserve">   evaluación de las políticas  públicas  en  relación  con  la  prevención,</w:t>
        <w:br/>
        <w:t xml:space="preserve">   sanción  y  eliminación  de  la  violencia  contra   las   mujeres.   Los</w:t>
        <w:br/>
        <w:t xml:space="preserve">   representantes  solicitaron  que  el  Estado  establezca  un  sistema  de</w:t>
        <w:br/>
        <w:t xml:space="preserve">   producción de información estadística desagregada en materia de violencia</w:t>
        <w:br/>
        <w:t xml:space="preserve">   contra las mujeres, que permita identificar tendencias  y  patrones,  así</w:t>
        <w:br/>
        <w:t xml:space="preserve">   como diseñar e implementar políticas públicas para la prevención, sanción</w:t>
        <w:br/>
        <w:t xml:space="preserve">   y erradicación de la violencia contra  las  mujeres,  y  permita  diseñar</w:t>
        <w:br/>
        <w:t xml:space="preserve">   programas  de  atención  adecuados   para   las   mujeres.   Asimismo   y</w:t>
        <w:br/>
        <w:t xml:space="preserve">   conjuntamente con la producción de  información  estadística,  el  Estado</w:t>
        <w:br/>
        <w:t xml:space="preserve">   debe informar, al menos anualmente, a la ciudadanía de Guatemala el nivel</w:t>
        <w:br/>
        <w:t xml:space="preserve">   de implementación y cumplimiento con las medidas adoptadas para responder</w:t>
        <w:br/>
        <w:t xml:space="preserve">   al femicidio y otras formas de violencia contra la mujer. Dichos informes</w:t>
        <w:br/>
        <w:t xml:space="preserve">   deben responder a indicadores para cuya  elaboración  se  debe  consultar</w:t>
        <w:br/>
        <w:t xml:space="preserve">   debidamente a la sociedad civil y expertos en materia de derechos de  las</w:t>
        <w:br/>
        <w:t xml:space="preserve">   mujeres, violencia sexual y otras formas  de  discriminación  contra  las</w:t>
        <w:br/>
        <w:t xml:space="preserve">   mujeres. Lo anterior, como  complemento  del  sistema  de  producción  de</w:t>
        <w:br/>
        <w:t xml:space="preserve">   información estadística desagregada en materia de  violencia  contra  las</w:t>
        <w:br/>
        <w:t xml:space="preserve">   mujeres por parte del Instituto Nacional de Estadística.</w:t>
        <w:br/>
        <w:br/>
        <w:br/>
        <w:t>268. El Estado indicó que ya se ha implementado en Guatemala el  sistema  de</w:t>
        <w:br/>
        <w:t xml:space="preserve">   producción  de  información  a  que  se  refiere  la  Comisión   en   sus</w:t>
        <w:br/>
        <w:t xml:space="preserve">   recomendaciones. Explicó que el Sistema  Nacional  de  Información  sobre</w:t>
        <w:br/>
        <w:t xml:space="preserve">   Violencia en Contra de la Mujer  (SNIVCM)  está  a  cargo  del  Instituto</w:t>
        <w:br/>
        <w:t xml:space="preserve">   Nacional de Estadística (INE) y  de  la  Coordinadora  Nacional  para  la</w:t>
        <w:br/>
        <w:t xml:space="preserve">   Prevención  de  la  Violencia  Intrafamiliar   y   contra   las   Mujeres</w:t>
        <w:br/>
        <w:t xml:space="preserve">   (CONAPREVI). Dicho Sistema se creó en cumplimiento del artículo 20 de  la</w:t>
        <w:br/>
        <w:t xml:space="preserve">   Ley Contra el Femicidio y Otras Formas de Violencia Contra la Mujer,  por</w:t>
        <w:br/>
        <w:t xml:space="preserve">   la necesidad e interés nacional de contar con estadísticas  de  violencia</w:t>
        <w:br/>
        <w:t xml:space="preserve">   contra las mujeres que respondan a las demandas de información  oportuna,</w:t>
        <w:br/>
        <w:t xml:space="preserve">   confiable y que permita la formulación y evaluación de políticas públicas</w:t>
        <w:br/>
        <w:t xml:space="preserve">   sostenibles.</w:t>
        <w:br/>
        <w:br/>
        <w:t>269. En el caso Veliz Franco y otros Vs.  Guatemala,  el  Tribunal  tomó  en</w:t>
        <w:br/>
        <w:t xml:space="preserve">   consideración que el artículo 20 de la Ley contra el Femicidio, contempla</w:t>
        <w:br/>
        <w:t xml:space="preserve">   que  el  Instituto  Nacional  de  Estadística  está  obligado  a  generar</w:t>
        <w:br/>
        <w:t xml:space="preserve">   indicadores e información estadística, debiendo crear un Sistema Nacional</w:t>
        <w:br/>
        <w:t xml:space="preserve">   de Información sobre  Violencia  contra  la  Mujer.  Asimismo,  la  Corte</w:t>
        <w:br/>
        <w:t xml:space="preserve">   constató que la página electrónica en  la  que  puede  consultarse  dicho</w:t>
        <w:br/>
        <w:t xml:space="preserve">   Sistema  Nacional  de  Información[351]  contiene  datos  e   información</w:t>
        <w:br/>
        <w:t xml:space="preserve">   referente a la violencia contra la mujer en  Guatemala.  Considerando  lo</w:t>
        <w:br/>
        <w:t xml:space="preserve">   anterior, el Tribunal no consideró necesario ordenar la  creación  de  un</w:t>
        <w:br/>
        <w:t xml:space="preserve">   sistema de recopilación y producción de estadísticas[352]. En el presente</w:t>
        <w:br/>
        <w:t xml:space="preserve">   caso, no se ha comprobado que dicho sistema adolezca de problemas que  lo</w:t>
        <w:br/>
        <w:t xml:space="preserve">   tornan inefectivo o inadecuado. Por tanto, el Tribunal  tampoco  ordenará</w:t>
        <w:br/>
        <w:t xml:space="preserve">   dicha medida de reparación en esta ocasión.</w:t>
        <w:br/>
        <w:br/>
        <w:br/>
        <w:t>D. Indemnizaciones compensatorias</w:t>
        <w:br/>
        <w:br/>
        <w:t>270. La Comisión no presentó alegatos específicos en cuanto a este punto.</w:t>
        <w:br/>
        <w:t xml:space="preserve">      D.1. Daño inmaterial</w:t>
        <w:br/>
        <w:br/>
        <w:t>271. Los representantes solicitaron el  pago  por  daño  inmaterial  de  USD</w:t>
        <w:br/>
        <w:t xml:space="preserve">   $500,000 a favor de Claudina Isabel  Velásquez  Paiz,  por  la  falta  de</w:t>
        <w:br/>
        <w:t xml:space="preserve">   garantía de sus derechos. Dicha cantidad  debe  ser  dividida  en  partes</w:t>
        <w:br/>
        <w:t xml:space="preserve">   iguales y entregada a Jorge Rolando Velásquez Durán, Elsa  Claudina  Paiz</w:t>
        <w:br/>
        <w:t xml:space="preserve">   Vidal y Pablo Andrés Velásquez Paiz. Además, solicitaron el pago de  USD$</w:t>
        <w:br/>
        <w:t xml:space="preserve">   75,000 a favor de cada una de  las  siguientes  personas:  Jorge  Rolando</w:t>
        <w:br/>
        <w:t xml:space="preserve">   Velásquez Durán, Elsa Claudina Paiz Vidal y Pablo Andrés Velásquez  Paiz,</w:t>
        <w:br/>
        <w:t xml:space="preserve">   en virtud del dolor de perder a su hija y hermana, así como la angustia y</w:t>
        <w:br/>
        <w:t xml:space="preserve">   el  sufrimiento  psicológico  causado  por  la  falta   de   justicia   y</w:t>
        <w:br/>
        <w:t xml:space="preserve">   desconocimiento de la verdad respecto al asesinato de Claudina Velásquez.</w:t>
        <w:br/>
        <w:br/>
        <w:t>272. El Estado indicó que no se debe ningún tipo  de  reparación  pecuniaria</w:t>
        <w:br/>
        <w:t xml:space="preserve">   por daño moral,  ya  que  se  ha  realizado  una  investigación  seria  y</w:t>
        <w:br/>
        <w:t xml:space="preserve">   diligente y se ha sancionado al médico  forense  cuya  negligencia  causó</w:t>
        <w:br/>
        <w:t xml:space="preserve">   retraso en la investigación. Asimismo, transcurridos  varios  años  desde</w:t>
        <w:br/>
        <w:t xml:space="preserve">   los  hechos  de  este  caso,  los  familiares  no  han  solicitado  ayuda</w:t>
        <w:br/>
        <w:t xml:space="preserve">   psicológica  ni  han  manifestado  que  tengan   algún   impedimento   de</w:t>
        <w:br/>
        <w:t xml:space="preserve">   recuperación emocional, y es hasta ahora que han solicitado la reparación</w:t>
        <w:br/>
        <w:t xml:space="preserve">   pecuniaria,  sin  mencionar  en  ningún  sentido   que   hayan   recibido</w:t>
        <w:br/>
        <w:t xml:space="preserve">   tratamientos psicológicos de ninguna clase. Por tanto,  solicitó  que  la</w:t>
        <w:br/>
        <w:t xml:space="preserve">   Corte “no permita que se convierta en una acción de  enriquecimiento  sin</w:t>
        <w:br/>
        <w:t xml:space="preserve">   causa”. Por último, solicitó que si la Corte concluye que se  repare  por</w:t>
        <w:br/>
        <w:t xml:space="preserve">   daño inmaterial a los miembros de la familia, dicho monto sea  fijado  en</w:t>
        <w:br/>
        <w:t xml:space="preserve">   equidad, y  que  no  se  tomen  en  cuenta  las  exorbitantes  cantidades</w:t>
        <w:br/>
        <w:t xml:space="preserve">   solicitadas.</w:t>
        <w:br/>
        <w:br/>
        <w:t>273. La Corte ha desarrollado en  su  jurisprudencia  el  concepto  de  daño</w:t>
        <w:br/>
        <w:t xml:space="preserve">   inmaterial  y  ha  establecido  que  este  “puede  comprender  tanto  los</w:t>
        <w:br/>
        <w:t xml:space="preserve">   sufrimientos  y  las  aflicciones  causados  por  la  violación  como  el</w:t>
        <w:br/>
        <w:t xml:space="preserve">   menoscabo de valores muy significativos para  las  personas  y  cualquier</w:t>
        <w:br/>
        <w:t xml:space="preserve">   alteración, de carácter no pecuniario, en las condiciones  de  existencia</w:t>
        <w:br/>
        <w:t xml:space="preserve">   de las víctimas”[353].  Dado que no es posible asignar al daño inmaterial</w:t>
        <w:br/>
        <w:t xml:space="preserve">   un equivalente monetario preciso, solo puede ser objeto de  compensación,</w:t>
        <w:br/>
        <w:t xml:space="preserve">   para los fines de la reparación integral a la víctima, mediante  el  pago</w:t>
        <w:br/>
        <w:t xml:space="preserve">   de una cantidad de dinero o la entrega de bienes o servicios  apreciables</w:t>
        <w:br/>
        <w:t xml:space="preserve">   en dinero, que el Tribunal determine en aplicación razonable del arbitrio</w:t>
        <w:br/>
        <w:t xml:space="preserve">   judicial y en términos de equidad[354].</w:t>
        <w:br/>
        <w:br/>
        <w:t>274. En los capítulos VII.I, VII.II y VII.III, la Corte estableció,  por  un</w:t>
        <w:br/>
        <w:t xml:space="preserve">   lado, en relación con Claudina Isabel Velásquez Paiz, la  responsabilidad</w:t>
        <w:br/>
        <w:t xml:space="preserve">   internacional del Estado  por  la  falta  de  prevención  de  hechos  que</w:t>
        <w:br/>
        <w:t xml:space="preserve">   vulneraron los derechos a la vida e integridad personal de esta. Por otro</w:t>
        <w:br/>
        <w:t xml:space="preserve">   lado, quedó establecido que diversas deficiencias en la investigación  de</w:t>
        <w:br/>
        <w:t xml:space="preserve">   tales hechos afectaron el acceso a la justicia, y se declaró la violación</w:t>
        <w:br/>
        <w:t xml:space="preserve">   a los derechos a la integridad personal y al respeto de  la  honra  y  el</w:t>
        <w:br/>
        <w:t xml:space="preserve">   reconocimiento de la dignidad de sus familiares. Además, se constató  que</w:t>
        <w:br/>
        <w:t xml:space="preserve">   el señor Jorge Rolando Velásquez Durán ha participado activamente  en  la</w:t>
        <w:br/>
        <w:t xml:space="preserve">   investigación interna. En consideración de  lo  expuesto,  este  Tribunal</w:t>
        <w:br/>
        <w:t xml:space="preserve">   fija en equidad, por concepto de daño  inmaterial,  la  cantidad  de  USD</w:t>
        <w:br/>
        <w:t xml:space="preserve">   $60.000,00 (sesenta mil dólares de los Estados Unidos de América) a favor</w:t>
        <w:br/>
        <w:t xml:space="preserve">   de Claudina Velásquez Paiz, la cantidad de USD $18.000,00 (dieciocho  mil</w:t>
        <w:br/>
        <w:t xml:space="preserve">   dólares de los Estados Unidos  de  América)  a  favor  de  Jorge  Rolando</w:t>
        <w:br/>
        <w:t xml:space="preserve">   Velásquez Durán, la cantidad de USD $15.000,00 (quince mil dólares de los</w:t>
        <w:br/>
        <w:t xml:space="preserve">   Estados Unidos de América) a favor de Elsa  Claudina  Paiz  Vidal,  y  la</w:t>
        <w:br/>
        <w:t xml:space="preserve">   cantidad de USD $12.000,00 (doce mil dólares de  los  Estados  Unidos  de</w:t>
        <w:br/>
        <w:t xml:space="preserve">   América) a favor de Pablo Andrés Velásquez Paiz.  El  monto  dispuesto  a</w:t>
        <w:br/>
        <w:t xml:space="preserve">   favor de Claudina Velásquez Paiz deberá ser entregado en partes iguales a</w:t>
        <w:br/>
        <w:t xml:space="preserve">   Jorge Rolando Velásquez Durán, Elsa Claudina Paiz Vidal  y  Pablo  Andrés</w:t>
        <w:br/>
        <w:t xml:space="preserve">   Velásquez Paiz.</w:t>
        <w:br/>
        <w:br/>
        <w:br/>
        <w:t xml:space="preserve">      D.2. Daño material</w:t>
        <w:br/>
        <w:br/>
        <w:t>275. Los representantes solicitaron el pago de USD $692,424.44 por el  lucro</w:t>
        <w:br/>
        <w:t xml:space="preserve">   cesante a favor de Claudina Velásquez y de USD $588,031.44 por  el  lucro</w:t>
        <w:br/>
        <w:t xml:space="preserve">   cesante a favor de Jorge Rolando Velásquez. Al respecto, señalaron que al</w:t>
        <w:br/>
        <w:t xml:space="preserve">   momento de su muerte Claudina Velásquez se encontraba cursando el  cuarto</w:t>
        <w:br/>
        <w:t xml:space="preserve">   semestre de la carrera de Derecho en la Facultad de Ciencias Jurídicas  y</w:t>
        <w:br/>
        <w:t xml:space="preserve">   Sociales de la Universidad de San Carlos, “una de las más prestigiosas de</w:t>
        <w:br/>
        <w:t xml:space="preserve">   Guatemala”. Era perfectamente bilingüe y tenía  planes  de  estudiar  una</w:t>
        <w:br/>
        <w:t xml:space="preserve">   especialización en derecho penal en España. Aunado a ello,  pidieron  que</w:t>
        <w:br/>
        <w:t xml:space="preserve">   se tome en cuenta su edad y expectativa de vida.  Con  respecto  a  Jorge</w:t>
        <w:br/>
        <w:t xml:space="preserve">   Rolando Velásquez Durán, padre de la víctima, argumentaron que ha  debido</w:t>
        <w:br/>
        <w:t xml:space="preserve">   dejar de lado sus actividades profesionales de las cuales se derivaba  el</w:t>
        <w:br/>
        <w:t xml:space="preserve">   sustento familiar, para dedicarse a impulsar  la  investigación  judicial</w:t>
        <w:br/>
        <w:t xml:space="preserve">   sobre el asesinato de su hija, pese a  que  dicha  investigación  debiera</w:t>
        <w:br/>
        <w:t xml:space="preserve">   avanzar de oficio por parte del Estado. Por  otro  lado,  solicitaron  el</w:t>
        <w:br/>
        <w:t xml:space="preserve">   pago de daño emergente ya que desde el momento de la muerte  de  Claudina</w:t>
        <w:br/>
        <w:t xml:space="preserve">   Velásquez, su familia ha tenido que  incurrir  en  una  serie  de  gastos</w:t>
        <w:br/>
        <w:t xml:space="preserve">   extraprocesales, entre los cuales se incluyen: los gastos funerarios y de</w:t>
        <w:br/>
        <w:t xml:space="preserve">   inhumación por un valor aproximado de  USD  $1,800;  la  atención  médica</w:t>
        <w:br/>
        <w:t xml:space="preserve">   psiquiátrica desde el 2007 y hasta la fecha para Pablo  Andrés  Velásquez</w:t>
        <w:br/>
        <w:t xml:space="preserve">   Paiz por el trauma causado por el asesinato y la prolongada denegación de</w:t>
        <w:br/>
        <w:t xml:space="preserve">   justicia, por un valor aproximado de USD $515 mensuales;  y  el  pago  de</w:t>
        <w:br/>
        <w:t xml:space="preserve">   honorarios de peritos para la evaluación  psicológica  de  Elsa  Claudina</w:t>
        <w:br/>
        <w:t xml:space="preserve">   Paiz Vidal y Jorge Rolando Velásquez Durán,  entre  otros.  Al  respecto,</w:t>
        <w:br/>
        <w:t xml:space="preserve">   solicitaron a la Corte que fije en equidad dicho  concepto  debido  a  la</w:t>
        <w:br/>
        <w:t xml:space="preserve">   “dificultad de la familia de aportar el estimado de los montos exactos de</w:t>
        <w:br/>
        <w:t xml:space="preserve">   los gastos”.</w:t>
        <w:br/>
        <w:br/>
        <w:t>276. El Estado reiteró que no violó ningún derecho en este caso, por lo  que</w:t>
        <w:br/>
        <w:t xml:space="preserve">   no es responsable de resarcimiento  por  daño  material  alguno.  Además,</w:t>
        <w:br/>
        <w:t xml:space="preserve">   argumentó  que  los  peticionarios  no  han  presentado  documentos   que</w:t>
        <w:br/>
        <w:t xml:space="preserve">   acrediten el daño emergente  que  alegan  respecto  gastos  funerarios  y</w:t>
        <w:br/>
        <w:t xml:space="preserve">   gastos médicos. Respecto al lucro cesante, el Estado  argumentó  que  los</w:t>
        <w:br/>
        <w:t xml:space="preserve">   estudios actuariales presentados como prueba por los  representantes,  no</w:t>
        <w:br/>
        <w:t xml:space="preserve">   reflejan la realidad nacional. Explicó  que,  si  la  Corte  lo  dispone,</w:t>
        <w:br/>
        <w:t xml:space="preserve">   Guatemala puede  solicitar  información  específica  de  cuánto  gana  un</w:t>
        <w:br/>
        <w:t xml:space="preserve">   abogado graduado según  el  arancel  que  existe  para  el  efecto  y  de</w:t>
        <w:br/>
        <w:t xml:space="preserve">   conformidad con la realidad reportada por este tipo de profesionales a la</w:t>
        <w:br/>
        <w:t xml:space="preserve">   Superintendencia de Administración Tributaria  (SAT).  Acerca  del  señor</w:t>
        <w:br/>
        <w:t xml:space="preserve">   Jorge Rolando Velásquez Durán, sostuvo que en  el  acervo  probatorio  no</w:t>
        <w:br/>
        <w:t xml:space="preserve">   consta  que  médicamente  padezca  de  alguna  condición  de  salud  como</w:t>
        <w:br/>
        <w:t xml:space="preserve">   consecuencia de este caso que le impida desarrollar su trabajo, sino  que</w:t>
        <w:br/>
        <w:t xml:space="preserve">   goza de una perfecta condición de salud. Como consecuencia, el Estado  no</w:t>
        <w:br/>
        <w:t xml:space="preserve">   tiene por qué resarcir el lucro cesante de este.</w:t>
        <w:br/>
        <w:br/>
        <w:t>277. La Corte ha desarrollado en  su  jurisprudencia  el  concepto  de  daño</w:t>
        <w:br/>
        <w:t xml:space="preserve">   material y ha establecido que este supone “la pérdida o detrimento de los</w:t>
        <w:br/>
        <w:t xml:space="preserve">   ingresos de las víctimas, los gastos efectuados con motivo de los  hechos</w:t>
        <w:br/>
        <w:t xml:space="preserve">   y las consecuencias de carácter pecuniario que tengan un nexo causal  con</w:t>
        <w:br/>
        <w:t xml:space="preserve">   los hechos del caso”[355].</w:t>
        <w:br/>
        <w:br/>
        <w:br/>
        <w:t>278. En lo que se refiere a la alegada pérdida de ingresos de Jorge  Rolando</w:t>
        <w:br/>
        <w:t xml:space="preserve">   Velásquez Durán, la Corte observa que los representantes presentaron como</w:t>
        <w:br/>
        <w:t xml:space="preserve">   prueba un documento  elaborado  por  un  contador  público,  en  el  cual</w:t>
        <w:br/>
        <w:t xml:space="preserve">   “certifica” que “como consecuencia de  la  muerte  violenta  de  su  hija</w:t>
        <w:br/>
        <w:t xml:space="preserve">   Claudina Isabel  Velásquez  Paiz,  [el  señor  Velásquez  Durán]  se  vio</w:t>
        <w:br/>
        <w:t xml:space="preserve">   obligado a abandonar su empresa de la cual  obtenía  ganancias  […]  para</w:t>
        <w:br/>
        <w:t xml:space="preserve">   dedicarse  a  gestionar  de  manera  personal  [la]  investigación,   […]</w:t>
        <w:br/>
        <w:t xml:space="preserve">   absteniéndose de  sus  ocupaciones  comerciales,  las  cuales  estima  le</w:t>
        <w:br/>
        <w:t xml:space="preserve">   producían ganancias” que ascienden  a  la  cantidad  de  USD  $588,031.44</w:t>
        <w:br/>
        <w:t xml:space="preserve">   (quinientos ochenta y ocho mil treinta y un dólares con cuarenta y cuatro</w:t>
        <w:br/>
        <w:t xml:space="preserve">   centavos de dólar de los Estados Unidos de América)[356]. Del mismo modo,</w:t>
        <w:br/>
        <w:t xml:space="preserve">   en cuanto a la indemnización por concepto de lucro  cesante  a  favor  de</w:t>
        <w:br/>
        <w:t xml:space="preserve">   Claudina Isabel Velásquez Paiz, la Corte observa que  los  representantes</w:t>
        <w:br/>
        <w:t xml:space="preserve">   presentaron un documento elaborado por un contador público,  en  el  cual</w:t>
        <w:br/>
        <w:t xml:space="preserve">   “certifica” que “de acuerdo  a  declaración  de  los  familiares  de  […]</w:t>
        <w:br/>
        <w:t xml:space="preserve">   Claudina Isabel Velásquez Paiz”, el importe global determinado ascendió a</w:t>
        <w:br/>
        <w:t xml:space="preserve">   la  cantidad  de  USD  $692,424.44  (seiscientos  noventa   y   dos   mil</w:t>
        <w:br/>
        <w:t xml:space="preserve">   cuatrocientos veinticuatro dólares con  cuarenta  y  cuatro  centavos  de</w:t>
        <w:br/>
        <w:t xml:space="preserve">   dólar de los Estados Unidos de América), por concepto de la “sumatoria de</w:t>
        <w:br/>
        <w:t xml:space="preserve">   ingresos   crecientes   anuales   esperados   durante   toda   la   etapa</w:t>
        <w:br/>
        <w:t xml:space="preserve">   económicamente  productiva  de  […]  Claudina  Isabel   Velásquez   Paiz,</w:t>
        <w:br/>
        <w:t xml:space="preserve">   comenzando en la edad de 25 años (fecha de inicio de su etapa profesional</w:t>
        <w:br/>
        <w:t xml:space="preserve">   económicamente productiva) y terminando  a  la  edad  de  75  años  (edad</w:t>
        <w:br/>
        <w:t xml:space="preserve">   generalmente aceptada de retiro para un profesional independiente)”[357].</w:t>
        <w:br/>
        <w:t xml:space="preserve">   Al respecto, la Corte observa que  las  cantidades  establecidas  por  el</w:t>
        <w:br/>
        <w:t xml:space="preserve">   contador público que elaboró dichos  documentos  por  concepto  de  lucro</w:t>
        <w:br/>
        <w:t xml:space="preserve">   cesante  a  favor  de  Claudina  Velásquez  y  su   padre   se   basaron,</w:t>
        <w:br/>
        <w:t xml:space="preserve">   aparentemente, en las propias declaraciones y estimaciones de este último</w:t>
        <w:br/>
        <w:t xml:space="preserve">   y su familia. Es decir, no consta que, para arribar a dichas  cantidades,</w:t>
        <w:br/>
        <w:t xml:space="preserve">   el contador se haya basado en documentos  que  acreditaran  los  ingresos</w:t>
        <w:br/>
        <w:t xml:space="preserve">   derivados de las actividades comerciales del señor Velásquez Durán en  el</w:t>
        <w:br/>
        <w:t xml:space="preserve">   pasado o, para el caso de Claudina  Velásquez,  en  algún  documento  que</w:t>
        <w:br/>
        <w:t xml:space="preserve">   indique las ganancias probables de una abogada en Guatemala. No obstante,</w:t>
        <w:br/>
        <w:t xml:space="preserve">   de las declaraciones rendidas por Jorge Velásquez  Durán,  Elsa  Claudina</w:t>
        <w:br/>
        <w:t xml:space="preserve">   Paiz Vidal y Pablo Andrés Velásquez Paiz[358], se concluye que  el  señor</w:t>
        <w:br/>
        <w:t xml:space="preserve">   Velásquez Durán se dedicó por un tiempo  no  determinado  a  impulsar  la</w:t>
        <w:br/>
        <w:t xml:space="preserve">   investigación por la muerte de su  hija.  En  cuanto  a  Claudina  Isabel</w:t>
        <w:br/>
        <w:t xml:space="preserve">   Velásquez Paiz, es un hecho no controvertido que era una joven estudiante</w:t>
        <w:br/>
        <w:t xml:space="preserve">   de la carrera de Derecho en la Universidad de San Carlos en Guatemala. En</w:t>
        <w:br/>
        <w:t xml:space="preserve">   consecuencia, la Corte fija un monto en equidad de USD  $10.000,00  (diez</w:t>
        <w:br/>
        <w:t xml:space="preserve">   mil dólares de los Estados Unidos  de  América)  por  concepto  de  lucro</w:t>
        <w:br/>
        <w:t xml:space="preserve">   cesante a favor de Jorge Rolando Velásquez Durán  y  de  USD  $145.500,00</w:t>
        <w:br/>
        <w:t xml:space="preserve">   (ciento cuarenta y cinco mil quinientos dólares de los Estados Unidos  de</w:t>
        <w:br/>
        <w:t xml:space="preserve">   América) a  favor  de  Claudina  Isabel  Velásquez  Paiz,  por  el  mismo</w:t>
        <w:br/>
        <w:t xml:space="preserve">   concepto. El monto dispuesto a favor de Claudina  Velásquez  Paiz  deberá</w:t>
        <w:br/>
        <w:t xml:space="preserve">   ser entregado en partes iguales a Jorge  Rolando  Velásquez  Durán,  Elsa</w:t>
        <w:br/>
        <w:t xml:space="preserve">   Claudina Paiz Vidal y Pablo Andrés Velásquez Paiz.</w:t>
        <w:br/>
        <w:br/>
        <w:t>279.  En  cuanto  a  los  montos  por  concepto  de  daño   emergente,   los</w:t>
        <w:br/>
        <w:t xml:space="preserve">   representantes  mencionaron  los  siguientes  rubros:   a)   los   gastos</w:t>
        <w:br/>
        <w:t xml:space="preserve">   funerarios y de inhumación de Claudina Velásquez; b) el pago de servicios</w:t>
        <w:br/>
        <w:t xml:space="preserve">   de atención médica psiquiátrica desde el 2007 hasta la fecha  para  Pablo</w:t>
        <w:br/>
        <w:t xml:space="preserve">   Andrés Velásquez por el trauma causado por el asesinato de su  hermana  y</w:t>
        <w:br/>
        <w:t xml:space="preserve">   la prolongada denegación de justicia, y  c)  el  pago  de  honorarios  de</w:t>
        <w:br/>
        <w:t xml:space="preserve">   peritos para la evaluación psicológica de  Elsa  Claudina  Paiz  y  Jorge</w:t>
        <w:br/>
        <w:t xml:space="preserve">   Rolando Velásquez, entre otros gastos. No obstante, “dada  la  dificultad</w:t>
        <w:br/>
        <w:t xml:space="preserve">   de la familia de aportar el estimado de los montos exactos de los  gastos</w:t>
        <w:br/>
        <w:t xml:space="preserve">   en los que ha incurrido la familia Velásquez Paiz y que se enmarcan en la</w:t>
        <w:br/>
        <w:t xml:space="preserve">   noción de daño emergente”, los representantes solicitaron que se fije  el</w:t>
        <w:br/>
        <w:t xml:space="preserve">   monto en equidad. Al respecto, la Corte observa que los representantes no</w:t>
        <w:br/>
        <w:t xml:space="preserve">   remitieron prueba de las erogaciones  realizadas  para  el  pago  de  los</w:t>
        <w:br/>
        <w:t xml:space="preserve">   referidos gastos. No obstante, es evidente que la familia Velásquez  Paiz</w:t>
        <w:br/>
        <w:t xml:space="preserve">   debió  incurrir  en  gastos  funerarios.  Asimismo,  se   desprende   del</w:t>
        <w:br/>
        <w:t xml:space="preserve">   expediente que  Jorge  Velásquez  y  Elsa  Paiz  recibieron  evaluaciones</w:t>
        <w:br/>
        <w:t xml:space="preserve">   psicológicas[359], y que su hijo recibió  tratamiento  psiquiátrico[360],</w:t>
        <w:br/>
        <w:t xml:space="preserve">   en conexión con los hechos de este caso. En consecuencia, la  Corte  fija</w:t>
        <w:br/>
        <w:t xml:space="preserve">   en equidad la suma de USD $9.000,00 (nueve mil  dólares  de  los  Estados</w:t>
        <w:br/>
        <w:t xml:space="preserve">   Unidos de América) por concepto de indemnización  por  daño  emergente  a</w:t>
        <w:br/>
        <w:t xml:space="preserve">   favor de Jorge Rolando Velásquez Durán, Elsa Claudina Paiz Vidal y  Pablo</w:t>
        <w:br/>
        <w:t xml:space="preserve">   Andrés Velásquez Paiz.</w:t>
        <w:br/>
        <w:br/>
        <w:t>E. Costas y Gastos</w:t>
        <w:br/>
        <w:br/>
        <w:t>280.  La  Comisión  no  presentó  alegatos  específicos  al  respecto.   Los</w:t>
        <w:br/>
        <w:t xml:space="preserve">   representantes solicitaron el pago de USD $60,000 a favor del señor Jorge</w:t>
        <w:br/>
        <w:t xml:space="preserve">   Rolando Velásquez Durán por las costas y gastos en que ha incurrido  para</w:t>
        <w:br/>
        <w:t xml:space="preserve">   acceder a la justicia, tanto a nivel nacional e internacional.</w:t>
        <w:br/>
        <w:br/>
        <w:t>281. El Estado señaló  que  no  se  ha  presentado  un  solo  documento  que</w:t>
        <w:br/>
        <w:t xml:space="preserve">   acredite los supuestos gastos incurridos para la tramitación del presente</w:t>
        <w:br/>
        <w:t xml:space="preserve">   caso, lo que resulta sospechoso ya que se trata de una situación a la que</w:t>
        <w:br/>
        <w:t xml:space="preserve">   los  peticionarios  prácticamente  le  habrían  dedicado  la  vida.  Como</w:t>
        <w:br/>
        <w:t xml:space="preserve">   consecuencia, se opuso a que se tome en cuenta la solicitud de  costas  y</w:t>
        <w:br/>
        <w:t xml:space="preserve">   gastos presentada por los representantes.</w:t>
        <w:br/>
        <w:br/>
        <w:t>282. La Corte reitera que,  conforme  a  su  jurisprudencia,  las  costas  y</w:t>
        <w:br/>
        <w:t xml:space="preserve">   gastos  hacen  parte  del  concepto  de  reparación,  toda  vez  que  las</w:t>
        <w:br/>
        <w:t xml:space="preserve">   actividades desplegadas por las víctimas con el fin de obtener  justicia,</w:t>
        <w:br/>
        <w:t xml:space="preserve">   tanto a nivel nacional como internacional, implican erogaciones que deben</w:t>
        <w:br/>
        <w:t xml:space="preserve">   ser compensadas cuando la responsabilidad  internacional  del  Estado  es</w:t>
        <w:br/>
        <w:t xml:space="preserve">   declarada mediante una sentencia condenatoria. En cuanto al reembolso  de</w:t>
        <w:br/>
        <w:t xml:space="preserve">   gastos, corresponde a la Corte apreciar prudentemente su alcance, el cual</w:t>
        <w:br/>
        <w:t xml:space="preserve">   comprende los gastos generados ante las autoridades  de  la  jurisdicción</w:t>
        <w:br/>
        <w:t xml:space="preserve">   interna, así como los generados en el curso del proceso ante  el  sistema</w:t>
        <w:br/>
        <w:t xml:space="preserve">   interamericano, teniendo en cuenta las circunstancias del caso concreto y</w:t>
        <w:br/>
        <w:t xml:space="preserve">   la naturaleza de la  jurisdicción  internacional  de  protección  de  los</w:t>
        <w:br/>
        <w:t xml:space="preserve">   derechos humanos. Esta apreciación puede ser realizada  con  base  en  el</w:t>
        <w:br/>
        <w:t xml:space="preserve">   principio de equidad y tomando en cuenta los  gastos  señalados  por  las</w:t>
        <w:br/>
        <w:t xml:space="preserve">   partes, siempre que su quantum sea razonable[361]. Como  ha  señalado  en</w:t>
        <w:br/>
        <w:t xml:space="preserve">   otras ocasiones, la Corte recuerda que no es suficiente  la  remisión  de</w:t>
        <w:br/>
        <w:t xml:space="preserve">   documentos probatorios, sino que se requiere que  las  partes  hagan  una</w:t>
        <w:br/>
        <w:t xml:space="preserve">   argumentación que relacione la prueba  con  el  hecho  que  se  considera</w:t>
        <w:br/>
        <w:t xml:space="preserve">   representado, y que, al tratarse de alegados desembolsos  económicos,  se</w:t>
        <w:br/>
        <w:t xml:space="preserve">   establezca con claridad los rubros y la justificación de los mismos[362].</w:t>
        <w:br/>
        <w:br/>
        <w:t>283. En este caso, los representantes de las víctimas  no  aportaron  ningún</w:t>
        <w:br/>
        <w:t xml:space="preserve">   elemento probatorio que comprobara los gastos  que  fueron  alegados;  no</w:t>
        <w:br/>
        <w:t xml:space="preserve">   obstante, la Corte considera razonable presumir que  el  señor  Velásquez</w:t>
        <w:br/>
        <w:t xml:space="preserve">   Durán realizó erogaciones  desde  noviembre  de  2005,  año  en  que  fue</w:t>
        <w:br/>
        <w:t xml:space="preserve">   incorporado como querellante  adhesivo  en  la  investigación.  La  Corte</w:t>
        <w:br/>
        <w:t xml:space="preserve">   también advierte que los representantes de las  víctimas  incurrieron  en</w:t>
        <w:br/>
        <w:t xml:space="preserve">   gastos para  asistir  a  la  audiencia  pública  del  caso  celebrada  en</w:t>
        <w:br/>
        <w:t xml:space="preserve">   Cartagena, Colombia,  así  como  gastos  relativos  al  ejercicio  de  su</w:t>
        <w:br/>
        <w:t xml:space="preserve">   representación legal, tales como la remisión  de  escritos  y  gastos  de</w:t>
        <w:br/>
        <w:t xml:space="preserve">   comunicación,  entre  otros,  durante  el  proceso  ante  este  Tribunal.</w:t>
        <w:br/>
        <w:t xml:space="preserve">   Teniendo en cuenta lo anterior y ante la falta de comprobantes  de  estos</w:t>
        <w:br/>
        <w:t xml:space="preserve">   gastos, determina, en equidad, que el Estado debe entregar la cantidad de</w:t>
        <w:br/>
        <w:t xml:space="preserve">   USD $ 5.000,00 (cinco mil dólares de los Estados Unidos  de  América)  al</w:t>
        <w:br/>
        <w:t xml:space="preserve">   señor Jorge Rolando Velásquez Durán; la cantidad de USD $10.000,00  (diez</w:t>
        <w:br/>
        <w:t xml:space="preserve">   mil dólares de los Estados Unidos de  América)  al  representante  Carlos</w:t>
        <w:br/>
        <w:t xml:space="preserve">   Pop; la cantidad de USD $5.000,00  (cinco  mil  dólares  de  los  Estados</w:t>
        <w:br/>
        <w:t xml:space="preserve">   Unidos de América) a favor de la Asociación de Abogados y Notarios Mayas,</w:t>
        <w:br/>
        <w:t xml:space="preserve">   y la cantidad de USD $5.000,00 (cinco mil dólares de los  Estados  Unidos</w:t>
        <w:br/>
        <w:t xml:space="preserve">   de América) a favor del Robert F. Kennedy Center for  Justice  and  Human</w:t>
        <w:br/>
        <w:t xml:space="preserve">   Rights.</w:t>
        <w:br/>
        <w:br/>
        <w:t>F. Modalidad de cumplimiento de los pagos ordenados</w:t>
        <w:br/>
        <w:br/>
        <w:br/>
        <w:t>284. El Estado deberá efectuar el pago de las indemnizaciones  por  concepto</w:t>
        <w:br/>
        <w:t xml:space="preserve">   de daño  material  e  inmaterial  y  el  reintegro  de  costas  y  gastos</w:t>
        <w:br/>
        <w:t xml:space="preserve">   establecidos en  la  presente  Sentencia,  directamente  a  las  personas</w:t>
        <w:br/>
        <w:t xml:space="preserve">   indicadas en la misma, dentro del plazo de un año, contado a partir de la</w:t>
        <w:br/>
        <w:t xml:space="preserve">   notificación del presente  Fallo,  en  los  términos  de  los  siguientes</w:t>
        <w:br/>
        <w:t xml:space="preserve">   párrafos.</w:t>
        <w:br/>
        <w:br/>
        <w:t>285. En caso de que los  beneficiarios  fallezcan  antes  de  que  les  sean</w:t>
        <w:br/>
        <w:t xml:space="preserve">   entregadas  las  indemnizaciones   respectivas,   estas   se   efectuarán</w:t>
        <w:br/>
        <w:t xml:space="preserve">   directamente  a  sus  derechohabientes,  conforme  al   derecho   interno</w:t>
        <w:br/>
        <w:t xml:space="preserve">   aplicable.</w:t>
        <w:br/>
        <w:br/>
        <w:t>286. El Estado deberá cumplir con sus obligaciones  monetarias  mediante  el</w:t>
        <w:br/>
        <w:t xml:space="preserve">   pago en quetzales o en su equivalente en dólares de los Estados Unidos de</w:t>
        <w:br/>
        <w:t xml:space="preserve">   América, utilizando para el cálculo respectivo el tipo de cambio que esté</w:t>
        <w:br/>
        <w:t xml:space="preserve">   vigente en la bolsa de Nueva York, Estados  Unidos  de  América,  el  día</w:t>
        <w:br/>
        <w:t xml:space="preserve">   anterior al pago. Si por causas atribuibles a los  beneficiarios  de  las</w:t>
        <w:br/>
        <w:t xml:space="preserve">   indemnizaciones o a sus derechohabientes no fuese posible el pago de  las</w:t>
        <w:br/>
        <w:t xml:space="preserve">   cantidades determinadas dentro del plazo indicado, el  Estado  consignará</w:t>
        <w:br/>
        <w:t xml:space="preserve">   dichos montos a su favor en una cuenta o certificado de depósito  en  una</w:t>
        <w:br/>
        <w:t xml:space="preserve">   institución financiera guatemalteca solvente, en dólares estadounidenses,</w:t>
        <w:br/>
        <w:t xml:space="preserve">   y  en  las  condiciones  financieras  más  favorables  que  permitan   la</w:t>
        <w:br/>
        <w:t xml:space="preserve">   legislación y la práctica bancaria. Si no  se  reclama  la  indemnización</w:t>
        <w:br/>
        <w:t xml:space="preserve">   correspondiente una vez transcurridos diez  años,  las  cantidades  serán</w:t>
        <w:br/>
        <w:t xml:space="preserve">   devueltas al Estado con los intereses devengados.</w:t>
        <w:br/>
        <w:br/>
        <w:t>287. Las cantidades asignadas en la presente Sentencia como indemnización  y</w:t>
        <w:br/>
        <w:t xml:space="preserve">   como reintegro de costas y gastos deberán ser entregadas a  las  personas</w:t>
        <w:br/>
        <w:t xml:space="preserve">   indicadas en forma íntegra, conforme a lo establecido en esta  Sentencia,</w:t>
        <w:br/>
        <w:t xml:space="preserve">   sin reducciones derivadas de eventuales cargas fiscales.</w:t>
        <w:br/>
        <w:br/>
        <w:t>288. En caso de que el Estado incurriera en mora, deberá  pagar  un  interés</w:t>
        <w:br/>
        <w:t xml:space="preserve">   sobre la cantidad adecuada correspondiente al interés bancario  moratorio</w:t>
        <w:br/>
        <w:t xml:space="preserve">   en la República de Guatemala.</w:t>
        <w:br/>
        <w:br/>
        <w:br/>
        <w:t>289. Conforme a su práctica constante,  la  Corte  se  reserva  la  facultad</w:t>
        <w:br/>
        <w:t xml:space="preserve">   inherente a sus atribuciones y derivada, asimismo, del artículo 65 de  la</w:t>
        <w:br/>
        <w:t xml:space="preserve">   Convención  Americana,  de  supervisar  el  cumplimiento  íntegro  de  la</w:t>
        <w:br/>
        <w:t xml:space="preserve">   presente Sentencia. El caso se dará por concluido una vez que  el  Estado</w:t>
        <w:br/>
        <w:t xml:space="preserve">   haya dado cabal cumplimiento a lo dispuesto en la presente Sentencia.</w:t>
        <w:br/>
        <w:br/>
        <w:t>290. Dentro del plazo de un año, contado a partir de la notificación  de  la</w:t>
        <w:br/>
        <w:t xml:space="preserve">   presente Sentencia, el Estado deberá rendir a la Corte un  informe  sobre</w:t>
        <w:br/>
        <w:t xml:space="preserve">   las medidas adoptadas para cumplirla.</w:t>
        <w:br/>
        <w:br/>
        <w:br/>
        <w:t xml:space="preserve">                                     IX</w:t>
        <w:br/>
        <w:t xml:space="preserve">                             PUNTOS RESOLUTIVOS</w:t>
        <w:br/>
        <w:t>Por tanto,</w:t>
        <w:br/>
        <w:br/>
        <w:t>LA CORTE</w:t>
        <w:br/>
        <w:br/>
        <w:t>DECIDE,</w:t>
        <w:br/>
        <w:br/>
        <w:t>Por unanimidad,</w:t>
        <w:br/>
        <w:br/>
        <w:t xml:space="preserve"> 1. Desestimar la excepción  preliminar  relativa  a  la  alegada  falta  de</w:t>
        <w:br/>
        <w:t xml:space="preserve">    competencia ratione materiae interpuesta por el Estado, en los  términos</w:t>
        <w:br/>
        <w:t xml:space="preserve">    del párrafo 19 de esta Sentencia.</w:t>
        <w:br/>
        <w:br/>
        <w:t xml:space="preserve"> 2. Desestimar la excepción  preliminar  relativa  a  la  alegada  falta  de</w:t>
        <w:br/>
        <w:t xml:space="preserve">    agotamiento de los recursos internos interpuesta por el Estado,  en  los</w:t>
        <w:br/>
        <w:t xml:space="preserve">    términos de los párrafos 23 a 28 de esta Sentencia.</w:t>
        <w:br/>
        <w:br/>
        <w:t>DECLARA,</w:t>
        <w:br/>
        <w:br/>
        <w:t>Por unanimidad, que</w:t>
        <w:br/>
        <w:br/>
        <w:t xml:space="preserve"> 3. El Estado violó su deber de garantizar el libre y pleno ejercicio de los</w:t>
        <w:br/>
        <w:t xml:space="preserve">    derechos a la vida e integridad personal reconocidos  en  los  artículos</w:t>
        <w:br/>
        <w:t xml:space="preserve">    4.1 y 5.1 de la Convención Americana sobre Derechos Humanos, en relación</w:t>
        <w:br/>
        <w:t xml:space="preserve">    con la obligación general de garantía contemplada en el artículo  1.1  y</w:t>
        <w:br/>
        <w:t xml:space="preserve">    en relación con  la  obligación  de  adoptar  disposiciones  de  derecho</w:t>
        <w:br/>
        <w:t xml:space="preserve">    interno contemplada en el artículo 2 de  la  misma,  así  como  con  las</w:t>
        <w:br/>
        <w:t xml:space="preserve">    obligaciones  establecidas  en  el   artículo   7   de   la   Convención</w:t>
        <w:br/>
        <w:t xml:space="preserve">    Interamericana para Prevenir, Sancionar y Erradicar la Violencia  contra</w:t>
        <w:br/>
        <w:t xml:space="preserve">    la Mujer, en  perjuicio  de  Claudina  Isabel  Velásquez  Paiz,  en  los</w:t>
        <w:br/>
        <w:t xml:space="preserve">    términos de los párrafos 105 a 134 de esta Sentencia.</w:t>
        <w:br/>
        <w:br/>
        <w:t>Por unanimidad, que</w:t>
        <w:br/>
        <w:br/>
        <w:t xml:space="preserve"> 4. El Estado  violó  los  derechos  a  las  garantías  judiciales  y  a  la</w:t>
        <w:br/>
        <w:t xml:space="preserve">    protección judicial, reconocidos en los  artículos  8.1  y  25.1  de  la</w:t>
        <w:br/>
        <w:t xml:space="preserve">    Convención Americana sobre Derechos Humanos, y el derecho a la  igualdad</w:t>
        <w:br/>
        <w:t xml:space="preserve">    ante la ley reconocido en el artículo 24  de  la  misma  Convención,  en</w:t>
        <w:br/>
        <w:t xml:space="preserve">    relación con las obligaciones generales contenidas en los artículos  1.1</w:t>
        <w:br/>
        <w:t xml:space="preserve">    y 2 de la misma, y con el artículo 7  de  la  Convención  Interamericana</w:t>
        <w:br/>
        <w:t xml:space="preserve">    para Prevenir, Sancionar y Erradicar la Violencia contra  la  Mujer,  en</w:t>
        <w:br/>
        <w:t xml:space="preserve">    perjuicio de Elsa Claudina Paiz Vidal, Jorge Rolando Velásquez  Durán  y</w:t>
        <w:br/>
        <w:t xml:space="preserve">    Pablo Andrés Velásquez Paiz, todos ellos familiares de  Claudina  Isabel</w:t>
        <w:br/>
        <w:t xml:space="preserve">    Velásquez Paiz, en los términos de  los  párrafos  142  a  202  de  esta</w:t>
        <w:br/>
        <w:t xml:space="preserve">    Sentencia.</w:t>
        <w:br/>
        <w:br/>
        <w:t>Por unanimidad, que</w:t>
        <w:br/>
        <w:br/>
        <w:t xml:space="preserve"> 5. El Estado violó los derechos a la integridad personal y al respeto de la</w:t>
        <w:br/>
        <w:t xml:space="preserve">    honra y el reconocimiento de la dignidad, reconocidos  en  los  artículo</w:t>
        <w:br/>
        <w:t xml:space="preserve">    5.1 y 11 de la Convención Americana sobre Derechos Humanos, en  relación</w:t>
        <w:br/>
        <w:t xml:space="preserve">    con el artículo 1.1 de la misma, en perjuicio de Jorge Rolando Velásquez</w:t>
        <w:br/>
        <w:t xml:space="preserve">    Durán, Elsa Claudina Paiz Vidal y Pablo Andrés Velásquez  Paiz,  en  los</w:t>
        <w:br/>
        <w:t xml:space="preserve">    términos de los párrafos 209 a 220 de esta Sentencia.</w:t>
        <w:br/>
        <w:br/>
        <w:t>Por seis votos a favor y uno en contra, que</w:t>
        <w:br/>
        <w:br/>
        <w:t xml:space="preserve"> 6. No es necesario emitir  un  pronunciamiento  respecto  de  las  alegadas</w:t>
        <w:br/>
        <w:t xml:space="preserve">    violaciones de los artículos 13 y 22 de la  Convención  Americana  sobre</w:t>
        <w:br/>
        <w:t xml:space="preserve">    Derechos Humanos, en perjuicio de Claudina Isabel Velásquez Paiz, en los</w:t>
        <w:br/>
        <w:t xml:space="preserve">    términos del párrafo 203 de esta Sentencia.</w:t>
        <w:br/>
        <w:br/>
        <w:t>Disiente el Juez Roberto F. Caldas.</w:t>
        <w:br/>
        <w:br/>
        <w:t>Por unanimidad, que</w:t>
        <w:br/>
        <w:br/>
        <w:t xml:space="preserve"> 7. No es  necesario  emitir  un  pronunciamiento  respecto  de  la  alegada</w:t>
        <w:br/>
        <w:t xml:space="preserve">    violación del artículo 11 de  la  Convención  Americana  sobre  Derechos</w:t>
        <w:br/>
        <w:t xml:space="preserve">    Humanos, en perjuicio de Claudina Isabel Velásquez Paiz, en los términos</w:t>
        <w:br/>
        <w:t xml:space="preserve">    del párrafo 135 de esta Sentencia.</w:t>
        <w:br/>
        <w:br/>
        <w:t>Y DISPONE,</w:t>
        <w:br/>
        <w:br/>
        <w:t>por unanimidad, que:</w:t>
        <w:br/>
        <w:br/>
        <w:t xml:space="preserve"> 8. Esta Sentencia constituye por sí misma una forma de reparación.</w:t>
        <w:br/>
        <w:br/>
        <w:t xml:space="preserve"> 9.  El  Estado  debe,  en  un  plazo  razonable,  conducir  eficazmente  la</w:t>
        <w:br/>
        <w:t xml:space="preserve">    investigación y, en su  caso,  abrir  el  o  los  procesos  penales  que</w:t>
        <w:br/>
        <w:t xml:space="preserve">    correspondieren, para identificar, procesar y, en su caso,  sancionar  a</w:t>
        <w:br/>
        <w:t xml:space="preserve">    los responsables de los vejámenes y privación de  la  vida  de  Claudina</w:t>
        <w:br/>
        <w:t xml:space="preserve">    Isabel Velásquez Paiz, conforme a los lineamientos de esta Sentencia,  a</w:t>
        <w:br/>
        <w:t xml:space="preserve">    fin de evitar la repetición de hechos  iguales  o  análogos  a  los  del</w:t>
        <w:br/>
        <w:t xml:space="preserve">    presente caso. Asimismo,  de  acuerdo  con  la  normativa  disciplinaria</w:t>
        <w:br/>
        <w:t xml:space="preserve">    pertinente, el  Estado  debe  examinar  las  eventuales  irregularidades</w:t>
        <w:br/>
        <w:t xml:space="preserve">    procesales e investigativas relacionadas con el presente caso, y  en  su</w:t>
        <w:br/>
        <w:t xml:space="preserve">    caso, sancionar la conducta de los servidores públicos correspondientes.</w:t>
        <w:br/>
        <w:t xml:space="preserve">    Todo lo anterior, en los términos de los párrafos  229  y  230  de  esta</w:t>
        <w:br/>
        <w:t xml:space="preserve">    Sentencia.</w:t>
        <w:br/>
        <w:br/>
        <w:t>10. El Estado debe brindar gratuitamente, a través de sus  instituciones  de</w:t>
        <w:br/>
        <w:t xml:space="preserve">    salud  especializadas  y  de  forma  inmediata,  adecuada,  integral   y</w:t>
        <w:br/>
        <w:t xml:space="preserve">    efectiva, tratamiento médico y psicológico o psiquiátrico a las víctimas</w:t>
        <w:br/>
        <w:t xml:space="preserve">    que así lo soliciten, previo  consentimiento  informado,  incluyendo  el</w:t>
        <w:br/>
        <w:t xml:space="preserve">    suministro gratuito de los medicamentos que eventualmente se  requieran,</w:t>
        <w:br/>
        <w:t xml:space="preserve">    tomando en consideración los padecimientos de  cada  uno  de  ellos,  de</w:t>
        <w:br/>
        <w:t xml:space="preserve">    conformidad con lo establecido en el párrafo 234 de esta Sentencia.</w:t>
        <w:br/>
        <w:br/>
        <w:t>11. El Estado debe realizar en un plazo de seis meses contado  a  partir  de</w:t>
        <w:br/>
        <w:t xml:space="preserve">    la notificación de la presente Sentencia, las publicaciones indicadas en</w:t>
        <w:br/>
        <w:t xml:space="preserve">    el párrafo 237 de la misma, en los términos dicho párrafo.</w:t>
        <w:br/>
        <w:br/>
        <w:t>12. El Estado debe realizar, en un plazo de un año contado a  partir  de  la</w:t>
        <w:br/>
        <w:t xml:space="preserve">    notificación de la presente Sentencia, un acto de disculpas públicas, en</w:t>
        <w:br/>
        <w:t xml:space="preserve">    relación con los hechos del presente caso y su posterior  investigación,</w:t>
        <w:br/>
        <w:t xml:space="preserve">    en los términos del párrafo 240 de esta Sentencia.</w:t>
        <w:br/>
        <w:br/>
        <w:t>13. El Estado debe, en un  plazo  razonable,  incorporar  al  currículo  del</w:t>
        <w:br/>
        <w:t xml:space="preserve">    Sistema Educativo Nacional, en todos los niveles educativos, un programa</w:t>
        <w:br/>
        <w:t xml:space="preserve">    de  educación  permanente   sobre   la   necesidad   de   erradicar   la</w:t>
        <w:br/>
        <w:t xml:space="preserve">    discriminación de género, los estereotipos  de  género  y  la  violencia</w:t>
        <w:br/>
        <w:t xml:space="preserve">    contra la mujer en Guatemala, a la luz de la normativa internacional  en</w:t>
        <w:br/>
        <w:t xml:space="preserve">    la materia y la jurisprudencia de este Tribunal, de conformidad  con  lo</w:t>
        <w:br/>
        <w:t xml:space="preserve">    establecido en los párrafos 247 y 248 de esta Sentencia.</w:t>
        <w:br/>
        <w:br/>
        <w:t>14.  El  Estado  debe,  en  un  plazo  razonable,  elaborar   un   plan   de</w:t>
        <w:br/>
        <w:t xml:space="preserve">    fortalecimiento  calendarizado  del  Instituto  Nacional   de   Ciencias</w:t>
        <w:br/>
        <w:t xml:space="preserve">    Forenses (INACIF), que incluya una asignación adecuada de recursos  para</w:t>
        <w:br/>
        <w:t xml:space="preserve">    ampliar sus actividades en el territorio nacional y el  cumplimiento  de</w:t>
        <w:br/>
        <w:t xml:space="preserve">    sus funciones, de conformidad con lo establecido en el  párrafo  254  de</w:t>
        <w:br/>
        <w:t xml:space="preserve">    esta Sentencia.</w:t>
        <w:br/>
        <w:br/>
        <w:t>15. El Estado debe, en un plazo  razonable,  implementar  el  funcionamiento</w:t>
        <w:br/>
        <w:t xml:space="preserve">    pleno de  los  “órganos  jurisdiccionales  especializados”  en  toda  la</w:t>
        <w:br/>
        <w:t xml:space="preserve">    República de Guatemala,  así  como  de  la  fiscalía  especializada,  de</w:t>
        <w:br/>
        <w:t xml:space="preserve">    conformidad con lo establecido en el párrafo 257 de esta Sentencia.</w:t>
        <w:br/>
        <w:br/>
        <w:t>16. El Estado debe, en un plazo razonable, implementar  programas  y  cursos</w:t>
        <w:br/>
        <w:t xml:space="preserve">    permanentes para funcionarios públicos pertenecientes al Poder Judicial,</w:t>
        <w:br/>
        <w:t xml:space="preserve">    Ministerio Público y Policía Nacional Civil, que estén vinculados  a  la</w:t>
        <w:br/>
        <w:t xml:space="preserve">    investigación de actos de homicidio  de  mujeres,  sobre  estándares  en</w:t>
        <w:br/>
        <w:t xml:space="preserve">    materia de prevención, eventual sanción y erradicación de homicidios  de</w:t>
        <w:br/>
        <w:t xml:space="preserve">    mujeres y capacitarlos  sobre  la  debida  aplicación  de  la  normativa</w:t>
        <w:br/>
        <w:t xml:space="preserve">    internacional y jurisprudencia  de  este  Tribunal  en  la  materia,  de</w:t>
        <w:br/>
        <w:t xml:space="preserve">    conformidad con lo establecido en el párrafo 258 de esta Sentencia.</w:t>
        <w:br/>
        <w:br/>
        <w:t>17. El Estado debe, en un plazo razonable, adoptar una estrategia,  sistema,</w:t>
        <w:br/>
        <w:t xml:space="preserve">    mecanismo o programa nacional, a través de  medidas  legislativas  o  de</w:t>
        <w:br/>
        <w:t xml:space="preserve">    otro carácter, a efectos de lograr la búsqueda  eficaz  e  inmediata  de</w:t>
        <w:br/>
        <w:t xml:space="preserve">    mujeres desaparecidas, de conformidad con lo establecido en los párrafos</w:t>
        <w:br/>
        <w:t xml:space="preserve">    263 a 266 de esta Sentencia.</w:t>
        <w:br/>
        <w:br/>
        <w:t>18. El Estado debe pagar, dentro del plazo de un año contado a partir de  la</w:t>
        <w:br/>
        <w:t xml:space="preserve">    notificación de esta Sentencia, las cantidades fijadas en  los  párrafos</w:t>
        <w:br/>
        <w:t xml:space="preserve">    274, 278, 279 y 283 por concepto de indemnizaciones por daños materiales</w:t>
        <w:br/>
        <w:t xml:space="preserve">    e inmateriales, así como  el  reintegro  de  costas  y  gastos,  en  los</w:t>
        <w:br/>
        <w:t xml:space="preserve">    términos de los párrafos 284 a 290 de esta Sentencia.</w:t>
        <w:br/>
        <w:br/>
        <w:t>19. El Estado debe rendir al Tribunal un informe, dentro  del  plazo  de  un</w:t>
        <w:br/>
        <w:t xml:space="preserve">    año contado a partir de la notificación de  esta  Sentencia,  sobre  las</w:t>
        <w:br/>
        <w:t xml:space="preserve">    medidas adoptadas para cumplir con la misma.</w:t>
        <w:br/>
        <w:br/>
        <w:t>20. La Corte supervisará el  cumplimiento  íntegro  de  esta  Sentencia,  en</w:t>
        <w:br/>
        <w:t xml:space="preserve">    ejercicio de sus atribuciones y en cumplimiento de sus deberes  conforme</w:t>
        <w:br/>
        <w:t xml:space="preserve">    a la Convención Americana sobre Derechos Humanos, y dará  por  concluido</w:t>
        <w:br/>
        <w:t xml:space="preserve">    el presente caso una vez que el Estado haya dado cabal cumplimiento a lo</w:t>
        <w:br/>
        <w:t xml:space="preserve">    dispuesto en la misma.</w:t>
        <w:br/>
        <w:br/>
        <w:t>El Juez Roberto F. Caldas hizo conocer  a  la  Corte  su  Voto  Parcialmente</w:t>
        <w:br/>
        <w:t>Disidente, el cual acompaña esta Sentencia. Los Jueces Eduardo Vio Grossi  y</w:t>
        <w:br/>
        <w:t>Eduardo  Ferrer  Mac-Gregor  Poisot  hicieron  conocer  a   la   Corte   sus</w:t>
        <w:br/>
        <w:t>respectivos Votos Concurrentes, los cuales acompañan esta Sentencia.</w:t>
        <w:br/>
        <w:t>Sentencia sobre Excepciones Preliminares, Fondo, Reparaciones  y  Costas  en</w:t>
        <w:br/>
        <w:t>el Caso Velásquez Paiz y otros Vs. Guatemala.</w:t>
        <w:br/>
        <w:br/>
        <w:br/>
        <w:br/>
        <w:br/>
        <w:br/>
        <w:br/>
        <w:br/>
        <w:t xml:space="preserve">                        Humberto Antonio Sierra Porto</w:t>
        <w:br/>
        <w:br/>
        <w:t xml:space="preserve">                                 Presidente</w:t>
        <w:br/>
        <w:br/>
        <w:br/>
        <w:br/>
        <w:br/>
        <w:br/>
        <w:t>Roberto F.  Caldas                                       Manuel  E.  Ventura</w:t>
        <w:br/>
        <w:t>Robles</w:t>
        <w:br/>
        <w:br/>
        <w:br/>
        <w:br/>
        <w:t>Diego García-Sayán                                                   Alberto</w:t>
        <w:br/>
        <w:t>Pérez Pérez</w:t>
        <w:br/>
        <w:br/>
        <w:br/>
        <w:br/>
        <w:t>Eduardo Vio Grossi                                               Eduardo</w:t>
        <w:br/>
        <w:t>Ferrer Mac-Gregor Poisot</w:t>
        <w:br/>
        <w:br/>
        <w:br/>
        <w:br/>
        <w:br/>
        <w:br/>
        <w:t xml:space="preserve">                          Pablo Saavedra Alessandri</w:t>
        <w:br/>
        <w:br/>
        <w:t xml:space="preserve">                                 Secretario</w:t>
        <w:br/>
        <w:br/>
        <w:br/>
        <w:br/>
        <w:br/>
        <w:t>Comuníquese y ejecútese,</w:t>
        <w:br/>
        <w:br/>
        <w:br/>
        <w:br/>
        <w:t xml:space="preserve">                                                        Humberto Antonio</w:t>
        <w:br/>
        <w:t xml:space="preserve">                                       Sierra Porto</w:t>
        <w:br/>
        <w:br/>
        <w:t xml:space="preserve">                                 Presidente</w:t>
        <w:br/>
        <w:br/>
        <w:br/>
        <w:br/>
        <w:t>Pablo Saavedra Alessandri</w:t>
        <w:br/>
        <w:br/>
        <w:t xml:space="preserve">      Secretario</w:t>
        <w:br/>
        <w:br/>
        <w:br/>
        <w:br/>
        <w:br/>
        <w:br/>
        <w:br/>
        <w:br/>
        <w:br/>
        <w:t xml:space="preserve">           VOTO PARCIALMENTE DISIDENTE DEL JUEZ ROBERTO F. CALDAS</w:t>
        <w:br/>
        <w:br/>
        <w:t xml:space="preserve">                  CORTE INTERAMERICANA DE DERECHOS HUMANOS</w:t>
        <w:br/>
        <w:br/>
        <w:t xml:space="preserve">                  CASO VELÁSQUEZ PAIZ Y OTROS VS. GUATEMALA</w:t>
        <w:br/>
        <w:br/>
        <w:t xml:space="preserve">                    SENTENCIA DE 19 DE NOVIEMBRE DE 2015</w:t>
        <w:br/>
        <w:br/>
        <w:t xml:space="preserve">          (EXCEPCIONES PRELIMINARES, FONDO, REPARACIONES Y COSTAS)</w:t>
        <w:br/>
        <w:br/>
        <w:br/>
        <w:br/>
        <w:t xml:space="preserve">   I. Introducción</w:t>
        <w:br/>
        <w:br/>
        <w:t>1. Este voto, puntual y parcialmente disidente con  las  fundamentaciones  y</w:t>
        <w:br/>
        <w:t xml:space="preserve">   conclusiones manifestadas por la mayoría de los honorables jueces de esta</w:t>
        <w:br/>
        <w:t xml:space="preserve">   Corte Interamericana en relación  al  párrafo  número  6  de  los  Puntos</w:t>
        <w:br/>
        <w:t xml:space="preserve">   Resolutivos de la Sentencia, tiene como objetivo,  además  de  todas  las</w:t>
        <w:br/>
        <w:t xml:space="preserve">   violaciones señaladas en la decisión, a las cuales  me  adherí,  declarar</w:t>
        <w:br/>
        <w:t xml:space="preserve">   también la violación a  la  libertad  de  expresión  por  la  vestimenta,</w:t>
        <w:br/>
        <w:t xml:space="preserve">   particularmente femenina, en situaciones como en el presente caso, en que</w:t>
        <w:br/>
        <w:t xml:space="preserve">   el uso de la ropa se transforma  en  elemento  de  identificación  de  la</w:t>
        <w:br/>
        <w:t xml:space="preserve">   víctima a la  clase  social  especialmente  vulnerable  y  de  continuada</w:t>
        <w:br/>
        <w:t xml:space="preserve">   estigmatización.</w:t>
        <w:br/>
        <w:br/>
        <w:br/>
        <w:t>291. Inicialmente, resalto mi adhesión a la Sentencia y a  las  conclusiones</w:t>
        <w:br/>
        <w:t xml:space="preserve">   a las que llegó esta Corte y a las  reparaciones  de  ellas  resultantes.</w:t>
        <w:br/>
        <w:t xml:space="preserve">   Solo difiero porque añado la violación a los artículos 13.1 (libertad  de</w:t>
        <w:br/>
        <w:t xml:space="preserve">   expresión) y 22.1 (derecho de circulación o libertad de ir y  venir),  en</w:t>
        <w:br/>
        <w:t xml:space="preserve">   relación con el artículo 1.1, todos  de  la  Convención  Americana  sobre</w:t>
        <w:br/>
        <w:t xml:space="preserve">   Derechos Humanos (en adelante “Convención”).</w:t>
        <w:br/>
        <w:br/>
        <w:br/>
        <w:t xml:space="preserve">  II. Violación a  la  libertad  de  expresión  de  vestirse  y  derecho  de</w:t>
        <w:br/>
        <w:t xml:space="preserve">      circulación</w:t>
        <w:br/>
        <w:br/>
        <w:br/>
        <w:br/>
        <w:br/>
        <w:t>292. Quedó plenamente probado que “la policía emitió suposiciones  erróneas”</w:t>
        <w:br/>
        <w:t xml:space="preserve">   sobre  la  víctima,  el  valor  de  su  vida  y  la  importancia  de   la</w:t>
        <w:br/>
        <w:t xml:space="preserve">   investigación de su caso, solo con base en su apariencia y  su  ropa,  en</w:t>
        <w:br/>
        <w:t xml:space="preserve">   violación a su derecho a  la  libertad  de  expresión  por  medio  de  la</w:t>
        <w:br/>
        <w:t xml:space="preserve">   vestimenta, contenido en el artículo 13.1 de la Convención.  Y  debido  a</w:t>
        <w:br/>
        <w:t xml:space="preserve">   los prejuicios asociados al lugar en que el cadáver  fue  encontrado,  un</w:t>
        <w:br/>
        <w:t xml:space="preserve">   “barrio de clase media baja”, la investigación de la escena del crimen se</w:t>
        <w:br/>
        <w:t xml:space="preserve">   realizó de manera descuidada, lo que también viola el artículo 22  de  la</w:t>
        <w:br/>
        <w:t xml:space="preserve">   Convención.</w:t>
        <w:br/>
        <w:br/>
        <w:br/>
        <w:t>293. La vestimenta de la víctima, como frecuentemente ocurre en  situaciones</w:t>
        <w:br/>
        <w:t xml:space="preserve">   reiteradas con muchas mujeres, fue objeto de observación  discriminatoria</w:t>
        <w:br/>
        <w:t xml:space="preserve">   por parte de las autoridades. En las investigaciones se dijo  que  estaba</w:t>
        <w:br/>
        <w:t xml:space="preserve">   vestida como “pandillera”  o  “una  cualquiera”,  esta  última  expresión</w:t>
        <w:br/>
        <w:t xml:space="preserve">   significando “prostituta”. Ese fue el concepto de las autoridades  y  ese</w:t>
        <w:br/>
        <w:t xml:space="preserve">   estereotipo afectó  la  forma  en  que  fue  conducida  la  investigación</w:t>
        <w:br/>
        <w:t xml:space="preserve">   posterior. En ese escenario, se  debe  verificar  que  las  acciones  del</w:t>
        <w:br/>
        <w:t xml:space="preserve">   Estado también  niegan  el  derecho  a  la  libertad  de  expresión,  que</w:t>
        <w:br/>
        <w:t xml:space="preserve">   solamente puede ser  ejercido  en  un  ambiente  libre  de  coerción.  Se</w:t>
        <w:br/>
        <w:t xml:space="preserve">   verificará que esa negación de la libertad de  expresión  existió  y  fue</w:t>
        <w:br/>
        <w:t xml:space="preserve">   perpetrada por la acción del Estado, que denota que no  será  garantizada</w:t>
        <w:br/>
        <w:t xml:space="preserve">   la seguridad de la mujer que simplemente parece exteriorizar,  por  medio</w:t>
        <w:br/>
        <w:t xml:space="preserve">   de sus vestimentas, una determinada identidad sexual o cultural, así como</w:t>
        <w:br/>
        <w:t xml:space="preserve">   su pertenencia a determinadas colectividades  femeninas.  Por  lo  tanto,</w:t>
        <w:br/>
        <w:t xml:space="preserve">   añado al análisis ya hecho de manera  unánime  por  el  Pleno,  la  clara</w:t>
        <w:br/>
        <w:t xml:space="preserve">   violación al artículo 13.1, en relación con el artículo 1.1, ambos de  la</w:t>
        <w:br/>
        <w:t xml:space="preserve">   Convención Americana sobre Derechos Humanos, al considerar que  la  forma</w:t>
        <w:br/>
        <w:t xml:space="preserve">   de vestir es parte integrante de la expresión de la personalidad  humana,</w:t>
        <w:br/>
        <w:t xml:space="preserve">   particularmente femenina.</w:t>
        <w:br/>
        <w:br/>
        <w:br/>
        <w:t>294.  En  ese  sentido,  la  Convención  Americana  sobre  Derechos  Humanos</w:t>
        <w:br/>
        <w:t xml:space="preserve">   establece en su artículo 13:</w:t>
        <w:br/>
        <w:br/>
        <w:br/>
        <w:t xml:space="preserve">      Artículo 13 - Libertad de Pensamiento y de Expresión</w:t>
        <w:br/>
        <w:t xml:space="preserve">      1. Toda persona tiene derecho  a  la  libertad  de  pensamiento  y  de</w:t>
        <w:br/>
        <w:t xml:space="preserve">      expresión. Este derecho comprende la libertad  de  buscar,  recibir  y</w:t>
        <w:br/>
        <w:t xml:space="preserve">      difundir informaciones e ideas de toda índole,  sin  consideración  de</w:t>
        <w:br/>
        <w:t xml:space="preserve">      fronteras, ya sea  oralmente,   por  escrito  o  en  forma  impresa  o</w:t>
        <w:br/>
        <w:t xml:space="preserve">      artística,  o  por  cualquier  otro  procedimiento  de  su   elección.</w:t>
        <w:br/>
        <w:t xml:space="preserve">      (Destacados añadidos)</w:t>
        <w:br/>
        <w:br/>
        <w:br/>
        <w:t>295. El artículo comentado  prevé  que  toda  persona  tiene  derecho  a  la</w:t>
        <w:br/>
        <w:t xml:space="preserve">   libertad de pensamiento y  de  expresión,  derecho  este  que  puede  ser</w:t>
        <w:br/>
        <w:t xml:space="preserve">   ejercido por cualquier medio por opción personal. La manifestación de  su</w:t>
        <w:br/>
        <w:t xml:space="preserve">   identidad  sociocultural  a  través  del  uso  de  determinado  tipo   de</w:t>
        <w:br/>
        <w:t xml:space="preserve">   vestimenta encuentra amparo en el dispositivo transcrito, por  desarrollo</w:t>
        <w:br/>
        <w:t xml:space="preserve">   interpretativo  integrador  de  derechos  implícitos  o   no   enumerados</w:t>
        <w:br/>
        <w:t xml:space="preserve">   explícitamente,  como  es  propio   de   textos   abstractos   como   las</w:t>
        <w:br/>
        <w:t xml:space="preserve">   constituciones nacionales o tratados internacionales, hechos  para  durar</w:t>
        <w:br/>
        <w:t xml:space="preserve">   en el tiempo. Es  decir,  no  es  necesario  decir  expresamente  que  la</w:t>
        <w:br/>
        <w:t xml:space="preserve">   vestimenta es parte de  la  libertad  de  expresión  para  que  esta  sea</w:t>
        <w:br/>
        <w:t xml:space="preserve">   protegida por el Estado y por la Corte Interamericana, cuando por  cierto</w:t>
        <w:br/>
        <w:t xml:space="preserve">   el texto fue  hasta  explícitamente  abierto  al  utilizar  la  expresión</w:t>
        <w:br/>
        <w:t xml:space="preserve">   destacada: “cualquier procedimiento de su elección”.</w:t>
        <w:br/>
        <w:br/>
        <w:br/>
        <w:t>296. Garantía esta que es en todo semejante a la  prevista  en  el  artículo</w:t>
        <w:br/>
        <w:t xml:space="preserve">   19.2 del Pacto Internacional de Derechos Civiles y Políticos del  Sistema</w:t>
        <w:br/>
        <w:t xml:space="preserve">   Universal de Derechos Humanos, así redactado:</w:t>
        <w:br/>
        <w:br/>
        <w:br/>
        <w:t xml:space="preserve">      Artículo 19</w:t>
        <w:br/>
        <w:t xml:space="preserve">      2. Toda persona tiene derecho a la libertad de expresión; este derecho</w:t>
        <w:br/>
        <w:t xml:space="preserve">      comprende la libertad de buscar, recibir y  difundir  informaciones  e</w:t>
        <w:br/>
        <w:t xml:space="preserve">      ideas  de  toda  índole,  sin  consideración  de  fronteras,  ya   sea</w:t>
        <w:br/>
        <w:t xml:space="preserve">      oralmente, por escrito o en forma impresa o artística, o por cualquier</w:t>
        <w:br/>
        <w:t xml:space="preserve">      otro procedimiento de su elección. (Destacados añadidos)</w:t>
        <w:br/>
        <w:br/>
        <w:br/>
        <w:t>297. De los artículos citados cabe extraer interpretación en el  sentido  de</w:t>
        <w:br/>
        <w:t xml:space="preserve">   que la forma de vestirse es un medio legítimo para ejercer el  derecho  a</w:t>
        <w:br/>
        <w:t xml:space="preserve">   la libertad de expresión de los  seres  humanos.  La  vinculación  de  la</w:t>
        <w:br/>
        <w:t xml:space="preserve">   libertad de expresión resulta del hecho de que la elección individual  en</w:t>
        <w:br/>
        <w:t xml:space="preserve">   la vestimenta y accesorios que modifican la apariencia física sirve  para</w:t>
        <w:br/>
        <w:t xml:space="preserve">   exteriorizar la adhesión a determinado  grupo  o  cultura,  manifestación</w:t>
        <w:br/>
        <w:t xml:space="preserve">   que, por eso mismo, tiene contenido político relevante.</w:t>
        <w:br/>
        <w:br/>
        <w:br/>
        <w:t>298. Se extrae que el Estado tiene la  obligación  de  proteger  el  derecho</w:t>
        <w:br/>
        <w:t xml:space="preserve">   individual de aquellos que manifiesten su  identidad,  independientemente</w:t>
        <w:br/>
        <w:t xml:space="preserve">   del medio utilizado para ello, para que  el  derecho  a  la  libertad  de</w:t>
        <w:br/>
        <w:t xml:space="preserve">   expresión pueda ser ejercido plenamente y sin coerción. Es, por lo tanto,</w:t>
        <w:br/>
        <w:t xml:space="preserve">   obligación del Estado garantizar un ambiente seguro para que  toda  mujer</w:t>
        <w:br/>
        <w:t xml:space="preserve">   que decida  manifestar  dominio  sobre  su  propio  cuerpo  usando  ropas</w:t>
        <w:br/>
        <w:t xml:space="preserve">   diferentes de aquellas incentivadas por la sociedad, pueda hacerlo.</w:t>
        <w:br/>
        <w:br/>
        <w:br/>
        <w:br/>
        <w:br/>
        <w:br/>
        <w:t>299. Merecen especial protección, por la existencia del  conocido  escenario</w:t>
        <w:br/>
        <w:t xml:space="preserve">   macro de violencia contra las mujeres, las elecciones que estas hacen  en</w:t>
        <w:br/>
        <w:t xml:space="preserve">   relación  a  su  vestuario,  una  vez  que  la   apariencia   externa   –</w:t>
        <w:br/>
        <w:t xml:space="preserve">   principalmente la vestimenta – puede ser  utilizada  para  ilegítimamente</w:t>
        <w:br/>
        <w:t xml:space="preserve">   categorizar a las mujeres, muchas veces en detrimento de estas.</w:t>
        <w:br/>
        <w:br/>
        <w:br/>
        <w:t>300. La selectividad del rigor de la investigación pautado en la  vestimenta</w:t>
        <w:br/>
        <w:t xml:space="preserve">   de la víctima revela la existencia de  un  código  de  vestimenta  (dress</w:t>
        <w:br/>
        <w:t xml:space="preserve">   code) informal, reforzado  por  la  actuación  de  las  autoridades,  que</w:t>
        <w:br/>
        <w:t xml:space="preserve">   exacerban la vulnerabilidad de  la  víctima  cuando  consideran  que  sus</w:t>
        <w:br/>
        <w:t xml:space="preserve">   vestimentas  reflejan  su  pertenencia   a   la   colectividad   femenina</w:t>
        <w:br/>
        <w:t xml:space="preserve">   particularmente marginalizada, como es el caso de mujeres que  se  visten</w:t>
        <w:br/>
        <w:t xml:space="preserve">   de la manera como bien opten, que expresan  su  identidad  por  medio  de</w:t>
        <w:br/>
        <w:t xml:space="preserve">   atuendos que no suelen ser vistos como adecuados  desde  una  perspectiva</w:t>
        <w:br/>
        <w:t xml:space="preserve">   patriarcal, machista o sexista.</w:t>
        <w:br/>
        <w:br/>
        <w:br/>
        <w:t>301. En líneas generales, el presente caso tiene semejanza con uno  ocurrido</w:t>
        <w:br/>
        <w:t xml:space="preserve">   en Canadá en 2011, que repercutió mucho en la prensa internacional  y  en</w:t>
        <w:br/>
        <w:t xml:space="preserve">   movimientos sociales y feministas de varios países, cuando un policía  de</w:t>
        <w:br/>
        <w:t xml:space="preserve">   Toronto, al referirse a una onda de violaciones  sexuales  en  un  campus</w:t>
        <w:br/>
        <w:t xml:space="preserve">   universitario, sugirió que las  mujeres  deberían  evitar  vestirse  como</w:t>
        <w:br/>
        <w:t xml:space="preserve">   prostitutas,  culpando  a  las  propias  víctimas  de  contribuir  a  las</w:t>
        <w:br/>
        <w:t xml:space="preserve">   violaciones sufridas. La reacción en los medios de  defensa  de  derechos</w:t>
        <w:br/>
        <w:t xml:space="preserve">   humanos y  femeninos  fue  inmediata,  llevando  a  la  creación  de  una</w:t>
        <w:br/>
        <w:t xml:space="preserve">   organización no gubernamental  transnacional  denominada  “SlutWalk”  (en</w:t>
        <w:br/>
        <w:t xml:space="preserve">   inglés), “Marcha das Vadias” (en portugués) y “Marcha de las  Putas”  (en</w:t>
        <w:br/>
        <w:t xml:space="preserve">   español), que pasó a defender el derecho femenino de vestirse como tengan</w:t>
        <w:br/>
        <w:t xml:space="preserve">   a bien, así como el derecho de ir y venir adonde pretendan, sin el riesgo</w:t>
        <w:br/>
        <w:t xml:space="preserve">   de ser molestadas,  agredidas  o  violadas  sexualmente.  El  nombre  del</w:t>
        <w:br/>
        <w:t xml:space="preserve">   movimiento fue a propósito incisivo porque muchas mujeres,  especialmente</w:t>
        <w:br/>
        <w:t xml:space="preserve">   jóvenes, se identificaron con las víctimas en cuanto a preferir usar ropa</w:t>
        <w:br/>
        <w:t xml:space="preserve">   corta o sensual, pero que de ninguna manera querían  asumir  riesgos  por</w:t>
        <w:br/>
        <w:t xml:space="preserve">   tales conductas. Entonces consideraron  que,  si  las  víctimas  parecían</w:t>
        <w:br/>
        <w:t xml:space="preserve">   prostitutas, ellas también se autodenominarían así en  solidaridad,  para</w:t>
        <w:br/>
        <w:t xml:space="preserve">   protestar por sus derechos de  ir  y  venir,  y  su  libertad  de  vestir</w:t>
        <w:br/>
        <w:t xml:space="preserve">   (expresión), inclusive  de  esperar  de  los  hombres  un  comportamiento</w:t>
        <w:br/>
        <w:t xml:space="preserve">   adecuado dentro de la ley, sin cometer cualquier  violencia  criminal,  y</w:t>
        <w:br/>
        <w:t xml:space="preserve">   del Estado la protección bajo  una  perspectiva  de  respecto  al  género</w:t>
        <w:br/>
        <w:t xml:space="preserve">   femenino.</w:t>
        <w:br/>
        <w:br/>
        <w:br/>
        <w:t>302. Una vez que tales  códigos  de  vestimenta  perpetúan  estereotipos  de</w:t>
        <w:br/>
        <w:t xml:space="preserve">   género sexistas, e invisibilizan la violencia contra la mujer o  permiten</w:t>
        <w:br/>
        <w:t xml:space="preserve">   la  impunidad  de  esa  violencia,  frecuentemente  impactando  de  forma</w:t>
        <w:br/>
        <w:t xml:space="preserve">   especialmente perversa a las mujeres, se ve que el juicio  estatal  sobre</w:t>
        <w:br/>
        <w:t xml:space="preserve">   las vestimentas de la víctima se vuelve un instrumento  por  el  cual  el</w:t>
        <w:br/>
        <w:t xml:space="preserve">   Estado  toma  para  sí  el  derecho  de  controlar  el  cuerpo  femenino,</w:t>
        <w:br/>
        <w:t xml:space="preserve">   encontrando justificación en supuestos valores morales de  la  comunidad.</w:t>
        <w:br/>
        <w:t xml:space="preserve">   Las  exigencias  de  vestuario  inclusive  se  prestan  para   justificar</w:t>
        <w:br/>
        <w:t xml:space="preserve">   actitudes discriminatorias subyacentes y permiten el control  externo  de</w:t>
        <w:br/>
        <w:t xml:space="preserve">   la sexualidad femenina, convirtiendo a las mujeres en objetos al negarles</w:t>
        <w:br/>
        <w:t xml:space="preserve">   su autonomía.</w:t>
        <w:br/>
        <w:br/>
        <w:br/>
        <w:t>303. Al omitirse a propósito, no actuando con la  debida  diligencia  en  la</w:t>
        <w:br/>
        <w:t xml:space="preserve">   respectiva investigación penal, el Estado acaba por penalizar  a  aquella</w:t>
        <w:br/>
        <w:t xml:space="preserve">   que ya fue victimizada una vez. En la perspectiva estatal evidenciada  en</w:t>
        <w:br/>
        <w:t xml:space="preserve">   el caso, la mujer que opta por vestirse  de  determinada  manera  pierde,</w:t>
        <w:br/>
        <w:t xml:space="preserve">   aunque informalmente, el derecho a las garantías judiciales, por  no  ser</w:t>
        <w:br/>
        <w:t xml:space="preserve">   considerada merecedora de estas mientras que supuestamente pertenecería a</w:t>
        <w:br/>
        <w:t xml:space="preserve">   un grupo socialmente marginalizado, de mujeres  prostitutas  o  de  clase</w:t>
        <w:br/>
        <w:t xml:space="preserve">   económicamente baja. Al expresar su posición socioeconómica a  través  de</w:t>
        <w:br/>
        <w:t xml:space="preserve">   su vestimenta, acabó por exponerse a la desatención estatal frente a  una</w:t>
        <w:br/>
        <w:t xml:space="preserve">   eventual violación a alguno de sus derechos.  Así,  se  vuelve  peligroso</w:t>
        <w:br/>
        <w:t xml:space="preserve">   expresarse por medio de ropa  y  accesorios,  y  ese  peligro  acaba  por</w:t>
        <w:br/>
        <w:t xml:space="preserve">   configurar cercenamiento del derecho a la libertad de  expresión.  No  es</w:t>
        <w:br/>
        <w:t xml:space="preserve">   posible  ejercer  plenamente  la  libertad  de   expresión   si   algunas</w:t>
        <w:br/>
        <w:t xml:space="preserve">   manifestaciones son castigadas, inclusive de forma naturalizada,  por  el</w:t>
        <w:br/>
        <w:t xml:space="preserve">   Estado.</w:t>
        <w:br/>
        <w:br/>
        <w:br/>
        <w:t>304. De conformidad con la interpretación  arriba  expuesta,  el  Comité  de</w:t>
        <w:br/>
        <w:t xml:space="preserve">   Derechos Humanos de las Naciones Unidas en su Observación General No. 34,</w:t>
        <w:br/>
        <w:t xml:space="preserve">   de 29 de julio de 2011, establece que la libertad de  expresión  prevista</w:t>
        <w:br/>
        <w:t xml:space="preserve">   en el artículo 19.2 del PIDCP debe ser  interpretada  de  tal  forma  que</w:t>
        <w:br/>
        <w:t xml:space="preserve">   incluya el derecho de escoger qué vestimentas usar o dejar de usar, y que</w:t>
        <w:br/>
        <w:t xml:space="preserve">   tal elección debe ser hecha libre de presiones estatales. Véase la  parte</w:t>
        <w:br/>
        <w:t xml:space="preserve">   relevante:</w:t>
        <w:br/>
        <w:br/>
        <w:br/>
        <w:t xml:space="preserve">      11. El párrafo 2 exige a los Estados partes que garanticen el  derecho</w:t>
        <w:br/>
        <w:t xml:space="preserve">      a la libertad de expresión, incluido el derecho a  buscar,  recibir  y</w:t>
        <w:br/>
        <w:t xml:space="preserve">      difundir informaciones e ideas  de  toda  índole,  sin  limitación  de</w:t>
        <w:br/>
        <w:t xml:space="preserve">      fronteras.  Este  derecho  incluye  la  expresión   y   recepción   de</w:t>
        <w:br/>
        <w:t xml:space="preserve">      comunicaciones sobre toda  clase  de  ideas  y  opiniones  que  puedan</w:t>
        <w:br/>
        <w:t xml:space="preserve">      transmitirse a otros, con sujeción a las disposiciones del  párrafo  3</w:t>
        <w:br/>
        <w:t xml:space="preserve">      del artículo 19 y del artículo 2. Abarca el pensamiento político,  los</w:t>
        <w:br/>
        <w:t xml:space="preserve">      comentarios sobre los asuntos propios y  los  públicos,  las  campañas</w:t>
        <w:br/>
        <w:t xml:space="preserve">      puerta a puerta, la discusión sobre derechos humanos,  el  periodismo,</w:t>
        <w:br/>
        <w:t xml:space="preserve">      la expresión cultural y  artística,  la  enseñanza  y  el  pensamiento</w:t>
        <w:br/>
        <w:t xml:space="preserve">      religioso. Puede incluir también la publicidad comercial.  El  alcance</w:t>
        <w:br/>
        <w:t xml:space="preserve">      del párrafo 2 llega incluso  a  expresiones  que  puedan  considerarse</w:t>
        <w:br/>
        <w:t xml:space="preserve">      profundamente ofensivas, aunque esta expresión sólo puede limitarse de</w:t>
        <w:br/>
        <w:t xml:space="preserve">      conformidad con lo dispuesto en el párrafo 3 del artículo 19 y  en  el</w:t>
        <w:br/>
        <w:t xml:space="preserve">      artículo 20.</w:t>
        <w:br/>
        <w:br/>
        <w:br/>
        <w:t xml:space="preserve">      12. El párrafo 2 protege todas las formas de expresión  y  los  medios</w:t>
        <w:br/>
        <w:t xml:space="preserve">      para su difusión. Estas formas comprenden la palabra oral y escrita  y</w:t>
        <w:br/>
        <w:t xml:space="preserve">      el lenguaje de signos,  y  expresiones  no  verbales  tales  como  las</w:t>
        <w:br/>
        <w:t xml:space="preserve">      imágenes y los objetos artísticos. Los medios de expresión  comprenden</w:t>
        <w:br/>
        <w:t xml:space="preserve">      los libros, los periódicos, los folletos, los carteles, las pancartas,</w:t>
        <w:br/>
        <w:t xml:space="preserve">      las prendas de vestir y los alegatos judiciales,  así  como  modos  de</w:t>
        <w:br/>
        <w:t xml:space="preserve">      expresión audiovisuales, electrónicos o  de  Internet,  en  todas  sus</w:t>
        <w:br/>
        <w:t xml:space="preserve">      formas (destacado añadido).</w:t>
        <w:br/>
        <w:br/>
        <w:br/>
        <w:t>305. El problema del cercenamiento, sea por  medios  directos  de  violencia</w:t>
        <w:br/>
        <w:t xml:space="preserve">   como, por ejemplo, lo  que  ocurre  en  Uganda,  donde  las  mujeres  son</w:t>
        <w:br/>
        <w:t xml:space="preserve">   agredidas simplemente por  usar  enaguas  cortas[363],  o  por  vías  más</w:t>
        <w:br/>
        <w:t xml:space="preserve">   sutiles, como la certeza de que su seguridad dejará  de  ser  garantizada</w:t>
        <w:br/>
        <w:t xml:space="preserve">   por el Estado, termina por tener el efecto de verdadera  censura  previa,</w:t>
        <w:br/>
        <w:t xml:space="preserve">   que se hace sentir inclusive antes de que la mujer compre  o  escoja  las</w:t>
        <w:br/>
        <w:t xml:space="preserve">   ropas que usará y cómo se presentará físicamente en el mundo.</w:t>
        <w:br/>
        <w:br/>
        <w:br/>
        <w:t>306. Apenas  para  ejemplificar,  dado  que  no  se  encontró  investigación</w:t>
        <w:br/>
        <w:t xml:space="preserve">   específica sobre Guatemala, esa percepción de que pueden sufrir violencia</w:t>
        <w:br/>
        <w:t xml:space="preserve">   las mujeres que  expresan,  por  medio  de  sus  ropas,  algún  grado  de</w:t>
        <w:br/>
        <w:t xml:space="preserve">   autonomía o de libertad sexual, se refleja, por ejemplo,  en  un  estudio</w:t>
        <w:br/>
        <w:t xml:space="preserve">   hecho en Brasil en 2014  por  el  Instituto  de  Investigación  Económica</w:t>
        <w:br/>
        <w:t xml:space="preserve">   Aplicada  –  IPEA[364],  que  constató  que  26%  de  los   entrevistados</w:t>
        <w:br/>
        <w:t xml:space="preserve">   concordaron, aunque parcialmente, con la afirmación de que  las  “mujeres</w:t>
        <w:br/>
        <w:t xml:space="preserve">   que usan ropa que muestran el cuerpo merecen ser atacadas”. En  el  mismo</w:t>
        <w:br/>
        <w:t xml:space="preserve">   sentido, la investigación realizada por la Comisión  sobre  la  Condición</w:t>
        <w:br/>
        <w:t xml:space="preserve">   Jurídica y Social de la Mujer (CSW) de la ONU realizó  una  investigación</w:t>
        <w:br/>
        <w:t xml:space="preserve">   que indicó que el 95% de las mujeres viviendo  en  Delhi  no  se  sienten</w:t>
        <w:br/>
        <w:t xml:space="preserve">   seguras  en  espacios  públicos,  siendo  que  el  75%  de  los   hombres</w:t>
        <w:br/>
        <w:t xml:space="preserve">   entrevistados concordaron con la afirmación de que las “mujeres  provocan</w:t>
        <w:br/>
        <w:t xml:space="preserve">   a los hombres por la forma en que se visten” (“Women provoke men  by  the</w:t>
        <w:br/>
        <w:t xml:space="preserve">   way they dress”)[365].</w:t>
        <w:br/>
        <w:br/>
        <w:br/>
        <w:t>307. Particularmente relevante para el caso en análisis, se resalta  que  el</w:t>
        <w:br/>
        <w:t xml:space="preserve">   escenario de inseguridad es igualmente grave  en  Guatemala.  El  informe</w:t>
        <w:br/>
        <w:t xml:space="preserve">   “Guatemala: Memoria del Silencio” de la Comisión para el  Esclarecimiento</w:t>
        <w:br/>
        <w:t xml:space="preserve">   Histórico (CEH) afirma que las  mujeres,  durante  el  conflicto  armado,</w:t>
        <w:br/>
        <w:t xml:space="preserve">   fueron víctimas de todas las formas de violaciones de  derechos  humanos,</w:t>
        <w:br/>
        <w:t xml:space="preserve">   inclusive violencias específicas  de  género.  La  CEH  concluyó  que  la</w:t>
        <w:br/>
        <w:t xml:space="preserve">   desvalorización  de  las  mujeres  fue  absoluta,  lo  que  permitió  que</w:t>
        <w:br/>
        <w:t xml:space="preserve">   integrantes del ejército cometiesen esas violencias con total  impunidad,</w:t>
        <w:br/>
        <w:t xml:space="preserve">   proceso que no se detuvo con el fin del conflicto[366], situación también</w:t>
        <w:br/>
        <w:t xml:space="preserve">   ya constatada por esta Corte, en el contexto  del  Caso  Veliz  Franco  y</w:t>
        <w:br/>
        <w:t xml:space="preserve">   otros.</w:t>
        <w:br/>
        <w:br/>
        <w:br/>
        <w:t>308. Es importante dejar claro que el presente voto no sustenta o  argumenta</w:t>
        <w:br/>
        <w:t xml:space="preserve">   que la violencia de género está umbilicalmente ligada con  el  vestuario;</w:t>
        <w:br/>
        <w:t xml:space="preserve">   hay abundancia de datos que demuestran que las mujeres son  rutineramente</w:t>
        <w:br/>
        <w:t xml:space="preserve">   víctimas de violencia y acoso independientemente del recato de sus ropas.</w:t>
        <w:br/>
        <w:t xml:space="preserve">   Datos de las Naciones Unidas[367] señalan que una de cada tres mujeres ya</w:t>
        <w:br/>
        <w:t xml:space="preserve">   sufrió violencia física o sexual, lo que la Comission on  the  Status  of</w:t>
        <w:br/>
        <w:t xml:space="preserve">   Women - CSW llamó una pandemia de proporciones globales, y no se  propuso</w:t>
        <w:br/>
        <w:t xml:space="preserve">   – en este o en otros fórums mundiales – que el cambio  en  la  vestimenta</w:t>
        <w:br/>
        <w:t xml:space="preserve">   pueda  impactar  en  esos  números  de  alguna  forma.  Entre  los  datos</w:t>
        <w:br/>
        <w:t xml:space="preserve">   alarmantes recogidos por la ONU, se destaca que 2,6 billones  de  mujeres</w:t>
        <w:br/>
        <w:t xml:space="preserve">   viven en países donde no se criminaliza la violación sexual cometida  por</w:t>
        <w:br/>
        <w:t xml:space="preserve">   el marido, de modo  que  ni  instituciones  tradicionalmente  ligadas  al</w:t>
        <w:br/>
        <w:t xml:space="preserve">   recato – como el matrimonio  –  ofrecen  protección  efectiva  contra  la</w:t>
        <w:br/>
        <w:t xml:space="preserve">   violencia. De acuerdo con datos de la Unión Europea, entre 45% y  55%  de</w:t>
        <w:br/>
        <w:t xml:space="preserve">   las mujeres sufren acoso sexual desde los 15 años de edad.</w:t>
        <w:br/>
        <w:br/>
        <w:br/>
        <w:t>309.  Sin  embargo,  quedó  demostrado   que   preconcepciones   de   género</w:t>
        <w:br/>
        <w:t xml:space="preserve">   interfirieron indebidamente en las investigaciones, dejando en  evidencia</w:t>
        <w:br/>
        <w:t xml:space="preserve">   que el castigo de los agresores puede depender de un juicio  hecho  sobre</w:t>
        <w:br/>
        <w:t xml:space="preserve">   la apariencia física de la víctima, sobre su vestimenta. Lo que se  tiene</w:t>
        <w:br/>
        <w:t xml:space="preserve">   es un escenario en que efectivamente las mujeres no consiguen expresar su</w:t>
        <w:br/>
        <w:t xml:space="preserve">   cultura, individualidad,  ideas  y  afiliaciones  religiosas  sin  sufrir</w:t>
        <w:br/>
        <w:t xml:space="preserve">   coerción.</w:t>
        <w:br/>
        <w:br/>
        <w:br/>
        <w:t>310.  La  naturalización  y  la  frecuente   impunidad   de   la   violencia</w:t>
        <w:br/>
        <w:t xml:space="preserve">   específicamente sufrida por la mujer cuya vestimenta difiere  de  aquella</w:t>
        <w:br/>
        <w:t xml:space="preserve">   habitual en la sociedad impide que la ropa sea utilizada  como  forma  de</w:t>
        <w:br/>
        <w:t xml:space="preserve">   expresar  libremente  la  individualidad,  identidad,  postura  social  o</w:t>
        <w:br/>
        <w:t xml:space="preserve">   política de  las  mujeres.  El  mensaje  implícito  de  la  investigación</w:t>
        <w:br/>
        <w:t xml:space="preserve">   ineficaz en esos casos es que expresar dominio sobre el propio cuerpo por</w:t>
        <w:br/>
        <w:t xml:space="preserve">   medio de la libre elección de vestimentas puede colocarla en situación de</w:t>
        <w:br/>
        <w:t xml:space="preserve">   especial vulnerabilidad.</w:t>
        <w:br/>
        <w:br/>
        <w:br/>
        <w:t>311. La elección detrás de las vestimentas puede ser  considerada  como  una</w:t>
        <w:br/>
        <w:t xml:space="preserve">   manifestación,  no  solo  como  ejercicio  de  un  derecho   general   de</w:t>
        <w:br/>
        <w:t xml:space="preserve">   personalidad, sino también como un derecho de expresión. Así,  el  juicio</w:t>
        <w:br/>
        <w:t xml:space="preserve">   sobre la ropa  seleccionada  acaba  impactando  sobre  el  respeto  a  la</w:t>
        <w:br/>
        <w:t xml:space="preserve">   identidad de la mujer, lo que, a su vez, está vinculado a  su  concepción</w:t>
        <w:br/>
        <w:t xml:space="preserve">   del mundo, de estilo de vida y de identificación  con  determinado  grupo</w:t>
        <w:br/>
        <w:t xml:space="preserve">   social.</w:t>
        <w:br/>
        <w:br/>
        <w:br/>
        <w:t>312. Por otro lado, el comportamiento de las autoridades estatales  en  este</w:t>
        <w:br/>
        <w:t xml:space="preserve">   caso, determinando la diligencia  en  la  investigación  de  acuerdo  con</w:t>
        <w:br/>
        <w:t xml:space="preserve">   directrices basadas en la forma como la víctima optó por exteriorizar  su</w:t>
        <w:br/>
        <w:t xml:space="preserve">   identidad,  acaba  teniendo  un  efecto  de  presionar  a   las  demás  a</w:t>
        <w:br/>
        <w:t xml:space="preserve">   conformarse con patrones de vestimentas tenidos por adecuados, bajo  pena</w:t>
        <w:br/>
        <w:t xml:space="preserve">   de sufrir discriminación que puede ser potencializada. De hecho,  asociar</w:t>
        <w:br/>
        <w:t xml:space="preserve">   la ropa  no  solamente  a  la  condición  femenina,  como  también  a  su</w:t>
        <w:br/>
        <w:t xml:space="preserve">   pertenencia a la comunidad social  y  económicamente  marginalizada,  por</w:t>
        <w:br/>
        <w:t xml:space="preserve">   usar un “piercing” y calzar sandalias, acabó exponiendo a  la  víctima  a</w:t>
        <w:br/>
        <w:t xml:space="preserve">   discriminación múltiple de criterios de género, condición social, edad  y</w:t>
        <w:br/>
        <w:t xml:space="preserve">   posición económica. Vincular la efectiva preservación  de  las  garantías</w:t>
        <w:br/>
        <w:t xml:space="preserve">   judiciales a la forma en que la mujer decide colocarse en el mundo y  una</w:t>
        <w:br/>
        <w:t xml:space="preserve">   forma de impedir el pleno ejercicio de la  libertad  de  expresión  y  de</w:t>
        <w:br/>
        <w:t xml:space="preserve">   manifestación de las ideas, mediante la indisimulable punición impuesta.</w:t>
        <w:br/>
        <w:br/>
        <w:br/>
        <w:br/>
        <w:t>313. Finalmente, resáltese que las actitudes de  las  autoridades  estatales</w:t>
        <w:br/>
        <w:t xml:space="preserve">   contienen otro grave equívoco, vale señalar, porque no se  refiere  a  la</w:t>
        <w:br/>
        <w:t xml:space="preserve">   realidad del presente caso: deja claro que  si  fuese  una  prostituta  o</w:t>
        <w:br/>
        <w:t xml:space="preserve">   pandillera no merecería la misma  guarida  estatal  contra  agresiones  y</w:t>
        <w:br/>
        <w:t xml:space="preserve">   violaciones sexuales. Todos y todas tienen derecho a la igual  protección</w:t>
        <w:br/>
        <w:t xml:space="preserve">   del Estado, evidentemente, regístrese.</w:t>
        <w:br/>
        <w:br/>
        <w:br/>
        <w:t>314. Así, además de las ponderaciones y  conclusiones  ya  colocadas  en  la</w:t>
        <w:br/>
        <w:t xml:space="preserve">   Sentencia, con las cuales estoy  de  acuerdo,  agrego  que  también  hubo</w:t>
        <w:br/>
        <w:t xml:space="preserve">   violación a los artículos 13.1 y 22.1, en relación con el  artículo  1.1,</w:t>
        <w:br/>
        <w:t xml:space="preserve">   de la Convención Americana sobre Derechos Humanos.</w:t>
        <w:br/>
        <w:br/>
        <w:br/>
        <w:br/>
        <w:t xml:space="preserve"> III. Consideraciones Finales</w:t>
        <w:br/>
        <w:br/>
        <w:t>315. Por todo lo expuesto, es  innegable  que  la  vestimenta  es  dimensión</w:t>
        <w:br/>
        <w:t xml:space="preserve">   importante,  hasta  esencial,  de  la  expresión  humana,  sea  cultural,</w:t>
        <w:br/>
        <w:t xml:space="preserve">   nacional, regional, grupal, generacional, de género, racial,  espiritual,</w:t>
        <w:br/>
        <w:t xml:space="preserve">   individual. En este último ámbito puede ser componente de  la  identidad,</w:t>
        <w:br/>
        <w:t xml:space="preserve">   de la personalidad, de la individualidad, de la diversidad y hasta de  la</w:t>
        <w:br/>
        <w:t xml:space="preserve">   sensualidad de un ser. Tratándose específicamente  del  género  femenino,</w:t>
        <w:br/>
        <w:t xml:space="preserve">   esos trazos característicos se pueden acentuar y no solamente  deben  ser</w:t>
        <w:br/>
        <w:t xml:space="preserve">   tolerados, sino aceptados; no apenas aceptados, sino respetados; no  sólo</w:t>
        <w:br/>
        <w:t xml:space="preserve">   respetados, sino protegidos y hasta  promovidos  como  trazo  distintivo,</w:t>
        <w:br/>
        <w:t xml:space="preserve">   siempre y cuando así  lo decida la mujer. Se vuelve abusiva  y  repudiada</w:t>
        <w:br/>
        <w:t xml:space="preserve">   cualquier restricción, discriminación o estigmatización, aún  más  si  es</w:t>
        <w:br/>
        <w:t xml:space="preserve">   perpetrada por agentes de Estado, que tienen  la  obligación  de  educar,</w:t>
        <w:br/>
        <w:t xml:space="preserve">   respetar y proteger la  expresión  femenina  en  la  sociedad,  siéndoles</w:t>
        <w:br/>
        <w:t xml:space="preserve">   definitivamente vedado negar asistencia o disminuirle la calidad según la</w:t>
        <w:br/>
        <w:t xml:space="preserve">   indumentaria usada por la mujer, en actitud sexista o  desigual.  En  las</w:t>
        <w:br/>
        <w:t xml:space="preserve">   diferentes sociedades la mujer usa ropa  con  colores,  tamaños,  largos,</w:t>
        <w:br/>
        <w:t xml:space="preserve">   aperturas,     cortes,     recortes,     escotes,     adornos,     joyas,</w:t>
        <w:br/>
        <w:t xml:space="preserve">   accesorios, maquillajes, de expresión estética que le merecen  particular</w:t>
        <w:br/>
        <w:t xml:space="preserve">   respeto.</w:t>
        <w:br/>
        <w:br/>
        <w:br/>
        <w:t>316. A pesar de  mi  posición  concordante  con  todo  lo  dispuesto  en  la</w:t>
        <w:br/>
        <w:t xml:space="preserve">   Sentencia, salvo con los dos puntos  aquí  expresados,  y  mi  convicción</w:t>
        <w:br/>
        <w:t xml:space="preserve">   personal de que cuando sea posible se debe evitar divergencias  meramente</w:t>
        <w:br/>
        <w:t xml:space="preserve">   conceptuales, lo cual no sucede en este caso, no pude callar en  relación</w:t>
        <w:br/>
        <w:t xml:space="preserve">   a la decisión de la mayoría expresada en  el  párrafo  6  de  los  Puntos</w:t>
        <w:br/>
        <w:t xml:space="preserve">   Resolutivos de que “no es necesario emitir un pronunciamiento respecto de</w:t>
        <w:br/>
        <w:t xml:space="preserve">   las alegadas violaciones de los artículos 13  y  22  de  la  Convención”.</w:t>
        <w:br/>
        <w:t xml:space="preserve">   Traigo estas consideraciones adicionales con  la  convicción  de  que  es</w:t>
        <w:br/>
        <w:t xml:space="preserve">   fundamental reconocer los dos artículos antes  referidos  como  violados,</w:t>
        <w:br/>
        <w:t xml:space="preserve">   para robustecer la efectividad de la libertad de expresión por  medio  de</w:t>
        <w:br/>
        <w:t xml:space="preserve">   la vestimenta y de la libertad de  circulación,  cuestiones  nunca  antes</w:t>
        <w:br/>
        <w:t xml:space="preserve">   examinadas por la Corte. Indudablemente la jurisprudencia de  esta  Corte</w:t>
        <w:br/>
        <w:t xml:space="preserve">   es el medio adecuado para emprender la misión de declarar  y  ampliar  el</w:t>
        <w:br/>
        <w:t xml:space="preserve">   contenido de los derechos humanos contenidos en la Convención  Americana.</w:t>
        <w:br/>
        <w:t xml:space="preserve">   Junto a este voto, la esperanza de que las jurisdicciones nacionales y la</w:t>
        <w:br/>
        <w:t xml:space="preserve">   propia jurisprudencia de esta Corte  en  breve  puedan  evolucionar  para</w:t>
        <w:br/>
        <w:t xml:space="preserve">   reconocer esos derechos tan fundamentales, promotores de la igualdad real</w:t>
        <w:br/>
        <w:t xml:space="preserve">   entre los géneros humanos.</w:t>
        <w:br/>
        <w:br/>
        <w:br/>
        <w:br/>
        <w:br/>
        <w:br/>
        <w:br/>
        <w:t xml:space="preserve">                              Roberto F. Caldas</w:t>
        <w:br/>
        <w:t xml:space="preserve">                                    Juez</w:t>
        <w:br/>
        <w:t xml:space="preserve">      Pablo Saavedra Alessandri</w:t>
        <w:br/>
        <w:t xml:space="preserve">            Secretario</w:t>
        <w:br/>
        <w:t xml:space="preserve">                VOTO CONCURRENTE DEL JUEZ EDUARDO VIO GROSSI,</w:t>
        <w:br/>
        <w:t xml:space="preserve">                  CORTE INTERAMERICANA DE DERECHOS HUMANOS,</w:t>
        <w:br/>
        <w:t xml:space="preserve">                 CASO VELÁSQUEZ PAIZ Y OTROS VS. GUATEMALA,</w:t>
        <w:br/>
        <w:t xml:space="preserve">                    SENTENCIA DE 19 DE NOVIEMBRE DE 2015,</w:t>
        <w:br/>
        <w:t xml:space="preserve">          (Excepciones Preliminares, Fondo, Reparaciones y Costas)</w:t>
        <w:br/>
        <w:br/>
        <w:br/>
        <w:t>Se emite el presente voto concurrente con la Sentencia del epígrafe,  a  los</w:t>
        <w:br/>
        <w:t>efectos de dejar expresa constancia de que el suscrito  concurre  a  aprobar</w:t>
        <w:br/>
        <w:t>la decisión señalada en ella de desestimar la excepción preliminar  relativa</w:t>
        <w:br/>
        <w:t>a la alegada falta de agotamiento de los recursos internos  interpuesta  por</w:t>
        <w:br/>
        <w:t>el Estado, básicamente en atención a que,  por  una  parte,  fue  ya  en  la</w:t>
        <w:br/>
        <w:t>petición  inicial  formulada  en  este   caso   que   se   hizo   valer   la</w:t>
        <w:br/>
        <w:t>inaplicabilidad del requisito de  interponer  y  agotar  tales  recursos  en</w:t>
        <w:br/>
        <w:t>forma previa a su presentación y que, por otra  parte,  en  la  contestación</w:t>
        <w:br/>
        <w:t>del Estado a la misma, al alegar que no se  había  cumplido  con  el  citado</w:t>
        <w:br/>
        <w:t>requisito, no se hizo mención alguna a cuáles recursos no se habían  agotado</w:t>
        <w:br/>
        <w:t>aún, ni demostró los  que  se  encontraban  disponibles  y  eran  adecuados,</w:t>
        <w:br/>
        <w:t>idóneos y efectivos.</w:t>
        <w:br/>
        <w:br/>
        <w:t>De modo pues, que a juicio del infrascrito, tales  hechos  eran  suficientes</w:t>
        <w:br/>
        <w:t>para desestimar la excepción hecha valer por el Estado  y  ello  en  mérito,</w:t>
        <w:br/>
        <w:t>como lo que  ha  sostenido  en  otros  votos  individuales  sobre  el  mismo</w:t>
        <w:br/>
        <w:t>tema[368], de que  el  pronunciamiento  de  la  Comisión  Interamericana  de</w:t>
        <w:br/>
        <w:t>Derechos Humanos en cuanto a la admisibilidad de la  petición,  debe  serlo,</w:t>
        <w:br/>
        <w:t>de acuerdo a lo dispuesto en el artículo 46.1  de  la  Convención  Americana</w:t>
        <w:br/>
        <w:t>sobre Derechos Humanos  y  en  su  propio  Reglamento,  con  respecto  a  la</w:t>
        <w:br/>
        <w:t>petición “presentada”, es decir, tal como lo fue y no en  cuanto  a  lo  que</w:t>
        <w:br/>
        <w:t>haya acontecido posteriormente.</w:t>
        <w:br/>
        <w:br/>
        <w:t>Lo anterior, en mérito de que si se aceptase que  el  pronunciamiento  sobre</w:t>
        <w:br/>
        <w:t>la admisibilidad de la petición lo fuese  con  relación  a  lo  que  hubiese</w:t>
        <w:br/>
        <w:t>acontecido con posterioridad a la misma y a la correspondiente  contestación</w:t>
        <w:br/>
        <w:t>del Estado, ello podría constituir un incentivo, que podría ser  considerado</w:t>
        <w:br/>
        <w:t>perverso, a que se eleven presentaciones ante la citada Comisión aún  cuando</w:t>
        <w:br/>
        <w:t>no se haya cumplido con el referido requisito, tal como lo mandata la  norma</w:t>
        <w:br/>
        <w:t>convencional  aludida,  con  la  esperanza  de  que  ello  se  pueda  lograr</w:t>
        <w:br/>
        <w:t>posteriormente, es decir,  en  forma  previa  al  pronunciamiento  de  dicha</w:t>
        <w:br/>
        <w:t>instancia  respecto  de  su  admisibilidad.  Adicionalmente,  se  generarían</w:t>
        <w:br/>
        <w:t>situaciones de abierta injusticia o arbitrariedad en la  medida  en  que  la</w:t>
        <w:br/>
        <w:t>oportunidad  para  cumplir  con  el  requisito  en  cuestión  en  definitiva</w:t>
        <w:br/>
        <w:t>dependería, no de la víctima o del peticionario, como lo dispone  el  citado</w:t>
        <w:br/>
        <w:t>artículo 46.1.a) de la referida  Convención,  sino  de  la  decisión  de  la</w:t>
        <w:br/>
        <w:t>aludida Comisión al resolver sobre la admisibilidad o inadmisibilidad de  la</w:t>
        <w:br/>
        <w:t>petición.</w:t>
        <w:br/>
        <w:br/>
        <w:br/>
        <w:br/>
        <w:br/>
        <w:br/>
        <w:t xml:space="preserve">                                                          Eduardo Vio Grossi</w:t>
        <w:br/>
        <w:t xml:space="preserve">                                                             Juez</w:t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               VOTO RAZONADO DEL</w:t>
        <w:br/>
        <w:t xml:space="preserve">                    JUEZ EDUARDO FERRER MAC-GREGOR POISOT</w:t>
        <w:br/>
        <w:br/>
        <w:t xml:space="preserve">                  CASO VELÁSQUEZ PAIZ Y OTROS VS. GUATEMALA</w:t>
        <w:br/>
        <w:br/>
        <w:t xml:space="preserve">                    SENTENCIA DE 19 DE NOVIEMBRE DE 2015</w:t>
        <w:br/>
        <w:t xml:space="preserve">          (Excepciones Preliminares, Fondo, Reparaciones y Costas)</w:t>
        <w:br/>
        <w:br/>
        <w:br/>
        <w:t xml:space="preserve">                                INTRODUCCIÓN:</w:t>
        <w:br/>
        <w:br/>
        <w:t xml:space="preserve">          SOBRE EL “DEBER DE PREVENCIÓN” EN LA VIOLENCIA DE GÉNERO</w:t>
        <w:br/>
        <w:br/>
        <w:t xml:space="preserve"> 1. La Convención Interamericana para Prevenir,  Sancionar  y  Erradicar  la</w:t>
        <w:br/>
        <w:t xml:space="preserve">    Violencia contra la Mujer (“Convención de Belém do Pará”) constituye  el</w:t>
        <w:br/>
        <w:t xml:space="preserve">    instrumento regional que mayor consenso ha suscitado entre los países de</w:t>
        <w:br/>
        <w:t xml:space="preserve">    las Américas, al haberse suscrito y ratificado o adherido por 32 de  los</w:t>
        <w:br/>
        <w:t xml:space="preserve">    35 Estados que conforman la OEA. Desde su  entrada  en  vigor  en  1995,</w:t>
        <w:br/>
        <w:t xml:space="preserve">    recoge la preocupación de los Estados  parte  de  dicho  instrumento  en</w:t>
        <w:br/>
        <w:t xml:space="preserve">    torno a que la violencia contra la mujer “es una ofensa  a  la  dignidad</w:t>
        <w:br/>
        <w:t xml:space="preserve">    humana y una manifestación de las  relaciones  de  poder  históricamente</w:t>
        <w:br/>
        <w:t xml:space="preserve">    desiguales entre mujeres y hombres”;  afirmando que la violencia  contra</w:t>
        <w:br/>
        <w:t xml:space="preserve">    la mujer constituye  “una  violación  de  los  derechos  humanos  y  las</w:t>
        <w:br/>
        <w:t xml:space="preserve">    libertades fundamentales y limita total o parcialmente  a  la  mujer  el</w:t>
        <w:br/>
        <w:t xml:space="preserve">    reconocimiento, goce y ejercicio de tales derechos y libertades” [369].</w:t>
        <w:br/>
        <w:br/>
        <w:t xml:space="preserve"> 2. A más de veinte años de su vigencia se advierte con preocupación que  la</w:t>
        <w:br/>
        <w:t xml:space="preserve">    cultura de discriminación y violencia  contra  la  mujer[370],  continua</w:t>
        <w:br/>
        <w:t xml:space="preserve">    siendo un fenómeno presente en la región, alcanzado su máxima  expresión</w:t>
        <w:br/>
        <w:t xml:space="preserve">    a través del “feminicidio” o “femicidio”, es  decir,  el  “homicidio  de</w:t>
        <w:br/>
        <w:t xml:space="preserve">    mujer por razones de género”; tal y como lo destacara por primera vez la</w:t>
        <w:br/>
        <w:t xml:space="preserve">    Corte Interamericana de Derechos Humanos (en adelante la  “Corte  IDH  o</w:t>
        <w:br/>
        <w:t xml:space="preserve">    “Tribunal  Interamericano”)  en  el  caso  González  y   otras   (“Campo</w:t>
        <w:br/>
        <w:t xml:space="preserve">    Algodonero”) Vs. México en 2009[371], y lo reiterara en los casos  Veliz</w:t>
        <w:br/>
        <w:t xml:space="preserve">    Franco y otros, y en el presente de Velázques Paiz y  otros,  ambos  Vs.</w:t>
        <w:br/>
        <w:t xml:space="preserve">    Guatemala[372];  expresión  (“feminicidio”)  incorporada  en  la  última</w:t>
        <w:br/>
        <w:t xml:space="preserve">    edición del Diccionario de la lengua española que editó la Real Academia</w:t>
        <w:br/>
        <w:t xml:space="preserve">    Española en octubre de 2014[373], a  casi  una  década  después  de  los</w:t>
        <w:br/>
        <w:t xml:space="preserve">    lamentables hechos del caso que motiva el presente voto razonado.</w:t>
        <w:br/>
        <w:br/>
        <w:t xml:space="preserve"> 3. La persistencia de tal problemática en la región —a  pesar  de  diversas</w:t>
        <w:br/>
        <w:t xml:space="preserve">    acciones estatales como  se  advierte  del  presente  caso—  destaca  la</w:t>
        <w:br/>
        <w:t xml:space="preserve">    necesidad impostergable de poner especial atención y cuidado  al  “deber</w:t>
        <w:br/>
        <w:t xml:space="preserve">    de prevención” a que se refiere el artículo 7 de la “Convención de Belém</w:t>
        <w:br/>
        <w:t xml:space="preserve">    do Pará”[374]; obligación que estimo de la mayor relevancia para  evitar</w:t>
        <w:br/>
        <w:t xml:space="preserve">    la barbarie del fenómeno del “feminicidio” y en general  toda  forma  de</w:t>
        <w:br/>
        <w:t xml:space="preserve">    violencia contra la mujer.</w:t>
        <w:br/>
        <w:br/>
        <w:br/>
        <w:br/>
        <w:t xml:space="preserve"> 4. En consecuencia, formulo el presente voto concurrente con el objetivo de</w:t>
        <w:br/>
        <w:t xml:space="preserve">    destacar algunas cuestiones relevantes en  el  estudio  y  análisis  del</w:t>
        <w:br/>
        <w:t xml:space="preserve">    deber estatal de prevención realizado en el presente caso, ya que estimo</w:t>
        <w:br/>
        <w:t xml:space="preserve">    pertinente observar con detenimiento a  partir  de  qué  momento  en  la</w:t>
        <w:br/>
        <w:t xml:space="preserve">    plataforma  fáctica  analizada  en  la  Sentencia,   se   configuró   la</w:t>
        <w:br/>
        <w:t xml:space="preserve">    responsabilidad internacional del Estado por incumplimiento de su  deber</w:t>
        <w:br/>
        <w:t xml:space="preserve">    de prevención  —haciendo  especial  énfasis  al  “contexto”  probado  de</w:t>
        <w:br/>
        <w:t xml:space="preserve">    aumento de desapariciones y homicidios violentos de mujeres—.</w:t>
        <w:br/>
        <w:br/>
        <w:br/>
        <w:br/>
        <w:t xml:space="preserve"> 5. Dicho análisis considero debió ser diferente al realizado por  la  Corte</w:t>
        <w:br/>
        <w:t xml:space="preserve">    IDH en casos anteriores[375], dando mayor relevancia al “primer momento”</w:t>
        <w:br/>
        <w:t xml:space="preserve">    de dicho deber general  de  prevención  (acciones  estatales  realizadas</w:t>
        <w:br/>
        <w:t xml:space="preserve">    antes de la desaparición de la víctima), que evidentemente condicionó la</w:t>
        <w:br/>
        <w:t xml:space="preserve">    actuación estatal en el “segundo momento” (acciones estatales realizadas</w:t>
        <w:br/>
        <w:t xml:space="preserve">    entre la denuncia de los familiares y  el  hallazgo  del  cuerpo  de  la</w:t>
        <w:br/>
        <w:t xml:space="preserve">    víctima) como trataremos de explicar en el presente voto.  Lo  anterior,</w:t>
        <w:br/>
        <w:t xml:space="preserve">    en observancia al estándar de los “dos momentos” del deber de prevención</w:t>
        <w:br/>
        <w:t xml:space="preserve">    establecido en los dos casos previos sobre la materia, interpretado a la</w:t>
        <w:br/>
        <w:t xml:space="preserve">    luz de las obligaciones estatales que se  desprenden  de  la  Convención</w:t>
        <w:br/>
        <w:t xml:space="preserve">    Americana y particularmente del artículo 7 de la “Convención de Belém do</w:t>
        <w:br/>
        <w:t xml:space="preserve">    Pará”, considerando que Guatemala ratificó dicho tratado el 4  de  enero</w:t>
        <w:br/>
        <w:t xml:space="preserve">    de 1995 sin reservas o limitaciones.</w:t>
        <w:br/>
        <w:br/>
        <w:br/>
        <w:br/>
        <w:t>6.    Para una mayor claridad se divide el presente voto en  los  siguientes</w:t>
        <w:br/>
        <w:t>apartados: I. La “Convención de Belém do Pará” en la  jurisprudencia  de  la</w:t>
        <w:br/>
        <w:t>Corte Interamerica (párrs. 7 a 16); II. El “deber de prevención” y sus  “dos</w:t>
        <w:br/>
        <w:t>momentos” en los casos González y  otras  (“Campo  Algodonero”)  Vs.  México</w:t>
        <w:br/>
        <w:t>(2009), y Veliz Franco y otros Vs. Guatemala (2014) (párrs. 17 a  31);  III.</w:t>
        <w:br/>
        <w:t>El “deber de prevención” en el caso Velásquez Paiz  y  otros  Vs.  Guatemala</w:t>
        <w:br/>
        <w:t>(2015) (párrs. 32 a 49), y IV. Conclusiones (párrs. 50 a 58).</w:t>
        <w:br/>
        <w:br/>
        <w:t xml:space="preserve">                    I.  LA “CONVENCIÓN DE BELÉM DO PARÁ”</w:t>
        <w:br/>
        <w:br/>
        <w:t xml:space="preserve">               EN LA JURISPRUDENCIA DE LA CORTE INTERAMERICANA</w:t>
        <w:br/>
        <w:br/>
        <w:t>7.    A través de la competencia que el artículo 12  de  la  “Convención  de</w:t>
        <w:br/>
        <w:t>Belém do Pará” otorga al Sistema Interamericano de  Protección  de  Derechos</w:t>
        <w:br/>
        <w:t>Humanos para conocer sobre  violaciones  al  artículo  7  de  dicho  tratado</w:t>
        <w:br/>
        <w:t>regional[376], el Tribunal Interamericano ha estudiado  el  fenómeno  de  la</w:t>
        <w:br/>
        <w:t>violencia contra la mujer bajo diversas  temáticas[377];  poniendo  especial</w:t>
        <w:br/>
        <w:t>énfasis en el deber estatal de  condenar  “todas  las  formas  de  violencia</w:t>
        <w:br/>
        <w:t>contra la mujer [así como a adoptar], por todos los medios apropiados y  sin</w:t>
        <w:br/>
        <w:t>dilaciones, políticas orientadas a prevenir,  sancionar  y  erradicar  dicha</w:t>
        <w:br/>
        <w:t>violencia”[378], ello en adición a medidas específicas  de  tal  disposición</w:t>
        <w:br/>
        <w:t>—algunas de las cuales han sido estudiadas por  el  Tribunal  Interamericano</w:t>
        <w:br/>
        <w:t>en su jurisprudencia—.</w:t>
        <w:br/>
        <w:br/>
        <w:t>8.    La interpretación y aplicación de las disposiciones de la  “Convención</w:t>
        <w:br/>
        <w:t>de Belém do Pará” tuvo lugar por primera vez en 2006, en el caso  del  Penal</w:t>
        <w:br/>
        <w:t>Miguel Castro Castro vs. Perú[379]; con base  en  los  hechos  del  caso  la</w:t>
        <w:br/>
        <w:t>Corte IDH declaró violado el artículo 7.b de dicho instrumento, relativo  al</w:t>
        <w:br/>
        <w:t>deber estatal de “actuar con la debida diligencia para prevenir,  investigar</w:t>
        <w:br/>
        <w:t>y sancionar la violencia contra la  mujer”.  En  dicho  caso  la  Corte  IDH</w:t>
        <w:br/>
        <w:t>señaló que el deber estatal de investigar  los  hechos  ocurridos  implicaba</w:t>
        <w:br/>
        <w:t>que  el  Estado  tomase  “en  consideración  la  gravedad  de   los   hechos</w:t>
        <w:br/>
        <w:t>constitutivos de violencia contra la mujer, teniendo  en  consideración  las</w:t>
        <w:br/>
        <w:t>obligaciones  que  le  imponen  los  tratados  que  ha  ratificado  en   esa</w:t>
        <w:br/>
        <w:t>materia”[380].  En  consecuencia,  el  Tribunal  Interamericano  declaró  la</w:t>
        <w:br/>
        <w:t>violación del artículo 7.b) de la “Convención de Belem do Pará” en  conjunto</w:t>
        <w:br/>
        <w:t>con el derecho a las garantías judiciales y a la protección judicial (8.1  y</w:t>
        <w:br/>
        <w:t>25 de la Convención Americana) en virtud de que los procedimientos  internos</w:t>
        <w:br/>
        <w:t>abiertos en dicho caso no constituían “recursos  efectivos  para  garantizar</w:t>
        <w:br/>
        <w:t>un verdadero acceso a la justicia por parte de las víctimas,  dentro  de  un</w:t>
        <w:br/>
        <w:t>plazo razonable, que  abar[caran]  el  esclarecimiento  de  los  hechos,  la</w:t>
        <w:br/>
        <w:t>investigación y, en su caso, la sanción de los responsables y la  reparación</w:t>
        <w:br/>
        <w:t>de las violaciones a la vida e integridad”[381].</w:t>
        <w:br/>
        <w:br/>
        <w:t>9.    En el  año  2009,  con  motivo  del  caso  González  y  otras  (“Campo</w:t>
        <w:br/>
        <w:t>Algodonero”) Vs. México, la Corte IDH  nuevamente  tuvo  la  oportunidad  de</w:t>
        <w:br/>
        <w:t>estudiar los hechos que involucraban las obligaciones de la  “Convención  de</w:t>
        <w:br/>
        <w:t>Belém do Pará”. El caso se relacionaba  con  el  contexto  de  violencia  de</w:t>
        <w:br/>
        <w:t>género en México, donde el Tribunal Interamericano entró al estudio  de  los</w:t>
        <w:br/>
        <w:t>artículos 4, 5 y 7 de la Convención Americana y las  obligaciones  derivadas</w:t>
        <w:br/>
        <w:t>de los artículos 7.b y 7.c de la “Convención de Belém do Pará”, en  relación</w:t>
        <w:br/>
        <w:t>con la obligación general de garantía (1.1 de la Convención Americana) y  la</w:t>
        <w:br/>
        <w:t>obligación de adoptar disposiciones de derecho interno (art. 2 del Pacto  de</w:t>
        <w:br/>
        <w:t>San José) en  perjuicio  de  las  tres  mujeres  víctimas  en  el  caso.  En</w:t>
        <w:br/>
        <w:t>consecuencia, en la sentencia de dicho caso la Corte IDH estableció  que  el</w:t>
        <w:br/>
        <w:t>Estado no había actuado con “la debida diligencia  requerida  para  prevenir</w:t>
        <w:br/>
        <w:t>adecuadamente las muertes y agresiones sufridas  por  las  víctimas”,  falta</w:t>
        <w:br/>
        <w:t>que había dado lugar al incumplimiento de su deber de garantía, —poniendo  a</w:t>
        <w:br/>
        <w:t>las mujeres víctimas en situación de vulnerabilidad— y  a  las  obligaciones</w:t>
        <w:br/>
        <w:t>reforzadas impuestas en casos de violencia contra la mujer por  el  artículo</w:t>
        <w:br/>
        <w:t>7.b de la “Convención Belém do Pará”[382]. Asimismo,  respecto  al  artículo</w:t>
        <w:br/>
        <w:t>7.c de dicho instrumento, determinó que el Estado no había demostrado  haber</w:t>
        <w:br/>
        <w:t>adoptado  normas  o  implementado  las  medidas  necesarias,  “conforme   al</w:t>
        <w:br/>
        <w:t>artículo 2 de la Convención Americana y al artículo 7.c  de  la  “Convención</w:t>
        <w:br/>
        <w:t>Belém do Pará”, que permitieran a  las  autoridades  ofrecer  una  respuesta</w:t>
        <w:br/>
        <w:t>inmediata  y  eficaz  ante  las  denuncias  de   desaparición   y   prevenir</w:t>
        <w:br/>
        <w:t>adecuadamente la violencia contra  la  mujer”  ni  había  demostrado  “haber</w:t>
        <w:br/>
        <w:t>adoptado normas o tomado medidas para que los funcionarios  responsables  de</w:t>
        <w:br/>
        <w:t>recibir las denuncias tuvieran la capacidad y la sensibilidad para  entender</w:t>
        <w:br/>
        <w:t>la gravedad del fenómeno de la violencia contra la mujer y la voluntad  para</w:t>
        <w:br/>
        <w:t>actuar de inmediato”[383].</w:t>
        <w:br/>
        <w:br/>
        <w:t>10.   En ese mismo año, la Corte IDH volvió  a  invocar  la  “Convención  de</w:t>
        <w:br/>
        <w:t>Belém do Pará” en la sentencia de fondo relativa al caso De  la  Masacre  de</w:t>
        <w:br/>
        <w:t>las Dos Erres vs. Guatemala[384], como consecuencia de las  vulneraciones  a</w:t>
        <w:br/>
        <w:t>la vida, torturas y actos de violencia contra las mujeres víctimas  llevadas</w:t>
        <w:br/>
        <w:t>a cabo durante la masacre[385]; considerando violados los  artículos  8.1  y</w:t>
        <w:br/>
        <w:t>25.1 de la Convención Americana, y los artículos 1, 6 y 8 de  la  Convención</w:t>
        <w:br/>
        <w:t>Interamericana  para  Prevenir  y  Sancionar  la  Tortura,  y  7.b)  de   la</w:t>
        <w:br/>
        <w:t>“Convención Belém do Pará”, en perjuicio  de  155  víctimas,  en  razón  del</w:t>
        <w:br/>
        <w:t>impedimento de acceso a la justicia y reparación integral  de  las  víctimas</w:t>
        <w:br/>
        <w:t>consecuencia de la falta de investigación,  juzgamiento  y  sanción  de  los</w:t>
        <w:br/>
        <w:t>presuntos responsables de la masacre[386].</w:t>
        <w:br/>
        <w:br/>
        <w:t>11.   En el año 2010, en los casos Fernández Ortega y otros[387], y  Rosendo</w:t>
        <w:br/>
        <w:t>Cantú y otra[388], ambos contra México, la Corte  IDH  declaró  violado  por</w:t>
        <w:br/>
        <w:t>primera vez el inciso “a” del 7 de la “Convención de Belém  do  Pará”,  ello</w:t>
        <w:br/>
        <w:t>como resultado de las violaciones  sexuales  cometidas  por  militares[389].</w:t>
        <w:br/>
        <w:t>Asimismo, la Corte IDH declaró  la  vulneración,  en  ambos  casos,  de  los</w:t>
        <w:br/>
        <w:t>artículos 8.1 y 25.1 de la CADH  en  relación  con  el  artículo  1.1  y  el</w:t>
        <w:br/>
        <w:t>artículo 7.b de la “Convención de Belém do Pará”, en virtud de la  falta  de</w:t>
        <w:br/>
        <w:t>debida diligencia en la investigación de las violaciones  sexuales  y  actos</w:t>
        <w:br/>
        <w:t>de torturas infringidos a las víctimas[390].</w:t>
        <w:br/>
        <w:br/>
        <w:t>12.   Posteriormente, en el año 2012, la Corte IDH  conoció  de  violaciones</w:t>
        <w:br/>
        <w:t>al artículo 7.b de la “Convención de Belém do Pará” bajo el conocimiento  de</w:t>
        <w:br/>
        <w:t>los casos Masacres de Río Negro Vs. Guatemala[391], Masacres de El Mozote  y</w:t>
        <w:br/>
        <w:t>lugares aledaños Vs. El Salvador[392], y Gudiel  Álvarez  y  otros  ("Diario</w:t>
        <w:br/>
        <w:t>Militar") Vs. Guatemala[393],  por  la  falta  de  investigación  de  hechos</w:t>
        <w:br/>
        <w:t>relacionados con tortura, violaciones sexuales y demás  actos  de  violencia</w:t>
        <w:br/>
        <w:t>contra la mujer[394].</w:t>
        <w:br/>
        <w:br/>
        <w:t>13.   En seguimiento a esos pronunciamientos, en 2013, en  el  caso  J.  vs.</w:t>
        <w:br/>
        <w:t>Perú[395], la Corte IDH declaró incumplida la obligación  de  garantizar,  a</w:t>
        <w:br/>
        <w:t>través de una investigación efectiva de las  amenazas,  violencia  física  y</w:t>
        <w:br/>
        <w:t>sexual (que constituyeron violaciones a los artículos 5.1, 5.2, 11.1 y  11.2</w:t>
        <w:br/>
        <w:t>de la Convención Americana)[396], en relación con  el  artículo  1.1  de  la</w:t>
        <w:br/>
        <w:t>misma y con los artículos  6  y  8  de  la  Convención  Interamericana  para</w:t>
        <w:br/>
        <w:t>Prevenir y Sancionar la Tortura, y el artículo 7.b de la  “Convención  Belém</w:t>
        <w:br/>
        <w:t>do Pará”.</w:t>
        <w:br/>
        <w:br/>
        <w:t>14.    En  2014,  en  el  caso  Veliz  Franco  y  otros  vs.  Guatemala[397]</w:t>
        <w:br/>
        <w:t>—relacionado con la falta de respuesta eficaz del Estado a  la  denuncia  de</w:t>
        <w:br/>
        <w:t>desaparición de María Isabel Veliz Franco, de 15 años de edad, así como  las</w:t>
        <w:br/>
        <w:t>falencias en la investigación de los hechos que involucraron el hallazgo  de</w:t>
        <w:br/>
        <w:t>su cuerpo—, además de declararse violado el artículo 7.b de  la  “Convención</w:t>
        <w:br/>
        <w:t>de Belém do Pará”[398], por segunda vez en su  jurisprudencia  se  establece</w:t>
        <w:br/>
        <w:t>la violación al artículo 7.c de dicho instrumento, en razón de la  falta  de</w:t>
        <w:br/>
        <w:t>conducción de la investigación  con  perspectiva  de  género,  debido  a  la</w:t>
        <w:br/>
        <w:t>posibilidad de que el homicidio se hubiera cometido por razones  de  género;</w:t>
        <w:br/>
        <w:t>faltas  en  el  actuar  estatal  (vinculadas  a  inexistencia  de  normas  y</w:t>
        <w:br/>
        <w:t>protocolos para ese tipo de hechos) y actos de  sesgo  discriminatorio,  así</w:t>
        <w:br/>
        <w:t>como la falta de un plazo razonable para su substanciación y  su  estado  en</w:t>
        <w:br/>
        <w:t>fase inicial[399].</w:t>
        <w:br/>
        <w:br/>
        <w:t>15.   Ese mismo año en el caso Espinoza Gonzáles  vs.  Perú[400],  la  Corte</w:t>
        <w:br/>
        <w:t>IDH determinó nuevamente violaciones al artículo 7.b de  la  “Convención  de</w:t>
        <w:br/>
        <w:t>Belém do Pará”. Por un lado, en conjunto con violaciones a los arts.  8.1  y</w:t>
        <w:br/>
        <w:t>25 de la CADH, y 1.1, así como los artículos 1,  6  y  8  de  la  Convención</w:t>
        <w:br/>
        <w:t>Interamericana  para  Prevenir  y  Sancionar  la  Tortura,  en   razón   del</w:t>
        <w:br/>
        <w:t>incumplimiento estatal del deber de investigación  de  la  violencia  sexual</w:t>
        <w:br/>
        <w:t>presente en los hechos ocurridos a la víctima durante  su  detención  en  el</w:t>
        <w:br/>
        <w:t>Penal de Yanamayo, y los hechos ocurridos en la DIVISE  y  la  DINCOTE[401];</w:t>
        <w:br/>
        <w:t>y, por otro lado, en conjunto con violaciones a los  artículos  5.1,  5.2  y</w:t>
        <w:br/>
        <w:t>11, así como los arts. 8.1, 25 y 2 de la Convención Americana, 1, 6 y  8  de</w:t>
        <w:br/>
        <w:t>la Convención Interamericana  para  Prevenir  y  Sancionar  la  Tortura,  en</w:t>
        <w:br/>
        <w:t>virtud de la valoración estereotipada de  la  prueba  por  parte  del  poder</w:t>
        <w:br/>
        <w:t>judicial, que constituyó discriminación en  el  acceso  a  la  justicia  por</w:t>
        <w:br/>
        <w:t>razones de género[402], así como por  la  violencia  sexual  y  tortura  que</w:t>
        <w:br/>
        <w:t>padeció la víctima[403].</w:t>
        <w:br/>
        <w:br/>
        <w:t>16.   Como puede apreciarse en este breve recorrido,  la  jurisprudencia  de</w:t>
        <w:br/>
        <w:t>la Corte IDH no ha sido de ninguna manera ajena  a  la  problemática  de  la</w:t>
        <w:br/>
        <w:t>violencia contra la mujer en la región; por el contrario, se ha  introducido</w:t>
        <w:br/>
        <w:t>a su estudio en diversas ocasiones, como producto de una  interpretación  de</w:t>
        <w:br/>
        <w:t>las disposiciones de la Convención Americana en relación con el  artículo  7</w:t>
        <w:br/>
        <w:t>de la “Convención de Belém do Pará”, estableciendo  valiosos  estándares  en</w:t>
        <w:br/>
        <w:t>cuanto a los deberes estatales frente a casos de  violencia  de  género,  en</w:t>
        <w:br/>
        <w:t>especial —y con motivo de la materia objeto  del  presente  voto—  sobre  el</w:t>
        <w:br/>
        <w:t>“deber de prevención” a que nos referiremos a continuación.</w:t>
        <w:br/>
        <w:br/>
        <w:br/>
        <w:t xml:space="preserve">  II. El “deber de prevención” y sus “dos momentos” en los casos González y</w:t>
        <w:br/>
        <w:t xml:space="preserve">  otras (“Campo Algodonero”) Vs. México (2009), y Veliz Franco y otros vs.</w:t>
        <w:br/>
        <w:t xml:space="preserve">                              Guatemala (2014)</w:t>
        <w:br/>
        <w:br/>
        <w:t>17.   La Corte IDH ha establecido en dos de sus sobresalientes  casos  sobre</w:t>
        <w:br/>
        <w:t>violencia de género[404], estándares valiosos en cuanto al  cumplimiento  de</w:t>
        <w:br/>
        <w:t>los deberes estatales de respeto y garantía de los derechos  humanos  frente</w:t>
        <w:br/>
        <w:t>a la lucha contra la violencia contra la mujer; particularmente,  dentro  de</w:t>
        <w:br/>
        <w:t>su análisis del deber de garantía de derechos tales como  el  derecho  a  la</w:t>
        <w:br/>
        <w:t>vida, a la integridad y a la libertad personal,  ha  estudiado  a  fondo  el</w:t>
        <w:br/>
        <w:t>deber de prevención estatal[405], destacando en dicho  estudio  el  estándar</w:t>
        <w:br/>
        <w:t>de los “dos  momentos”  en  el  deber  de  prevensión  para  efectos  de  la</w:t>
        <w:br/>
        <w:t>determinación de la responsabilidad internacional de los estados.</w:t>
        <w:br/>
        <w:br/>
        <w:br/>
        <w:br/>
        <w:t>18.   Dicho estándar  ha  permitido  estudiar  minuciosamente  el  deber  de</w:t>
        <w:br/>
        <w:t>prevención -—y en su caso determinar la  responsabilidad  internacional—  en</w:t>
        <w:br/>
        <w:t>casos donde los hechos se acotan a la desaparición  y  posterior  muerte  de</w:t>
        <w:br/>
        <w:t>las víctimas, tal como se desprende de los casos previos al que  origina  el</w:t>
        <w:br/>
        <w:t>presente voto: González y otras (“Campo Algodonero”) Vs.  México  (2009),  y</w:t>
        <w:br/>
        <w:t>Veliz Franco y otros vs. Guatemala (2014).</w:t>
        <w:br/>
        <w:br/>
        <w:br/>
        <w:br/>
        <w:t>19.   En cuanto al deber de prevención, en el caso González y otras  (“Campo</w:t>
        <w:br/>
        <w:t>Algodonero”) Vs. México[406], la Corte IDH ha establecido  que  los  Estados</w:t>
        <w:br/>
        <w:t>“deben adoptar medidas integrales para cumplir con la debida  diligencia  en</w:t>
        <w:br/>
        <w:t>casos de violencia contra las mujeres”; particularmente en  lo  referente  a</w:t>
        <w:br/>
        <w:t>“un adecuado marco jurídico de protección, con una aplicación  efectiva  del</w:t>
        <w:br/>
        <w:t>mismo y con políticas de prevención y prácticas que permitan actuar  de  una</w:t>
        <w:br/>
        <w:t>manera  eficaz  ante  las  denuncias”[407].  Asimismo,  en  cuanto   a   las</w:t>
        <w:br/>
        <w:t>características de la estrategia de prevención ha señalado  que  esta  “debe</w:t>
        <w:br/>
        <w:t>ser integral, es decir, debe prevenir los factores de  riesgo  y  a  la  vez</w:t>
        <w:br/>
        <w:t>fortalecer las instituciones para  que  puedan  proporcionar  una  respuesta</w:t>
        <w:br/>
        <w:t>efectiva a los casos de violencia contra la mujer”, subrayando el  deber  de</w:t>
        <w:br/>
        <w:t>los Estados de “adoptar medidas preventivas en casos específicos en los  que</w:t>
        <w:br/>
        <w:t>es evidente  que  determinadas  mujeres  y  niñas  pueden  ser  víctimas  de</w:t>
        <w:br/>
        <w:t>violencia”[408].</w:t>
        <w:br/>
        <w:br/>
        <w:t>20.   En dicho caso, la Corte IDH estableció por primera  vez  que  existían</w:t>
        <w:br/>
        <w:t>“dos momentos” claves  en  los  cuales  debía  ser  analizado  el  deber  de</w:t>
        <w:br/>
        <w:t>prevención respecto de la desaparición y muerte de las  víctimas,  señalando</w:t>
        <w:br/>
        <w:t>como primero el momento “antes de la desaparición de las víctimas”,  y  como</w:t>
        <w:br/>
        <w:t>el segundo, el  momento  “antes  de  la  localización  de  sus  cuerpos  sin</w:t>
        <w:br/>
        <w:t>vida”[409].</w:t>
        <w:br/>
        <w:br/>
        <w:t>21.   En ese sentido, en el  estudio  del  “primer  momento”  (antes  de  la</w:t>
        <w:br/>
        <w:t>desaparición de las víctimas), el Tribunal Interamericano consideró que  “la</w:t>
        <w:br/>
        <w:t>falta  de  prevención  de  la  desaparición  no  conlleva[ba]  per   se   la</w:t>
        <w:br/>
        <w:t>responsabilidad internacional del Estado” ya que a pesar de  que  el  Estado</w:t>
        <w:br/>
        <w:t>era consciente del riesgo para las mujeres particularmente en Ciudad  Juárez</w:t>
        <w:br/>
        <w:t>—dado que fue acreditado un contexto  de  violencia  contra  la  mujer—,  no</w:t>
        <w:br/>
        <w:t>tenía un conocimiento de un riesgo real e inmediato para  las  víctimas  del</w:t>
        <w:br/>
        <w:t>caso; aduciendo, además,  que  aunque  el  contexto  en  dicho  caso  y  sus</w:t>
        <w:br/>
        <w:t>obligaciones  internacionales  imponían  al   Estado   una   responsabilidad</w:t>
        <w:br/>
        <w:t>reforzada con respecto a la protección  de  mujeres  en  Ciudad  Juárez,  no</w:t>
        <w:br/>
        <w:t>significaba  la  imposición  de  una  responsabilidad  ilimitada  frente   a</w:t>
        <w:br/>
        <w:t>cualquier hecho ilícito en contra de ellas,  señalando  que  ante  ello,  la</w:t>
        <w:br/>
        <w:t>Corte IDH “no p[odía] sino hacer presente que la ausencia  de  una  política</w:t>
        <w:br/>
        <w:t>general” ante el patrón de violencia contra la mujer, había sido “una  falta</w:t>
        <w:br/>
        <w:t>[…] en el incumplimiento general de su obligación de prevención”[410].</w:t>
        <w:br/>
        <w:br/>
        <w:t>22.   Por otro lado, en el “segundo momento”  (antes  del  hallazgo  de  los</w:t>
        <w:br/>
        <w:t>cuerpos),  la  Corte  IDH  se  decantó  por   un   estudio   más   profundo,</w:t>
        <w:br/>
        <w:t>estableciendo que ante el conocimiento del Estado de la  existencia  de  “un</w:t>
        <w:br/>
        <w:t>riesgo real inmediato de que  las  víctimas  fueran  agredidas  sexualmente,</w:t>
        <w:br/>
        <w:t>sometidas a vejámenes y asesinadas” surgía un “deber  de  debida  diligencia</w:t>
        <w:br/>
        <w:t>estricta frente a denuncias de  desaparición  de  mujeres”  que  exigía  “la</w:t>
        <w:br/>
        <w:t>realización exhaustiva de actividades de búsqueda” [411].</w:t>
        <w:br/>
        <w:br/>
        <w:t>23.   Al respecto, la Corte IDH determinó que debido a la  falta  de  debida</w:t>
        <w:br/>
        <w:t>diligencia del Estado para prevenir las muertes de  las  víctimas  en  dicho</w:t>
        <w:br/>
        <w:t>momento, así como la falta de adopción por parte  del  Estado  de  normas  o</w:t>
        <w:br/>
        <w:t>medidas necesarias que “permitieran a las autoridades ofrecer una  respuesta</w:t>
        <w:br/>
        <w:t>inmediata y eficaz antes las  denuncias  de  desaparición”[412];  se  habían</w:t>
        <w:br/>
        <w:t>violentado los derechos a la vida, integridad personal y libertad  personal,</w:t>
        <w:br/>
        <w:t>en relación  con  la  obligación  general  de  garantía  contemplada  en  el</w:t>
        <w:br/>
        <w:t>artículo 1.1 de la CADH y la obligación de adoptar disposiciones de  derecho</w:t>
        <w:br/>
        <w:t>interno contenida en el artículo 2 de la misma, así como los  artículos  7.b</w:t>
        <w:br/>
        <w:t>y  7.c  de  la  “Convención  de  Belém  do  Pará”,  en  perjuicio   de   las</w:t>
        <w:br/>
        <w:t>víctimas[413].</w:t>
        <w:br/>
        <w:br/>
        <w:t>24.   Posteriormente, en el caso Veliz Franco y otros Vs. Guatemala[414]  la</w:t>
        <w:br/>
        <w:t>Corte IDH también analizó las obligaciones de garantía, estudiando el  deber</w:t>
        <w:br/>
        <w:t>de prevención como una manifestación  de  dichas  obligaciones  que  “abarca</w:t>
        <w:br/>
        <w:t>todas aquellas medidas de  carácter  jurídico,  político,  administrativo  y</w:t>
        <w:br/>
        <w:t>cultural que  promuevan  la  salvaguarda  de  los  derechos  humanos  y  que</w:t>
        <w:br/>
        <w:t>aseguren que las eventuales violaciones  a  los  mismos  sean  efectivamente</w:t>
        <w:br/>
        <w:t>consideradas y tratadas como  un  hecho  ilícito  […]”[415];  refrendado  lo</w:t>
        <w:br/>
        <w:t>dicho en el caso González y otras (“Campo Algodonero”)  Vs.  México[416]  en</w:t>
        <w:br/>
        <w:t>torno a las características de la estrategia del deber de prevención.</w:t>
        <w:br/>
        <w:br/>
        <w:t>25.   Asimismo, en uso del estándar  de  los  “dos  momentos”  utilizado  en</w:t>
        <w:br/>
        <w:t>González  y  otras  (“Campo  Algodonero”)  Vs.  México[417],  la  Corte  IDH</w:t>
        <w:br/>
        <w:t>determinó en el “primer momento” —tal y como ya lo había hecho  en  el  caso</w:t>
        <w:br/>
        <w:t>referido— que la falta de prevención de  la  desaparición  “no  conlleva[ba]</w:t>
        <w:br/>
        <w:t>per se la responsabilidad internacional del  Estado”  en  virtud  de  que  a</w:t>
        <w:br/>
        <w:t>pesar de su conocimiento del incremento de actos violentos contra mujeres  y</w:t>
        <w:br/>
        <w:t>niñas, no contaba con un conocimiento de un riesgo real e inmediato para  la</w:t>
        <w:br/>
        <w:t>víctima de este caso, y por  otro  lado  —a  diferencia  de  su  antecedente</w:t>
        <w:br/>
        <w:t>jurisprudencial— reconoció acciones estatales (tomadas  con  anterioridad  a</w:t>
        <w:br/>
        <w:t>la fecha de los hechos) vinculadas a la problemática de la violencia  contra</w:t>
        <w:br/>
        <w:t>mujeres[418], dando por concluido el análisis de dicho momento.</w:t>
        <w:br/>
        <w:br/>
        <w:t>26.   En cuanto al “segundo momento” (tiempo transcurrido entre la  denuncia</w:t>
        <w:br/>
        <w:t>y el hallazgo del cuerpo) la Corte IDH  buscó  dilucidar  la  existencia  de</w:t>
        <w:br/>
        <w:t>responsabilidad internacional estatal evaluando  en  primer  lugar,  si  “el</w:t>
        <w:br/>
        <w:t>Estado [había] [tenido] oportunamente, o deb[ía] tener, conocimiento  de  la</w:t>
        <w:br/>
        <w:t>situación de riesgo real e inmediato en que se encontraba [la víctima]”;  en</w:t>
        <w:br/>
        <w:t>segundo lugar, “si en su caso, [había] [tenido] posibilidades razonables  de</w:t>
        <w:br/>
        <w:t>prevenir  o  evitar  la  consumación”,  y  en  tercer  lugar,  “si   [había]</w:t>
        <w:br/>
        <w:t>concret[ado] la diligencia debida con medidas  o  acciones  para  evitar  la</w:t>
        <w:br/>
        <w:t>lesión de los derechos de la niña nombrada”[419].</w:t>
        <w:br/>
        <w:br/>
        <w:t>27.   Para ello, el  Estado  dividió  el  análisis  en  dos  vertientes,  la</w:t>
        <w:br/>
        <w:t>primera de ellas, en cuanto a la “[e]xistencia de una  situación  de  riesgo</w:t>
        <w:br/>
        <w:t>en  perjuicio  [de  la  víctima]”[420]  y  la  segunda,  en  torno   a   las</w:t>
        <w:br/>
        <w:t>“[p]osibilidades de una actuación estatal diligente para prevenir el  riesgo</w:t>
        <w:br/>
        <w:t>y su concreción”[421].  Respecto  de  la  primer  vertiente,  la  Corte  IDH</w:t>
        <w:br/>
        <w:t>determinó que a partir de  la  denuncia  formalizada  por  la  madre  de  la</w:t>
        <w:br/>
        <w:t>víctima, el Estado había estado en conocimiento de la  situación  de  riesgo</w:t>
        <w:br/>
        <w:t>en que  se  encontraba  la  víctima,  dado  el  contexto  que  se  vivía  en</w:t>
        <w:br/>
        <w:t>Guatemala[422], y en torno a la segunda vertiente, que pese al  conocimiento</w:t>
        <w:br/>
        <w:t>de la denuncia,  el  Estado  no  había  seguido  ninguna  acción  sustantiva</w:t>
        <w:br/>
        <w:t>tendiente a investigar lo sucedido  o  evitar  eventuales  vulneraciones  de</w:t>
        <w:br/>
        <w:t>derechos de la víctima[423].</w:t>
        <w:br/>
        <w:br/>
        <w:t>28.   En ese sentido, la Corte IDH concluyó que  Guatemala  había  incurrido</w:t>
        <w:br/>
        <w:t>en responsabilidad estatal debido al incumplimiento del  deber  de  garantía</w:t>
        <w:br/>
        <w:t>de los  derechos  a  la  vida  e  integridad  personal  reconocidos  en  los</w:t>
        <w:br/>
        <w:t>artículos 4.1 y 5.1 de la Convención Americana, en relación con el  artículo</w:t>
        <w:br/>
        <w:t>19  (derechos  del  niño)  y  1.1  del  mismo  instrumento,  así   como   el</w:t>
        <w:br/>
        <w:t>incumplimiento  de  las  obligaciones  derivadas  del  artículo  7.b  de  la</w:t>
        <w:br/>
        <w:t>“Convención de Belém do Pará”[424].</w:t>
        <w:br/>
        <w:br/>
        <w:t>29.   Como puede apreciarse de los dos casos analizados, la Corte IDH se  ha</w:t>
        <w:br/>
        <w:t>decantado en su jurisprudencia por fincar la  responsabilidad  estatal  como</w:t>
        <w:br/>
        <w:t>resultado del análisis del “segundo momento” del deber prevención, en  donde</w:t>
        <w:br/>
        <w:t>analiza el conocimiento de la situación de riesgo, así como las  acciones  y</w:t>
        <w:br/>
        <w:t>medidas tomadas en virtud de su actuar diligente respecto al caso  concreto.</w:t>
        <w:br/>
        <w:br/>
        <w:br/>
        <w:t>30.   No obstante, se observa que en el análisis del “primer momento” —y  en</w:t>
        <w:br/>
        <w:t>torno al cual pretendo hacer énfasis en el  presente  voto—  ha  optado  por</w:t>
        <w:br/>
        <w:t>enunciar que a pesar de los contextos  de  violencia  contra  la  mujer,  la</w:t>
        <w:br/>
        <w:t>falta de prevención no conlleva per se la responsabilidad internacional  del</w:t>
        <w:br/>
        <w:t>Estado, en virtud de la falta de conocimiento por parte  del  Estado  de  un</w:t>
        <w:br/>
        <w:t>riesgo real e inmediato de las víctimas antes de su desaparición,  así  como</w:t>
        <w:br/>
        <w:t>la imposibilidad de que el  Estado  pudiera  responder  ilimitadamente  ante</w:t>
        <w:br/>
        <w:t>cualquier hecho ilícito en contra de las víctimas[425].</w:t>
        <w:br/>
        <w:br/>
        <w:t>31.   Con independencia de lo anterior, la Corte IDH  también  ha  concluido</w:t>
        <w:br/>
        <w:t>en el análisis de dicho “primer  momento”  —en  el  caso  González  y  otras</w:t>
        <w:br/>
        <w:t>(“Campo Algodonero”) Vs. México— que la ausencia  de  una  política  general</w:t>
        <w:br/>
        <w:t>ante el patrón de violencia contra la  mujer  constituye  una  falta  en  el</w:t>
        <w:br/>
        <w:t>deber general de la obligación de prevención[426];  y,  por  otro  lado,  ha</w:t>
        <w:br/>
        <w:t>reconocido en el caso Veliz Franco  y  otros  Vs.  Guatemala,  las  acciones</w:t>
        <w:br/>
        <w:t>tomadas con anterioridad por el Estado  vinculadas  a  la  problemática  del</w:t>
        <w:br/>
        <w:t>contexto[427]. Estimo que  estas  consideraciones  deben  especialmente  ser</w:t>
        <w:br/>
        <w:t>tenidas en cuenta en el análisis y conclusiones del  caso  sub  judice  (que</w:t>
        <w:br/>
        <w:t>motiva el presente voto razonado), dentro del estudio del  “primer  momento”</w:t>
        <w:br/>
        <w:t>del deber de prevención del Estado, como se verá en el apartado siguiente.</w:t>
        <w:br/>
        <w:br/>
        <w:br/>
        <w:t xml:space="preserve">     III. El “deber de prevención” en el caso Velásquez Paiz y otros vs.</w:t>
        <w:br/>
        <w:t xml:space="preserve">                              Guatemala (2015)</w:t>
        <w:br/>
        <w:br/>
        <w:t>32.   Los hechos del caso se relacionan con  la  desaparición,  violencia  y</w:t>
        <w:br/>
        <w:t>muerte de Claudina Velásquez Paiz en el año  2005,  así  como  la  falta  de</w:t>
        <w:br/>
        <w:t>actuar diligente por parte del Estado y las inconsistencias en la  posterior</w:t>
        <w:br/>
        <w:t>investigación  de  los  hechos,  situación  que  se  circunscribió   en   un</w:t>
        <w:br/>
        <w:t>“contexto” de incremento de la violencia contra la  mujer[428]  ya  conocido</w:t>
        <w:br/>
        <w:t>por el Estado y la propia Corte IDH en el caso  Veliz  Franco  y  otros  Vs.</w:t>
        <w:br/>
        <w:t>Guatemala resuelto en 2014.</w:t>
        <w:br/>
        <w:br/>
        <w:t>33.   En una perspectiva general, cabe mencionar que tal y como  se  observa</w:t>
        <w:br/>
        <w:t>a lo largo de toda la Sentencia, debido a que los hechos del  caso  concreto</w:t>
        <w:br/>
        <w:t>guardan una relación de tipo secuencial con los  hechos  en  el  caso  Veliz</w:t>
        <w:br/>
        <w:t>Franco y otros vs. Guatemala, las consideraciones realizadas  por  la  Corte</w:t>
        <w:br/>
        <w:t>IDH en aquel caso fueron citadas constantemente en  la  presente  Sentencia,</w:t>
        <w:br/>
        <w:t>especialmente en cuanto al establecimiento de un  “contexto”  de  incremento</w:t>
        <w:br/>
        <w:t>de violencia contra la mujer.</w:t>
        <w:br/>
        <w:br/>
        <w:t>34.   Estimo que dicho “contexto” adquiere una importancia fundamental  para</w:t>
        <w:br/>
        <w:t>el  análisis  del  deber  de  prevención  del  Estado,  particularmente   al</w:t>
        <w:br/>
        <w:t>analizarse el “primer momento”; es decir, el deber general para prevenir  el</w:t>
        <w:br/>
        <w:t>homicidio  y  desapariciones  de  mujeres.  Es  por   ello   que   considero</w:t>
        <w:br/>
        <w:t>indispensable destacar la importancia  del  contexto  del  presente  caso  a</w:t>
        <w:br/>
        <w:t>continuación, para posteriormente analizar con mayor detenimiento  el  deber</w:t>
        <w:br/>
        <w:t>de garantía estatal a través del deber de prevención, el cual  es  estudiado</w:t>
        <w:br/>
        <w:t>bajo el estándar de los “dos momentos” de dicho deber, ya utilizado  por  la</w:t>
        <w:br/>
        <w:t>Corte IDH en los dos casos de violencia contra la  mujer  destacados  en  el</w:t>
        <w:br/>
        <w:t>epígrafe anterior.</w:t>
        <w:br/>
        <w:br/>
        <w:t>III.1 El contexto de violencia contra la mujer en Guatemala</w:t>
        <w:br/>
        <w:br/>
        <w:t>35.   El contexto representa  una  herramienta  útil  y  necesaria  para  el</w:t>
        <w:br/>
        <w:t>entendimiento de los hechos particulares del caso y la determinación  de  la</w:t>
        <w:br/>
        <w:t>responsabilidad del Estado. Cabe mencionar, que en  el  establecimiento  del</w:t>
        <w:br/>
        <w:t>contexto del presente caso, diversos aspectos del  contexto  determinado  en</w:t>
        <w:br/>
        <w:t>el caso Veliz Franco y otros vs. Guatemala fueron retomados  como  resultado</w:t>
        <w:br/>
        <w:t>de la relación secuencial entre ambos casos[429].  En  ese  sentido,  en  la</w:t>
        <w:br/>
        <w:t>Sentencia se trajo a colación el  contexto  en  el  que  se  enmarcaran  los</w:t>
        <w:br/>
        <w:t>hechos del caso Veliz Franco y otros donde  se  señalaba  que  a  partir  de</w:t>
        <w:br/>
        <w:t>diciembre de 2001 había surgido la existencia de un “contexto de aumento  de</w:t>
        <w:br/>
        <w:t>la violencia homicida contra las  mujeres  en  Guatemala”  conocido  por  el</w:t>
        <w:br/>
        <w:t>Estado[430]; así como cifras de homicidios de mujeres  en  años  posteriores</w:t>
        <w:br/>
        <w:t>que llegaban hasta 2004[431], datos que se  complementaron  con  las  cifras</w:t>
        <w:br/>
        <w:t>ofrecidas como prueba en el  presente  caso  donde  se  mostraban  cifras  a</w:t>
        <w:br/>
        <w:t>partir de 2005 hasta 2015 que  eran  consistentes  con  el  aumento  en  los</w:t>
        <w:br/>
        <w:t>homicidios de mujeres[432].</w:t>
        <w:br/>
        <w:br/>
        <w:t>36.   Lo anterior, permitió observar a la Corte IDH la situación  contextual</w:t>
        <w:br/>
        <w:t>en Guatemala —bajo la cual se enmarcaron  los  hechos—  en  Veliz  Franco  y</w:t>
        <w:br/>
        <w:t>otros,  para  compararla  con  el  contexto  del  caso  que  tenía  bajo  su</w:t>
        <w:br/>
        <w:t>conocimiento; donde el aumento de  violencia  homicida  contra  las  mujeres</w:t>
        <w:br/>
        <w:t>además de presentar un aumento sostenido entre  2004  y  2005  (año  de  los</w:t>
        <w:br/>
        <w:t>hechos del caso) se ha mantenido elevado hasta 2015,  dando  como  resultado</w:t>
        <w:br/>
        <w:t>el incremento de muertes violentas de mujeres  en  un  20%  más  que  la  de</w:t>
        <w:br/>
        <w:t>hombres entre 1995 y 2004[433]. Asimismo, la Corte IDH destacó aspectos  del</w:t>
        <w:br/>
        <w:t>contexto establecido en el anterior caso tales  como  el  “agravamiento  del</w:t>
        <w:br/>
        <w:t>grado de violencia contra las mujeres y  el  ensañamiento  ejercidos  contra</w:t>
        <w:br/>
        <w:t>los cuerpos de las mujeres”[434]; el “alto índice de impunidad  general  […]</w:t>
        <w:br/>
        <w:t>relativo a diversos tipos de delitos” en los cuales se enmarcan los  delitos</w:t>
        <w:br/>
        <w:t>contra  mujeres[435],   así   como   tendencias   de   las   autoridades   e</w:t>
        <w:br/>
        <w:t>investigadores a desacreditar y culpabilizar a las víctimas  por  su  estilo</w:t>
        <w:br/>
        <w:t>de vida o tipo de vestimenta[436].</w:t>
        <w:br/>
        <w:br/>
        <w:t>37.   Ante ese panorama, es adecuado considerar  que  al  menos  desde  2001</w:t>
        <w:br/>
        <w:t>(como fue precisado en la sentencia del  caso  Veliz  Franco  y  otros),  el</w:t>
        <w:br/>
        <w:t>Estado tenía conocimiento de un contexto de incremento de  violencia  contra</w:t>
        <w:br/>
        <w:t>la mujer —incluido el  fenómeno  del  “feminicidio”—;  situación  que  debió</w:t>
        <w:br/>
        <w:t>traer consigo la actuación estatal en cuanto a  la  adopción  de  medidas  o</w:t>
        <w:br/>
        <w:t>creación de mecanismos que incidieran en el combate de dicho contexto,  ello</w:t>
        <w:br/>
        <w:t>con independencia de las medidas adoptadas con anterioridad a 2001[437].</w:t>
        <w:br/>
        <w:br/>
        <w:t>38.   Frente a ello, el conocimiento por parte del Estado  guatemalteco  del</w:t>
        <w:br/>
        <w:t>contexto de aumento de violencia contra la mujer que se remonta al  menos  a</w:t>
        <w:br/>
        <w:t>2001, evidenciado en el caso  Veliz  Franco  y  otros  vs.  Guatemala,  hace</w:t>
        <w:br/>
        <w:t>suponer que dicho Estado tenía o debía tener conocimiento del  fenómeno  del</w:t>
        <w:br/>
        <w:t>feminicidio durante los hechos ocurridos años después en el  presente  caso,</w:t>
        <w:br/>
        <w:t>en 2005.</w:t>
        <w:br/>
        <w:br/>
        <w:t>39.   Bajo esa premisa, considero que el contexto ya conocido por el  Estado</w:t>
        <w:br/>
        <w:t>en torno a la problemática de  la  violencia  de  género  en  Guatemala,  es</w:t>
        <w:br/>
        <w:t>indispensable para el entendimiento del estudio  del  “primer  momento”  del</w:t>
        <w:br/>
        <w:t>deber de prevención,  también  referido  en  la  Sentencia  como  el  “deber</w:t>
        <w:br/>
        <w:t>general de prevenir  el  homicidio  y  las  desapariciones  de  mujeres”  en</w:t>
        <w:br/>
        <w:t>Guatemala, tal como se observará en el siguiente apartado.</w:t>
        <w:br/>
        <w:br/>
        <w:br/>
        <w:t>III.2 Los “dos momentos” del deber de prevención</w:t>
        <w:br/>
        <w:br/>
        <w:t>40.    A  fin  de  establecer  un  incumplimiento  del  deber  de   prevenir</w:t>
        <w:br/>
        <w:t>violaciones a los derechos a la vida e integridad  personal,  la  Corte  IDH</w:t>
        <w:br/>
        <w:t>trajo a colación el Caso de la Masacre de Pueblo Bello  Vs.  Colombia,  para</w:t>
        <w:br/>
        <w:t>referirse a los factores que deben verificarse en cuanto a las  obligaciones</w:t>
        <w:br/>
        <w:t>de  prevención,  enumerando  el  conocimiento  estatal  de  un  riesgo  real</w:t>
        <w:br/>
        <w:t>inmediato para tales derechos y la adopción de  medidas  por  parte  de  las</w:t>
        <w:br/>
        <w:t>autoridades para prevenir  o  evitar  ese  riesgo[438].  Posteriormente,  el</w:t>
        <w:br/>
        <w:t>Tribunal Interamericano replicó en la Sentencia  el  estándar  de  los  “dos</w:t>
        <w:br/>
        <w:t>momentos” del deber de prevención, indicando su estudio respecto al  “primer</w:t>
        <w:br/>
        <w:t>momento” (antes de la desaparición de Claudina Velásquez: deber  general  de</w:t>
        <w:br/>
        <w:t>prevenir el homicidio y  las  desapariciones  de  mujeres),  y  al  “segundo</w:t>
        <w:br/>
        <w:t>momento” (antes de la localización del cuerpo de Claudina  Velásquez:  deber</w:t>
        <w:br/>
        <w:t>específico de prevenir violaciones a los derechos a la integridad y vida  de</w:t>
        <w:br/>
        <w:t>Claudina Velásquez”),  para  corroborar  la  existencia  de  responsabilidad</w:t>
        <w:br/>
        <w:t>internacional por parte de Guatemala[439].</w:t>
        <w:br/>
        <w:br/>
        <w:t>41.   En cuanto al “primer momento” —antes de la  desaparición  de  Claudina</w:t>
        <w:br/>
        <w:t>Velásquez—, considero pertinente destacar el análisis de  la  Corte  IDH  en</w:t>
        <w:br/>
        <w:t>cuanto a la existencia para 2001 de un contexto de aumento de  la  violencia</w:t>
        <w:br/>
        <w:t>homicida contra  las  mujeres  en  Guatemala[440],  así  como  su  posterior</w:t>
        <w:br/>
        <w:t>señalización de las medidas tomadas  por  el  Estado  desde  el  caso  Veliz</w:t>
        <w:br/>
        <w:t>Franco y otros Vs. Guatemala, y las medidas y mecanismos  implementados  por</w:t>
        <w:br/>
        <w:t>el  Estado  antes  y  después  de  los  hechos  del  caso  estudiado  en  la</w:t>
        <w:br/>
        <w:t>Sentencia[441];  y  su  confrontación   con   informes   de   organismos   u</w:t>
        <w:br/>
        <w:t>organizaciones internacionales y nacionales que  criticaban  la  efectividad</w:t>
        <w:br/>
        <w:t>de tales medidas e instituciones[442], reconociendo  la  iniciativa  estatal</w:t>
        <w:br/>
        <w:t>de implementación de “acciones dirigidas a abordar  la  problemática  de  la</w:t>
        <w:br/>
        <w:t>violencia contra las mujeres” pero evidenciando la  insuficiencia  de  tales</w:t>
        <w:br/>
        <w:t>medidas[443]. Al respecto, debo destacar que el análisis  de  dicho  “primer</w:t>
        <w:br/>
        <w:t>momento” no concluye con pronunciamiento alguno por parte de la  Corte  IDH,</w:t>
        <w:br/>
        <w:t>lo que estimo debió ocurrir por su importancia  y  especiales  consecuencias</w:t>
        <w:br/>
        <w:t>en el momento posterior (“segundo momento”).</w:t>
        <w:br/>
        <w:br/>
        <w:t>42.   En el estudio del “segundo momento”  —antes  de  la  localización  del</w:t>
        <w:br/>
        <w:t>cuerpo de Claudina Velásquez— la Corte IDH analizó, por un lado, el  momento</w:t>
        <w:br/>
        <w:t>en “que las autoridades  estatales  sabían  o  debían  haber  sabido  de  la</w:t>
        <w:br/>
        <w:t>existencia de un riesgo real e  inmediato  para  la  vida  e  integridad  de</w:t>
        <w:br/>
        <w:t>Claudina  Velásquez”  determinando  el  momento  de  la  recepción  por  las</w:t>
        <w:br/>
        <w:t>autoridades de la llamada de los padres de  la  víctima[444];  y,  por  otro</w:t>
        <w:br/>
        <w:t>lado, “las acciones tomadas por  las  autoridades  guatemaltecas  frente  al</w:t>
        <w:br/>
        <w:t>contexto conocido y la  naturaleza  del  riesgo  denunciado,  [así  como  si</w:t>
        <w:br/>
        <w:t>aquéllas habían adoptado] oportunamente las medidas  necesarias  dentro  del</w:t>
        <w:br/>
        <w:t>ámbito de sus atribuciones” para prevenir o evitar ese riesgo[445].</w:t>
        <w:br/>
        <w:br/>
        <w:t>43.   Al respecto, y después de un análisis de los hechos  ya  descritos  en</w:t>
        <w:br/>
        <w:t>la Sentencia, determinó que la  respuesta  de  las  autoridades  había  sido</w:t>
        <w:br/>
        <w:t>“claramente insuficiente  frente  a  la  posibilidad  de  que  peligraba  la</w:t>
        <w:br/>
        <w:t>integridad personal y vida”  de  la  víctima[446],  así  como  la  falta  de</w:t>
        <w:br/>
        <w:t>claridad  en  la  normativa  sobre  el  momento  apto  para  interponer  una</w:t>
        <w:br/>
        <w:t>denuncia[447]; considerando que  el  actuar  de  las  autoridades  no  había</w:t>
        <w:br/>
        <w:t>involucrado la adopción de medidas necesarias  para  prevenir  o  evitar  el</w:t>
        <w:br/>
        <w:t>riesgo denunciado por las  víctimas[448].  En  consecuencia,  la  Corte  IDH</w:t>
        <w:br/>
        <w:t>consideró violado los artículos 2 de la  Convención  Americana  y  7  de  la</w:t>
        <w:br/>
        <w:t>“Convención  de  Belém  do  Pará”  en  virtud  de  la  falta  de  capacidad,</w:t>
        <w:br/>
        <w:t>sensibilidad, voluntad y entrenamiento para responder  a  las  denuncias  de</w:t>
        <w:br/>
        <w:t>desapariciones en el contexto guatemalteco, así como la falta  de  actuación</w:t>
        <w:br/>
        <w:t>inmediata y eficaz[449]. Asimismo, también se declaró violado el artículo  7</w:t>
        <w:br/>
        <w:t>de la “Convención Belém do Pará” como resultado de la falta de garantía  del</w:t>
        <w:br/>
        <w:t>libre y pleno ejercicio de  los  derechos  a  la  vida  y  a  la  integridad</w:t>
        <w:br/>
        <w:t>personal[450].</w:t>
        <w:br/>
        <w:br/>
        <w:t>44.   De lo anterior se observa, a primera vista, que a partir de  la  falta</w:t>
        <w:br/>
        <w:t>de pronunciamiento de la Corte IDH al concluir  su  análisis  del  deber  de</w:t>
        <w:br/>
        <w:t>prevención general, es decir, en el “primer momento” de dicho  deber  (antes</w:t>
        <w:br/>
        <w:t>de  la  desaparición   de   Claudina   Velásquez),   la   configuración   de</w:t>
        <w:br/>
        <w:t>responsabilidad estatal  recae  en  el  análisis  del  deber  específico  de</w:t>
        <w:br/>
        <w:t>prevención, fincándose la responsabilidad internacional  de  Guatemala  como</w:t>
        <w:br/>
        <w:t>resultado del análisis del “segundo momento” —antes del hallazgo del  cuerpo</w:t>
        <w:br/>
        <w:t>sin vida de Claudina Velázquez— como resultado de la falta de  adopción  por</w:t>
        <w:br/>
        <w:t>parte  de  las  autoridades  de  medidas  enfocadas  a  prevenir  el  riesgo</w:t>
        <w:br/>
        <w:t>denunciado por los padres de la víctima.</w:t>
        <w:br/>
        <w:br/>
        <w:t>45.   Considero que lo anterior tiene repercusiones adversas en el  análisis</w:t>
        <w:br/>
        <w:t>del deber de prevención como un todo, y posteriormente, en la  determinación</w:t>
        <w:br/>
        <w:t>de responsabilidad internacional, ya que la falta de adopción de  medidas  y</w:t>
        <w:br/>
        <w:t>actuación diligente por parte de las autoridades —en  el  “segundo  momento”</w:t>
        <w:br/>
        <w:t>del deber de prevención estatal que en el caso concreto tenía como  objetivo</w:t>
        <w:br/>
        <w:t>prevenir el riesgo y  evitar  la  concreción  de  las  lesiones  sufridas  a</w:t>
        <w:br/>
        <w:t>Claudina Velásquez—, fue resultado de la falta de claridad en  la  normativa</w:t>
        <w:br/>
        <w:t>que debió definir su actuar ante la denuncia  de  desaparición  de  víctima;</w:t>
        <w:br/>
        <w:t>que  fue  consecuencia  de  la  adopción  de  medidas  “insuficientes   para</w:t>
        <w:br/>
        <w:t>solucionar  el  problema”  de   la   violencia   contra   las   mujeres   en</w:t>
        <w:br/>
        <w:t>Guatemala[451],  incumplimiento  evidentemente  inserto  en  el   deber   de</w:t>
        <w:br/>
        <w:t>prevención general del  Estado  relativo  al  “primer  momento”,  es  decir,</w:t>
        <w:br/>
        <w:t>relacionado  con  el  deber  general  de  prevenir  el   homicidio   y   las</w:t>
        <w:br/>
        <w:t>desapariciiones de mujeres.</w:t>
        <w:br/>
        <w:br/>
        <w:t>46.   En ese sentido, estimo que dicha configuración de  responsabilidad  es</w:t>
        <w:br/>
        <w:t>resultado de una responsabilidad estatal que se da en el   “primer  momento”</w:t>
        <w:br/>
        <w:t>del deber de prevención, toda  vez  que  ante  el  contexto  de  aumento  de</w:t>
        <w:br/>
        <w:t>violencia  homicida  contra  las  mujeres  en  Guatemala  conocido  por   el</w:t>
        <w:br/>
        <w:t>Estado[452], y a pesar de todas las medidas adoptadas por el Estado  por  lo</w:t>
        <w:br/>
        <w:t>menos desde  2001  en  torno  a  la  problemática[453],  ninguna  tuvo  como</w:t>
        <w:br/>
        <w:t>objetivo lograr la efectividad de establecer un  mecanismo  o  práctica  que</w:t>
        <w:br/>
        <w:t>garantizara la búsqueda inmediata de mujeres  desaparecidas;  situación  que</w:t>
        <w:br/>
        <w:t>repercutió evidentemente en el “segundo momento”, cuando los  padres  de  la</w:t>
        <w:br/>
        <w:t>víctima se enfrentaron a la inexistencia —que persiste hasta el día de  hoy—</w:t>
        <w:br/>
        <w:t>de un instrumento, mecanismo o práctica para la  búsqueda  inmediata  de  su</w:t>
        <w:br/>
        <w:t>hija.</w:t>
        <w:br/>
        <w:br/>
        <w:t>47.   Lo anterior encuentra lógica al observar  las  medidas  de  reparación</w:t>
        <w:br/>
        <w:t>ordenadas por la Corte IDH. En  efecto,  dentro  de  las  “garantías  de  no</w:t>
        <w:br/>
        <w:t>repetición” y bajo el rubro de “medidas para prevenir [la] violencia  contra</w:t>
        <w:br/>
        <w:t>la mujer: política estatal”[454] el  Tribunal  Interamericano  evidenció  la</w:t>
        <w:br/>
        <w:t>insuficiencia de las medidas implementadas por el Estado para  hacer  frente</w:t>
        <w:br/>
        <w:t>a la problemática[455], destacando que a  pesar  de  la  existencia  de  una</w:t>
        <w:br/>
        <w:t>“iniciativa de Ley de Búsqueda Inmediata de Mujeres Desaparecidas” —la  cual</w:t>
        <w:br/>
        <w:t>aborda la problemática de la falta de un mecanismo de búsqueda inmediata  de</w:t>
        <w:br/>
        <w:t>mujeres desaparecidas— no ha sido objeto de aprobación hasta  la  fecha  por</w:t>
        <w:br/>
        <w:t>el Congreso de Guatemala[456].</w:t>
        <w:br/>
        <w:br/>
        <w:t>48.   En ese sentido, la Corte IDH concluyó en la necesidad “de  regular  la</w:t>
        <w:br/>
        <w:t>búsqueda de mujeres desaparecidas en Guatemala”, y en  consecuencia,  ordenó</w:t>
        <w:br/>
        <w:t>a dicho  Estado  la  adopción  de  “una  estrategia,  sistema,  mecanismo  o</w:t>
        <w:br/>
        <w:t>programa nacional, a través de medidas legislativas o de  otro  carácter,  a</w:t>
        <w:br/>
        <w:t>efectos de lograr la búsqueda eficaz e inmediata de  mujeres  desaparecidas”</w:t>
        <w:br/>
        <w:t>de  modo  que  ante   denuncias   de   esa   naturaleza   “las   autoridades</w:t>
        <w:br/>
        <w:t>correspondientes las reciban  inmediatamente  y  sin  necesidad  de  ninguna</w:t>
        <w:br/>
        <w:t>formalidad y, al  mismo  tiempo,  que  inicien  las  acciones  que  permitan</w:t>
        <w:br/>
        <w:t>localizar y prevenir la violación de los derechos a  la  vida  e  integridad</w:t>
        <w:br/>
        <w:t>personal”[457].</w:t>
        <w:br/>
        <w:br/>
        <w:t>49.   Ante ese panorama, es evidente que frente  al  contexto  de  violencia</w:t>
        <w:br/>
        <w:t>contra la mujer que enfrenta Guatemala, dicho  Estado  debe  prever  normas,</w:t>
        <w:br/>
        <w:t>medidas o algún mecanismo, que con  independencia  de  su  existencia,  sean</w:t>
        <w:br/>
        <w:t>“efectivos” en la “práctica” —en términos del artículo 2  de  la  Convención</w:t>
        <w:br/>
        <w:t>Americana—, enfocados a prevenir las desapariciones de mujeres a  través  de</w:t>
        <w:br/>
        <w:t>una actuación  diligente  y  adecuada  por  parte  de  las  autoridades  que</w:t>
        <w:br/>
        <w:t>implique la búsqueda inmediata de las mismas y  prevenga  la  concreción  de</w:t>
        <w:br/>
        <w:t>vulneraciones a sus derechos humanos.</w:t>
        <w:br/>
        <w:br/>
        <w:br/>
        <w:t xml:space="preserve">                               IV.  CONCLUSIÓN</w:t>
        <w:br/>
        <w:br/>
        <w:t>50.   La cultura de  discriminación  y  violencia  contra  la  mujer  es  un</w:t>
        <w:br/>
        <w:t>fenómeno que persiste hasta nuestros  días,  nulificando  la  dignidad,  así</w:t>
        <w:br/>
        <w:t>como el goce y ejercicio de los derechos  humanos  de  las  mujeres  en  las</w:t>
        <w:br/>
        <w:t>Américas. Ante dicha situación, el deber “de prevención”  estatal  juega  un</w:t>
        <w:br/>
        <w:t>papel fundamental que estimo debe ser considerado con especial atención  por</w:t>
        <w:br/>
        <w:t>los estados.</w:t>
        <w:br/>
        <w:br/>
        <w:t>51.   Tal y como se destaca en la Sentencia, el deber de  prevención  es  un</w:t>
        <w:br/>
        <w:t>supuesto indispensable para  la  garantía  de  los  derechos  a  la  vida  e</w:t>
        <w:br/>
        <w:t>integridad personal[458], el cual consiste en  “todas  aquellas  medidas  de</w:t>
        <w:br/>
        <w:t>carácter jurídico, político, administrativo  y  cultural  que  promuevan  la</w:t>
        <w:br/>
        <w:t>salvaguarda de los derechos  humanos  y  que  aseguren  que  las  eventuales</w:t>
        <w:br/>
        <w:t>violaciones a los mismos sean efectivamente consideradas y tratadas como  un</w:t>
        <w:br/>
        <w:t>hecho ilícito que, como tal,  es  susceptible  de  acarrear  sanciones  para</w:t>
        <w:br/>
        <w:t>quien las cometa, así como la obligación de indemnizar a  las  víctimas  por</w:t>
        <w:br/>
        <w:t>sus consecuencias perjudiciales”[459].</w:t>
        <w:br/>
        <w:br/>
        <w:t>52.   Particularmente el artículo 7 de la  “Convención  de  Belém  do  Pará”</w:t>
        <w:br/>
        <w:t>instituye  deberes  estatales  para  prevenir,  sancionar  y  erradicar   la</w:t>
        <w:br/>
        <w:t>violencia  contra  la  mujer[460]  que  especifican   y   complementan   las</w:t>
        <w:br/>
        <w:t>obligaciones estatales respecto al cumplimiento de los derechos  consagrados</w:t>
        <w:br/>
        <w:t>en la Convención Americana, entre ellos los establecidos en los artículos  4</w:t>
        <w:br/>
        <w:t>y 5[461]; señalando la Corte IDH  que  los  Estados  deben  adoptar  medidas</w:t>
        <w:br/>
        <w:t>integrales para cumplir con la  debida  diligencia  en  casos  de  violencia</w:t>
        <w:br/>
        <w:t>contra la mujer[462]. En ese sentido, el deber de prevención  general  o  en</w:t>
        <w:br/>
        <w:t>su “primer momento”  de  análisis,  comprende  la  existencia  de  un  marco</w:t>
        <w:br/>
        <w:t>jurídico de protección de  aplicación  efectiva,  políticas  de  prevención,</w:t>
        <w:br/>
        <w:t>prácticas y estrategias de prevención; mientras que el deber  específico  de</w:t>
        <w:br/>
        <w:t>prevención o en su “segundo momento” de análisis, consiste  en  la  adopción</w:t>
        <w:br/>
        <w:t>de medidas preventivas en casos específicos, para evitar  la  concreción  de</w:t>
        <w:br/>
        <w:t>violaciones a los derechos humanos una vez que el Estado tiene  conocimiento</w:t>
        <w:br/>
        <w:t>del riesgo en que se encuentra una persona.</w:t>
        <w:br/>
        <w:br/>
        <w:t>53.   Partiendo de lo anterior, en cuanto  a  las  modalidades  “general”  y</w:t>
        <w:br/>
        <w:t>“especifica” del deber de prevención, o sus “dos momentos” de  análisis,  se</w:t>
        <w:br/>
        <w:t>observa que si bien la Corte IDH ha  establecido  dentro  del  análisis  del</w:t>
        <w:br/>
        <w:t>“primer momento”, que frente a un contexto  de  violencia  contra  la  mujer</w:t>
        <w:br/>
        <w:t>“las obligaciones internacionales le imponen al Estado  una  responsabilidad</w:t>
        <w:br/>
        <w:t>reforzada con respecto a la protección de mujeres […] que incluye  el  deber</w:t>
        <w:br/>
        <w:t>de prevención”, también ha señalado que ello no le impone  al  Estado  a  su</w:t>
        <w:br/>
        <w:t>vez una “responsabilidad ilimitada  frente  a  cualquier  hecho  ilícito  en</w:t>
        <w:br/>
        <w:t>contra de ellas”[463].</w:t>
        <w:br/>
        <w:br/>
        <w:t>54.   Si bien comparto dicha apreciación, también considero que en  realidad</w:t>
        <w:br/>
        <w:t>no representa la imposición de una responsabilidad ilimitada  al  Estado  el</w:t>
        <w:br/>
        <w:t>cumplimiento de su deber de  “contar  con  un  adecuado  marco  jurídico  de</w:t>
        <w:br/>
        <w:t>protección, con una  aplicación  efectiva  del  mismo  y  con  políticas  de</w:t>
        <w:br/>
        <w:t>prevención y prácticas que permitan actuar de una  manera  eficaz  ante  las</w:t>
        <w:br/>
        <w:t>denuncias”; y tampoco lo  representa  el  hecho  de  que  la  estrategia  de</w:t>
        <w:br/>
        <w:t>prevención deba ser integral y deba prevenir “los factores de riesgo y a  la</w:t>
        <w:br/>
        <w:t>vez fortalecer las instituciones para que puedan proporcionar una  respuesta</w:t>
        <w:br/>
        <w:t>efectiva a los casos de violencia contra la mujer” como  lo  ha  establecido</w:t>
        <w:br/>
        <w:t>la Corte IDH en su jurisprudencia[464], aspectos que forman parte del  deber</w:t>
        <w:br/>
        <w:t>general de prevención o  “primer  momento”  de  análisis.  De  ahí  que  ese</w:t>
        <w:br/>
        <w:t>“primer momento” del deber de prevención incide de  manera  determinante  en</w:t>
        <w:br/>
        <w:t>el “segundo momento”, en el  que  el  aparato  de  prevención  estatal  será</w:t>
        <w:br/>
        <w:t>aplicado a los casos específicos de desaparición y  violencia  de  género  a</w:t>
        <w:br/>
        <w:t>los que se enfrente el Estado.</w:t>
        <w:br/>
        <w:br/>
        <w:t>55.    En  el  presente  caso  debe  observarse  que  ante   un   “contexto”</w:t>
        <w:br/>
        <w:t>persistente de incremento de la violencia contra la mujer y a pesar  de  que</w:t>
        <w:br/>
        <w:t>el  Estado  efectuó  acciones  enfocadas  a  abordar  la   problemática   en</w:t>
        <w:br/>
        <w:t>Guatemala[465]; la insuficiencia e ineficacia de dichas  medidas  ha  traído</w:t>
        <w:br/>
        <w:t>como consecuencia el  hecho  de  que  todavía  no  exista  en  ese  país  un</w:t>
        <w:br/>
        <w:t>mecanismo, instrumento y menos aún, una práctica de  búsqueda  inmediata  de</w:t>
        <w:br/>
        <w:t>mujeres desaparecidas, conforme al estándar establecido por esta  Corte  IDH</w:t>
        <w:br/>
        <w:t>en los dos casos anteriores sobre la temática[466],  que  puedan  evitar  el</w:t>
        <w:br/>
        <w:t>riesgo en que se encuentran  las  niñas  y  mujeres  guatemaltecas  ante  el</w:t>
        <w:br/>
        <w:t>aumento de los homicidios de mujeres en  las  circunstancias  dramáticas  de</w:t>
        <w:br/>
        <w:t>violencia en que se realizan.</w:t>
        <w:br/>
        <w:br/>
        <w:t>56.   Se observa con especial preocupación  que  la  falta  de  adopción  de</w:t>
        <w:br/>
        <w:t>medidas eficaces y suficientes con el  objetivo  de  prevenir  la  violencia</w:t>
        <w:br/>
        <w:t>contra las mujeres guatemaltecas, ha traído como consecuencia que  continúen</w:t>
        <w:br/>
        <w:t>enfrentándose a una situación de riesgo constante, donde la garantía de  sus</w:t>
        <w:br/>
        <w:t>derechos se ve nulificada y, a su vez, la de sus  familiares,  como  ocurrió</w:t>
        <w:br/>
        <w:t>en el presente caso.</w:t>
        <w:br/>
        <w:br/>
        <w:t>57.    Por  consiguiente,  quien  suscribe  el   presente   voto   considera</w:t>
        <w:br/>
        <w:t>pertinente señalar que frente al contexto de violencia al que  se  enfrentan</w:t>
        <w:br/>
        <w:t>las mujeres en Guatemala,  y  como  consecuencia,  al  deber  reforzado  del</w:t>
        <w:br/>
        <w:t>Estado de prevenir  dicha  situación,  esta  Corte  IDH  debió  declarar  la</w:t>
        <w:br/>
        <w:t>responsabilidad internacional del Estado por el incumplimiento de  su  deber</w:t>
        <w:br/>
        <w:t>general de prevención al estudiar el “primer momento” del  análisis  fáctico</w:t>
        <w:br/>
        <w:t>de  las  medidas  estatales  adoptadas.  Lo  anterior  debido  a  que  dicho</w:t>
        <w:br/>
        <w:t>incumplimiento constituyó el origen de la falta de prevención  específica  o</w:t>
        <w:br/>
        <w:t>“segundo  momento”  de  la  prevención,  es  decir,  cuando  el  Estado   se</w:t>
        <w:br/>
        <w:t>enfrentaba a la desaparición de Claudina  Velásquez;  toda  vez  que  al  no</w:t>
        <w:br/>
        <w:t>existir un mecanismo,  instrumento  o  práctica  de  búsqueda  inmediata  de</w:t>
        <w:br/>
        <w:t>mujeres desaparecidas (que debió existir  debido  a  su  “deber  general  de</w:t>
        <w:br/>
        <w:t>prevención”),  condicionó  evidentemente  el  actuar  estatal  cuando   tuvo</w:t>
        <w:br/>
        <w:t>conocimiento de la desaparición de la víctima.</w:t>
        <w:br/>
        <w:br/>
        <w:t>58.   En esa  línea,  estimo  que  el  cumplimiento  del  deber  general  de</w:t>
        <w:br/>
        <w:t>prevención debe observarse  por  los  Estados  con  especial  cuidado  y  de</w:t>
        <w:br/>
        <w:t>acuerdo a las exigencias de las obligaciones establecidas por la  Convención</w:t>
        <w:br/>
        <w:t>Americana sobre Derechos Humanos y la “Convención de Belém  do  Pará”.  Así,</w:t>
        <w:br/>
        <w:t>no basta cualquier medida o acción estatal para  cumplir  con  el  deber  de</w:t>
        <w:br/>
        <w:t>prevención, sino que este proceder debe  asegurar  que  de  manera  efectiva</w:t>
        <w:br/>
        <w:t>tenga como finalidad prevenir, desde un primer momento y de manera  general,</w:t>
        <w:br/>
        <w:t>los riesgos específicos a los que pudieran enfrentarse las niñas  y  mujeres</w:t>
        <w:br/>
        <w:t>en  la  región.  En  definitiva,  lo  anterior   representa   una   cuestión</w:t>
        <w:br/>
        <w:t>fundamental que los  Estados  deben  tener  especialmente  en  consideración</w:t>
        <w:br/>
        <w:t>frente a contextos de violencia contra la  mujer  —como  se  observó  en  el</w:t>
        <w:br/>
        <w:t>presente caso—,  pues  del  cumplimiento  de  dicho  “deber  de  prevención”</w:t>
        <w:br/>
        <w:t>depende en gran medida la erradicación del feminicidio y en  general  de  la</w:t>
        <w:br/>
        <w:t>violencia contra las mujeres, lastre  social  que  lamentablemente  continúa</w:t>
        <w:br/>
        <w:t>azotando a la región.</w:t>
        <w:br/>
        <w:br/>
        <w:br/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   Juez</w:t>
        <w:br/>
        <w:br/>
        <w:br/>
        <w:t>Pablo Saavedra Alessandri</w:t>
        <w:br/>
        <w:t xml:space="preserve">      Secretario</w:t>
        <w:br/>
        <w:br/>
        <w:t>-----------------------</w:t>
        <w:br/>
        <w:t>[1]   La Resolución del Presidente de la Corte de 19 de marzo de  2015  está</w:t>
        <w:br/>
        <w:t>disponible                                                               en:</w:t>
        <w:br/>
        <w:t>http://www.corteidh.or.cr/docs/asuntos/velasquez_19_03_15.pdf</w:t>
        <w:br/>
        <w:t>[2]    A  esta  audiencia  comparecieron:  a)  por  parte  de  la   Comisión</w:t>
        <w:br/>
        <w:t>Interamericana de Derechos Humanos:  James  Cavallaro,  Comisionado;  Silvia</w:t>
        <w:br/>
        <w:t>Serrano Guzmán y Jorge Meza, abogados de la  Secretaria  Ejecutiva;  b)  por</w:t>
        <w:br/>
        <w:t>parte de los representantes de las presuntas víctimas: Carlos  Antonio  Pop;</w:t>
        <w:br/>
        <w:t>Kerry Kennedy; Santiago  A.  Canton;  Angelita  Baeyens;  Wade  McMullen,  y</w:t>
        <w:br/>
        <w:t>Christina Fetterhoff, y c) por parte  del  Estado:  Rodrigo  José  Villagrán</w:t>
        <w:br/>
        <w:t>Sandoval, Agente Titular; César Javier Moreira Cabrera, Asesor  Jurídico,  y</w:t>
        <w:br/>
        <w:t>Steffany Rebeca Vásquez Barillas, Agente Alterna.</w:t>
        <w:br/>
        <w:t>[3]    El  artículo  12  de  la  Convención  de  Belém  do  Pará  establece:</w:t>
        <w:br/>
        <w:t>“Cualquier  persona  o  grupo  de  personas,  o  entidad  no   gubernamental</w:t>
        <w:br/>
        <w:t>legalmente reconocida en uno o más  Estados  miembros  de  la  Organización,</w:t>
        <w:br/>
        <w:t>puede presentar a la Comisión Interamericana de Derechos Humanos  peticiones</w:t>
        <w:br/>
        <w:t>que contengan denuncias o quejas de violación del artículo 7 de la  presente</w:t>
        <w:br/>
        <w:t>Convención por un Estado Parte, y la Comisión  las  considerará  de  acuerdo</w:t>
        <w:br/>
        <w:t>con las normas y los requisitos de  procedimiento  para  la  presentación  y</w:t>
        <w:br/>
        <w:t>consideración de peticiones estipulados en  la  Convención  Americana  sobre</w:t>
        <w:br/>
        <w:t>Derechos  Humanos  y  en  el  Estatuto  y  el  Reglamento  de  la   Comisión</w:t>
        <w:br/>
        <w:t>Interamericana de Derechos Humanos”.</w:t>
        <w:br/>
        <w:t>[4]   El artículo 7 de la  Convención  de  Belém  do  Pará  establece:  “Los</w:t>
        <w:br/>
        <w:t>Estados Partes condenan todas las formas de  violencia  contra  la  mujer  y</w:t>
        <w:br/>
        <w:t>convienen en adoptar, por todos los  medios  apropiados  y  sin  dilaciones,</w:t>
        <w:br/>
        <w:t>políticas orientadas a prevenir, sancionar y erradicar dicha violencia y  en</w:t>
        <w:br/>
        <w:t>llevar a cabo lo siguiente:</w:t>
        <w:br/>
        <w:t xml:space="preserve"> a. abstenerse de cualquier acción o práctica de violencia contra  la  mujer</w:t>
        <w:br/>
        <w:t>y velar por que las autoridades, sus  funcionarios,  personal  y  agentes  e</w:t>
        <w:br/>
        <w:t>instituciones se comporten de conformidad con esta obligación;</w:t>
        <w:br/>
        <w:t xml:space="preserve"> b. actuar con la debida diligencia para prevenir,  investigar  y  sancionar</w:t>
        <w:br/>
        <w:t>la violencia contra la mujer;</w:t>
        <w:br/>
        <w:t xml:space="preserve"> c.  incluir  en  su  legislación  interna   normas   penales,   civiles   y</w:t>
        <w:br/>
        <w:t>administrativas, así como las de otra naturaleza que  sean  necesarias  para</w:t>
        <w:br/>
        <w:t>prevenir, sancionar y erradicar la violencia contra la mujer y  adoptar  las</w:t>
        <w:br/>
        <w:t>medidas administrativas apropiadas que sean del caso;</w:t>
        <w:br/>
        <w:t xml:space="preserve"> d. adoptar medidas jurídicas para  conminar  al  agresor  a  abstenerse  de</w:t>
        <w:br/>
        <w:t>hostigar, intimidar, amenazar, dañar o poner en peligro la vida de la  mujer</w:t>
        <w:br/>
        <w:t>de  cualquier  forma  que  atente  contra  su  integridad  o  perjudique  su</w:t>
        <w:br/>
        <w:t>propiedad;</w:t>
        <w:br/>
        <w:t xml:space="preserve"> e.  tomar  todas  las  medidas  apropiadas,  incluyendo  medidas  de   tipo</w:t>
        <w:br/>
        <w:t>legislativo, para modificar o abolir leyes y reglamentos  vigentes,  o  para</w:t>
        <w:br/>
        <w:t>modificar  prácticas  jurídicas  o   consuetudinarias   que   respalden   la</w:t>
        <w:br/>
        <w:t>persistencia o la tolerancia de la violencia contra la mujer;</w:t>
        <w:br/>
        <w:t xml:space="preserve"> f. establecer procedimientos legales justos y eficaces para  la  mujer  que</w:t>
        <w:br/>
        <w:t>haya sido sometida a  violencia,  que  incluyan,  entre  otros,  medidas  de</w:t>
        <w:br/>
        <w:t>protección, un juicio oportuno y el acceso efectivo a tales procedimientos;</w:t>
        <w:br/>
        <w:t xml:space="preserve"> g. establecer los mecanismos judiciales y administrativos  necesarios  para</w:t>
        <w:br/>
        <w:t>asegurar  que  la  mujer  objeto  de  violencia  tenga  acceso  efectivo   a</w:t>
        <w:br/>
        <w:t>resarcimiento, reparación del daño u otros medios de compensación  justos  y</w:t>
        <w:br/>
        <w:t>eficaces, y</w:t>
        <w:br/>
        <w:t xml:space="preserve"> h. adoptar las  disposiciones  legislativas  o  de  otra  índole  que  sean</w:t>
        <w:br/>
        <w:t>necesarias para hacer efectiva esta Convención”.</w:t>
        <w:br/>
        <w:t>[5]   Cfr. Caso González y otras (“Campo Algodonero”) Vs. México.  Excepción</w:t>
        <w:br/>
        <w:t>Preliminar, Fondo, Reparaciones y Costas. Sentencia de 16  de  noviembre  de</w:t>
        <w:br/>
        <w:t>2009. Serie C No. 205, párr. 41. Al respecto, la  Corte  señaló  que  en  la</w:t>
        <w:br/>
        <w:t>“formulación” del artículo 12 de la Convención  de  Belém  de  Pará  “no  se</w:t>
        <w:br/>
        <w:t>excluye ninguna disposición de la Convención Americana,  por  lo  que  habrá</w:t>
        <w:br/>
        <w:t>que concluir que la Comisión actuará en las peticiones sobre el  artículo  7</w:t>
        <w:br/>
        <w:t>de la Convención Belém do Pará ‘de  conformidad  con  lo  dispuesto  en  los</w:t>
        <w:br/>
        <w:t>artículos 44 al 51  de  [la  Convención  Americana]’,  como  lo  dispone  el</w:t>
        <w:br/>
        <w:t>artículo 41 de la misma Convención. El artículo 51 de la Convención  […]  se</w:t>
        <w:br/>
        <w:t>refiere […] expresamente al sometimiento de casos  ante  la  Corte”.  En  el</w:t>
        <w:br/>
        <w:t>mismo sentido, véase Caso Veliz Franco y otros  Vs.  Guatemala.  Excepciones</w:t>
        <w:br/>
        <w:t>Preliminares, Fondo, Reparaciones y Costas.  Sentencia  de  19  de  mayo  de</w:t>
        <w:br/>
        <w:t>2014. Serie C No. 277, nota al pie 22, y Caso Espinoza  Gonzáles  Vs.  Perú.</w:t>
        <w:br/>
        <w:t>Excepciones Preliminares, Fondo, Reparaciones y Costas. Sentencia de  20  de</w:t>
        <w:br/>
        <w:t>noviembre de 2014. Serie C No. 289, nota al pie 5.</w:t>
        <w:br/>
        <w:t>[6]   Cfr. Caso Masacres de Río Negro Vs. Guatemala.  Excepción  Preliminar,</w:t>
        <w:br/>
        <w:t>Fondo, Reparaciones y Costas. Sentencia de 4 de septiembre de 2012. Serie  C</w:t>
        <w:br/>
        <w:t>No. 250, párr. 17; Caso  Gudiel  Álvarez  (Diario  Militar)  Vs.  Guatemala.</w:t>
        <w:br/>
        <w:t>Fondo, Reparaciones y Costas. Sentencia de 20 de noviembre de 2012. Serie  C</w:t>
        <w:br/>
        <w:t>No. 253, párr. 17, y Caso Veliz Franco y otros Vs. Guatemala,  supra,  párr.</w:t>
        <w:br/>
        <w:t>36.</w:t>
        <w:br/>
        <w:t>[7]   El artículo 46.2 literales a, b y c de la Convención Americana  señala</w:t>
        <w:br/>
        <w:t>que: “Las disposiciones de los incisos 1.a. y 1.b. del presente artículo  no</w:t>
        <w:br/>
        <w:t>se aplicarán cuando:</w:t>
        <w:br/>
        <w:t>a) no exista en la legislación interna del Estado de que se trata el  debido</w:t>
        <w:br/>
        <w:t>proceso legal para la protección del derecho o derechos  que  se  alega  han</w:t>
        <w:br/>
        <w:t>sido violados;</w:t>
        <w:br/>
        <w:t>b) no se haya permitido al presunto lesionado en sus derechos  el  acceso  a</w:t>
        <w:br/>
        <w:t>los recursos de la jurisdicción interna, o haya sido impedido de  agotarlos,</w:t>
        <w:br/>
        <w:t>y</w:t>
        <w:br/>
        <w:t>c)  haya  retardo  injustificado  en  la  decisión  sobre  los   mencionados</w:t>
        <w:br/>
        <w:t>recursos”.</w:t>
        <w:br/>
        <w:t>[8]   Cfr. Escrito del Estado de 17 de mayo de 2010 (expediente  de  prueba,</w:t>
        <w:br/>
        <w:t>folio 603).</w:t>
        <w:br/>
        <w:t>[9]   Cfr. Informe de Admisibilidad No. 110/10  de  4  de  octubre  de  2010</w:t>
        <w:br/>
        <w:t>(expediente de prueba, folio 590).</w:t>
        <w:br/>
        <w:t>[10]  Cfr. Caso Velásquez Rodríguez Vs. Honduras. Excepciones  Preliminares.</w:t>
        <w:br/>
        <w:t>Sentencia de 26 de junio de 1987. Serie C No. 1, párrs.  88  y  91,  y  Caso</w:t>
        <w:br/>
        <w:t>López Lone y otros Vs. Honduras. Excepción Preliminar,  Fondo,  Reparaciones</w:t>
        <w:br/>
        <w:t>y Costas. Sentencia de 05 de octubre de 2015. Serie C No. 302, párr. 21.</w:t>
        <w:br/>
        <w:t>[11]  Cfr.  Caso  Reverón  Trujillo  Vs.  Venezuela.  Excepción  Preliminar,</w:t>
        <w:br/>
        <w:t>Fondo, Reparaciones y Costas. Sentencia de 30 de junio de 2009. Serie C  No.</w:t>
        <w:br/>
        <w:t>197, párr. 23, y Caso López Lone y otros Vs. Honduras, supra, párr. 21.</w:t>
        <w:br/>
        <w:t>[12]  Cfr. Garantías Judiciales en Estados de Emergencia (arts. 27.2,  25  y</w:t>
        <w:br/>
        <w:t>8 Convención Americana sobre Derechos Humanos). Opinión  Consultiva  OC-9/87</w:t>
        <w:br/>
        <w:t>del 6 de octubre de 1987. Serie A  No.  9,  párr.  24.  Asimismo  ver:  Caso</w:t>
        <w:br/>
        <w:t>Baldeón García Vs. Perú. Fondo, Reparaciones y Costas.  Sentencia  de  6  de</w:t>
        <w:br/>
        <w:t>abril de 2006. Serie C No. 147, párr. 145; Caso Almonacid Arellano  y  otros</w:t>
        <w:br/>
        <w:t>Vs.  Chile.  Excepciones  Preliminares,  Fondo,   Reparaciones   y   Costas.</w:t>
        <w:br/>
        <w:t>Sentencia de 26 de septiembre de 2006. Serie C No. 154, párr.  111,  y  Caso</w:t>
        <w:br/>
        <w:t>Reverón Trujillo Vs. Venezuela, supra, párr. 61.</w:t>
        <w:br/>
        <w:t>[13]  Cfr. Garantías Judiciales en Estados de Emergencia (arts. 27.2,  25  y</w:t>
        <w:br/>
        <w:t>8 Convención Americana sobre Derechos Humanos),  supra,  párr.  24,  y  Caso</w:t>
        <w:br/>
        <w:t>Abrill Alosilla y otros Vs. Perú. Fondo, Reparaciones  y  Costas.  Sentencia</w:t>
        <w:br/>
        <w:t>de 4 de Marzo de 2011 Serie C No. 223, párr. 75.</w:t>
        <w:br/>
        <w:t>[14]  Cfr. Resolución de 20 de julio de 2006 (expediente de  prueba,  folios</w:t>
        <w:br/>
        <w:t>3255 y 3259).</w:t>
        <w:br/>
        <w:t>[15]  Mediante comunicación de 30  de  marzo  de  2015,  los  representantes</w:t>
        <w:br/>
        <w:t>desistieron de la presentación de  los  dictámenes  periciales  ofrecidos  a</w:t>
        <w:br/>
        <w:t>cargo del señor Otto Dany León Oliva y la señora Daniela Galindez Arias.</w:t>
        <w:br/>
        <w:t>[16]  El 21 de abril de 2015 la perita Claudia  González  Orellana  presentó</w:t>
        <w:br/>
        <w:t>por escrito el dictamen pericial  rendido  ante  este  Tribunal  durante  la</w:t>
        <w:br/>
        <w:t>audiencia pública ese mismo  día.  La  Comisión  y  el  Estado  tuvieron  la</w:t>
        <w:br/>
        <w:t>oportunidad de presentar observaciones a dicho escrito.</w:t>
        <w:br/>
        <w:t>[17]  Cfr. Caso Velásquez Rodríguez Vs. Honduras. Fondo. Sentencia de 29  de</w:t>
        <w:br/>
        <w:t>julio de 1988. Serie C No. 4, párr. 140,  y  Caso  Omar  Humberto  Maldonado</w:t>
        <w:br/>
        <w:t>Vargas y otros Vs. Chile. Fondo, Reparaciones y Costas. Sentencia de  02  de</w:t>
        <w:br/>
        <w:t>septiembre de 2015. Serie C No. 300, párr. 12.</w:t>
        <w:br/>
        <w:t>[18]  Los  documentos  considerados  de  oficio  por  el  Tribunal  para  el</w:t>
        <w:br/>
        <w:t>presente caso son los siguientes: Procurador  de  los  Derechos  Humanos  de</w:t>
        <w:br/>
        <w:t>Guatemala, Compendio “Muertes Violentas de Mujeres”, 2003  a  2005;  Informe</w:t>
        <w:br/>
        <w:t>Nacional ante el Grupo de Trabajo sobre el Examen  Periódico  Universal  del</w:t>
        <w:br/>
        <w:t>Consejo de Derechos Humanos de la ONU, de 7 de agosto  2012;  Iniciativa  de</w:t>
        <w:br/>
        <w:t>Ley  que  dispone  aprobar  la  Ley  de  Búsqueda   Inmediata   de   Mujeres</w:t>
        <w:br/>
        <w:t>Desaparecidas.                        Disponible                         en:</w:t>
        <w:br/>
        <w:t>http://www.congreso.gob.gt/manager/images/4097B3FD-E522-0547-3042-</w:t>
        <w:br/>
        <w:t>D05791A99602.pdf, y Dictamen No. 03-2014, Iniciativa 4588, Ley  de  Búsqueda</w:t>
        <w:br/>
        <w:t>Inmediata de Mujeres Desaparecidas, presentado a  la  Directora  Legislativa</w:t>
        <w:br/>
        <w:t>del Congreso de la República mediante nota de 25 de  marzo  de  2014  de  la</w:t>
        <w:br/>
        <w:t>Comisión de  Legislación  y  Puntos  Constitucionales  del  Congreso  de  la</w:t>
        <w:br/>
        <w:t>República.                          Disponible                           en:</w:t>
        <w:br/>
        <w:t>http://www.congreso.gob.gt/manager/images/91E9DEF7-5D94-7146-29A0-</w:t>
        <w:br/>
        <w:t>8AB105E3FC92.PDF</w:t>
        <w:br/>
        <w:t>[19]  Cfr. Caso Escué Zapata Vs. Colombia.  Fondo,  Reparaciones  y  Costas.</w:t>
        <w:br/>
        <w:t>Sentencia de 4 de julio de 2007. Serie C No. 165, párr.  26,  y  Caso  López</w:t>
        <w:br/>
        <w:t>Lone y otros Vs. Honduras, supra, párr. 33.</w:t>
        <w:br/>
        <w:t>[20]  En particular, el Estado objetó los anexos 33, 34.a 34.b, 35, 36 y  37</w:t>
        <w:br/>
        <w:t>al Informe de Fondo de la Comisión.</w:t>
        <w:br/>
        <w:t>[21]  Cfr. Caso Velásquez Rodríguez Vs. Honduras. Fondo, supra,  párr.  146,</w:t>
        <w:br/>
        <w:t>y Caso López Lone y otros Vs. Honduras, supra, párr. 32.</w:t>
        <w:br/>
        <w:t>[22]  Cfr. Caso  de  la  “Panel  Blanca”  (Paniagua  Morales  y  otros)  Vs.</w:t>
        <w:br/>
        <w:t>Guatemala. Fondo. Sentencia de 8 de marzo de 1998. Serie C No 37, párrs.  69</w:t>
        <w:br/>
        <w:t>al 76, y Caso López Lone y otros Vs. Honduras, supra, párr. 40.</w:t>
        <w:br/>
        <w:t>[23]   Cfr.  Caso  Loayza  Tamayo  Vs.  Perú.  Fondo.  Sentencia  de  17  de</w:t>
        <w:br/>
        <w:t>septiembre de 1997. Serie C No 33, párr. 43, y Caso López Lone y  otros  Vs.</w:t>
        <w:br/>
        <w:t>Honduras, supra, párr. 41.</w:t>
        <w:br/>
        <w:t>[24]  Cfr.  Caso  Espinoza  Gonzáles  Vs.  Perú.  Excepciones  Preliminares,</w:t>
        <w:br/>
        <w:t>Fondo, Reparaciones y Costas. Sentencia de 20 de noviembre de 2014. Serie  C</w:t>
        <w:br/>
        <w:t>No. 289, párr. 49, y  Caso  López  Lone  y  otros  Vs.  Honduras.  Excepción</w:t>
        <w:br/>
        <w:t>Preliminar, Fondo, Reparaciones y Costas.  Sentencia  de  5  de  octubre  de</w:t>
        <w:br/>
        <w:t>2015. Serie C No. 302, párr. 43.</w:t>
        <w:br/>
        <w:t>[25]   Cfr.  Caso  Veliz  Franco  y   otros   Vs.   Guatemala.   Excepciones</w:t>
        <w:br/>
        <w:t>Preliminares, Fondo, Reparaciones y Costas.  Sentencia  de  19  de  mayo  de</w:t>
        <w:br/>
        <w:t>2014. Serie C No. 277, párr.  68.  Citando,  CEH,  “Guatemala:  Memoria  del</w:t>
        <w:br/>
        <w:t>Silencio”,  tomo  III,  junio  de  1999,  págs.  13  y  27.  Disponible  en:</w:t>
        <w:br/>
        <w:t>http://www.iom.int/seguridad-fronteriza/lit/land/cap2_2.pdf</w:t>
        <w:br/>
        <w:t>[26]  Cfr. Caso Veliz Franco y otros Vs. Guatemala, supra, párrs. 73,  81  y</w:t>
        <w:br/>
        <w:t>152. La Corte nota que Guatemala aprobó en mayo de 2008 el Decreto  No.  22-</w:t>
        <w:br/>
        <w:t>2008 o Ley contra el Femicidio y otras formas de Violencia contra la  Mujer,</w:t>
        <w:br/>
        <w:t>la cual tipificó delitos de acción pública, entre ellos, el de  “femicidio”,</w:t>
        <w:br/>
        <w:t>expresando en su artículo  3  que  este  delito  consiste  en  la  “[m]uerte</w:t>
        <w:br/>
        <w:t>violenta  de  una  mujer,  ocasionada  en  el  contexto  de  las  relaciones</w:t>
        <w:br/>
        <w:t>desiguales de poder entre hombres y  mujeres,  en  ejercicio  del  poder  de</w:t>
        <w:br/>
        <w:t>género en contra de las mujeres”. Por otra parte, en la Sentencia  sobre  el</w:t>
        <w:br/>
        <w:t>caso González  y  otras  (“Campo  Algodonero”)  Vs.  México,  este  Tribunal</w:t>
        <w:br/>
        <w:t>utilizó la expresión “‘homicidio de mujer por razones  de  género’,  también</w:t>
        <w:br/>
        <w:t>conocido como feminicidio”. Cfr. Caso González y otras (“Campo  Algodonero”)</w:t>
        <w:br/>
        <w:t>Vs. México. Excepción Preliminar, Fondo, Reparaciones  y  Costas.  Sentencia</w:t>
        <w:br/>
        <w:t>de 16 de noviembre de 2009. Serie C No. 205,  párr.  143.  La  Corte  aclara</w:t>
        <w:br/>
        <w:t>que, para efectos de la presente Sentencia, utilizará el término  “homicidio</w:t>
        <w:br/>
        <w:t>de mujer por razón de género”  para  hacer  referencia  al  “feminicidio”  o</w:t>
        <w:br/>
        <w:t>“femicidio”.</w:t>
        <w:br/>
        <w:t>[27]  Cfr. Consejo Económico y Social,  “Informe  de  la  Relatora  Especial</w:t>
        <w:br/>
        <w:t>sobre la violencia contra la mujer, sus causas y  consecuencias”,  Misión  a</w:t>
        <w:br/>
        <w:t>Guatemala, E/CN.4/2005/72/Add.3, 10 de febrero de  2005,  párrs.  28  y  29.</w:t>
        <w:br/>
        <w:t>Disponible en:  http://www.ohchr.org.gt/cd_instrumentos/documentos/Vimu.pdf;</w:t>
        <w:br/>
        <w:t>Oficina del Alto Comisionado  de  las  Naciones  Unidas  para  los  Derechos</w:t>
        <w:br/>
        <w:t>Humanos, Comunicado de Prensa sobre la visita oficial  a  Guatemala,  27  de</w:t>
        <w:br/>
        <w:t>mayo             de             2006.             Disponible             en:</w:t>
        <w:br/>
        <w:t>http://www.unhchr.ch/huricane/huricane.nsf/view01/C7F2A41A172BC438C125717D00</w:t>
        <w:br/>
        <w:t>56605A?opendocument; Naciones Unidas, Consejo de Derechos  Humanos,  Informe</w:t>
        <w:br/>
        <w:t>del Grupo de Trabajo sobre el Examen Periódico Universal, Guatemala,  31  de</w:t>
        <w:br/>
        <w:t>diciembre de 2012,  párrs.  23  y  36.  Disponible  en:  http://daccess-dds-</w:t>
        <w:br/>
        <w:t>ny.un.org/doc/UNDOC/GEN/G13/100/36/PDF/G1310036.pdf?OpenElement;    Naciones</w:t>
        <w:br/>
        <w:t>Unidas, Comité contra la Tortura, Observaciones finales sobre  los  informes</w:t>
        <w:br/>
        <w:t>periódicos quinto y sexto combinados de Guatemala,  24  de  junio  de  2013,</w:t>
        <w:br/>
        <w:t>párr. 13. Disponible en:</w:t>
        <w:br/>
        <w:t>http://docstore.ohchr.org/SelfServices/FilesHandler.ashx?enc=6QkG1d%2FPPRiCA</w:t>
        <w:br/>
        <w:t>qhKb7yhsiqfk8caYZRrn8MoNjn4orHkCGqxO6Nu%2FXAFc4v8YxseJsuRAp9DK4NbYNjwWByJiwt</w:t>
        <w:br/>
        <w:t>UJ7gGgcNMsEqzDozUWk9ryKPF6m2PO72hWIelmE%2F9, y Peritaje  rendido  por  Karen</w:t>
        <w:br/>
        <w:t>Musalo  ante  fedatario  público  (affidávit)  el  13  de  abril   de   2015</w:t>
        <w:br/>
        <w:t>(expediente de prueba, folio 6660).</w:t>
        <w:br/>
        <w:t>[28]  Cfr. Caso Veliz Franco y otros Vs. Guatemala, supra, párr. 75.</w:t>
        <w:br/>
        <w:t>[29]  Cfr. Caso Veliz Franco y otros Vs. Guatemala, supra, párr. 76.</w:t>
        <w:br/>
        <w:t>[30]  Cfr. Cuadro estadístico de incidencia general de asesinatos  ocurridos</w:t>
        <w:br/>
        <w:t>del año 2005 al mes de abril del  año  2015  del  Departamento  de  Análisis</w:t>
        <w:br/>
        <w:t>Estratégico  del  Fenómeno  Criminal,  Dirección   de   Análisis   Criminal,</w:t>
        <w:br/>
        <w:t>Ministerio Público (expediente de prueba, folio 6841).</w:t>
        <w:br/>
        <w:t>[31]  Cfr. Caso Veliz Franco y otros Vs. Guatemala, supra, párr. 77.</w:t>
        <w:br/>
        <w:t>[32]  En el Caso Veliz Franco y otros la Corte  indicó  que  se  ha  aducido</w:t>
        <w:br/>
        <w:t>como característica de muchos de los casos de mujeres que han  sido  víctima</w:t>
        <w:br/>
        <w:t>de homicidio, la “brutalidad de la  violencia  ejercida”,  la  presencia  de</w:t>
        <w:br/>
        <w:t>“signos de violencia sexual” en los  cadáveres,  o  “la  mutilación  de  los</w:t>
        <w:br/>
        <w:t>mismos”. Cfr. Caso Veliz Franco y otros  Vs.  Guatemala,  supra,  párr.  78.</w:t>
        <w:br/>
        <w:t>Citando, Amnistía Internacional,  “Guatemala.  Ni  protección  ni  justicia:</w:t>
        <w:br/>
        <w:t>Homicidios de mujeres en Guatemala”, junio de  2005,  pág.  8;  Informe  del</w:t>
        <w:br/>
        <w:t>Relator  Especial  sobre  las  ejecuciones   extrajudiciales,   sumarias   o</w:t>
        <w:br/>
        <w:t>arbitrarias, Philip Alston. Misión a Guatemala,  UN  Doc.  A/HRC/4/20/Add.2,</w:t>
        <w:br/>
        <w:t>19 de febrero de 2007, párrs. 22  y  26,  y  Procuraduría  de  los  Derechos</w:t>
        <w:br/>
        <w:t>Humanos de Guatemala, “Compendio  ‘muertes  violentas  de  mujeres’  2003  a</w:t>
        <w:br/>
        <w:t>2005”, pág. 22. La perita Paloma Soria Montañez explicó que en el  “contexto</w:t>
        <w:br/>
        <w:t>de justificación  y  normalización  de  la  violencia,  observamos  como  en</w:t>
        <w:br/>
        <w:t>Guatemala las cifras de violencia doméstica, violencia sexual y  de  muertes</w:t>
        <w:br/>
        <w:t>violentas de mujeres son muy elevadas. En relación con  estas  últimas,  los</w:t>
        <w:br/>
        <w:t>crímenes son cometidos cada vez más con  extrema  violencia  y  generalmente</w:t>
        <w:br/>
        <w:t>están acompañados de otro tipo de lesiones que evidencian la  misoginia  con</w:t>
        <w:br/>
        <w:t>la que son  ejecutados:  violencia  sexual,  mutilaciones,  desmembraciones,</w:t>
        <w:br/>
        <w:t>decapitaciones y lesiones”. La perita observó que en  la  actualidad  existe</w:t>
        <w:br/>
        <w:t>en Guatemala una situación de violencia estructural contra  la  mujer.  Cfr.</w:t>
        <w:br/>
        <w:t>Peritaje  rendido  por  Paloma  Soria  Montañez   ante   fedatario   público</w:t>
        <w:br/>
        <w:t>(affidávit) el 16 de abril de 2015 (expediente  de  prueba,  folios  6764  y</w:t>
        <w:br/>
        <w:t>6765). La perita Karen Musalo señaló que “[l]os femicidios en  Guatemala  en</w:t>
        <w:br/>
        <w:t>2005 ocurrían dentro del contexto de muchas otras formas  de  violencia  que</w:t>
        <w:br/>
        <w:t>ocurrían a un nivel escandaloso;  las  matanzas  no  representan  incidentes</w:t>
        <w:br/>
        <w:t>aislados, sino que reflejaban el mayor contexto  de  violencia  omnipresente</w:t>
        <w:br/>
        <w:t>contra las mujeres. La violencia se extendía por todos los  sectores  de  la</w:t>
        <w:br/>
        <w:t>sociedad e incluían violencia doméstica y otras formas de  violencia  dentro</w:t>
        <w:br/>
        <w:t>de la familia, violencia sexual, incesto, trata de blancas para  explotación</w:t>
        <w:br/>
        <w:t>sexual y acoso sexual. Aunque no hay estadísticas oficiales, las  pocas  que</w:t>
        <w:br/>
        <w:t>existen demuestran una alta incidencia de  violencia  en  el  hogar,  en  la</w:t>
        <w:br/>
        <w:t>comunidad y en el público en  general”.  Cfr.  Peritaje  rendido  por  Karen</w:t>
        <w:br/>
        <w:t>Musalo  ante  fedatario  público  (affidávit)  el  13  de  abril   de   2015</w:t>
        <w:br/>
        <w:t>(expediente de prueba, folio 6655). En el  año  2006  el  Comité  contra  la</w:t>
        <w:br/>
        <w:t>Tortura expresó su preocupación por “el  aumento  del  número  de  casos  de</w:t>
        <w:br/>
        <w:t>asesinatos  brutales  de  mujeres,  a  menudo  acompañados   de   violencias</w:t>
        <w:br/>
        <w:t>sexuales, mutilaciones y torturas”. Cfr. Naciones Unidas, Comité  contra  la</w:t>
        <w:br/>
        <w:t>Tortura, Examen de los  informes  presentados  por  los  Estados  partes  en</w:t>
        <w:br/>
        <w:t>virtud de artículo 19 de la  Convención,  CAT/C/GTM/CO/4,  25  de  julio  de</w:t>
        <w:br/>
        <w:t>2006,            párr.            16.             Disponible             en:</w:t>
        <w:br/>
        <w:t>http://docstore.ohchr.org/SelfServices/FilesHandler.ashx?enc=6QkG1d%2fPPRiCA</w:t>
        <w:br/>
        <w:t>qhKb7yhsiqfk8caYZRrn8MoNjn4orEofXOsyvEx134NAHycDMofLi1Dvk6Ui6%2fGavPZFUsxiNr</w:t>
        <w:br/>
        <w:t>LqSjNF8OTMvVwLD%2faqRf%2fAyiAO1pdwTkCyDJdU9Gm. En el año  2004  la  Relatora</w:t>
        <w:br/>
        <w:t>Especial sobre los Derechos  de  la  Mujer  de  la  Comisión  Interamericana</w:t>
        <w:br/>
        <w:t>recibió informes consistentes sobre asesinatos  “ejemplificadores”,  en  los</w:t>
        <w:br/>
        <w:t>cuales los abusos reflejados en la condición del cuerpo de la víctima  y  el</w:t>
        <w:br/>
        <w:t>lugar en los que fueron dejados los  cadáveres,  persiguen  el  objetivo  de</w:t>
        <w:br/>
        <w:t>enviar un mensaje de terror e intimidación.  Informó  que  “recibió  también</w:t>
        <w:br/>
        <w:t>información y testimonios sobre otras formas de violencia que afectan  a  la</w:t>
        <w:br/>
        <w:t>mujer, tales como violencia intrafamiliar  y  doméstica,  violación  sexual,</w:t>
        <w:br/>
        <w:t>acoso sexual y rapto, entre otras”.  Cfr.  CIDH,  Comunicado  de  Prensa,  N</w:t>
        <w:br/>
        <w:t>20/04,  18  de  septiembre  de  2004,  párrs.  7   y   10.   Disponible   en</w:t>
        <w:br/>
        <w:t>http://www.cidh.oas.org/Comunicados/Spanish/2004/20.04.htm.   Ver   también,</w:t>
        <w:br/>
        <w:t>CIDH, Comunicado de Prensa, N 20/04, 18 de septiembre  de  2004,  párr.  10.</w:t>
        <w:br/>
        <w:t>Disponible en http://www.cidh.oas.org/Comunicados/Spanish/2004/20.04.htm,  y</w:t>
        <w:br/>
        <w:t>Naciones Unidas,  Consejo  Económico  y  Social,  “Informe  de  la  Relatora</w:t>
        <w:br/>
        <w:t>Especial sobre la violencia contra la mujer, sus  causas  y  consecuencias”,</w:t>
        <w:br/>
        <w:t>Misión a Guatemala, E/CN.4/2005/72/Add.3, 10 de febrero de 2005,  párrs.  33</w:t>
        <w:br/>
        <w:t>y                   34.                    Disponible                    en:</w:t>
        <w:br/>
        <w:t>http://www.ohchr.org.gt/cd_instrumentos/documentos/Vimu.pdf</w:t>
        <w:br/>
        <w:t>[33]  En el Caso Veliz Franco y  otros  el  Estado  proporcionó  información</w:t>
        <w:br/>
        <w:t>específica y detallada sobre  las  medidas  adoptadas  antes  y  después  de</w:t>
        <w:br/>
        <w:t>diciembre de 2001, tendientes  a  afrontar  la  discriminación  y  violencia</w:t>
        <w:br/>
        <w:t>contra las mujeres. Cfr. Caso Veliz Franco y  otros  Vs.  Guatemala,  supra,</w:t>
        <w:br/>
        <w:t>párrs. 82 a 84 y 264.  La  Corte  ha  constatado  que  adicionalmente  a  lo</w:t>
        <w:br/>
        <w:t>informado en aquella oportunidad, en  el  presente  caso  se  ha  presentado</w:t>
        <w:br/>
        <w:t>información sobre la actuación estatal en  la  investigación  de  homicidios</w:t>
        <w:br/>
        <w:t>cometidos contra mujeres. Cfr. Peritaje rendido por  Paloma  Soria  Montañez</w:t>
        <w:br/>
        <w:t>ante fedatario público (affidávit) el 16 de abril  de  2015  (expediente  de</w:t>
        <w:br/>
        <w:t>prueba, folio 6765);  Peritaje  rendido  por  Karen  Musalo  ante  fedatario</w:t>
        <w:br/>
        <w:t>público (affidávit) el 13 de abril de 2015  (expediente  de  prueba,  folios</w:t>
        <w:br/>
        <w:t>6658 a 6660), y Comisión Interamericana de Derechos Humanos,  “Acceso  a  la</w:t>
        <w:br/>
        <w:t>Justicia para las Mujeres Víctimas de Violencia  en  las  Américas”,  20  de</w:t>
        <w:br/>
        <w:t>enero de 2007, pág. 8, párr.  18  y  pág.  54,  párr.  130.  Disponible  en:</w:t>
        <w:br/>
        <w:t>http://www.cidh.org/pdf%20files/Informe%20Acceso%20a%20la%20Justicia%20Espan</w:t>
        <w:br/>
        <w:t>ol%20020507.pdf</w:t>
        <w:br/>
        <w:t>[34]  Cfr. Caso Veliz Franco y otros Vs. Guatemala, supra, párr. 87.</w:t>
        <w:br/>
        <w:t>[35]  Cfr. Caso Veliz Franco y otros Vs. Guatemala, supra, párr. 89.</w:t>
        <w:br/>
        <w:t>[36]  Cfr. Caso Veliz Franco y otros Vs. Guatemala, supra, párrs. 90 y 212.</w:t>
        <w:br/>
        <w:t>[37]  La perita Karen Musalo explicó que  “[e]l  hecho  de  que  se  pudiera</w:t>
        <w:br/>
        <w:t>infligir violencia contra mujeres y niñas casi con la certeza  de  no  tener</w:t>
        <w:br/>
        <w:t>ninguna penalidad, aumentaba los niveles de violencia. Las  deficiencias  en</w:t>
        <w:br/>
        <w:t>el sistema legal se documentaban en cada paso del proceso de  investigación;</w:t>
        <w:br/>
        <w:t>desde el incumplimiento  en  responder  ante  la  denuncia  de  una  persona</w:t>
        <w:br/>
        <w:t>perdida, hasta la contaminación de las escenas de los  crímenes  para  darle</w:t>
        <w:br/>
        <w:t>un tratamiento adverso al caso, como resultado de la  discriminación  y  los</w:t>
        <w:br/>
        <w:t>estereotipos de género en los tribunales”. Cfr. Peritaje rendido  por  Karen</w:t>
        <w:br/>
        <w:t>Musalo  ante  fedatario  público  (affidávit)  el  13  de  abril   de   2015</w:t>
        <w:br/>
        <w:t>(expediente de prueba, folio 6656). Al  respecto,  la  perita  Paloma  Soria</w:t>
        <w:br/>
        <w:t>Montañez destacó que “[l]a  situación  actual  de  violencia,  además,  está</w:t>
        <w:br/>
        <w:t>acompañada de un entorno de impunidad. Así, la violencia contra la mujer  no</w:t>
        <w:br/>
        <w:t>es investigada ni condenada, lo que permite afirmar que [l]as  instituciones</w:t>
        <w:br/>
        <w:t>encargadas de la seguridad y la justicia no han reaccionado  con  la  debida</w:t>
        <w:br/>
        <w:t>diligencia”. Cfr. Peritaje rendido por Paloma Soria Montañez ante  fedatario</w:t>
        <w:br/>
        <w:t>público (affidávit) el 16 de abril de  2015  (expediente  de  prueba,  folio</w:t>
        <w:br/>
        <w:t>6765). En el año 2007 la Comisión Interamericana observó  la  existencia  de</w:t>
        <w:br/>
        <w:t>retrasos cuando las  mujeres  víctimas  de  violencia  son  reportadas  como</w:t>
        <w:br/>
        <w:t>desaparecidas y que las autoridades cometen dos clases  de  violaciones:  1)</w:t>
        <w:br/>
        <w:t>no proceden a buscar a la víctima con celeridad,  y  2)  la  descalifican  y</w:t>
        <w:br/>
        <w:t>culpabilizan  por  sus  acciones  y,  por  lo  tanto,  la  señalan  como  no</w:t>
        <w:br/>
        <w:t>merecedora de acciones estatales para localizarla y protegerla.  Cfr.  CIDH,</w:t>
        <w:br/>
        <w:t>“Acceso a la  Justicia  para  las  Mujeres  Víctimas  de  Violencia  en  las</w:t>
        <w:br/>
        <w:t>Américas”,   20   de   enero   de   2007,   párr.   135.   Disponible    en:</w:t>
        <w:br/>
        <w:t>http://www.cidh.org/pdf%20files/Informe%20Acceso%20a%20la%20Justicia%20Espan</w:t>
        <w:br/>
        <w:t>ol%20020507.pdf. En el año 2004 la Relatora Especial sobre los  Derechos  de</w:t>
        <w:br/>
        <w:t>la Mujer de la Comisión Interamericana recibió “testimonios  del  trato  que</w:t>
        <w:br/>
        <w:t>en muchos casos, las diversas entidades encargadas  de  la  investigación  y</w:t>
        <w:br/>
        <w:t>persecución del delito del que han sido víctimas, las han tratado de  manera</w:t>
        <w:br/>
        <w:t>poco respetuosa. Estos testimonios dan  cuenta  de  la  manera  como  operan</w:t>
        <w:br/>
        <w:t>estereotipos discriminatorios en la  práctica.  Estas  actitudes  demuestran</w:t>
        <w:br/>
        <w:t>desde una falta de sensibilidad frente a  la  problemática  de  la  persona,</w:t>
        <w:br/>
        <w:t>hasta actitudes abiertamente hostiles y discriminatorias que desvalorizan  a</w:t>
        <w:br/>
        <w:t>las personas. Por ejemplo, echan la culpa a la víctima y su familia  por  su</w:t>
        <w:br/>
        <w:t>estilo de vida, por la ropa que usan, o por las horas en las  que  están  en</w:t>
        <w:br/>
        <w:t>calle;  finalmente,  la  calificación  de  muchos  de  estos  crímenes  como</w:t>
        <w:br/>
        <w:t>‘pasionales’   sin   una   debida   investigación   indican   este    patrón</w:t>
        <w:br/>
        <w:t>discriminatorio. Esta falta de respeto para la dignidad de  las  víctimas  o</w:t>
        <w:br/>
        <w:t>sus  familiares  tiene  el  efecto  de   ‘re-victimizarlas’”.   Cfr.   CIDH,</w:t>
        <w:br/>
        <w:t>Comunicado de  Prensa,  N  20/04,  18  de  septiembre  de  2004,  párr.  26.</w:t>
        <w:br/>
        <w:t>Disponible en: http://www.cidh.oas.org/Comunicados/Spanish/2004/20.04.htm</w:t>
        <w:br/>
        <w:t>[38]  Cfr. Inscripción de nacimiento de 2 de diciembre de  1985  (expediente</w:t>
        <w:br/>
        <w:t>de prueba, folio 3047).</w:t>
        <w:br/>
        <w:t>[39]  Cfr. Certificación  de  calificaciones  en  la  Facultad  de  Ciencias</w:t>
        <w:br/>
        <w:t>Jurídicas  y  Sociales  de  la  Universidad  de  San  Carlos  de   Guatemala</w:t>
        <w:br/>
        <w:t>(expediente de prueba, folio 2629).</w:t>
        <w:br/>
        <w:t>[40]  Cfr. Declaración del señor Jorge Rolando  Velásquez  Durán  de  22  de</w:t>
        <w:br/>
        <w:t>septiembre  de  2005  ante  el  auxiliar  fiscal  del   Ministerio   Público</w:t>
        <w:br/>
        <w:t>(expediente de prueba, folio 9); Declaración  de  la  señora  Elsa  Claudina</w:t>
        <w:br/>
        <w:t>Paiz Vidal de  22  de  septiembre  de  2005  ante  el  auxiliar  fiscal  del</w:t>
        <w:br/>
        <w:t>Ministerio Público (expediente de prueba, folio 16); Declaración  del  señor</w:t>
        <w:br/>
        <w:t>Jorge Rolando Velásquez Durán de 24  de  enero  de  2006  ante  el  auxiliar</w:t>
        <w:br/>
        <w:t>fiscal del Ministerio Público (expediente de prueba, folios  3868  a  3869);</w:t>
        <w:br/>
        <w:t>Entrevista a la señora Elsa Claudina Paiz Vidal,  Informe  de  Investigación</w:t>
        <w:br/>
        <w:t>de 24 de octubre de 2005 (expediente de prueba, folio 51).</w:t>
        <w:br/>
        <w:t>[41]  Cfr. Declaración de la señora  Elsa  Claudina  Paiz  Vidal  de  22  de</w:t>
        <w:br/>
        <w:t>septiembre  de  2005  ante  el  auxiliar  fiscal  del   Ministerio   Público</w:t>
        <w:br/>
        <w:t>(expediente de prueba, folio 16);  Reconocimiento  médico  psiquiátrico  del</w:t>
        <w:br/>
        <w:t>señor Jorge Rolando Velásquez Durán de 21 de octubre de 2009 (expediente  de</w:t>
        <w:br/>
        <w:t>prueba, folio 198), y Declaración  del  perito  Álvaro  Rodrigo  Castellanos</w:t>
        <w:br/>
        <w:t>Howell durante la audiencia ante la Comisión Interamericana de 27  de  marzo</w:t>
        <w:br/>
        <w:t>de 2012 (expediente de prueba, folio 2723).</w:t>
        <w:br/>
        <w:t>[42]  Cfr. Declaración del señor Jorge Rolando  Velásquez  Durán  de  24  de</w:t>
        <w:br/>
        <w:t>enero de 2006 ante el auxiliar fiscal del Ministerio Público (expediente  de</w:t>
        <w:br/>
        <w:t>prueba, folio 3871), y Reconocimiento médico psiquiátrico  del  señor  Jorge</w:t>
        <w:br/>
        <w:t>Rolando Velásquez Durán de 21 de octubre  de  2009  (expediente  de  prueba,</w:t>
        <w:br/>
        <w:t>folio 198).</w:t>
        <w:br/>
        <w:t>[43]  Cfr. Boleta de denuncia de  desaparición  de  13  de  agosto  de  2005</w:t>
        <w:br/>
        <w:t>(expediente de prueba, folio 21), y Resolución de  la  Procuraduría  de  los</w:t>
        <w:br/>
        <w:t>Derechos Humanos de 20 de julio de 2006 (expediente de prueba, folio 124).</w:t>
        <w:br/>
        <w:t>[44]  Cfr. Oficio No. 2544/2005 de 13 de agosto de 2005, Estación 142,  Zona</w:t>
        <w:br/>
        <w:t>11 de la PNC, Ciudad de Guatemala (expediente de prueba, folio 23).</w:t>
        <w:br/>
        <w:t>[45]  Cfr. Constancia No. 828.09.2005 del Benemérito  Cuerpo  Voluntario  de</w:t>
        <w:br/>
        <w:t>Bomberos de Guatemala (expediente de prueba, folio 33), y Declaración  de  6</w:t>
        <w:br/>
        <w:t>de diciembre de 2005 (expediente de prueba, folio 3859).</w:t>
        <w:br/>
        <w:t>[46]  Cfr. Oficio No. 2544/2005 de 13 de agosto de 2005, Estación 142,  Zona</w:t>
        <w:br/>
        <w:t>11 de la PNC, Ciudad de Guatemala (expediente de prueba, folio 23);  Informe</w:t>
        <w:br/>
        <w:t>de 16 de agosto de 2005 del Técnico de Investigaciones  Criminalísticas  del</w:t>
        <w:br/>
        <w:t>Ministerio Público (expediente de prueba, folio 56),  e  Informe  de  19  de</w:t>
        <w:br/>
        <w:t>agosto de 2005 de los Técnicos  de  Investigaciones  Criminalísticas  I  del</w:t>
        <w:br/>
        <w:t>Ministerio Público (expediente de prueba, folio 40).</w:t>
        <w:br/>
        <w:t>[47]  Cfr. Álbum fotográfico de la escena trabajada el 13 de agosto de  2005</w:t>
        <w:br/>
        <w:t>en el lugar donde se documentó el cadáver de Claudina Velásquez  (expediente</w:t>
        <w:br/>
        <w:t>de prueba, folio 2797); Declaración del médico forense de  20  de  enero  de</w:t>
        <w:br/>
        <w:t>2009 ante el auxiliar fiscal del Ministerio Público (expediente  de  prueba,</w:t>
        <w:br/>
        <w:t>folio 2880), y Video de la escena trabajada el 13 de agosto de 2005.</w:t>
        <w:br/>
        <w:t>[48]  Cfr. Oficio No. 2544/2005 de 13 de agosto de 2005, Estación 142,  Zona</w:t>
        <w:br/>
        <w:t>11 de la PNC, Ciudad de  Guatemala  (expediente  de  prueba,  folio  23),  y</w:t>
        <w:br/>
        <w:t>Formato para Levantamiento y Remisión de Cadáveres de 13 de agosto de  2005,</w:t>
        <w:br/>
        <w:t>Ministerio Público (expediente de prueba, folio 25).</w:t>
        <w:br/>
        <w:t>[49]  Cfr. Informe de reconocimiento médico externo y  procesamiento  médico</w:t>
        <w:br/>
        <w:t>legal de la escena del crimen  de  30  de  agosto  de  2005  (expediente  de</w:t>
        <w:br/>
        <w:t>prueba, folio 35).</w:t>
        <w:br/>
        <w:t>[50]  Cfr. Oficio No. 2544/2005 de 13 de agosto de 2005, Estación 142,  Zona</w:t>
        <w:br/>
        <w:t>11 de la PNC, Ciudad de Guatemala (expediente de prueba, folio 23);  Formato</w:t>
        <w:br/>
        <w:t>para Levantamiento y  Remisión  de  Cadáveres  de  13  de  agosto  de  2005,</w:t>
        <w:br/>
        <w:t>Ministerio Público (expediente  de  prueba,  folio  27),  y  Constancia  No.</w:t>
        <w:br/>
        <w:t>828.09.2005 del  Benemérito  Cuerpo  Voluntario  de  Bomberos  de  Guatemala</w:t>
        <w:br/>
        <w:t>(expediente de prueba, folio 33); Informe  de  16  de  agosto  de  2005  del</w:t>
        <w:br/>
        <w:t>Técnico  de   Investigaciones   Criminalísticas   del   Ministerio   Público</w:t>
        <w:br/>
        <w:t>(expediente  de  prueba,  folio  56),  y  Álbum  fotográfico  de  la  escena</w:t>
        <w:br/>
        <w:t>trabajada el 13 de agosto de 2005  (expediente  de  prueba,  folios  2796  a</w:t>
        <w:br/>
        <w:t>2805).</w:t>
        <w:br/>
        <w:t>[51]   Cfr.  Informe  de  19  de  agosto  de  2005  de   los   Técnicos   de</w:t>
        <w:br/>
        <w:t>Investigaciones  Criminalísticas  del  Ministerio  Público  (expediente   de</w:t>
        <w:br/>
        <w:t>prueba,  folio  40),  e  Informe  de   reconocimiento   médico   externo   y</w:t>
        <w:br/>
        <w:t>procesamiento médico legal de la escena del crimen de 30 de agosto  de  2005</w:t>
        <w:br/>
        <w:t>(expediente de prueba, folio 35).</w:t>
        <w:br/>
        <w:t>[52]  Cfr. Informe de la investigadora de la  Unidad  Contra  Homicidios  de</w:t>
        <w:br/>
        <w:t>Mujeres del Servicio de Investigación Criminal de la PNC de 13 de agosto  de</w:t>
        <w:br/>
        <w:t>2005 (expediente de prueba, folio 71); Informe de 16 de agosto de  2005  del</w:t>
        <w:br/>
        <w:t>Técnico  de   Investigaciones   Criminalísticas   del   Ministerio   Público</w:t>
        <w:br/>
        <w:t>(expediente de prueba, folio 56); Informe de necropsia de 16  de  agosto  de</w:t>
        <w:br/>
        <w:t>2005 (expediente de prueba, folios 30 y 31); Álbum fotográfico de la  escena</w:t>
        <w:br/>
        <w:t>trabajada el 13 de agosto de 2005 (expediente  de  prueba,  folio  2802),  y</w:t>
        <w:br/>
        <w:t>Declaración del médico forense de 20 de  enero  de  2009  ante  el  auxiliar</w:t>
        <w:br/>
        <w:t>fiscal del Ministerio Público (expediente de prueba, folio 2880).</w:t>
        <w:br/>
        <w:t>[53]  Los objetos recolectados como evidencia fueron:  1)  un  casquillo  de</w:t>
        <w:br/>
        <w:t>arma de fuego de calibre desconocido; 2)  un  proyectil  de  arma  de  fuego</w:t>
        <w:br/>
        <w:t>calibre desconocido; 3) un sobre de vegetales deshidratados de leyenda  “Cup</w:t>
        <w:br/>
        <w:t>Ramen”, y 4) un suéter color rosa que  vestía  y  con  posibles  manchas  de</w:t>
        <w:br/>
        <w:t>sangre. Cfr. Oficio MP-001-2005-69430 de  la  Dirección  de  Investigaciones</w:t>
        <w:br/>
        <w:t>Criminalísticas  del  Ministerio  Público  de  23  de  septiembre  de   2005</w:t>
        <w:br/>
        <w:t>(expediente de prueba, folio 4613); Informe  No.  2242-05  del  Departamento</w:t>
        <w:br/>
        <w:t>Técnico Científico del  Ministerio  Público  (expediente  de  prueba,  folio</w:t>
        <w:br/>
        <w:t>4615), y Álbum fotográfico de la escena trabajada el 13 de  agosto  de  2005</w:t>
        <w:br/>
        <w:t>(expediente de prueba, folio 2804). Además, consta que se  recolectaron  los</w:t>
        <w:br/>
        <w:t>siguientes accesorios que portaba:  5)  un  arete  de  rosca  pequeño  color</w:t>
        <w:br/>
        <w:t>plateado con una perla color rosada, y 6) una  cadena  tipo  gargantilla  de</w:t>
        <w:br/>
        <w:t>tela color rosada con un dije de la reina Osiris. Cfr. Oficio No.  2544/2005</w:t>
        <w:br/>
        <w:t>de 13 de agosto de 2005,  Estación  142,  Zona  11  de  la  PNC,  Ciudad  de</w:t>
        <w:br/>
        <w:t>Guatemala (expediente de prueba, folio 23), e Informe  de  la  investigadora</w:t>
        <w:br/>
        <w:t>de la Unidad Contra Homicidios de  Mujeres  del  Servicio  de  Investigación</w:t>
        <w:br/>
        <w:t>Criminal de la PNC de 13 de agosto de 2005 (expediente de prueba, folios  69</w:t>
        <w:br/>
        <w:t>y 70).</w:t>
        <w:br/>
        <w:t>[54]  Cfr. Oficio No. 2544/2005 de 13 de agosto de 2005, Estación 142,  Zona</w:t>
        <w:br/>
        <w:t>11 de la PNC, Ciudad de Guatemala (expediente de prueba, folio 23).</w:t>
        <w:br/>
        <w:t>[55]  Cfr. Oficio No. 2544/2005 de 13 de agosto de 2005, Estación 142,  Zona</w:t>
        <w:br/>
        <w:t>11 de la PNC, Ciudad de  Guatemala  (expediente  de  prueba,  folio  23),  y</w:t>
        <w:br/>
        <w:t>Formato para Levantamiento y Remisión de Cadáveres de 13 de agosto de  2005,</w:t>
        <w:br/>
        <w:t>Ministerio Público (expediente de prueba, folio 26).</w:t>
        <w:br/>
        <w:t>[56]  Cfr. Declaración del señor Jorge Rolando  Velásquez  Durán  de  22  de</w:t>
        <w:br/>
        <w:t>septiembre  de  2005  ante  el  auxiliar  fiscal  del   Ministerio   Público</w:t>
        <w:br/>
        <w:t>(expediente de prueba, folios 10 y 11); Declaración del señor Jorge  Rolando</w:t>
        <w:br/>
        <w:t>Velásquez Durán de  24  de  enero  de  2006  ante  el  auxiliar  fiscal  del</w:t>
        <w:br/>
        <w:t>Ministerio  Público  (expediente  de  prueba,  folio  3874);  Reconocimiento</w:t>
        <w:br/>
        <w:t>médico psiquiátrico del  señor  Jorge  Rolando  Velásquez  Durán  de  21  de</w:t>
        <w:br/>
        <w:t>octubre de 2009 (expediente de  prueba,  folio  198),  y  Entrevista  de  la</w:t>
        <w:br/>
        <w:t>señora  Elsa  Claudina  Paiz  Vidal  de  15  de  agosto  de  2005  ante   la</w:t>
        <w:br/>
        <w:t>Investigadora del Servicio de  Investigación  Criminal  PNC  (expediente  de</w:t>
        <w:br/>
        <w:t>prueba, folio 2903).</w:t>
        <w:br/>
        <w:t>[57]  Cfr. Acta de identificación del  Servicio  médico  forense  de  13  de</w:t>
        <w:br/>
        <w:t>agosto de 2005  (expediente  de  prueba,  folio  77),  y  Resolución  de  la</w:t>
        <w:br/>
        <w:t>Procuraduría de los Derechos Humanos de 20 de julio de 2006  (expediente  de</w:t>
        <w:br/>
        <w:t>prueba, folio 124).</w:t>
        <w:br/>
        <w:t>[58]  Cfr. Certificado de Defunción de 17 de octubre de 2005 (expediente  de</w:t>
        <w:br/>
        <w:t>prueba, folio 3016).</w:t>
        <w:br/>
        <w:t>[59]  Cfr. Oficios de 10 de noviembre de 2005, 5 de julio de 2006  y  22  de</w:t>
        <w:br/>
        <w:t>junio de 2009 (expediente de prueba, folios 4264, 4734  y  4977).  De  igual</w:t>
        <w:br/>
        <w:t>modo ver infra párr. 67.</w:t>
        <w:br/>
        <w:t>[60]  Cfr. Informe de reconociendo médico  externo  y  procesamiento  médico</w:t>
        <w:br/>
        <w:t>legal de la escena del crimen  de  30  de  agosto  de  2005  (expediente  de</w:t>
        <w:br/>
        <w:t>prueba, folios 35 y 36).</w:t>
        <w:br/>
        <w:t>[61]   Escrito  del   auxiliar   fiscal   dirigido   a   la   Dirección   de</w:t>
        <w:br/>
        <w:t>Investigaciones Criminalísticas del Ministerio Público  de  7  de  junio  de</w:t>
        <w:br/>
        <w:t>2006 (expediente de prueba, folio 193).</w:t>
        <w:br/>
        <w:t>[62]  Escrito del médico forense dirigido al auxiliar fiscal de 21 de  junio</w:t>
        <w:br/>
        <w:t>de 2006 (expediente de prueba, folio 38).</w:t>
        <w:br/>
        <w:t>[63]  Cfr. Declaración del médico forense de 20 de enero  de  2009  ante  el</w:t>
        <w:br/>
        <w:t>auxiliar fiscal del Ministerio Público (expediente de prueba, folios 2879  a</w:t>
        <w:br/>
        <w:t>2883).</w:t>
        <w:br/>
        <w:t>[64]  Cfr. Informe de necropsia dirigido al auxiliar fiscal de 16 de  agosto</w:t>
        <w:br/>
        <w:t>de 2005 (expediente de prueba, folios 30 y 31).</w:t>
        <w:br/>
        <w:t>[65]  Cfr. Escritos del auxiliar fiscal de 5 y 13 de octubre de 2005,  7  de</w:t>
        <w:br/>
        <w:t>junio de 2006, y 11 y 26 de octubre de 2007  dirigidos  al  Servicio  Médico</w:t>
        <w:br/>
        <w:t>Forense (expediente de prueba, folios 4221, 4243, 3277, 4363, 4364,  4519  y</w:t>
        <w:br/>
        <w:t>4514).</w:t>
        <w:br/>
        <w:t>[66]  Cfr. Informes del médico forense de 7 de octubre de 2005, 7  de  junio</w:t>
        <w:br/>
        <w:t>de 2006 y 3 de diciembre de 2007 (expediente de prueba, folios 2976 a  2977,</w:t>
        <w:br/>
        <w:t>3278 y 5073).</w:t>
        <w:br/>
        <w:t>[67]  Cfr.  Informe  del  Técnico  de  Investigaciones  Criminalísticas  del</w:t>
        <w:br/>
        <w:t>Ministerio Público de 16 de agosto de  2005  (expediente  de  prueba,  folio</w:t>
        <w:br/>
        <w:t>59), y Resolución de la Procuraduría de los Derechos Humanos de 20 de  julio</w:t>
        <w:br/>
        <w:t>de 2006 (expediente de prueba, folio 124).</w:t>
        <w:br/>
        <w:t>[68]  Cfr. Declaración rendida por Jorge Rolando Velásquez Durán durante  la</w:t>
        <w:br/>
        <w:t>audiencia pública celebrada los días 21 y 22 de abril de 2015 ante la  Corte</w:t>
        <w:br/>
        <w:t>Interamericana; Declaración del señor Jorge Rolando Velásquez  Durán  de  24</w:t>
        <w:br/>
        <w:t>de enero de 2006 ante el auxiliar fiscal del Ministerio Público  (expediente</w:t>
        <w:br/>
        <w:t>de prueba, folios 3875  y  3876);  Reconocimiento  médico  psiquiátrico  del</w:t>
        <w:br/>
        <w:t>señor Jorge Rolando Velásquez Durán de 21 de octubre de 2009 (expediente  de</w:t>
        <w:br/>
        <w:t>prueba, folio 199); Reconocimiento médico psiquiátrico  de  la  señora  Elsa</w:t>
        <w:br/>
        <w:t>Claudina Paiz Vidal de 2 de diciembre de 2010 (expediente de  prueba,  folio</w:t>
        <w:br/>
        <w:t>206).</w:t>
        <w:br/>
        <w:t>[69]  Cfr. Constancia No. 828.09.2005 del Benemérito  Cuerpo  Voluntario  de</w:t>
        <w:br/>
        <w:t>Bomberos de Guatemala de 6 de septiembre  de  2005  (expediente  de  prueba,</w:t>
        <w:br/>
        <w:t>folio 33).</w:t>
        <w:br/>
        <w:t>[70]  Cfr. Declaración rendida por un Bombero Voluntario  ante  el  auxiliar</w:t>
        <w:br/>
        <w:t>fiscal de 6 de diciembre de 2005 (expediente de prueba, folio 3859).</w:t>
        <w:br/>
        <w:t>[71]  Cfr. Informes de la investigadora de la Unidad  Contra  Homicidios  de</w:t>
        <w:br/>
        <w:t>Mujeres del Servicio de Investigación Criminal de la PNC de 13, 22 y  25  de</w:t>
        <w:br/>
        <w:t>agosto de 2005 (expediente de prueba, folios 68 a 71, 2901 a 2905 y  4986  a</w:t>
        <w:br/>
        <w:t>4993).</w:t>
        <w:br/>
        <w:t>[72]  Cfr. Escrito del Técnico de Investigaciones Criminalísticas de  23  de</w:t>
        <w:br/>
        <w:t>agosto y 19 de septiembre de 2005 y 18  de  julio  de  2008  (expediente  de</w:t>
        <w:br/>
        <w:t>prueba, folios 2795 a 2805, 4611 a 4612, y 4153 a 4158).</w:t>
        <w:br/>
        <w:t>[73]  Cfr. Informes  del  Técnico  de  Investigaciones  Criminalísticas  del</w:t>
        <w:br/>
        <w:t>Ministerio Público de 2005, 2008, 2010, 2011 y 2012 (expediente  de  prueba,</w:t>
        <w:br/>
        <w:t>folios 56 a 57, 2893 a 2895, 4636, 4641 a 4644, 4877 a 4883,  3216  a  3217,</w:t>
        <w:br/>
        <w:t>5308 a 5310, 5318 a 5322, 5339, 5340 a 5342, 5348 a 5377, 5465 a 5469,  5673</w:t>
        <w:br/>
        <w:t>a 5676, 5685 a 5686, 5695, 6152, 6153, 6165 a 6166, 6204 a  6211  y  6274  a</w:t>
        <w:br/>
        <w:t>6283).</w:t>
        <w:br/>
        <w:t>[74]  Cfr. Informes de la investigadora de la Dirección  de  Investigaciones</w:t>
        <w:br/>
        <w:t>Criminalísticas del Ministerio Público de 2005, 2006 y 2007  (expediente  de</w:t>
        <w:br/>
        <w:t>prueba, folios 3002 a 3013, 3052 a 3055, 4760 a 4766, 4767 a  4778,  4688  a</w:t>
        <w:br/>
        <w:t>4712, 4781 a 4784, 4805 a 4810, 4825 a 4827 y 4828 a 4831).</w:t>
        <w:br/>
        <w:t>[75]  Cfr. Informe de los investigadores de  la  División  de  Investigación</w:t>
        <w:br/>
        <w:t>Criminal de la Policía Nacional Civil de 2006, 2011 y  2012  (expediente  de</w:t>
        <w:br/>
        <w:t>prueba, folios 4996 a 4997, 4998 a 5003, 5305 a 5307, 5334 a  5336,  5457  a</w:t>
        <w:br/>
        <w:t>5670, 5679 a 5682, 5696 a 5697 y 5754 a 5756).</w:t>
        <w:br/>
        <w:t>[76]  Cfr. Formato para Levantamiento y  Remisión  de  Cadáveres  de  13  de</w:t>
        <w:br/>
        <w:t>agosto de 2005, Ministerio Público  (expediente  de  prueba,  folio  27),  y</w:t>
        <w:br/>
        <w:t>Escrito del médico forense investigador del  Ministerio  Público  de  30  de</w:t>
        <w:br/>
        <w:t>agosto de 2005 (expediente de prueba, folio 35).</w:t>
        <w:br/>
        <w:t>[77]  Cfr. Dictamen pericial  TOXI-05-2620  de  16  de  septiembre  de  2005</w:t>
        <w:br/>
        <w:t>(expediente de prueba, folios 93 y 94), y Solicitud de dictamen pericial  de</w:t>
        <w:br/>
        <w:t>26 de agosto de 2005 (expediente de prueba, folio 4182).</w:t>
        <w:br/>
        <w:t>[78]  Dictamen  TOXI-11-11371  INACIF-11-30730  del  Instituto  Nacional  de</w:t>
        <w:br/>
        <w:t>Ciencias Forenses de 18 de noviembre de 2011  (expediente de prueba,  folios</w:t>
        <w:br/>
        <w:t>4172 y 5648 a 5649).</w:t>
        <w:br/>
        <w:t>[79]   Cfr.  Dictamen  BIOL-05-1455  de  la  Dirección  de   Investigaciones</w:t>
        <w:br/>
        <w:t>Criminalísticas de 29 de septiembre de 2005  (expediente  de  prueba,  folio</w:t>
        <w:br/>
        <w:t>90).</w:t>
        <w:br/>
        <w:t>[80]        Cfr. Informe de criminalística GU-C03/06  de  3  de  febrero  de</w:t>
        <w:br/>
        <w:t>2006 (expediente de prueba, folios 4678 a 4680); Informe  de  criminalística</w:t>
        <w:br/>
        <w:t>GU-C12/06 de 26 de junio de  2006  (expediente  de  prueba,  folios  4791  a</w:t>
        <w:br/>
        <w:t>4793);  Informe  de  criminalística  GU-C07/08  de  28  de  marzo  de   2008</w:t>
        <w:br/>
        <w:t>(expediente de prueba, folios 4871 a 4873); Informe  de  criminalística  GU-</w:t>
        <w:br/>
        <w:t>C72/09 de 23 de octubre de 2009 (expediente de prueba, folios 4900 a  4902);</w:t>
        <w:br/>
        <w:t>Informe de criminalística GU-C61/09 de 5 de octubre de 2009  (expediente  de</w:t>
        <w:br/>
        <w:t>prueba, folios 4904 a 4906), e Informe del Agente Fiscal de 12 de  marzo  de</w:t>
        <w:br/>
        <w:t>2012 (expediente de prueba, folio 5865).</w:t>
        <w:br/>
        <w:t>[81]  Cfr. Informe del INACIF dirigido al auxiliar fiscal de 3 de  julio  de</w:t>
        <w:br/>
        <w:t>2012 (expediente de prueba, folios 6139  a  6141),  e  Informe  de  análisis</w:t>
        <w:br/>
        <w:t>interpretativo de la Fundación de Antropología Forense de  Guatemala  de  11</w:t>
        <w:br/>
        <w:t>de junio de 2012 (expediente de prueba, folios 6143 a 6145).</w:t>
        <w:br/>
        <w:t>[82]        Cfr. Informe de criminalística GU-C20/06 de 29 de septiembre  de</w:t>
        <w:br/>
        <w:t>2006 (expediente de prueba, folios  4796  a  4799);  Informe  del  Instituto</w:t>
        <w:br/>
        <w:t>Nacional  de  Ciencias  Forenses  de  Guatemala  de  7  de  abril  de   2008</w:t>
        <w:br/>
        <w:t>(expediente de prueba, folios 4946 a 4948), e Informe de criminalística  GU-</w:t>
        <w:br/>
        <w:t>C25/09 de 20 de mayo de 2009 (expediente de prueba, folios 4913 a 4915).</w:t>
        <w:br/>
        <w:t>[83]   Cfr.  Dictamen  BIOL-05-1455  de  la  Dirección  de   Investigaciones</w:t>
        <w:br/>
        <w:t>Criminalísticas 29 de septiembre de 2005, (expediente de prueba, folio 90).</w:t>
        <w:br/>
        <w:t>[84]  Cfr. Oficio DT.281.08.2011  del  Departamento  de  Toxicología  de  la</w:t>
        <w:br/>
        <w:t>Universidad de San Carlos de Guatemala de 23 de agosto de  2011  (expediente</w:t>
        <w:br/>
        <w:t>de prueba, folio 5332).</w:t>
        <w:br/>
        <w:t>[85]  Cfr. Oficio  SEG-ESP-0854-2011  del  Instituto  Nacional  de  Ciencias</w:t>
        <w:br/>
        <w:t>Forenses de Guatemala de 6 de septiembre  de  2011  (expediente  de  prueba,</w:t>
        <w:br/>
        <w:t>folio 5406).</w:t>
        <w:br/>
        <w:t>[86]  Cfr. Oficio del auxiliar  fiscal  dirigido  a  la  Administradora  del</w:t>
        <w:br/>
        <w:t>Mercado Roosevelt de 11 de agosto  de  2011  (expediente  de  prueba,  folio</w:t>
        <w:br/>
        <w:t>5793), y Escrito de la Dirección de Mercados dirigido al auxiliar fiscal  de</w:t>
        <w:br/>
        <w:t>13 de octubre de 2011 (expediente de prueba, folios 5480 y 54819).</w:t>
        <w:br/>
        <w:t>[87]  Cfr. Oficio  MP-001-2005-69430  de  la  Dirección  de  Investigaciones</w:t>
        <w:br/>
        <w:t>Criminalísticas  del  Ministerio  Público  de  23  de  septiembre  de   2005</w:t>
        <w:br/>
        <w:t>(expediente de prueba, folio 4613), y Solicitud  de  Análisis,  Informe  No.</w:t>
        <w:br/>
        <w:t>2242-05  del  Departamento  Técnico  Científico   del   Ministerio   Público</w:t>
        <w:br/>
        <w:t>(expediente de prueba, folio 4615).</w:t>
        <w:br/>
        <w:t>[88]  Cfr. Dictamen BIOL-05-1458 del Ministerio Público de 26 de  septiembre</w:t>
        <w:br/>
        <w:t>de 2005 (expediente de prueba, folio 4628)</w:t>
        <w:br/>
        <w:t>[89]  Cfr. Acta del auxiliar fiscal de 6 de septiembre de  2005  (expediente</w:t>
        <w:br/>
        <w:t>de prueba, folio 2986).</w:t>
        <w:br/>
        <w:t>[90]  Cfr. Dictamen BIOL-05-1827 de 3 de noviembre de  2005  (expediente  de</w:t>
        <w:br/>
        <w:t>prueba, folio 4637).</w:t>
        <w:br/>
        <w:t>[91]  Cfr. Oficio MP001-2005-69430-C.A. de 8 de junio  de  2006  (expediente</w:t>
        <w:br/>
        <w:t>de prueba, folio 4365), e Informe Ampliatorio No.  BIOL-06-01273  de  12  de</w:t>
        <w:br/>
        <w:t>junio de 2006 (expediente de prueba, folio 4748).</w:t>
        <w:br/>
        <w:t>[92]  Cfr. Oficio MP-001-2005-69430 del auxiliar fiscal de  6  de  junio  de</w:t>
        <w:br/>
        <w:t>2006 (expediente de prueba, folios 4394 y 4395).</w:t>
        <w:br/>
        <w:t>[93]   Cfr.  Informe  DACT-06-0466   RDC-06-14692   de   la   Dirección   de</w:t>
        <w:br/>
        <w:t>Investigaciones Criminalísticas de  20  de  julio  de  2006  (expediente  de</w:t>
        <w:br/>
        <w:t>prueba, folio 4720).</w:t>
        <w:br/>
        <w:t>[94]  Cfr.  Oficio  BAL-05-1308/1639  de  la  Dirección  de  Investigaciones</w:t>
        <w:br/>
        <w:t>Criminalísticas de 14 de octubre de 2005 (expediente de prueba, folios  4803</w:t>
        <w:br/>
        <w:t>y 4804), y Oficio MP001/2005/6930 del Laboratorio Balístico de la  Dirección</w:t>
        <w:br/>
        <w:t>General de la Policía Nacional Civil de 6 de diciembre de  2005  (expediente</w:t>
        <w:br/>
        <w:t>de prueba, folios 4994 y 4995).</w:t>
        <w:br/>
        <w:t>[95]  Cfr. Resolución del Juez de  la  causa  de  3  de  noviembre  de  2005</w:t>
        <w:br/>
        <w:t>(expediente de prueba, folios 3677 y 3680).</w:t>
        <w:br/>
        <w:t>[96]  Cfr. Escrito de remisión  de  actas  de  diligencia  de  Allanamiento,</w:t>
        <w:br/>
        <w:t>Inspección, Registro y Secuestro de armas de fuego  de  7  de  noviembre  de</w:t>
        <w:br/>
        <w:t>2005 (expediente de prueba, folios 3027 a 3029).</w:t>
        <w:br/>
        <w:t>[97]   Cfr.  Oficio  BAL-05-1836  de   la   Dirección   de   Investigaciones</w:t>
        <w:br/>
        <w:t>Criminalísticas de 19 de enero de 2006 (expediente de prueba, folio 4659).</w:t>
        <w:br/>
        <w:t>[98]  Cfr. Escrito de remisión  de  actas  de  diligencia  de  Allanamiento,</w:t>
        <w:br/>
        <w:t>Inspección, Registro y Secuestro de armas de fuego de  10  de  noviembre  de</w:t>
        <w:br/>
        <w:t>2010 (expediente de prueba, folios 3227 a 3231).</w:t>
        <w:br/>
        <w:t>[99]        Cfr. Oficios de solicitud de licencias vigentes de portación  de</w:t>
        <w:br/>
        <w:t>armas de fuego emitidos  por  el  auxiliar  fiscal  (expediente  de  prueba,</w:t>
        <w:br/>
        <w:t>folios 4195 a 4197, 4239, 4295 a 4296, 4332 a 4344, 4390, 4401, 4424,  4429,</w:t>
        <w:br/>
        <w:t>4439, 4458, 4459, 4461 a 4463, 4532, 5016 a 5035, 5046 a 5047, 5049 a  5051,</w:t>
        <w:br/>
        <w:t>5064 a 5068 y 5311).</w:t>
        <w:br/>
        <w:t>[100]       Cfr.  Oficios  dirigidos  al  auxiliar  fiscal  sobre  licencias</w:t>
        <w:br/>
        <w:t>vigentes de portación de armas de fuego (expediente de prueba,  folios  5016</w:t>
        <w:br/>
        <w:t>a 5035, 5046 a 5047, 5049 a 5051, 5064 a 5068, 5076, 5260, 5298, 5311,  6288</w:t>
        <w:br/>
        <w:t>y 6515).</w:t>
        <w:br/>
        <w:t>[101]       Cfr. Oficios del fiscal de sección de 5 de junio y  5  de  julio</w:t>
        <w:br/>
        <w:t>de 2006 (expediente de prueba, folios 4387 a 4389).</w:t>
        <w:br/>
        <w:t>[102]        Cfr.  Oficios  del  auxiliar  fiscal  dirigidos  al  jefe   del</w:t>
        <w:br/>
        <w:t>Departamento de Control  de  Armas  y  Municiones   (expediente  de  prueba,</w:t>
        <w:br/>
        <w:t>folios 4425 y 4426).</w:t>
        <w:br/>
        <w:t>[103]       Cfr. Informes dirigidos  al  auxiliar  fiscal  de  14  y  20  de</w:t>
        <w:br/>
        <w:t>septiembre de 2006 (expediente de prueba, folios 5066 y 5067).</w:t>
        <w:br/>
        <w:t>[104]        Cfr.  Oficio  de  la  Subdirección  General  de   Investigación</w:t>
        <w:br/>
        <w:t>Criminal de 30 de junio de 2006 (expediente de prueba, folios 5004 y  5005);</w:t>
        <w:br/>
        <w:t>Oficio BAL-06-1226/1674/1938 de 18 de agosto de 2006 (expediente de  prueba,</w:t>
        <w:br/>
        <w:t>folios 4787  a  4789),  y  Oficio  BAL-06-2480  de  5  de  octubre  de  2006</w:t>
        <w:br/>
        <w:t>(expediente de prueba, folios 4801 y 4802).</w:t>
        <w:br/>
        <w:t>[105]       Cfr. Oficio BAL-06-3144 de 20 de agosto de 2008  (expediente  de</w:t>
        <w:br/>
        <w:t>prueba, folios 4885 a 4890), y Oficio BAL-11-0882  INACIF-114964  de  31  de</w:t>
        <w:br/>
        <w:t>enero de 2011 (expediente de prueba, folios 5768 a 5771).</w:t>
        <w:br/>
        <w:t>[106]       Cfr. Informe del Departamento de Control de Armas  y  Municiones</w:t>
        <w:br/>
        <w:t>del Ministerio de la Defensa Nacional de 7 de noviembre de 2006  (expediente</w:t>
        <w:br/>
        <w:t>de prueba, folios 5607 y 5608).</w:t>
        <w:br/>
        <w:t>[107]       Cfr. Informe del Instituto Nacional de Ciencias Forenses  de  16</w:t>
        <w:br/>
        <w:t>de septiembre de 2008 (expediente de prueba, folios 5609 y 5610).</w:t>
        <w:br/>
        <w:t>[108]       Cfr. Informe del Instituto Nacional de Ciencias Forenses  de  25</w:t>
        <w:br/>
        <w:t>de octubre de 2011 (expediente de prueba, folio 5611).</w:t>
        <w:br/>
        <w:t>[109]       Cfr. Informe del Instituto Nacional de Ciencias Forenses  de  15</w:t>
        <w:br/>
        <w:t>de noviembre de 2012 (expediente de prueba, folio 6269).</w:t>
        <w:br/>
        <w:t>[110]        Cfr.  Declaraciones  ante  el  agente  y  el  auxiliar   fiscal</w:t>
        <w:br/>
        <w:t>(expediente de prueba, folios 2671 a 2675, 2879 a 2883, 2906 a 2932, 2935  a</w:t>
        <w:br/>
        <w:t>2952, 2984 a 2985, 2987 a 2989, 3219 a 3221, 3786 a 3805, 3808 a 3853,  3859</w:t>
        <w:br/>
        <w:t>a 3879, 3890 a 3901, 4007, 4012 a 4143, 4949 a 4953, 5653  a  5664,  5677  a</w:t>
        <w:br/>
        <w:t>5766, 5772 a 5775, 6146 a 6151, 6194 a 6196, 6183 a 6196, y 6264 a 6268).</w:t>
        <w:br/>
        <w:t>[111]       Cfr. Declaración de 4 de septiembre de  2005  del  administrador</w:t>
        <w:br/>
        <w:t>de la Gasolinera Texaco “Milenium” (expediente de prueba, folio 3806).</w:t>
        <w:br/>
        <w:t>[112]       Cfr. Oficio MP001/2005/69430 de 30 de octubre de  2007  dirigido</w:t>
        <w:br/>
        <w:t>a Gasolinera Texaco “Milenium” (expediente de prueba, folios 4522 y 4524).</w:t>
        <w:br/>
        <w:t>[113]       Cfr. Oficio MP001/2005/69430 de 23 de abril de 2008  dirigido  a</w:t>
        <w:br/>
        <w:t>Star Plus, Sociedad Anónima (expediente de prueba, folio 4550).</w:t>
        <w:br/>
        <w:t>[114]       Cfr.  Escritos  de  solicitudes  de  2005,  2008,  2011  y  2013</w:t>
        <w:br/>
        <w:t>(expediente de prueba, folios 4187, 4188, 4189, 4192  a  4194,  4220,  4238,</w:t>
        <w:br/>
        <w:t>4261, 4294, 4391, 4419, 4545, 4553, 5476, 5479 y 6284).</w:t>
        <w:br/>
        <w:t>[115]       Cfr. Oficios de 2005, 2006, 2008, 2011  y  2013  (expediente  de</w:t>
        <w:br/>
        <w:t>prueba, folios 4161, 4391, 5010 a 5014, 5019, 5040  a  5045,  5077  a  5122,</w:t>
        <w:br/>
        <w:t>5454, 5476, 6221 a 6230 y 6258), y Constancias  de  datos  de  licencias  de</w:t>
        <w:br/>
        <w:t>conducir de 2005, 2006, 2011, y 2013 (expediente  de  prueba,  folios  4984,</w:t>
        <w:br/>
        <w:t>5244 a 5253, 5630 a 5647, 6537 a 6543 y 6517 a 6519).</w:t>
        <w:br/>
        <w:t>[116]       Cfr. Oficio MP001/2005/69430 de 24 de octubre de  2005  dirigido</w:t>
        <w:br/>
        <w:t>al Juez de la causa  (expediente de prueba, folio 2970), y Escrito del  Juez</w:t>
        <w:br/>
        <w:t>Segundo de Primera Instancia  Penal,  Narcoactividad  y  Delitos  contra  el</w:t>
        <w:br/>
        <w:t>Ambiente de 3 de octubre de  2005  (expediente  de  prueba,  folios  3675  y</w:t>
        <w:br/>
        <w:t>3676).</w:t>
        <w:br/>
        <w:t>[117]       Cfr. Escrito  del  Juez  Segundo  de  Primera  Instancia  Penal,</w:t>
        <w:br/>
        <w:t>Narcoactividad y Delitos  contra  el  Ambiente  de  10  de  agosto  de  2006</w:t>
        <w:br/>
        <w:t>(expediente de prueba, folios 3155 a 3158 y 3759 a 3762).</w:t>
        <w:br/>
        <w:t>[118]       Cfr. Oficios del auxiliar fiscal 2005, 2006, 2007, 2008, 2009  y</w:t>
        <w:br/>
        <w:t>2012 (expediente de prueba, folios 4240, 4242,  4244,  4250,  4257  a  4260,</w:t>
        <w:br/>
        <w:t>4420, 4421, 4414 a 4418, 4445 a 4456, 4437, 4491 a 4493, 4546, 4588 a  4597,</w:t>
        <w:br/>
        <w:t>4601 a 4604 y 5776).</w:t>
        <w:br/>
        <w:t>[119]       Cfr. Oficios de 2005, 2006, 2007, 2008, 2009 y 2012  (expediente</w:t>
        <w:br/>
        <w:t>de prueba, folios 2783 a 2792, 4957 a 4970, 4976, 5127 a 5242, 5688 a  5694,</w:t>
        <w:br/>
        <w:t>5698, 5731 a 5752 y 5757).</w:t>
        <w:br/>
        <w:t>[120]       Cfr. Oficio del  auxiliar  fiscal  de  27  de  octubre  de  2006</w:t>
        <w:br/>
        <w:t>dirigido al Juez de la causa (expediente de prueba, folio 4436).</w:t>
        <w:br/>
        <w:t>[121]       Cfr. Escrito de 15 de noviembre de 2005 (expediente  de  prueba,</w:t>
        <w:br/>
        <w:t>folios 3043 a 3046), y Acuerdo del Juez de la causa de 28  de  noviembre  de</w:t>
        <w:br/>
        <w:t>2005 (expediente de prueba, folio 3050).</w:t>
        <w:br/>
        <w:t>[122]       Cfr. Escritos de 19 de julio, 3 y 25 de agosto y 12  de  octubre</w:t>
        <w:br/>
        <w:t>de 2006, 12 de enero de 2007, 18 de julio de 2008 y 5  de  febrero  de  2009</w:t>
        <w:br/>
        <w:t>(expediente de prueba, folios 2648 a 2663, 2759 a 2770, y 2773 a 2776).</w:t>
        <w:br/>
        <w:t>[123]       Cfr. Diligencias de reconstrucción de hechos de 26 de  junio  de</w:t>
        <w:br/>
        <w:t>2006 (expediente de prueba, folios 4008 a 4011).</w:t>
        <w:br/>
        <w:t>[124]       Cfr. Oficios sobre personas que recobraron su libertad los  días</w:t>
        <w:br/>
        <w:t>12 y 13 de agosto de 2005 emitidos por 15 centros  penitenciarios  los  días</w:t>
        <w:br/>
        <w:t>12 y 13 de julio de 2006 (expediente de prueba, folios 5262 a 5297).  Véase,</w:t>
        <w:br/>
        <w:t>además: Oficio de la Dirección General del Sistema Penitenciario  de  28  de</w:t>
        <w:br/>
        <w:t>junio de 2006 (expediente de prueba, folios 4756 a 4759).</w:t>
        <w:br/>
        <w:t>[125]        Cfr.  Oficio  MP001-2005-69430  de  25  de  febrero   de   2008</w:t>
        <w:br/>
        <w:t>(expediente de prueba, folios 5301 a 5303),  y  Acuerdo  del  Ministerio  de</w:t>
        <w:br/>
        <w:t>Gobernación de 25 de septiembre de 2008 (expediente de prueba,  folios  5346</w:t>
        <w:br/>
        <w:t>y 5347).</w:t>
        <w:br/>
        <w:t>[126]       Cfr. Oficio REF. 23-2012 de 6 de marzo de  2012  (expediente  de</w:t>
        <w:br/>
        <w:t>prueba, folio 5753).</w:t>
        <w:br/>
        <w:t>[127]       Cfr. Informe de 12 de  enero  de  2012  (expediente  de  prueba,</w:t>
        <w:br/>
        <w:t>folios 5671 y 5672).</w:t>
        <w:br/>
        <w:t>[128]       Cfr. Declaración ante el Ministerio Público  rendida  el  20  de</w:t>
        <w:br/>
        <w:t>abril de 2012 (expediente de prueba, folio 5772)</w:t>
        <w:br/>
        <w:t>[129]       Cfr. Copia de denuncia al número 110 de fecha 13  de  agosto  de</w:t>
        <w:br/>
        <w:t>2005, enviado por el Coordinador División 110 de la Policía  Nacional  Civil</w:t>
        <w:br/>
        <w:t>el 13 de septiembre de 2007 (expediente de prueba, folios 96 a 98).</w:t>
        <w:br/>
        <w:t>[130]       Cfr. Oficios MP001-2005-69430 sobre solicitudes de prueba de  26</w:t>
        <w:br/>
        <w:t>de junio de 2008 (expediente de prueba, folios 4558 y 4560).</w:t>
        <w:br/>
        <w:t>[131]       Cfr. Oficios MP001-2005-69430 sobre respuestas de  18  y  28  de</w:t>
        <w:br/>
        <w:t>julio de 2008 (expediente de prueba, folios 5007 y 5008).</w:t>
        <w:br/>
        <w:t>[132]       Cfr.  Oficio  del  auxiliar  fiscal  de  23  de  julio  de  2008</w:t>
        <w:br/>
        <w:t>(expediente de prueba, folios 4564 y 4565).</w:t>
        <w:br/>
        <w:t>[133]       Cfr. Escrito del sin fecha del  Perito  Balístico  del  Gabinete</w:t>
        <w:br/>
        <w:t>Criminalístico de la Policía Nacional Civil  (expediente  de  prueba,  folio</w:t>
        <w:br/>
        <w:t>5009).</w:t>
        <w:br/>
        <w:t>[134]       Cfr. Oficio del Instituto Nacional de Ciencias Forenses de 9  de</w:t>
        <w:br/>
        <w:t>junio de 2009 (expediente de prueba, folios 4921 a 4923).</w:t>
        <w:br/>
        <w:t>[135]       Cfr. Dictamen de perfil psiquiátrico de  víctima,  victimario  y</w:t>
        <w:br/>
        <w:t>escena del crimen sobre el caso de la muerte  violenta  de  Claudina  Isabel</w:t>
        <w:br/>
        <w:t>Velásquez Paiz (expediente de prueba, folios 4875 y 4876).</w:t>
        <w:br/>
        <w:t>[136]        Solicitó  la  ampliación  en  los   siguientes   términos:   1)</w:t>
        <w:br/>
        <w:t>desarrollar el perfil psiquiátrico del victimario toda vez que el  mismo  no</w:t>
        <w:br/>
        <w:t>se encuentra en el informe de 24 de noviembre de 2008; 2) desde el punto  de</w:t>
        <w:br/>
        <w:t>vista psiquiátrico ¿cómo percibe la actuación del victimario en  relación  a</w:t>
        <w:br/>
        <w:t>la vestimenta y posición de la víctima?; 3) con base  en  los  antecedentes,</w:t>
        <w:br/>
        <w:t>indicar si es posible establecer si el hecho fue realizado por  una  persona</w:t>
        <w:br/>
        <w:t>conocida o desconocida para la víctima; 4) establecer si haberle tratado  de</w:t>
        <w:br/>
        <w:t>esconder la prenda de vestir denominada sostén (“brasier”)  en  el  pantalón</w:t>
        <w:br/>
        <w:t>de la víctima es un indicador que el victimario es  una  persona  de  género</w:t>
        <w:br/>
        <w:t>masculino; 5) determinar si la escena del crimen fue una escena  ordenada  o</w:t>
        <w:br/>
        <w:t>desordenada, y 6) determinar de acuerdo al perfil del victimario si este  es</w:t>
        <w:br/>
        <w:t>un criminal organizado o desorganizado. Cfr. Oficio del auxiliar  fiscal  de</w:t>
        <w:br/>
        <w:t>15 de enero de 2009 (expediente de prueba, folio 4582).</w:t>
        <w:br/>
        <w:t>[137]       Cfr. Oficios de 24 de agosto, 9 de septiembre,  y  19  y  21  de</w:t>
        <w:br/>
        <w:t>octubre de 2011 (expediente de prueba, folios 5378 a 5402,  5484, a  5542  y</w:t>
        <w:br/>
        <w:t>5809).</w:t>
        <w:br/>
        <w:t>[138]       Cfr. Oficios  de  la  Sección  de  Nomenclatura  y  Registro  de</w:t>
        <w:br/>
        <w:t>Tierras Municipales de la Dirección de Catastro y  Administración  del  IUSI</w:t>
        <w:br/>
        <w:t>de 5 de septiembre y 4 de noviembre de 2011 (expediente  de  prueba,  folios</w:t>
        <w:br/>
        <w:t>5407 a 5447, 5618 y 5619).</w:t>
        <w:br/>
        <w:t>[139]       Cfr. Resolución de la Procuraduría de los  Derechos  Humanos  de</w:t>
        <w:br/>
        <w:t>20 de julio de 2006 (expediente de prueba, folios 3255 a 3262).</w:t>
        <w:br/>
        <w:t>[140]       Cfr.  Oficio  SUPGMP-953-2011  de  la  Supervisión  General  del</w:t>
        <w:br/>
        <w:t>Ministerio Público de 19 de agosto de  2011  (expediente  de  prueba,  folio</w:t>
        <w:br/>
        <w:t>5331).</w:t>
        <w:br/>
        <w:t>[141]       Cfr. Resolución de la Fiscalía  de  Delitos  contra  la  Vida  e</w:t>
        <w:br/>
        <w:t>Integridad de la Persona de 11 de febrero de  2009  (expediente  de  prueba,</w:t>
        <w:br/>
        <w:t>folios 6176 a 6179).</w:t>
        <w:br/>
        <w:t>[142]       Cfr. Oficio de la Dirección de  Investigaciones  Criminalísticas</w:t>
        <w:br/>
        <w:t>de 5 de julio de 2012 (expediente de prueba, folio 6142).</w:t>
        <w:br/>
        <w:t>[143]       Cfr. Informe circunstanciado de investigación  del  Auxiliar  de</w:t>
        <w:br/>
        <w:t>Auditoría  Interna  del  Organismo  Judicial  de  6  de  noviembre  de  2006</w:t>
        <w:br/>
        <w:t>(expediente de prueba, folios 3265 a 3270).</w:t>
        <w:br/>
        <w:t>[144]       Cfr. Resolución  de  la  Unidad  de  Régimen  Disciplinario  del</w:t>
        <w:br/>
        <w:t>Sistema de Recursos Humanos del Organismo Judicial  de  8  de  noviembre  de</w:t>
        <w:br/>
        <w:t>2006 (expediente de prueba, folio 3281).</w:t>
        <w:br/>
        <w:t>[145]       Cfr. Resolución  de  la  Unidad  de  Régimen  Disciplinario  del</w:t>
        <w:br/>
        <w:t>Sistema de Recursos Humanos del Organismo Judicial de  29  de  noviembre  de</w:t>
        <w:br/>
        <w:t>2006 (expediente de prueba, folios 3325 a 3331).</w:t>
        <w:br/>
        <w:t>[146]       Cfr. Escritos de Recurso de Revisión de 9 de noviembre  y  8  de</w:t>
        <w:br/>
        <w:t>diciembre de 2006 (expediente de prueba, folios 3337 a 3340 y 3346 a 3349).</w:t>
        <w:br/>
        <w:t>[147]       Cfr. Resolución de la Gerencia General  del  Organismo  Judicial</w:t>
        <w:br/>
        <w:t>de 17 de enero de 2007 (expediente de prueba, folios 3377 a 3380).</w:t>
        <w:br/>
        <w:t>[148]       Cfr. Escrito de Recurso de Revocatoria de 25 de  enero  de  2007</w:t>
        <w:br/>
        <w:t>(expediente de prueba, folios 3394 a 3396).</w:t>
        <w:br/>
        <w:t>[149]       Cfr. Resolución de la Gerencia General  del  Organismo  Judicial</w:t>
        <w:br/>
        <w:t>de 1 de febrero de 2007 (expediente de prueba, folios 3403 y 3404).</w:t>
        <w:br/>
        <w:t>[150]       Cfr. Escrito de Recurso de Nulidad de  12  de  febrero  de  2007</w:t>
        <w:br/>
        <w:t>(expediente de prueba, folios 3424 y 3425).</w:t>
        <w:br/>
        <w:t>[151]       Cfr. Resolución de la Gerencia General  del  Organismo  Judicial</w:t>
        <w:br/>
        <w:t>de 12 de marzo de 2007 (expediente de prueba, folio 3437).</w:t>
        <w:br/>
        <w:t>[152]       Resolución de la Unidad de Régimen Disciplinario del Sistema  de</w:t>
        <w:br/>
        <w:t>Recursos  Humanos  del  Organismo  Judicial  de  12  de  febrero   de   2007</w:t>
        <w:br/>
        <w:t>(expediente de prueba, folios 3406 a 3410).</w:t>
        <w:br/>
        <w:t>[153]       Cfr. Escritos de Recurso de Revocatoria de 21 de febrero y 2  de</w:t>
        <w:br/>
        <w:t>octubre de 2007 (expediente de prueba, folios 3442 a 3448 y 3500 a 3510).</w:t>
        <w:br/>
        <w:t>[154]       Cfr. Resolución de la Presidencia del Organismo  Judicial  de  5</w:t>
        <w:br/>
        <w:t>de septiembre de 2007 (expediente de prueba, folio 3494).</w:t>
        <w:br/>
        <w:t>[155]       Cfr. Resolución  de  la  Unidad  de  Régimen  Disciplinario  del</w:t>
        <w:br/>
        <w:t>Sistema de Recursos Humanos del Organismo Judicial de 16 de octubre de  2007</w:t>
        <w:br/>
        <w:t>(expediente de prueba, folios 3515 a 3519).</w:t>
        <w:br/>
        <w:t>[156]       Cfr. Escrito de enmienda de procedimiento de 30  de  octubre  de</w:t>
        <w:br/>
        <w:t>2007 (expediente de prueba, folios 3527 a 3529).</w:t>
        <w:br/>
        <w:t>[157]       Cfr. Resolución de la Presidencia del Organismo Judicial  de  31</w:t>
        <w:br/>
        <w:t>de octubre de 2007 (expediente de prueba, folio 3530).</w:t>
        <w:br/>
        <w:t>[158]       Cfr. Escritos de Recurso de Revocatoria de 30 y  31  de  octubre</w:t>
        <w:br/>
        <w:t>de 2007 (expediente de prueba, folios 3533 a 3539).</w:t>
        <w:br/>
        <w:t>[159]       Cfr. Resolución de la Presidencia del Organismo Judicial  de  25</w:t>
        <w:br/>
        <w:t>de febrero de 2008 (expediente de prueba, folios 3568 a 3570).</w:t>
        <w:br/>
        <w:t>[160]       Cfr. Escrito de Recurso de Apelación de  13  de  marzo  de  2008</w:t>
        <w:br/>
        <w:t>(expediente de prueba, folios 3577 a 3579).</w:t>
        <w:br/>
        <w:t>[161]       Cfr. Decisión de la Cámara de Amparo y Antejuicio  de  la  Corte</w:t>
        <w:br/>
        <w:t>Suprema de Justicia de 25 de febrero de 2008 (expediente de  prueba,  folios</w:t>
        <w:br/>
        <w:t>3584 a 3588).</w:t>
        <w:br/>
        <w:t>[162]       Cfr. Resolución de la Corte de Constitucionalidad en calidad  de</w:t>
        <w:br/>
        <w:t>Tribunal Extraordinario de Amparo de 30 de  abril  de  2009  (expediente  de</w:t>
        <w:br/>
        <w:t>prueba, folios 3595 a 3601).</w:t>
        <w:br/>
        <w:t>[163]       Cfr. Resolución  de  la  Unidad  de  Régimen  Disciplinario  del</w:t>
        <w:br/>
        <w:t>Sistema de Recursos Humanos del Organismo Judicial de 1  de  julio  de  2009</w:t>
        <w:br/>
        <w:t>(expediente de prueba, folio 3607).</w:t>
        <w:br/>
        <w:t>[164]       El artículo 4.1 de la Convención establece: “Toda persona  tiene</w:t>
        <w:br/>
        <w:t>derecho a que se respete su vida. Este derecho estará protegido por  la  ley</w:t>
        <w:br/>
        <w:t>y, en general, a partir del  momento  de  la  concepción.  Nadie  puede  ser</w:t>
        <w:br/>
        <w:t>privado de la vida arbitrariamente”.</w:t>
        <w:br/>
        <w:t>[165]       El artículo 5.1 de la Convención establece: “Toda persona  tiene</w:t>
        <w:br/>
        <w:t>derecho a que se respete su integridad física, psíquica y moral”.</w:t>
        <w:br/>
        <w:t>[166]       El artículo 1.1 de la Convención establece: “Los Estados  Partes</w:t>
        <w:br/>
        <w:t>en esta Convención se comprometen  a  respetar  los  derechos  y  libertades</w:t>
        <w:br/>
        <w:t>reconocidos en ella y a  garantizar  su  libre  y  pleno  ejercicio  a  toda</w:t>
        <w:br/>
        <w:t>persona que esté sujeta a su jurisdicción,  sin  discriminación  alguna  por</w:t>
        <w:br/>
        <w:t>motivos de raza, color, sexo, idioma, religión,  opiniones  políticas  o  de</w:t>
        <w:br/>
        <w:t>cualquier  otra  índole,  origen  nacional  o  social,  posición  económica,</w:t>
        <w:br/>
        <w:t>nacimiento o cualquier otra condición social”.</w:t>
        <w:br/>
        <w:t>[167]       El artículo 2 de la Convención establece: “Si  el  ejercicio  de</w:t>
        <w:br/>
        <w:t>los derechos y libertades mencionados en  el  artículo  1  no  estuviere  ya</w:t>
        <w:br/>
        <w:t>garantizado por disposiciones legislativas o de otro carácter,  los  Estados</w:t>
        <w:br/>
        <w:t>Partes  se  comprometen  a  adoptar,  con  arreglo  a   sus   procedimientos</w:t>
        <w:br/>
        <w:t>constitucionales y a las  disposiciones  de  esta  Convención,  las  medidas</w:t>
        <w:br/>
        <w:t>legislativas o de otro carácter que fueren necesarias para  hacer  efectivos</w:t>
        <w:br/>
        <w:t>tales derechos y libertades”.</w:t>
        <w:br/>
        <w:t>[168]       Guatemala ratificó la Convención de Belém do Pará el 4 de  enero</w:t>
        <w:br/>
        <w:t>de 1995 y depositó su instrumento de ratificación en la  Secretaría  General</w:t>
        <w:br/>
        <w:t>de la Organización de Estados Americanos el 4 de abril de 1995 sin  reservas</w:t>
        <w:br/>
        <w:t>o limitaciones. El artículo 7  de  dicho  tratado  establece:  “Los  Estados</w:t>
        <w:br/>
        <w:t>Partes condenan todas las formas de violencia contra la  mujer  y  convienen</w:t>
        <w:br/>
        <w:t>en adoptar, por todos los medios  apropiados  y  sin  dilaciones,  políticas</w:t>
        <w:br/>
        <w:t>orientadas a prevenir, sancionar y erradicar dicha violencia y en  llevar  a</w:t>
        <w:br/>
        <w:t>cabo  lo  siguiente: a.  abstenerse  de  cualquier  acción  o  práctica   de</w:t>
        <w:br/>
        <w:t>violencia  contra  la  mujer  y  velar  por   que   las   autoridades,   sus</w:t>
        <w:br/>
        <w:t>funcionarios,  personal  y  agentes  e   instituciones   se   comporten   de</w:t>
        <w:br/>
        <w:t>conformidad con esta obligación; b. actuar con  la  debida  diligencia  para</w:t>
        <w:br/>
        <w:t>prevenir, investigar y sancionar la violencia contra  la  mujer; c.  incluir</w:t>
        <w:br/>
        <w:t>en su legislación interna normas penales,  civiles  y  administrativas,  así</w:t>
        <w:br/>
        <w:t>como las de otra naturaleza que sean necesarias para prevenir,  sancionar  y</w:t>
        <w:br/>
        <w:t>erradicar  la  violencia   contra   la   mujer   y   adoptar   las   medidas</w:t>
        <w:br/>
        <w:t>administrativas apropiadas que sean del caso; d. adoptar  medidas  jurídicas</w:t>
        <w:br/>
        <w:t>para conminar al agresor a  abstenerse  de  hostigar,  intimidar,  amenazar,</w:t>
        <w:br/>
        <w:t>dañar o poner en peligro la vida de la mujer de cualquier forma  que  atente</w:t>
        <w:br/>
        <w:t>contra su integridad o perjudique su propiedad; e. tomar todas  las  medidas</w:t>
        <w:br/>
        <w:t>apropiadas, incluyendo medidas de tipo legislativo, para modificar o  abolir</w:t>
        <w:br/>
        <w:t>leyes y  reglamentos  vigentes,  o  para  modificar  prácticas  jurídicas  o</w:t>
        <w:br/>
        <w:t>consuetudinarias que  respalden  la  persistencia  o  la  tolerancia  de  la</w:t>
        <w:br/>
        <w:t>violencia contra la mujer; f. establecer  procedimientos  legales  justos  y</w:t>
        <w:br/>
        <w:t>eficaces para la mujer que haya sido sometida  a  violencia,  que  incluyan,</w:t>
        <w:br/>
        <w:t>entre otros, medidas de protección, un juicio oportuno y el acceso  efectivo</w:t>
        <w:br/>
        <w:t>a  tales  procedimientos;  g.  establecer  los   mecanismos   judiciales   y</w:t>
        <w:br/>
        <w:t>administrativos necesarios para asegurar que la mujer  objeto  de  violencia</w:t>
        <w:br/>
        <w:t>tenga acceso efectivo a resarcimiento, reparación del daño  u  otros  medios</w:t>
        <w:br/>
        <w:t>de  compensación  justos  y  eficaces,  y  h.  adoptar   las   disposiciones</w:t>
        <w:br/>
        <w:t>legislativas o de otra índole que sean necesarias para hacer  efectiva  esta</w:t>
        <w:br/>
        <w:t>Convención”.</w:t>
        <w:br/>
        <w:t>[169]       Al respecto, en sus alegatos finales escritos alegaron  que,  de</w:t>
        <w:br/>
        <w:t>los programas que el Estado dijo haber adoptado para combatir el  femicidio,</w:t>
        <w:br/>
        <w:t>solamente seis medidas fueron establecidas antes de 2005, cuando ocurrió  la</w:t>
        <w:br/>
        <w:t>muerte de Claudina Velásquez. Aunado a ello, dichos programas  “no  lograron</w:t>
        <w:br/>
        <w:t>casi nada”, ya que “[e]l gobierno no les  dio  los  fondos  necesarios  para</w:t>
        <w:br/>
        <w:t>poder cumplir con sus mandatos”.</w:t>
        <w:br/>
        <w:t>[170]       En sus alegatos finales escritos argumentaron, por primera  vez,</w:t>
        <w:br/>
        <w:t>que las autoridades estatales dijeron a los  padres  de  Claudina  Velásquez</w:t>
        <w:br/>
        <w:t>que “seguramente anda con  su  traido”,  y  que  estos  comentarios  son  un</w:t>
        <w:br/>
        <w:t>reflejo directo de los estereotipos de género que albergan los  funcionarios</w:t>
        <w:br/>
        <w:t>del Estado y muestran como no  tomaron  en  serio  la  desaparición.  Dichos</w:t>
        <w:br/>
        <w:t>alegatos no serán considerados por ser extemporáneos.</w:t>
        <w:br/>
        <w:t>[171]       Según los representantes, hay fuertes  indicios  que  apuntan  a</w:t>
        <w:br/>
        <w:t>que Claudina Velásquez fue víctima de violencia sexual, tales como la  forma</w:t>
        <w:br/>
        <w:t>en que se encontraba la ropa en el cadáver y el semen hallado en el  cuerpo,</w:t>
        <w:br/>
        <w:t>entre otros.</w:t>
        <w:br/>
        <w:t>[172]       En sus alegatos finales escritos, los  representantes  alegaron,</w:t>
        <w:br/>
        <w:t>por primera vez, que la violencia sexual de  la  cual  habría  sido  víctima</w:t>
        <w:br/>
        <w:t>Claudina Velásquez, así como el hecho de que existe  una  alta  probabilidad</w:t>
        <w:br/>
        <w:t>de que fue trasladada de  un  lugar  a  otro  cuando  todavía  estaba  viva,</w:t>
        <w:br/>
        <w:t>constituye trato cruel, inhumano y degradante  que  el  Estado  no  previno.</w:t>
        <w:br/>
        <w:t>Dichos alegatos no serán tomados en cuenta por ser extemporáneos.</w:t>
        <w:br/>
        <w:t>[173]       En relación con la alegada violación del derecho a  la  honra  y</w:t>
        <w:br/>
        <w:t>dignidad, el Estado también señaló que no existe una  postura  estatal  para</w:t>
        <w:br/>
        <w:t>discriminar a la víctima ni a su familia, ni  existió  una  orden  donde  se</w:t>
        <w:br/>
        <w:t>debiera  realizar  una  calificación  de  la  víctima  para  determinar   el</w:t>
        <w:br/>
        <w:t>posterior procedimiento de investigación. Estos  alegatos  serán  analizados</w:t>
        <w:br/>
        <w:t>en el capítulo siguiente, relativo al deber de investigar del Estado.</w:t>
        <w:br/>
        <w:t>[174]       Cfr. Caso Velásquez Rodríguez Vs. Honduras. Fondo. Sentencia  de</w:t>
        <w:br/>
        <w:t>29 de julio de 1988. Serie C No. 4, párr. 163, y Caso Defensor  de  Derechos</w:t>
        <w:br/>
        <w:t>Humanos  y   otros   Vs.   Guatemala.   Excepciones   Preliminares,   Fondo,</w:t>
        <w:br/>
        <w:t>Reparaciones y Costas. Sentencia de 28 de agosto de 2014. Serie C  No.  283,</w:t>
        <w:br/>
        <w:t>párr. 138.</w:t>
        <w:br/>
        <w:t>[175]       Cfr.  Caso  Velásquez  Rodríguez  Vs.  Honduras.  Fondo,  supra,</w:t>
        <w:br/>
        <w:t>párrs. 165 y 166, y Caso Gonzales Lluy  y  otros  Vs.  Ecuador.  Excepciones</w:t>
        <w:br/>
        <w:t>Preliminares, Fondo, Reparaciones y Costas. Sentencia de 1 de septiembre  de</w:t>
        <w:br/>
        <w:t>2015. Serie C No. 298, párr. 168.</w:t>
        <w:br/>
        <w:t>[176]       Cfr. Caso Velásquez Rodríguez Vs. Honduras. Fondo, supra,  párr.</w:t>
        <w:br/>
        <w:t>166, y Caso Rodríguez Vera y otros (Desaparecidos del Palacio  de  Justicia)</w:t>
        <w:br/>
        <w:t>Vs.  Colombia.  Excepciones  Preliminares,  Fondo,  Reparaciones  y  Costas.</w:t>
        <w:br/>
        <w:t>Sentencia de 14 de noviembre de 2014. Serie C No. 287, párr. 519.</w:t>
        <w:br/>
        <w:t>[177]       La Convención de Belém do Pará define  la  violencia  contra  la</w:t>
        <w:br/>
        <w:t>mujer en su artículo 1 como “cualquier  acción  o  conducta,  basada  en  su</w:t>
        <w:br/>
        <w:t>género, que cause muerte, daño o sufrimiento físico, sexual o psicológico  a</w:t>
        <w:br/>
        <w:t>la mujer, tanto en el ámbito público como en el privado”.</w:t>
        <w:br/>
        <w:t>[178]       Cfr. Caso del  Penal  Miguel  Castro  Castro  Vs.  Perú.  Fondo,</w:t>
        <w:br/>
        <w:t>Reparaciones y Costas. Sentencia de 25 de noviembre de  2006.  Serie  C  No.</w:t>
        <w:br/>
        <w:t>160, párr. 346, y Caso Veliz  Franco  y  otros  Vs.  Guatemala.  Excepciones</w:t>
        <w:br/>
        <w:t>Preliminares, Fondo, Reparaciones y Costas.  Sentencia  de  19  de  mayo  de</w:t>
        <w:br/>
        <w:t>2014. Serie C No. 277, párr. 133.</w:t>
        <w:br/>
        <w:t>[179]       Cfr. Caso González y  otras  (“Campo  Algodonero”)  Vs.  México.</w:t>
        <w:br/>
        <w:t>Excepción Preliminar, Fondo, Reparaciones  y  Costas.  Sentencia  de  16  de</w:t>
        <w:br/>
        <w:t>noviembre de 2009. Serie C No. 205, párr. 258.</w:t>
        <w:br/>
        <w:t>[180]       Cfr. Caso González y  otras  (“Campo  Algodonero”)  Vs.  México,</w:t>
        <w:br/>
        <w:t>supra, párr. 258, y Caso Veliz Franco y otros Vs.  Guatemala,  supra,  párr.</w:t>
        <w:br/>
        <w:t>136.</w:t>
        <w:br/>
        <w:t>[181]       Cfr. Caso de la Masacre de Pueblo  Bello  Vs.  Colombia,  Fondo,</w:t>
        <w:br/>
        <w:t>Reparaciones y Costas. Sentencia de 31 de enero de 2006. Serie  C  No.  140,</w:t>
        <w:br/>
        <w:t>párr. 123, y Caso Defensor  de  Derechos  Humanos  y  otros  Vs.  Guatemala,</w:t>
        <w:br/>
        <w:t>supra, párr. 140. En este sentido, la Corte Europea de Derechos  Humanos  ha</w:t>
        <w:br/>
        <w:t>entendido que:  “[…]  no  todo  alegado  riesgo  a  la  vida  impone  a  las</w:t>
        <w:br/>
        <w:t>autoridades la obligación convencional  de  tomar  medidas  operativas  para</w:t>
        <w:br/>
        <w:t>prevenir que aquel riesgo  llegue  a  materializarse.  Para  que  surja  esa</w:t>
        <w:br/>
        <w:t>obligación positiva, debe ser establecido que al momento de los  hechos  las</w:t>
        <w:br/>
        <w:t>autoridades sabían, o debían haber sabido, de la  existencia  de  un  riesgo</w:t>
        <w:br/>
        <w:t>real e inmediato para la vida de un individuo identificado […]  respecto  de</w:t>
        <w:br/>
        <w:t>actos criminales de  terceros,  y  que  tales  autoridades  no  tomaron  las</w:t>
        <w:br/>
        <w:t>medidas dentro del alcance de  sus  poderes  que,  juzgadas  razonablemente,</w:t>
        <w:br/>
        <w:t>podían  esperarse  para  evitar  dicho  riesgo  […]”.  (Traducción   de   la</w:t>
        <w:br/>
        <w:t>Secretaría) Cfr. TEDH, Caso Kiliç v. Turquía, No. 22492/93, Sentencia de  28</w:t>
        <w:br/>
        <w:t>marzo de 2000, párrs. 62 y 63, y TEDH, Osman v. Reino Unido,  No.  23452/94,</w:t>
        <w:br/>
        <w:t>Sentencia de 28 octubre de 1998, párrs. 115 y 116.</w:t>
        <w:br/>
        <w:t>[182]       Cfr. Caso de la Masacre de Pueblo  Bello  Vs.  Colombia,  supra,</w:t>
        <w:br/>
        <w:t>párr. 123, y Caso Defensor  de  Derechos  Humanos  y  otros  Vs.  Guatemala,</w:t>
        <w:br/>
        <w:t>supra, párr. 140.</w:t>
        <w:br/>
        <w:t>[183]       Cfr. Caso de la Masacre de Pueblo  Bello  Vs.  Colombia,  supra,</w:t>
        <w:br/>
        <w:t>párr. 123, y Caso Defensor  de  Derechos  Humanos  y  otros  Vs.  Guatemala,</w:t>
        <w:br/>
        <w:t>supra, párr. 143.</w:t>
        <w:br/>
        <w:t>[184]       Cfr. Caso de la Masacre de Pueblo  Bello  Vs.  Colombia,  supra,</w:t>
        <w:br/>
        <w:t>párrs. 123 y 124,  citando  TEDH,  Caso  Kiliç  v.  Turquía,  No.  22492/93,</w:t>
        <w:br/>
        <w:t>Sentencia de 28 marzo de 2000, párrs. 62  y  63,  y  TEDH,  Osman  v.  Reino</w:t>
        <w:br/>
        <w:t>Unido, No. 23452/94, Sentencia de 28 octubre de 1998, párrs. 115 y  116.  El</w:t>
        <w:br/>
        <w:t>texto original del párrafo 116 del caso Osman señala: “[…]  In  the  opinion</w:t>
        <w:br/>
        <w:t>of the Court  where  there  is  an  allegation  that  the  authorities  have</w:t>
        <w:br/>
        <w:t>violated their positive obligation to protect  the  right  to  life  in  the</w:t>
        <w:br/>
        <w:t>context of their above-mentioned  duty  to  prevent  and  suppress  offences</w:t>
        <w:br/>
        <w:t>against the person (see paragraph 115 above), it must be established to  its</w:t>
        <w:br/>
        <w:t>satisfaction that the authorities knew or ought to have known  at  the  time</w:t>
        <w:br/>
        <w:t>of the existence of a real and immediate risk to the life of  an  identified</w:t>
        <w:br/>
        <w:t>individual or individuals from the criminal acts of a third party  and  that</w:t>
        <w:br/>
        <w:t>they failed to take measures within the scope of their powers which,  judged</w:t>
        <w:br/>
        <w:t>reasonably, might have been expected to avoid that risk. […] For the  Court,</w:t>
        <w:br/>
        <w:t>and having regard to the nature of  the  right  protected  by  Article 2,  a</w:t>
        <w:br/>
        <w:t>right fundamental in the scheme of the Convention, it is sufficient  for  an</w:t>
        <w:br/>
        <w:t>applicant to show that  the  authorities  did  not  do  all  that  could  be</w:t>
        <w:br/>
        <w:t>reasonably expected of them to avoid a real and immediate risk  to  life  of</w:t>
        <w:br/>
        <w:t>which they have or ought to have knowledge”.</w:t>
        <w:br/>
        <w:t>[185]       Véase, Caso González y otras (“Campo  Algodonero”)  Vs.  México,</w:t>
        <w:br/>
        <w:t>supra, párrs. 283 y 284; Caso Comunidad Indígena Sawhoyamaxa  Vs.  Paraguay.</w:t>
        <w:br/>
        <w:t>Fondo, Reparaciones y Costas. Sentencia de 29 de marzo de 2006. Serie C  No.</w:t>
        <w:br/>
        <w:t>146, párr. 155; Caso Comunidad Indígena Xákmok Kásek. Vs.  Paraguay.  Fondo,</w:t>
        <w:br/>
        <w:t>Reparaciones y Costas. Sentencia de 24 de agosto de 2010. Serie C  No.  214,</w:t>
        <w:br/>
        <w:t>párr. 188; Caso Castillo González y otros Vs.  Venezuela.  Fondo.  Sentencia</w:t>
        <w:br/>
        <w:t>de 27 de noviembre de 2012. Serie C No. 256, párr. 128; Caso Luna López  Vs.</w:t>
        <w:br/>
        <w:t>Honduras. Fondo, Reparaciones y Costas. Sentencia de 10 de octubre de  2013.</w:t>
        <w:br/>
        <w:t>Serie C No. 269, párr. 124; Caso Defensor de Derechos Humanos  y  otros  Vs.</w:t>
        <w:br/>
        <w:t>Guatemala, supra, párr. 143, y Caso Rodríguez Vera  y  otros  (Desaparecidos</w:t>
        <w:br/>
        <w:t>del Palacio de Justicia) Vs. Colombia, supra, párr. 527.</w:t>
        <w:br/>
        <w:t>[186]       Cfr. Caso Veliz Franco y otros Vs. Guatemala, supra, párrs.  75,</w:t>
        <w:br/>
        <w:t>76 y  78  a  80,  citando,  entre  otros:  i)  (nota  al  pie  88)  Comisión</w:t>
        <w:br/>
        <w:t>Interamericana de Derechos Humanos, “Quinto informe sobre  la  Situación  de</w:t>
        <w:br/>
        <w:t>los Derechos Humanos en Guatemala”, OEA/Ser.L/V/II. 111,  Doc.  Rev.,  6  de</w:t>
        <w:br/>
        <w:t>abril       de       2001,       párr.       41.       Disponible        en:</w:t>
        <w:br/>
        <w:t>http://www.cidh.org/countryrep/guatemala01sp/indice.htm; ii)  (nota  al  pie</w:t>
        <w:br/>
        <w:t>89) Procuraduría de  los  Derechos  Humanos  de  Guatemala,  “Informe  Anual</w:t>
        <w:br/>
        <w:t>Circunstanciado 2001”, Guatemala, enero de 2002, págs. 44 a 46;  iii)  (nota</w:t>
        <w:br/>
        <w:t>al pie 89) Amnistía Internacional, “Informe de crímenes  contra  mujeres  en</w:t>
        <w:br/>
        <w:t>Guatemala”, agosto de 2004, págs. 11 y 13; iv) (nota  al  pie  75)  Comisión</w:t>
        <w:br/>
        <w:t>Interamericana  de  Derechos  Humanos,  Comunicado  de  prensa  20/04,   “La</w:t>
        <w:br/>
        <w:t>Relatora Especial de la CIDH evalúa la Vigencia  del  Derecho  de  la  Mujer</w:t>
        <w:br/>
        <w:t>Guatemalteca a Vivir Libre de la  Violencia  y  la  Discriminación”,  18  de</w:t>
        <w:br/>
        <w:t>septiembre  de  2004,  párr.  7;  v)  (notas  al  pie  85  y  86)   Amnistía</w:t>
        <w:br/>
        <w:t>Internacional, “Guatemala. Ni protección ni justicia: Homicidios de  mujeres</w:t>
        <w:br/>
        <w:t>en Guatemala”, junio de 2005, pág.  8,  y  vi)  (nota  al  pie  74)  Consejo</w:t>
        <w:br/>
        <w:t>Económico y Social de Naciones  Unidas.  Comisión  de  Derechos  Humanos  6º</w:t>
        <w:br/>
        <w:t>período de sesiones, Informe de la  Relatora  Especial  sobre  la  violencia</w:t>
        <w:br/>
        <w:t>contra la  mujer,  sus  causas  y  consecuencias,  Yakin  Ertürk.  Misión  a</w:t>
        <w:br/>
        <w:t>Guatemala. UN Doc. E/CN.4/2005/72/Add.3, 10 de febrero de  2005,  párr.  28.</w:t>
        <w:br/>
        <w:t>El informe de la Comisión Interamericana de abril de 2001 aseveró que,  para</w:t>
        <w:br/>
        <w:t>ese momento, la violencia contra la mujer  era  “un  problema  grave  en  el</w:t>
        <w:br/>
        <w:t>país”, y que “[a]unque [en ese momento era] difícil  estimar  con  precisión</w:t>
        <w:br/>
        <w:t>la profundidad y el alcance del [mismo], hay informes  que  indica[ron]  que</w:t>
        <w:br/>
        <w:t>la violencia basada en el género est[aba] entre las  causas  principales  de</w:t>
        <w:br/>
        <w:t>muerte y discapacidad entre las mujeres de entre 15 y 44 años de  edad”.  El</w:t>
        <w:br/>
        <w:t>Estado indicó que las “estadísticas pueden ser correctas”. Cfr.  Caso  Veliz</w:t>
        <w:br/>
        <w:t>Franco y otros Vs. Guatemala, supra, párr. 79.</w:t>
        <w:br/>
        <w:t>[187]       Cfr. Caso Veliz Franco y otros Vs. Guatemala, supra,  párr.  80,</w:t>
        <w:br/>
        <w:t>citando, Procuraduría de los Derechos Humanos de Guatemala,  “Informe  Anual</w:t>
        <w:br/>
        <w:t>Circunstanciado 2001”, Guatemala, enero de  2002,  págs.  44  a  46.  En  el</w:t>
        <w:br/>
        <w:t>documento se indica que la discriminación “históricamente  […]  ha  excluido</w:t>
        <w:br/>
        <w:t>[a las mujeres] del usufructo de derechos fundamentales y por ello  [sufren]</w:t>
        <w:br/>
        <w:t>ser víctimas de vejámenes, malos tratos y violencia”. En el  mismo  sentido,</w:t>
        <w:br/>
        <w:t>Amnistía Internacional, en un texto que refiere datos de  los  años  2000  a</w:t>
        <w:br/>
        <w:t>2003, considera a “la cultura patriarcal como  una  causa  específica  [del]</w:t>
        <w:br/>
        <w:t>fenómeno [de la  violencia]”  en  Guatemala.  El  texto  explica  que  “[e]l</w:t>
        <w:br/>
        <w:t>sistema patriarcal que se construye bajo un patrón de un ejercicio de  poder</w:t>
        <w:br/>
        <w:t>y una dominación mayoritariamente masculina, coloca a las mujeres con  mucha</w:t>
        <w:br/>
        <w:t>facilidad  en  una  posición  de  vulnerabilidad”.  Amnistía  Internacional,</w:t>
        <w:br/>
        <w:t>“Informe de crímenes contra mujeres en Guatemala”, agosto de 2004, págs.  11</w:t>
        <w:br/>
        <w:t>y 13.</w:t>
        <w:br/>
        <w:t>[188]       Cfr. Caso Veliz Franco y otros Vs. Guatemala, supra, párr. 82  y</w:t>
        <w:br/>
        <w:t>nota al pie 93. El Tribunal notó que con anterioridad a diciembre  de  2001,</w:t>
        <w:br/>
        <w:t>se  efectuaron  acciones  estatales  vinculadas  a  la  problemática  de  la</w:t>
        <w:br/>
        <w:t>violencia contra  mujeres:  en  1996  se  promulgó  la  Ley  para  Prevenir,</w:t>
        <w:br/>
        <w:t>Sancionar y Erradicar la Violencia Intrafamiliar. Decreto  No.  97-1996,  28</w:t>
        <w:br/>
        <w:t>de noviembre  de  1996,  Guatemala.  En  los  años  2000  y  2001  esta  fue</w:t>
        <w:br/>
        <w:t>complementada por reglamentos y por la creación del Órgano  de  Coordinación</w:t>
        <w:br/>
        <w:t>de la Prevención, el Castigo y la Erradicación de la  Violencia  Familiar  y</w:t>
        <w:br/>
        <w:t>la Violencia contra la  Mujer  (CONAPREVI).  En  el  año  2000  se  creó  la</w:t>
        <w:br/>
        <w:t>Secretaría Presidencial de la Mujer  (SEPREM),  y  se  estableció,  para  el</w:t>
        <w:br/>
        <w:t>período comprendido entre 2001 y 2006, una Política Nacional de Promoción  y</w:t>
        <w:br/>
        <w:t>Desarrollo  de  las  Mujeres  Guatemaltecas  y  su  Plan   de   Equidad   de</w:t>
        <w:br/>
        <w:t>Oportunidades. Además, en marzo de  1999  se  había  sancionado  la  Ley  de</w:t>
        <w:br/>
        <w:t>Dignificación y Promoción Integral de la Mujer, y en 2001 se adoptó  la  Ley</w:t>
        <w:br/>
        <w:t>de Desarrollo Social, respectivamente, mediante los Decretos No. 7-99 y  No.</w:t>
        <w:br/>
        <w:t>42-2001 del Congreso de  la  República.  La  segunda,  en  su  artículo  16,</w:t>
        <w:br/>
        <w:t>establece que en  la  política  de  “desarrollo  social”  y  “población”  se</w:t>
        <w:br/>
        <w:t>incluirán  medidas  y  acciones  destinadas  a,  inter  alia,  erradicar   y</w:t>
        <w:br/>
        <w:t>sancionar todo tipo  de  violencia,  abuso  y  discriminación  individual  y</w:t>
        <w:br/>
        <w:t>colectiva  contra  las  mujeres,  observando  los   convenios   y   tratados</w:t>
        <w:br/>
        <w:t>internacionales ratificados por Guatemala.  Órgano  de  Coordinación  de  la</w:t>
        <w:br/>
        <w:t>Prevención, el Castigo y la Erradicación  de  la  Violencia  Familiar  y  la</w:t>
        <w:br/>
        <w:t>Violencia contra la Mujer (CONAPREVI), “PLANOVI 2004-2014: Plan Nacional  de</w:t>
        <w:br/>
        <w:t>Prevención y  Erradicación  de  la  Violencia  Intrafamiliar  y  contra  las</w:t>
        <w:br/>
        <w:t>Mujeres”.</w:t>
        <w:br/>
        <w:t>[189]       Cfr. Caso Veliz Franco y otros Vs. Guatemala, supra, párr. 82.</w:t>
        <w:br/>
        <w:t>[190]       Políticas públicas: Política Nacional de Promoción y  Desarrollo</w:t>
        <w:br/>
        <w:t>Integral de las Mujeres (PNPDIM) y Plan de  Equidad  y  Oportunidades  (PEO)</w:t>
        <w:br/>
        <w:t>2008-2023.</w:t>
        <w:br/>
        <w:br/>
        <w:t>Organismo Judicial: Juzgados y Tribunales con  Competencia  en  Femicidio  y</w:t>
        <w:br/>
        <w:t>otras  Formas  de  Violencia  contra  la  Mujer  en  los  departamentos   de</w:t>
        <w:br/>
        <w:t>Guatemala, Quetzaltenango y Chiquimula (Corte Suprema de  Justicia,  Acuerdo</w:t>
        <w:br/>
        <w:t>no. 1-2010); Unidad/Secretaría de la Mujer y  Análisis  de  Genero,  acuerdo</w:t>
        <w:br/>
        <w:t>No. 69-2012 (30 de abril del 2012); Juzgados de Primera  Instancia  Penal  y</w:t>
        <w:br/>
        <w:t>Tribunales de Sentencia Penal de Delitos de  Femicidio  y  otras  formas  de</w:t>
        <w:br/>
        <w:t>Violencia contra la Mujer en  los  departamentos  de  Huehuetenango  y  Alta</w:t>
        <w:br/>
        <w:t>Verapaz; transformación del Juzgado de Primera Instancia  Penal  y  Tribunal</w:t>
        <w:br/>
        <w:t>de Sentencia Penal de Delitos de  Femicidio  y  otras  formas  de  Violencia</w:t>
        <w:br/>
        <w:t>contra la Mujer del departamento de Guatemala en pluripersonal; la  creación</w:t>
        <w:br/>
        <w:t>de la Sala de la Corte de Apelaciones Penal de Delitos de Femicidio y  Otras</w:t>
        <w:br/>
        <w:t>formas de Violencia contra la Mujer del departamento de  Guatemala  (Acuerdo</w:t>
        <w:br/>
        <w:t>12-2012 de la Corte Suprema de Justicia de 8 de marzo de 2012);  Juzgado  de</w:t>
        <w:br/>
        <w:t>Turno de Primera Instancia Penal de Delitos de Femicidio y Otras  Formas  de</w:t>
        <w:br/>
        <w:t>Violencia contra la Mujer (octubre de 2012);  Juzgado  Especializado  de  la</w:t>
        <w:br/>
        <w:t>mujer y niñez victima (2012); Modelo de gestión para  la  atención  primaria</w:t>
        <w:br/>
        <w:t>de casos de violencia en contra de la mujer y delitos sexuales del  área  de</w:t>
        <w:br/>
        <w:t>la ciudad de Guatemala (2008); Protocolo de Actuación Judicial  para  tratar</w:t>
        <w:br/>
        <w:t>casos sobre violencia de género contra las mujeres (abril de 2014).</w:t>
        <w:br/>
        <w:br/>
        <w:t>Ministerio Público: Protocolo  Específico  denominado  “Instrucción  General</w:t>
        <w:br/>
        <w:t>para  la  Investigación  Criminal  del  Delito  de  Femicidio”  (Instrucción</w:t>
        <w:br/>
        <w:t>General no. 06-2013); La Oficina de Atención a la Víctima y la  Fiscalía  de</w:t>
        <w:br/>
        <w:t>la Mujer del  Ministerio  Público,  y  el  Instituto  Nacional  de  Ciencias</w:t>
        <w:br/>
        <w:t>Forenses (INACIF) han establecido una red para agilizar y hacer efectiva  la</w:t>
        <w:br/>
        <w:t>atención a las  mujeres  agredidas;  Centros  de  Apoyo  Integral  para  las</w:t>
        <w:br/>
        <w:t>Mujeres Sobrevivientes de Violencia (CAIMUS); la Defensa  Pública  Penal  da</w:t>
        <w:br/>
        <w:t>acompañamiento en los procesos legales; Implementación del uso de la  Cámara</w:t>
        <w:br/>
        <w:t>"Gessell" para evitar la re victimización, resguardar  a  las  víctimas,  el</w:t>
        <w:br/>
        <w:t>control efectivo de la prueba y el derecho a la defensa del imputado  (2  de</w:t>
        <w:br/>
        <w:t>diciembre de 2009); Unidad  de  Investigación  de  Delitos  Sexuales  (1  de</w:t>
        <w:br/>
        <w:t>agosto del 2012); Analista profesional para el análisis criminológico en  el</w:t>
        <w:br/>
        <w:t>tema de la violencia contra la mujer con énfasis en violencia sexual  (julio</w:t>
        <w:br/>
        <w:t>de 2015).</w:t>
        <w:br/>
        <w:br/>
        <w:t>Organismo ejecutivo: La Dirección de Educación de la  Comisión  Presidencial</w:t>
        <w:br/>
        <w:t>de Derechos Humanos (COPREDEH), coordinadora de la  Política  del  Ejecutivo</w:t>
        <w:br/>
        <w:t>en Materia de Derechos  Humanos,  ha  implementado  diplomados  dirigidos  a</w:t>
        <w:br/>
        <w:t>empleados y funcionarios  públicos  del  ejecutivo  y  otras  instituciones,</w:t>
        <w:br/>
        <w:t>entre otros, sobre el tema de violencia contra las mujeres (2012-2015).</w:t>
        <w:br/>
        <w:br/>
        <w:t>Policía  Nacional  Civil:  Departamento  de  Equidad  de  Género,   impartió</w:t>
        <w:br/>
        <w:t>talleres a miembros de la institución sobre la Ley  del  Femicidio  y  otras</w:t>
        <w:br/>
        <w:t>Formas de Violencia Contra la Mujer (2012 a 2014); Sub-dirección General  de</w:t>
        <w:br/>
        <w:t>Prevención del Delito, impartió talleres para la actuación de la PNC  en  el</w:t>
        <w:br/>
        <w:t>abordaje de violencia contra la mujer a miembros de la sociedad civil  (2012</w:t>
        <w:br/>
        <w:t>a 2014);  Guía  Básica  Para  el  Abordaje  de  la  Perspectiva  de  Género,</w:t>
        <w:br/>
        <w:t>formación de los instructores de la Academia de la Policía Nacional Civil  y</w:t>
        <w:br/>
        <w:t>el Manual de Formación para los miembros  de  la  PNC,  Seguridad  y  Genero</w:t>
        <w:br/>
        <w:t>(2014); Capacitación de miembros de las Comisiones de Prevención del  Delito</w:t>
        <w:br/>
        <w:t>en los temas de  violencia  contra  la  mujer,  violencia  intrafamiliar,  e</w:t>
        <w:br/>
        <w:t>igualdad y equidad de género, entre otros (2014).</w:t>
        <w:br/>
        <w:br/>
        <w:t>Ministerio de Gobernación: Mesa Especifica del Eje de  la  Violencia  Contra</w:t>
        <w:br/>
        <w:t>la Mujer (octubre de 2013); Política Nacional de Prevención de la  Violencia</w:t>
        <w:br/>
        <w:t>y el Delito, Seguridad Ciudadana y Convivencia Pacífica de 2014-2034.</w:t>
        <w:br/>
        <w:br/>
        <w:t>[191]       Políticas públicas:  Acuerdo  Nacional  para  el  Avance  de  la</w:t>
        <w:br/>
        <w:t>Seguridad y Justicia;  Política  Pública  Contra  la  Trata  de  Personas  y</w:t>
        <w:br/>
        <w:t>Protección  a  las  Victimas;  Coordinación   Interinstitucional   para   la</w:t>
        <w:br/>
        <w:t>Implementación  de  las  Políticas  Públicas  para  Prevenir,  Sancionar   y</w:t>
        <w:br/>
        <w:t>Erradicar la Violencia contra las  Mujeres.  Al  respecto,  la  Coordinadora</w:t>
        <w:br/>
        <w:t>Nacional para la Prevención de la Violencia Intrafamiliar y contra la  Mujer</w:t>
        <w:br/>
        <w:t>(CONAPREVI),  la  Secretaría  Presidencial  de  la  Mujer  (SEPREM)   y   la</w:t>
        <w:br/>
        <w:t>Defensoría de la Mujer Indígena (DEMI), en coordinación  con  el  Ministerio</w:t>
        <w:br/>
        <w:t>de Gobernación y la Comisión de la Mujer del Congreso de la  Republica,  han</w:t>
        <w:br/>
        <w:t>instalado la “Mesa Técnica por la Vida y la Seguridad de las  Mujeres”  para</w:t>
        <w:br/>
        <w:t>coordinar acciones y planes operativos respecto al tema;  La  CONAPREVI,  la</w:t>
        <w:br/>
        <w:t>SEPREM y la DEMI impulsan procesos de formación  y  divulgación  de  la  Ley</w:t>
        <w:br/>
        <w:t>contra el Femicidio entre la población y se  encargan  de  la  formación  de</w:t>
        <w:br/>
        <w:t>operadores de justicia, así  como  han  desarrollado  campañas  públicas  de</w:t>
        <w:br/>
        <w:t>sensibilización sobre el tema.</w:t>
        <w:br/>
        <w:br/>
        <w:t>Organismo Judicial: Política Institucional de Equidad de Género y  Promoción</w:t>
        <w:br/>
        <w:t>de los Derechos Humanos de las Mujeres; Centros infantiles para  el  cuidado</w:t>
        <w:br/>
        <w:t>de los hijos/as de las mujeres usuarias que acuden a los tribunales, en  las</w:t>
        <w:br/>
        <w:t>instalaciones de ese Organismo; Comisión de  la  Mujer;  Unidad  de  Control</w:t>
        <w:br/>
        <w:t>Seguimiento y  Evaluación  de  los  Órganos  Especializados  en  delitos  de</w:t>
        <w:br/>
        <w:t>Femicidio y otras formas de Violencia contra la Mujer.</w:t>
        <w:br/>
        <w:br/>
        <w:t>Ministerio Público: Fiscalías especializadas que conocen exclusivamente  los</w:t>
        <w:br/>
        <w:t>delitos de femicidio y  manejan  un  protocolo  de  escena  del  crimen  con</w:t>
        <w:br/>
        <w:t>enfoque de género; Reglamento del  Modelo  de  Atención  Integral  (MAI)  de</w:t>
        <w:br/>
        <w:t>casos  de  violencia  intrafamiliar  y  de  delitos  sexuales  en  el   área</w:t>
        <w:br/>
        <w:t>metropolitana; Implementación del Protocolo para la Atención  a  la  Víctima</w:t>
        <w:br/>
        <w:t>de Delitos Contra la Libertad y Seguridad Sexual y el Pudor en las  Oficinas</w:t>
        <w:br/>
        <w:t>de Atención a la Víctima; Fiscalía de la Mujer y Niñez  Víctima  para  otros</w:t>
        <w:br/>
        <w:t>departamentos con pertinencia étnica  cultural;  Capacitación  constante  al</w:t>
        <w:br/>
        <w:t>personal del Ministerio Público en el tema de violencia contra  la  mujer  y</w:t>
        <w:br/>
        <w:t>violencia sexual; Programa de Asistencia Legal  Gratuita  a  la  Víctima  de</w:t>
        <w:br/>
        <w:t>Violencia  y  a  sus  familiares,  Instituto  de  Defensa   Pública   Penal;</w:t>
        <w:br/>
        <w:t>Instituciones de apoyo legal a la mujer indígena como la  Defensoría  de  la</w:t>
        <w:br/>
        <w:t>Mujer  Indígena  y  la  Comisión   Nacional   contra   el   Racismo   y   la</w:t>
        <w:br/>
        <w:t>Discriminación;  Incorporación   de   intérpretes   en   las   instituciones</w:t>
        <w:br/>
        <w:t>relacionadas con la aplicación de justicia.</w:t>
        <w:br/>
        <w:br/>
        <w:t>Organismo Ejecutivo: El Gabinete Específico  de  la  Mujer  (GEM)  coordina,</w:t>
        <w:br/>
        <w:t>articula e impulsa políticas públicas y programas  enfocados  al  desarrollo</w:t>
        <w:br/>
        <w:t>integral de la mujer guatemalteca.</w:t>
        <w:br/>
        <w:br/>
        <w:t>Ministerio  de  Gobernación:  La  Fuerza  de  Tarea  contra   el   Femicidio</w:t>
        <w:br/>
        <w:t>individualiza  y   aporta   elementos   de   convicción   que   prueben   la</w:t>
        <w:br/>
        <w:t>responsabilidad penal en la comisión de delitos contra la vida e  integridad</w:t>
        <w:br/>
        <w:t>de la persona; La Procuraduría  General  de  la  Nación  (PGN)  coordina  el</w:t>
        <w:br/>
        <w:t>sistema de alerta de  la  Ley  Alba-Kenneth  y  cuanta  con  una  Unidad  de</w:t>
        <w:br/>
        <w:t>Protección de los  derechos  de  la  Mujer,  Adulto  Mayor  y  Personas  con</w:t>
        <w:br/>
        <w:t>Discapacidad con el objetivo de  prevenir  y  atender  todos  los  casos  de</w:t>
        <w:br/>
        <w:t>violencia contra dichas personas.</w:t>
        <w:br/>
        <w:br/>
        <w:t>Policía Nacional Civil: Protocolo  de  Actuación  para  el  Abordaje  de  la</w:t>
        <w:br/>
        <w:t>Violencia Contra la Mujer; Organización  de  comunidades  a  través  de  los</w:t>
        <w:br/>
        <w:t>Consejos de Desarrollo Urbano y Rural en la conformación  de  Comisiones  de</w:t>
        <w:br/>
        <w:t>Prevención del Delito, en conjunto con la Oficinas Municipales de la  Mujer,</w:t>
        <w:br/>
        <w:t>la elaboración de planes locales de  prevención  con  enfoque  de  género  y</w:t>
        <w:br/>
        <w:t>multiculturalidad  y  la  realización  de  capacitaciones  en  proyectos   y</w:t>
        <w:br/>
        <w:t>programas para fortalecer la participación de las mujeres.</w:t>
        <w:br/>
        <w:br/>
        <w:t>Organismo  legislativo:  La  Comisión  de  la  Mujer  diseña  y   promociona</w:t>
        <w:br/>
        <w:t>iniciativas de ley para la protección de “las poblaciones  vulnerables  como</w:t>
        <w:br/>
        <w:t>las mujeres y las niñas”.</w:t>
        <w:br/>
        <w:t>[192]       Véase, Caso Veliz Franco y otros  Vs.  Guatemala,  supra,  párr.</w:t>
        <w:br/>
        <w:t>82, nota al pie 93.</w:t>
        <w:br/>
        <w:t>[193]       Plan Nacional de  Prevención  y  Erradicación  de  la  Violencia</w:t>
        <w:br/>
        <w:t>Intrafamiliar y  contra  las  Mujeres  (PLANOVI)  2004-2014  (expediente  de</w:t>
        <w:br/>
        <w:t>prueba, folios 2542 a 2599).</w:t>
        <w:br/>
        <w:t>[194]       Véase Caso Veliz Franco y otros Vs. Guatemala, supra, párr.  82,</w:t>
        <w:br/>
        <w:t>nota al pie 93.</w:t>
        <w:br/>
        <w:t>[195]       Cabe señalar que, si bien la Comisión Interamericana indicó  que</w:t>
        <w:br/>
        <w:t>en el año 2005 el Estado creó la Comisión para el  Abordaje  del  Femicidio,</w:t>
        <w:br/>
        <w:t>conformada por representantes de la Procuraduría General de  la  Nación,  el</w:t>
        <w:br/>
        <w:t>Ministerio Público y  la  Procuraduría  de  los  Derechos  Humanos,  también</w:t>
        <w:br/>
        <w:t>indicó que fue recién el 8 de marzo de 2006 que se  “presentó  oficialmente”</w:t>
        <w:br/>
        <w:t>la “Comisión Específica para el Abordaje del Femicidio  en  Guatemala”.  Sin</w:t>
        <w:br/>
        <w:t>embargo, en su Informe nacional presentado al  Grupo  de  Trabajo  sobre  el</w:t>
        <w:br/>
        <w:t>Examen Periódico Universal del Consejo de Derechos Humanos de la  ONU  de  7</w:t>
        <w:br/>
        <w:t>de agosto 2012, Guatemala indicó que la mencionada comisión fue  establecida</w:t>
        <w:br/>
        <w:t>a  través  del  Acuerdo   Gubernativo   Número   46-2012.   Disponible   en:</w:t>
        <w:br/>
        <w:t>http://www.ohchr.org.gt/documentos/upr/Inf_nacional.pdf</w:t>
        <w:br/>
        <w:t>[196]       Cfr. Informe de la Relatora Especial sobre la  violencia  contra</w:t>
        <w:br/>
        <w:t>la mujer, sus causas y consecuencias de las Naciones Unidas,  Yakin  Ertork,</w:t>
        <w:br/>
        <w:t>Misión a Guatemala, E/CN.4/2005/72/Add.3, 10 de febrero de 2005,  párrs.  49</w:t>
        <w:br/>
        <w:t>y                   53.                    Disponible                    en:</w:t>
        <w:br/>
        <w:t>http://www.ohchr.org.gt/cd_instrumentos/documentos/Vimu.pdf</w:t>
        <w:br/>
        <w:t>[197]       Cfr. Informe de la Alta Comisionada de las Naciones Unidas  para</w:t>
        <w:br/>
        <w:t>los  Derechos  Humanos  sobre  la  situación  de  los  derechos  humanos  en</w:t>
        <w:br/>
        <w:t>Guatemala, E/CN.4/2006/10/Add.1, 1 de febrero de 2006, párr. 22.  Disponible</w:t>
        <w:br/>
        <w:t>en: http://www.ohchr.org.gt/documentos/informes/InformeAnual2005(esp).pdf</w:t>
        <w:br/>
        <w:t>[198]       Cfr. Informe del Comité de la CEDAW, 35º  período  de  sesiones,</w:t>
        <w:br/>
        <w:t>2006 (expediente de prueba, folio 1413).</w:t>
        <w:br/>
        <w:t>[199]       Cfr. Comunicado de Prensa 20/04, “La  Relatora  Especial  de  la</w:t>
        <w:br/>
        <w:t>CIDH evalúa la vigencia del derecho de la mujer guatemalteca a  vivir  libre</w:t>
        <w:br/>
        <w:t>de la violencia y discriminación”, 18  de  septiembre  de  2004,  párr.  13.</w:t>
        <w:br/>
        <w:t>Disponible en: http://www.cidh.oas.org/Comunicados/Spanish/2004/20.04.htm</w:t>
        <w:br/>
        <w:t>[200]        Cfr.  Procuraduría  de  los  Derechos  Humanos  de   Guatemala,</w:t>
        <w:br/>
        <w:t>Compendio “Muertes Violentas de Mujeres, 2003 a 2005”, pág.  93.  Disponible</w:t>
        <w:br/>
        <w:t>en: http://www.acnur.org/t3/uploads/media/COI_1343.pdf?view=1</w:t>
        <w:br/>
        <w:t>[201]        Cfr.  Amnistía  Internacional,  “Ni  protección  ni   justicia:</w:t>
        <w:br/>
        <w:t>Homicidios de mujeres en Guatemala”, junio de 2005  (expediente  de  prueba,</w:t>
        <w:br/>
        <w:t>folio 1365).</w:t>
        <w:br/>
        <w:t>[202]       “Aunque el gobierno guatemalteco lanzó algunas iniciativas  para</w:t>
        <w:br/>
        <w:t>tratar la violencia contra las mujeres entre  2000  y  2005  -incluyendo  la</w:t>
        <w:br/>
        <w:t>Secretaria  Presidencial  para  las  Mujeres  (SEPREM)  y   el   Cuerpo   de</w:t>
        <w:br/>
        <w:t>Coordinación Nacional para la Prevención, el Castigo y  la  Erradicación  de</w:t>
        <w:br/>
        <w:t>la Violencia Domestica (CONAPREVI)- cada una  de  estas  iniciativas  estaba</w:t>
        <w:br/>
        <w:t>limitada o era poco efectiva, en gran parte debido  a  la  falta  de  fondos</w:t>
        <w:br/>
        <w:t>asignados para perseguir sus objetivos. La falta de fondos no debería  verse</w:t>
        <w:br/>
        <w:t>solo como una falta de recursos del  gobierno  de  Guatemala,  sino  también</w:t>
        <w:br/>
        <w:t>como un reflejo de la falta de voluntad política;  si  hubiera  existido  la</w:t>
        <w:br/>
        <w:t>voluntad, el gobierno habría convertido este tema en una prioridad  absoluta</w:t>
        <w:br/>
        <w:t>y habría encontrado y asignado fondos adecuados dentro  del  presupuesto  de</w:t>
        <w:br/>
        <w:t>la nación”. Cfr. Peritaje rendido por Karen Musalo  ante  fedatario  público</w:t>
        <w:br/>
        <w:t>(affidávit) el 13 de abril de 2015 (expediente de prueba, folio 6658).</w:t>
        <w:br/>
        <w:t>[203]       Informe nacional presentado al Grupo de Trabajo sobre el  Examen</w:t>
        <w:br/>
        <w:t>Periódico Universal del Consejo de Derechos Humanos  de  la  ONU,  de  7  de</w:t>
        <w:br/>
        <w:t>agosto         2012,         pág.         13.         Disponible         en:</w:t>
        <w:br/>
        <w:t>http://www.ohchr.org.gt/documentos/upr/Inf_nacional.pdf</w:t>
        <w:br/>
        <w:t>[204]       El señor Jorge Velásquez declaró en la audiencia  pública:  “les</w:t>
        <w:br/>
        <w:t>informamos de lo sucedido, les decimos que una señora que había  estado  con</w:t>
        <w:br/>
        <w:t>nosotros, nos  había  llegado  a  decir  que  Claudina  estaba  en  peligro,</w:t>
        <w:br/>
        <w:t>recalcamos que estaba en peligro, que por favor nos recibieran  la  denuncia</w:t>
        <w:br/>
        <w:t>para  iniciar  la  búsqueda”.  Cfr.  Declaración  rendida  ante   la   Corte</w:t>
        <w:br/>
        <w:t>Interamericana por  Jorge  Rolando  Velásquez  Durán  durante  la  audiencia</w:t>
        <w:br/>
        <w:t>pública celebrada el 21 de abril de 2015.  Véase,  además,  Declaración  del</w:t>
        <w:br/>
        <w:t>señor Jorge Rolando Velásquez Durán de 22 de  septiembre  de  2005  ante  el</w:t>
        <w:br/>
        <w:t>auxiliar fiscal del Ministerio Público  (expediente  de  prueba,  folio  9);</w:t>
        <w:br/>
        <w:t>Declaración del señor Jorge Rolando Velásquez Durán de 24 de enero  de  2006</w:t>
        <w:br/>
        <w:t>ante el auxiliar  fiscal  del  Ministerio  Público  (expediente  de  prueba,</w:t>
        <w:br/>
        <w:t>folios 3868 a 3869), y Declaración de la señora Elsa Claudina Paiz Vidal  de</w:t>
        <w:br/>
        <w:t>22 de septiembre de 2005 ante el  auxiliar  fiscal  del  Ministerio  Público</w:t>
        <w:br/>
        <w:t>(expediente de prueba, folio 16).</w:t>
        <w:br/>
        <w:t>[205]       Cfr. Caso González y  otras  (“Campo  Algodonero”)  Vs.  México,</w:t>
        <w:br/>
        <w:t>supra, párr. 283, y Caso Veliz Franco y otros Vs.  Guatemala,  supra,  párr.</w:t>
        <w:br/>
        <w:t>141.</w:t>
        <w:br/>
        <w:t>[206]       Cfr. Declaración rendida ante la Corte Interamericana por  Jorge</w:t>
        <w:br/>
        <w:t>Rolando Velásquez Durán durante la audiencia  pública  celebrada  el  21  de</w:t>
        <w:br/>
        <w:t>abril de 2015; Declaración del señor Jorge Rolando Velásquez Durán de 22  de</w:t>
        <w:br/>
        <w:t>septiembre  de  2005  ante  el  auxiliar  fiscal  del   Ministerio   Público</w:t>
        <w:br/>
        <w:t>(expediente de prueba, folio 9); Declaración  de  la  señora  Elsa  Claudina</w:t>
        <w:br/>
        <w:t>Paiz Vidal de  22  de  septiembre  de  2005  ante  el  auxiliar  fiscal  del</w:t>
        <w:br/>
        <w:t>Ministerio Público (expediente de prueba, folio 16); Declaración  del  señor</w:t>
        <w:br/>
        <w:t>Jorge Rolando Velásquez Durán de 24  de  enero  de  2006  ante  el  auxiliar</w:t>
        <w:br/>
        <w:t>fiscal  del  Ministerio  Público  (expediente  de  prueba,  folio  3869),  y</w:t>
        <w:br/>
        <w:t>Entrevista a la señora Elsa Claudina Paiz Vidal,  Informe  de  Investigación</w:t>
        <w:br/>
        <w:t>de 24 de octubre de 2005 (expediente de prueba, folio 51).</w:t>
        <w:br/>
        <w:t>[207]       Cfr. Declaración rendida ante la Corte Interamericana por  Jorge</w:t>
        <w:br/>
        <w:t>Rolando Velásquez Durán durante la audiencia  pública  celebrada  el  21  de</w:t>
        <w:br/>
        <w:t>abril de 2015; Declaración de la señora Elsa Claudina Paiz Vidal  de  22  de</w:t>
        <w:br/>
        <w:t>septiembre de 2005 ante la Fiscalía de Delitos Contra la Vida  e  Integridad</w:t>
        <w:br/>
        <w:t>de la Persona (expediente de prueba, folio 3811); Declaración de  la  señora</w:t>
        <w:br/>
        <w:t>Elsa Claudina Paiz Vidal de 22  de  septiembre  de  2005  ante  el  auxiliar</w:t>
        <w:br/>
        <w:t>fiscal  del  Ministerio  Público  (expediente  de  prueba,  folio   16),   y</w:t>
        <w:br/>
        <w:t>Reconocimiento médico psiquiátrico del señor Jorge Rolando  Velásquez  Durán</w:t>
        <w:br/>
        <w:t>de 21 de octubre de 2009 (expediente de prueba, folio 198).</w:t>
        <w:br/>
        <w:t>[208]       Cfr. Declaración del señor Jorge Rolando Velásquez Durán  de  24</w:t>
        <w:br/>
        <w:t>de enero de 2006 ante el auxiliar fiscal del Ministerio Público  (expediente</w:t>
        <w:br/>
        <w:t>de prueba, folio 3871), Reconocimiento médico psiquiátrico del  señor  Jorge</w:t>
        <w:br/>
        <w:t>Rolando Velásquez (expediente  de  prueba,  folio  198);  Resolución  de  la</w:t>
        <w:br/>
        <w:t>Procuraduría de los Derechos Humanos de 20 de julio de 2006  (expediente  de</w:t>
        <w:br/>
        <w:t>prueba, folio 124), e Informe de Verificación sobre Violaciones al deber  de</w:t>
        <w:br/>
        <w:t>investigar en el caso de Claudina Isabel Velásquez Paiz de  la  Procuraduría</w:t>
        <w:br/>
        <w:t>de los Derechos Humanos (expediente de prueba, folio 102).</w:t>
        <w:br/>
        <w:t>[209]       Cfr. Boleta de denuncia de desaparición de 13 de agosto de  2005</w:t>
        <w:br/>
        <w:t>(expediente de prueba, folio 21);  Resolución  de  la  Procuraduría  de  los</w:t>
        <w:br/>
        <w:t>Derechos Humanos de 20 de julio de 2006 (expediente de prueba,  folio  124),</w:t>
        <w:br/>
        <w:t>y Declaración de Jorge Rolando  Velásquez  Durán  ante  la  Jefatura  de  la</w:t>
        <w:br/>
        <w:t>Fiscalía de Sección de Delitos Contra la Vida e Integridad de  las  Personas</w:t>
        <w:br/>
        <w:t>de 24 de enero de 2006 (expediente de prueba, folio 3872).</w:t>
        <w:br/>
        <w:t xml:space="preserve">   [210]    Primero fueron a la casa de MTG, amiga de Claudina Velásquez, ya</w:t>
        <w:br/>
        <w:t xml:space="preserve">   que antes de perder contacto con su hija, esta les  habría  indicado  que</w:t>
        <w:br/>
        <w:t xml:space="preserve">   estaba con ella.  MTG  los  comunicó  con  una  persona  desconocida  que</w:t>
        <w:br/>
        <w:t xml:space="preserve">   aparentemente había prestado su teléfono  celular  a  Claudina  Velásquez</w:t>
        <w:br/>
        <w:t xml:space="preserve">   alrededor de la una y media  de  la  mañana,  y  luego  la  habría  visto</w:t>
        <w:br/>
        <w:t xml:space="preserve">   atravesando  el  Boulevard  San  Cristóbal.  Posteriormente,   el   señor</w:t>
        <w:br/>
        <w:t xml:space="preserve">   Velásquez regresó a su casa y se comunicó con varios amigos para que  les</w:t>
        <w:br/>
        <w:t xml:space="preserve">   ayudaran buscando en hospitales y morgues, mientras que la señora Paiz se</w:t>
        <w:br/>
        <w:t xml:space="preserve">   quedó en la casa de MTG. Luego de que aquella regresara a su  casa,  unos</w:t>
        <w:br/>
        <w:t xml:space="preserve">   amigos de la familia se presentaron en la casa de los Velásquez Paiz y de</w:t>
        <w:br/>
        <w:t xml:space="preserve">   aquí en adelante los acompañaron a hacer las gestiones para indagar sobre</w:t>
        <w:br/>
        <w:t xml:space="preserve">   el paradero de su hija.</w:t>
        <w:br/>
        <w:br/>
        <w:t>Luego del intento de interponer la denuncia a las  5  a.m.,  los  padres  de</w:t>
        <w:br/>
        <w:t>Claudina Velásquez hicieron un recorrido por los  bulevares  principales  de</w:t>
        <w:br/>
        <w:t>ciudad San Cristóbal y llegaron hasta “Ciudad  Peronia”.  Aproximadamente  a</w:t>
        <w:br/>
        <w:t>las 6:30 a.m. fueron a indagar sobre el paradero de su hija  a  la  casa  de</w:t>
        <w:br/>
        <w:t>una de sus principales amigas de estudios, AUM. Esta última  se  comprometió</w:t>
        <w:br/>
        <w:t>a ayudarlos a  buscarla  llamando  a  todas  las  personas  con  las  cuales</w:t>
        <w:br/>
        <w:t>Claudina Velásquez tuvo contacto esa noche. Posteriormente, regresaron a  su</w:t>
        <w:br/>
        <w:t>casa y se mantuvieron allí contactando a familiares y amigos  para  que  los</w:t>
        <w:br/>
        <w:t>ayudaran a buscar y a orar para que su hija apareciera.</w:t>
        <w:br/>
        <w:br/>
        <w:t>En una de esas llamadas, el señor Jorge Velásquez se comunicó con su  prima,</w:t>
        <w:br/>
        <w:t>le  comentó  lo  sucedido  y  le  dijo  que  estaban  haciendo  tiempo  para</w:t>
        <w:br/>
        <w:t>interponer la denuncia de desaparición con la Policía.  Asimismo,  le  pidió</w:t>
        <w:br/>
        <w:t>que mientras tanto les hiciera el favor de investigar en  los  hospitales  y</w:t>
        <w:br/>
        <w:t>morgues si había ingresado alguna persona  con  las  características  de  su</w:t>
        <w:br/>
        <w:t>hija.</w:t>
        <w:br/>
        <w:br/>
        <w:t>Adicionalmente, el mismo día 13 de agosto, entre las 8:30  y  9:00  a.m.,  y</w:t>
        <w:br/>
        <w:t>con el fin de  agotar  todas  las  posibilidades,  los  padres  de  Claudina</w:t>
        <w:br/>
        <w:t>Velásquez fueron a Mariscal Zona 11, donde habían vivido por  mucho  tiempo.</w:t>
        <w:br/>
        <w:t>El señor Velásquez fue a la casa del ex novio de su hija,  mientras  que  la</w:t>
        <w:br/>
        <w:t>señora Paiz fue a la casa de un amigo tanto del ex novio como  del  presunto</w:t>
        <w:br/>
        <w:t>novio de su hija.</w:t>
        <w:br/>
        <w:br/>
        <w:t>Alrededor de las 9:00 a.m. los padres de Claudina Velásquez y sus amigos  se</w:t>
        <w:br/>
        <w:t>encontraron con la prima del señor Jorge Rolando Velásquez, quien  les  dijo</w:t>
        <w:br/>
        <w:t>que no había encontrado, ni en los hospitales públicos ni privados, a  nadie</w:t>
        <w:br/>
        <w:t>con la descripción de Claudina Velásquez.  Luego,  el  señor  Jorge  Rolando</w:t>
        <w:br/>
        <w:t>Velásquez decidió llamar a la casa del presunto novio de su hija,  quien  le</w:t>
        <w:br/>
        <w:t>indicó que al salir de una fiesta había discutido  con  Claudina  Velásquez,</w:t>
        <w:br/>
        <w:t>que esta se había bajado del carro y que trató de seguirla pero  no  le  fue</w:t>
        <w:br/>
        <w:t>posible porque ella se fue por una calle peatonal. Finalmente, a  las  10:30</w:t>
        <w:br/>
        <w:t>a.m. aproximadamente, decidieron regresar a la casa  de  MTG.  Sin  embargo,</w:t>
        <w:br/>
        <w:t>antes de llegar recibieron una llamada de un  amigo  de  la  prima  de  Elsa</w:t>
        <w:br/>
        <w:t>Paiz, quien les dijo que estaban en la morgue de la zona 3 de  la  ciudad  y</w:t>
        <w:br/>
        <w:t>que había un cadáver con las características de su hija.  Alrededor  de  las</w:t>
        <w:br/>
        <w:t>11:00 a.m. los padres de Claudina Velásquez  se  acercaron  a  la  morgue  y</w:t>
        <w:br/>
        <w:t>reconocieron el cadáver.</w:t>
        <w:br/>
        <w:br/>
        <w:t xml:space="preserve">   Cfr. Declaración de Elsa Claudina Paiz Vidal ante la Fiscalía de  Delitos</w:t>
        <w:br/>
        <w:t xml:space="preserve">   Contra la Vida e Integridad de las Personas de 22 de septiembre  de  2005</w:t>
        <w:br/>
        <w:t xml:space="preserve">   (expediente de prueba, folios 16 y  17);  Declaración  de  LFOZ  ante  la</w:t>
        <w:br/>
        <w:t xml:space="preserve">   Fiscalía de Delitos Contra la Vida e Integridad de las Personas de 22  de</w:t>
        <w:br/>
        <w:t xml:space="preserve">   agosto de 2005 (expediente de prueba, folio  6321);  Declaración  de  MTG</w:t>
        <w:br/>
        <w:t xml:space="preserve">   ante la Fiscalía de Delitos Contra la Vida e Integridad de  las  Personas</w:t>
        <w:br/>
        <w:t xml:space="preserve">   de 22 de agosto de 2005 (expediente de prueba, folio 6325); Entrevista  a</w:t>
        <w:br/>
        <w:t xml:space="preserve">   Elsa Claudina Paiz Vidal, Informe de Investigación de 24  de  octubre  de</w:t>
        <w:br/>
        <w:t xml:space="preserve">   2005 (expediente de prueba, folio 51); Entrevista a  Elsa  Claudina  Paiz</w:t>
        <w:br/>
        <w:t xml:space="preserve">   Vidal, Informe de la investigadora Carolina Elizabeth Ruiz  Hernández  de</w:t>
        <w:br/>
        <w:t xml:space="preserve">   22 de agosto  de  2005  (expediente  de  prueba,  folios  6304  y  6305);</w:t>
        <w:br/>
        <w:t xml:space="preserve">   Declaración de Jorge Rolando Velásquez ante la Jefatura de la Fiscalía de</w:t>
        <w:br/>
        <w:t xml:space="preserve">   Sección de Delitos Contra la Vida e Integridad de las Personas de  24  de</w:t>
        <w:br/>
        <w:t xml:space="preserve">   enero de 2006 (expediente de prueba, folios 3869 a 3874); Declaración  de</w:t>
        <w:br/>
        <w:t xml:space="preserve">   AUM ante la Fiscalía de Delitos  Contra  la  Vida  e  Integridad  de  las</w:t>
        <w:br/>
        <w:t xml:space="preserve">   Personas de 5 de diciembre de 2005 (expediente de prueba, folios  3842  a</w:t>
        <w:br/>
        <w:t xml:space="preserve">   3843); Declaración de Jorge Rolando Velásquez ante la Fiscalía de Delitos</w:t>
        <w:br/>
        <w:t xml:space="preserve">   Contra la Vida e Integridad de las Personas de 22 de septiembre  de  2005</w:t>
        <w:br/>
        <w:t xml:space="preserve">   (expediente de prueba, folios 9  y  10);  Declaración  de  JRLB  ante  la</w:t>
        <w:br/>
        <w:t xml:space="preserve">   Fiscalía de Delitos Contra la Vida e Integridad de las Personas de  2  de</w:t>
        <w:br/>
        <w:t xml:space="preserve">   diciembre de 2005 (expediente de prueba, folio 3839),  y  Declaración  de</w:t>
        <w:br/>
        <w:t xml:space="preserve">   PJSM ante la Fiscalía de Delitos Contra  la  Vida  e  Integridad  de  las</w:t>
        <w:br/>
        <w:t xml:space="preserve">   Personas de 18 de agosto de 2005 (expediente de prueba, folio 6316).</w:t>
        <w:br/>
        <w:t>[211]       Cfr. Declaración del señor Jorge Rolando Velásquez Durán  de  24</w:t>
        <w:br/>
        <w:t>de enero de 2006 ante el auxiliar fiscal del Ministerio Público  (expediente</w:t>
        <w:br/>
        <w:t>de prueba, folio 3871).</w:t>
        <w:br/>
        <w:t>[212]       Cfr. Reconocimiento médico psiquiátrico del señor Jorge  Rolando</w:t>
        <w:br/>
        <w:t>Velásquez Durán de 21 de octubre de 2009 (expediente de prueba, folio 198).</w:t>
        <w:br/>
        <w:t>[213]       Cfr. Informe de  Verificación  sobre  Violaciones  al  deber  de</w:t>
        <w:br/>
        <w:t>investigar en el caso de Claudina Isabel Velásquez Paiz de  la  Procuraduría</w:t>
        <w:br/>
        <w:t>de los Derechos Humanos (expediente de prueba, folio 102);  Declaración  del</w:t>
        <w:br/>
        <w:t>señor Jorge Rolando Velásquez Durán de 22 de  septiembre  de  2005  ante  el</w:t>
        <w:br/>
        <w:t>auxiliar fiscal del Ministerio Público  (expediente  de  prueba,  folio  6);</w:t>
        <w:br/>
        <w:t>Declaración de Elsa Claudina Paiz Vidal ante la Fiscalía de  Delitos  Contra</w:t>
        <w:br/>
        <w:t>la  Vida  e  Integridad  de  las  Personas  de  22  de  septiembre  de  2005</w:t>
        <w:br/>
        <w:t>(expediente de prueba, folios 13 y  17),  y  Entrevista  a  la  señora  Elsa</w:t>
        <w:br/>
        <w:t>Claudina Paiz Vidal, Informe de Investigación  de  24  de  octubre  de  2005</w:t>
        <w:br/>
        <w:t>(expediente de prueba, folio 50).</w:t>
        <w:br/>
        <w:t>[214]       Cfr. Informe de  Verificación  sobre  Violaciones  al  deber  de</w:t>
        <w:br/>
        <w:t>investigar en el caso de Claudina Isabel Velásquez Paiz de  la  Procuraduría</w:t>
        <w:br/>
        <w:t>de los Derechos Humanos (expediente de prueba, folio 3306).</w:t>
        <w:br/>
        <w:t>[215]       El artículo 8.1 de  la  Convención  Americana  establece:  “Toda</w:t>
        <w:br/>
        <w:t>persona tiene derecho a ser oída, con las debidas garantías y dentro  de  un</w:t>
        <w:br/>
        <w:t>plazo  razonable,  por  un  juez  o  tribunal  competente,  independiente  e</w:t>
        <w:br/>
        <w:t>imparcial, establecido con anterioridad por la ley, en la  sustanciación  de</w:t>
        <w:br/>
        <w:t>cualquier acusación penal formulada contra ella, o para la determinación  de</w:t>
        <w:br/>
        <w:t>sus derechos y obligaciones de orden civil, laboral, fiscal o  de  cualquier</w:t>
        <w:br/>
        <w:t>otro carácter”.</w:t>
        <w:br/>
        <w:t>[216]       El artículo 25 de la Convención Americana  establece:  “1.  Toda</w:t>
        <w:br/>
        <w:t>persona tiene derecho a un recurso sencillo y  rápido  o  a  cualquier  otro</w:t>
        <w:br/>
        <w:t>recurso efectivo ante los jueces o tribunales  competentes,  que  la  ampare</w:t>
        <w:br/>
        <w:t>contra actos que  violen  sus  derechos  fundamentales  reconocidos  por  la</w:t>
        <w:br/>
        <w:t>Constitución, la ley o la presente Convención, aun cuando tal violación  sea</w:t>
        <w:br/>
        <w:t>cometida por personas que actúen en ejercicio de sus funciones oficiales.</w:t>
        <w:br/>
        <w:t>2. Los Estados Partes se comprometen:  a)  a  garantizar  que  la  autoridad</w:t>
        <w:br/>
        <w:t>competente prevista por el sistema  legal  del  Estado  decidirá  sobre  los</w:t>
        <w:br/>
        <w:t>derechos de toda persona que interponga tal recurso; b)  a  desarrollar  las</w:t>
        <w:br/>
        <w:t>posibilidades de recurso judicial, y c) a garantizar  el  cumplimiento,  por</w:t>
        <w:br/>
        <w:t>las autoridades competentes, de  toda  decisión  en  que  se  haya  estimado</w:t>
        <w:br/>
        <w:t>procedente el recurso”.</w:t>
        <w:br/>
        <w:t>[217]       El artículo 24 de la Convención Americana establece: “Todas  las</w:t>
        <w:br/>
        <w:t>personas son iguales ante la ley.   En  consecuencia,  tienen  derecho,  sin</w:t>
        <w:br/>
        <w:t>discriminación, a igual protección de la ley”.</w:t>
        <w:br/>
        <w:t>[218]       El artículo 11 de la Convención Americana  establece:  “1.  Toda</w:t>
        <w:br/>
        <w:t>persona tiene derecho al respeto de su  honra  y  al  reconocimiento  de  su</w:t>
        <w:br/>
        <w:t>dignidad. 2. Nadie puede ser objeto de injerencias  arbitrarias  o  abusivas</w:t>
        <w:br/>
        <w:t>en su vida  privada,  en  la  de  su  familia,  en  su  domicilio  o  en  su</w:t>
        <w:br/>
        <w:t>correspondencia, ni de ataques ilegales a su honra  o  reputación.  3.  Toda</w:t>
        <w:br/>
        <w:t>persona tiene derecho a la protección de la ley contra  esas  injerencias  o</w:t>
        <w:br/>
        <w:t>esos ataques”.</w:t>
        <w:br/>
        <w:t>[219]       El artículo 13 de la Convención Americana  establece:  “1.  Toda</w:t>
        <w:br/>
        <w:t>persona tiene derecho a la libertad de pensamiento  y  de  expresión.   Este</w:t>
        <w:br/>
        <w:t>derecho comprende la libertad de buscar, recibir y difundir informaciones  e</w:t>
        <w:br/>
        <w:t>ideas de toda índole, sin consideración de fronteras, ya sea oralmente,  por</w:t>
        <w:br/>
        <w:t>escrito o en forma impresa o artística, o por cualquier  otro  procedimiento</w:t>
        <w:br/>
        <w:t>de su elección.</w:t>
        <w:br/>
        <w:t xml:space="preserve"> 2. El ejercicio del derecho previsto  en  el  inciso  precedente  no  puede</w:t>
        <w:br/>
        <w:t>estar sujeto a previa censura sino a responsabilidades ulteriores,  las  que</w:t>
        <w:br/>
        <w:t>deben estar expresamente fijadas por la ley y ser necesarias para asegurar:</w:t>
        <w:br/>
        <w:t xml:space="preserve"> a) el respeto a los derechos o a la reputación de los demás, o</w:t>
        <w:br/>
        <w:t xml:space="preserve"> b) la protección de la seguridad nacional, el orden público o  la  salud  o</w:t>
        <w:br/>
        <w:t>la moral públicas.</w:t>
        <w:br/>
        <w:t xml:space="preserve"> 3. No se puede restringir  el  derecho  de  expresión  por  vías  o  medios</w:t>
        <w:br/>
        <w:t>indirectos, tales como el abuso de controles  oficiales  o  particulares  de</w:t>
        <w:br/>
        <w:t>papel para periódicos,  de  frecuencias  radioeléctricas,  o  de  enseres  y</w:t>
        <w:br/>
        <w:t>aparatos usados en la difusión  de  información  o  por  cualesquiera  otros</w:t>
        <w:br/>
        <w:t>medios encaminados a impedir la comunicación y la  circulación  de  ideas  y</w:t>
        <w:br/>
        <w:t>opiniones.</w:t>
        <w:br/>
        <w:t xml:space="preserve"> 4. Los espectáculos públicos pueden ser sometidos  por  la  ley  a  censura</w:t>
        <w:br/>
        <w:t>previa con el exclusivo  objeto  de  regular  el  acceso  a  ellos  para  la</w:t>
        <w:br/>
        <w:t>protección moral de la infancia y  la  adolescencia,  sin  perjuicio  de  lo</w:t>
        <w:br/>
        <w:t>establecido en el inciso 2.</w:t>
        <w:br/>
        <w:t xml:space="preserve"> 5. Estará prohibida por la ley toda propaganda en  favor  de  la  guerra  y</w:t>
        <w:br/>
        <w:t>toda  apología  del  odio  nacional,  racial  o  religioso  que  constituyan</w:t>
        <w:br/>
        <w:t>incitaciones a la violencia o cualquier otra acción  ilegal  similar  contra</w:t>
        <w:br/>
        <w:t>cualquier persona o grupo de personas, por ningún motivo, inclusive  los  de</w:t>
        <w:br/>
        <w:t>raza, color, religión, idioma u origen nacional”.</w:t>
        <w:br/>
        <w:t>[220]       El artículo 22 de la Convención Americana  establece:  “1.  Toda</w:t>
        <w:br/>
        <w:t>persona que se halle legalmente en el territorio de un Estado tiene  derecho</w:t>
        <w:br/>
        <w:t>a circular por el mismo y, a residir en él con sujeción a las  disposiciones</w:t>
        <w:br/>
        <w:t>legales.</w:t>
        <w:br/>
        <w:t xml:space="preserve"> 2. Toda persona  tiene  derecho  a  salir  libremente  de  cualquier  país,</w:t>
        <w:br/>
        <w:t>inclusive del propio.</w:t>
        <w:br/>
        <w:t xml:space="preserve"> 3. El ejercicio de los derechos anteriores no puede  ser  restringido  sino</w:t>
        <w:br/>
        <w:t>en  virtud  de  una  ley,  en  la  medida  indispensable  en  una   sociedad</w:t>
        <w:br/>
        <w:t>democrática,  para  prevenir  infracciones  penales  o  para   proteger   la</w:t>
        <w:br/>
        <w:t>seguridad nacional, la seguridad o el orden públicos, la moral  o  la  salud</w:t>
        <w:br/>
        <w:t>públicas o los derechos y libertades de los demás.</w:t>
        <w:br/>
        <w:t xml:space="preserve"> 4. El ejercicio de los derechos reconocidos en el inciso 1  puede  asimismo</w:t>
        <w:br/>
        <w:t>ser restringido por la ley, en zonas determinadas, por  razones  de  interés</w:t>
        <w:br/>
        <w:t>público.</w:t>
        <w:br/>
        <w:t xml:space="preserve"> 5. Nadie puede  ser  expulsado  del  territorio  del  Estado  del  cual  es</w:t>
        <w:br/>
        <w:t>nacional, ni ser privado del derecho a ingresar en el mismo.</w:t>
        <w:br/>
        <w:t xml:space="preserve"> 6. El extranjero que se halle legalmente en  el  territorio  de  un  Estado</w:t>
        <w:br/>
        <w:t>parte en  la  presente  Convención,  sólo  podrá  ser  expulsado  de  él  en</w:t>
        <w:br/>
        <w:t>cumplimiento de una decisión adoptada conforme a la ley.</w:t>
        <w:br/>
        <w:t xml:space="preserve"> 7. Toda persona tiene el derecho de buscar y recibir  asilo  en  territorio</w:t>
        <w:br/>
        <w:t>extranjero en caso de persecución por delitos políticos  o  comunes  conexos</w:t>
        <w:br/>
        <w:t>con los políticos y de acuerdo con  la legislación  de  cada  Estado  y  los</w:t>
        <w:br/>
        <w:t>convenios internacionales.</w:t>
        <w:br/>
        <w:t xml:space="preserve"> 8. En ningún caso el extranjero puede  ser  expulsado  o  devuelto  a  otro</w:t>
        <w:br/>
        <w:t>país, sea o no de origen, donde su  derecho  a  la  vida  o  a  la  libertad</w:t>
        <w:br/>
        <w:t>personal está  en  riesgo  de  violación  a  causa  de  raza,  nacionalidad,</w:t>
        <w:br/>
        <w:t>religión, condición social o de sus opiniones políticas.</w:t>
        <w:br/>
        <w:t xml:space="preserve"> 9. Es prohibida la expulsión colectiva de extranjeros”.</w:t>
        <w:br/>
        <w:br/>
        <w:t>[221]        Cfr.  Caso  Velásquez  Rodríguez  Vs.   Honduras.   Excepciones</w:t>
        <w:br/>
        <w:t>Preliminares. Sentencia de 26 de junio de 1987. Serie C No. 1, párr.  91,  y</w:t>
        <w:br/>
        <w:t>Caso Omar Humberto Maldonado Vargas y otros Vs. Chile.  Fondo,  Reparaciones</w:t>
        <w:br/>
        <w:t>y Costas. Sentencia de 2 de septiembre de 2015. Serie C No. 300, párr. 75.</w:t>
        <w:br/>
        <w:t>[222]       Cfr. Caso Bulacio Vs. Argentina. Fondo, Reparaciones  y  Costas.</w:t>
        <w:br/>
        <w:t>Sentencia de 18 de septiembre de 2003. Serie C No. 100, párr.  114,  y  Caso</w:t>
        <w:br/>
        <w:t>Omar Humberto Maldonado Vargas y otros Vs. Chile, supra, párr. 75.</w:t>
        <w:br/>
        <w:t>[223]       Cfr. Caso Velásquez Rodríguez. Fondo, supra, párr. 177,  y  Caso</w:t>
        <w:br/>
        <w:t>Omar Humberto Maldonado Vargas y otros Vs. Chile, supra, párr. 75.</w:t>
        <w:br/>
        <w:t>[224]       Cfr. Caso Velásquez Rodríguez Vs. Honduras. Fondo, supra,  párr.</w:t>
        <w:br/>
        <w:t>177, y Caso Omar Humberto Maldonado Vargas y otros Vs. Chile,  supra,  párr.</w:t>
        <w:br/>
        <w:t>75.</w:t>
        <w:br/>
        <w:t>[225]        Cfr.  Caso  Juan  Humberto  Sánchez  Vs.  Honduras.   Excepción</w:t>
        <w:br/>
        <w:t>Preliminar, Fondo, Reparaciones y Costas. Sentencia de 7 de junio  de  2003.</w:t>
        <w:br/>
        <w:t>Serie C No. 99, párr. 127, y Caso Espinoza Gonzáles  Vs.  Perú.  Excepciones</w:t>
        <w:br/>
        <w:t>Preliminares, Fondo, Reparaciones y Costas. Sentencia de 20 de noviembre  de</w:t>
        <w:br/>
        <w:t>2014. Serie C No. 289, párr. 238.</w:t>
        <w:br/>
        <w:t>[226]       Cfr. Caso Velásquez Rodríguez Vs. Honduras. Fondo, supra,  párr.</w:t>
        <w:br/>
        <w:t>177, y Caso Espinoza Gonzáles Vs. Perú, supra, párr. 238.</w:t>
        <w:br/>
        <w:t>[227]       Cfr. Caso de las Hermanas Serrano Cruz Vs. El  Salvador.  Fondo,</w:t>
        <w:br/>
        <w:t>Reparaciones y Costas. Sentencia de 1 de marzo de 2005.  Serie  C  No.  120,</w:t>
        <w:br/>
        <w:t>párr. 83, y Caso Espinoza Gonzáles Vs. Perú, supra, párr. 238.</w:t>
        <w:br/>
        <w:t>[228]       Cfr. Caso de los  “Niños  de  la  Calle”  (Villagrán  Morales  y</w:t>
        <w:br/>
        <w:t>otros) Vs. Guatemala. Fondo. Sentencia de 19 de noviembre de 1999.  Serie  C</w:t>
        <w:br/>
        <w:t>No. 63, párr. 227, y Caso Veliz Franco y otros  Vs.  Guatemala.  Excepciones</w:t>
        <w:br/>
        <w:t>Preliminares, Fondo, Reparaciones y Costas.  Sentencia  de  19  de  mayo  de</w:t>
        <w:br/>
        <w:t>2014. Serie C No. 277, párr. 184.</w:t>
        <w:br/>
        <w:t>[229]       Cfr. Caso García Prieto y Otros  Vs.  El  Salvador.  Excepciones</w:t>
        <w:br/>
        <w:t>Preliminares, Fondo, Reparaciones y Costas. Sentencia de 20 de noviembre  de</w:t>
        <w:br/>
        <w:t>2007. Serie C  No.  168,  párr.  104,  y  Caso  Veliz  Franco  y  otros  Vs.</w:t>
        <w:br/>
        <w:t>Guatemala, supra, párr. 184.</w:t>
        <w:br/>
        <w:t>[230]       Cfr.  Caso  Fernández  Ortega  y  otros  Vs.  México.  Excepción</w:t>
        <w:br/>
        <w:t>Preliminar, Fondo, Reparaciones y Costas. Sentencia de 30 de agosto de  2010</w:t>
        <w:br/>
        <w:t>Serie C No. 215, párr. 193, y Caso Espinoza Gonzáles Vs. Perú, supra,  párr.</w:t>
        <w:br/>
        <w:t>241.</w:t>
        <w:br/>
        <w:t>[231]       Cfr. Caso Fernández Ortega y  otros  Vs.  México,  supra,  párr.</w:t>
        <w:br/>
        <w:t>193, y Caso Espinoza Gonzáles Vs. Perú, supra, párr. 241.</w:t>
        <w:br/>
        <w:t>[232]       Cfr. Caso del Penal Miguel Castro Castro, supra,  párr.  344,  y</w:t>
        <w:br/>
        <w:t>Caso Espinoza Gonzáles Vs. Perú, supra, párr. 241.</w:t>
        <w:br/>
        <w:t>[233]       Cfr. Caso del Penal Miguel Castro Castro, supra,  párr.  378,  y</w:t>
        <w:br/>
        <w:t>Caso Espinoza Gonzáles Vs. Perú, supra, párr. 241.</w:t>
        <w:br/>
        <w:t>[234]       Cfr. Caso Fernández Ortega y  otros  Vs.  México,  supra,  párr.</w:t>
        <w:br/>
        <w:t>193, y Caso Espinoza Gonzáles Vs. Perú, supra, párr. 241.</w:t>
        <w:br/>
        <w:t>[235]       Cfr. Caso González y otras (“Campo  Algodonero”),  supra,  párr.</w:t>
        <w:br/>
        <w:t>293, y Caso Espinoza Gonzáles Vs. Perú, supra, párr. 242.</w:t>
        <w:br/>
        <w:t>[236]       Cfr. Caso Veliz Franco y otros Vs. Guatemala, supra, párr. 187.</w:t>
        <w:br/>
        <w:t>[237]       Cfr. Caso González y otras (“Campo Algodonero”),  párr.  455,  y</w:t>
        <w:br/>
        <w:t>Caso Espinoza Gonzáles Vs. Perú, supra, párr. 242.</w:t>
        <w:br/>
        <w:t>[238]       Cfr. Caso Veliz Franco y otros Vs. Guatemala, supra, párr. 188.</w:t>
        <w:br/>
        <w:t>[239]       Cfr. Caso Fernández Ortega y  otros  Vs.  México,  supra,  párr.</w:t>
        <w:br/>
        <w:t>194, y Caso Espinoza Gonzáles Vs. Perú, supra, párr. 242.</w:t>
        <w:br/>
        <w:t>[240]       Cfr. Caso González  y  otras  (“Campo  Algodonero)  Vs.  México.</w:t>
        <w:br/>
        <w:t>Excepción Preliminar, Fondo, Reparaciones  y  Costas.  Sentencia  de  16  de</w:t>
        <w:br/>
        <w:t>noviembre de 2009. Serie C No. 205, párr. 310; Caso  Veliz  Franco  y  otros</w:t>
        <w:br/>
        <w:t>Vs.  Guatemala,  supra,  párr.  188,  y  Manual  sobre   la   Prevención   e</w:t>
        <w:br/>
        <w:t>Investigación  Efectiva  de  Ejecuciones  Extrajudiciales,   Arbitrarias   y</w:t>
        <w:br/>
        <w:t>Sumarias  de   Naciones   Unidas   (Protocolo   de   Minnesota),   UN   Doc.</w:t>
        <w:br/>
        <w:t>E/ST/CSDHA/.12 (1991).</w:t>
        <w:br/>
        <w:t>[241]       Cfr. Caso González y  otras  (“Campo  Algodonero”)  Vs.  México,</w:t>
        <w:br/>
        <w:t>supra, párr. 388, y Caso Veliz Franco y otros Vs.  Guatemala,  supra,  párr.</w:t>
        <w:br/>
        <w:t>189. Ello  puede  realizarse  mediante  la  estandarización  de  protocolos,</w:t>
        <w:br/>
        <w:t>manuales, servicios periciales y  de  impartición  de  justicia,  utilizados</w:t>
        <w:br/>
        <w:t>para investigar todos los delitos  que  se  relacionen  con  desapariciones,</w:t>
        <w:br/>
        <w:t>violencia sexual y homicidio de mujeres, conforme al Protocolo de  Estambul,</w:t>
        <w:br/>
        <w:t>el Manual sobre  la  Prevención  e  Investigación  Efectiva  de  Ejecuciones</w:t>
        <w:br/>
        <w:t>Extrajudiciales, Arbitrarias y Sumarias de Naciones Unidas y los  estándares</w:t>
        <w:br/>
        <w:t>internacionales de búsqueda de  personas  desaparecidas,  con  base  en  una</w:t>
        <w:br/>
        <w:t>perspectiva de género.</w:t>
        <w:br/>
        <w:t>[242]       Cfr. Caso del  Penal  Miguel  Castro  Castro  Vs.  Perú.  Fondo,</w:t>
        <w:br/>
        <w:t>Reparaciones y Costas. Sentencia de 25 de noviembre de  2006.  Serie  C  No.</w:t>
        <w:br/>
        <w:t>160, párr. 383, y Caso Defensor de Derechos Humanos y otros  Vs.  Guatemala,</w:t>
        <w:br/>
        <w:t>supra, párr. 204.</w:t>
        <w:br/>
        <w:t>[243]       Cfr. Inter alia, Caso González  y  otras  (“Campo  Algodonero”),</w:t>
        <w:br/>
        <w:t>supra, párrs. 301 y 310; Caso Luna López Vs. Honduras.  Fondo,  Reparaciones</w:t>
        <w:br/>
        <w:t>y Costas. Sentencia de 10 de octubre de 2013. Serie C No.  269,  párr.  164;</w:t>
        <w:br/>
        <w:t>Caso Defensor de  Derechos  Humanos  y  otros,  supra,  párr.  204,  y  Caso</w:t>
        <w:br/>
        <w:t>Comunidad Campesina de Santa Bárbara  Vs.  Perú.  Excepciones  Preliminares,</w:t>
        <w:br/>
        <w:t>Fondo, Reparaciones y Costas. Sentencia de 01 de septiembre de  2015.  Serie</w:t>
        <w:br/>
        <w:t>C No. 299, párr. 228.</w:t>
        <w:br/>
        <w:t>[244]       Cfr. Caso Defensor de Derechos Humanos y  otros  Vs.  Guatemala,</w:t>
        <w:br/>
        <w:t>supra, párr. 204.</w:t>
        <w:br/>
        <w:t>[245]        Cfr.  Caso  Juan  Humberto  Sánchez  Vs.  Honduras.   Excepción</w:t>
        <w:br/>
        <w:t>Preliminar, Fondo, Reparaciones y Costas. Sentencia de 7 de junio  de  2003.</w:t>
        <w:br/>
        <w:t>Serie C No. 99, párr. 127, y Caso Defensor de Derechos Humanos y  otros  Vs.</w:t>
        <w:br/>
        <w:t>Guatemala, supra, párr. 205.</w:t>
        <w:br/>
        <w:t>[246]       Cfr. Caso Defensor de Derechos Humanos y  otros  Vs.  Guatemala,</w:t>
        <w:br/>
        <w:t>supra párr. 209.</w:t>
        <w:br/>
        <w:t>[247]       Caso de los “Niños de la Calle” (Villagrán Morales y otros)  Vs.</w:t>
        <w:br/>
        <w:t>Guatemala. Fondo, supra,  párr.  230,  y  Caso  Veliz  Franco  y  otros  Vs.</w:t>
        <w:br/>
        <w:t>Guatemala, supra, párr. 195.</w:t>
        <w:br/>
        <w:t>[248]       Cfr. Caso González y  otras  (“Campo  Algodonero”)  Vs.  México,</w:t>
        <w:br/>
        <w:t>supra,  párr.  301,  y  Caso  Defensor  de  Derechos  Humanos  y  otros  Vs.</w:t>
        <w:br/>
        <w:t>Guatemala, supra, párr.  206,  citando  el  Manual  sobre  la  Prevención  e</w:t>
        <w:br/>
        <w:t>Investigación  Efectiva  de  Ejecuciones  Extrajudiciales,   Arbitrarias   y</w:t>
        <w:br/>
        <w:t>Sumarias de Naciones Unidas (Protocolo de Minnesota), supra.</w:t>
        <w:br/>
        <w:t>[249]       Cfr. Caso Veliz Franco y otros Vs. Guatemala, supra, párr.  192,</w:t>
        <w:br/>
        <w:t>citando  el  Manual  sobre  la  Prevención  e  Investigación   Efectiva   de</w:t>
        <w:br/>
        <w:t>Ejecuciones Extrajudiciales,  Arbitrarias  y  Sumarias  de  Naciones  Unidas</w:t>
        <w:br/>
        <w:t>(Protocolo de Minnesota), supra, y  Oficina  del  Alto  Comisionado  de  las</w:t>
        <w:br/>
        <w:t>Naciones  Unidas  para  los  Derechos  Humanos.  Protocolo  Modelo  para  la</w:t>
        <w:br/>
        <w:t>investigación forense  de  muertes  sospechosas  de  haberse  producido  por</w:t>
        <w:br/>
        <w:t>violación de los derechos humanos, Proyecto MEX/00/AH/10.</w:t>
        <w:br/>
        <w:t>[250]       Cfr. Caso Veliz Franco y otros Vs. Guatemala, supra, párr.  192,</w:t>
        <w:br/>
        <w:t>citando Oficina del  Alto  Comisionado  de  las  Naciones  Unidas  para  los</w:t>
        <w:br/>
        <w:t>Derechos  Humanos.  Protocolo  Modelo  para  la   investigación  forense  de</w:t>
        <w:br/>
        <w:t>muertes sospechosas de haberse  producido  por  violación  de  los  derechos</w:t>
        <w:br/>
        <w:t>humanos, supra.</w:t>
        <w:br/>
        <w:t>[251]       Cfr. Caso González y  otras  (“Campo  Algodonero”)  Vs.  México,</w:t>
        <w:br/>
        <w:t>supra,  párr.  301,  y  Caso  Defensor  de  Derechos  Humanos  y  otros  Vs.</w:t>
        <w:br/>
        <w:t>Guatemala, supra, párr.  207,  citando  el  Manual  sobre  la  Prevención  e</w:t>
        <w:br/>
        <w:t>Investigación  Efectiva  de  Ejecuciones  Extrajudiciales,   Arbitrarias   y</w:t>
        <w:br/>
        <w:t>Sumarias de Naciones Unidas (Protocolo de Minnesota), supra.</w:t>
        <w:br/>
        <w:t>[252]       Cfr. Caso González y  otras  (“Campo  Algodonero”)  Vs.  México,</w:t>
        <w:br/>
        <w:t>supra,  párr.  305,  y  Caso  Defensor  de  Derechos  Humanos  y  otros  Vs.</w:t>
        <w:br/>
        <w:t>Guatemala, supra, párr. 207.</w:t>
        <w:br/>
        <w:t>[253]       Cfr. Caso González y otras (“Campo  Algodonero”),  supra,  párr.</w:t>
        <w:br/>
        <w:t>310, y Caso Veliz Franco y otros Vs. Guatemala, supra,  párr.  194,  citando</w:t>
        <w:br/>
        <w:t>el Manual sobre  la  Prevención  e  Investigación  Efectiva  de  Ejecuciones</w:t>
        <w:br/>
        <w:t>Extrajudiciales, Arbitrarias y Sumarias de  Naciones  Unidas  (Protocolo  de</w:t>
        <w:br/>
        <w:t>Minnesota), supra.</w:t>
        <w:br/>
        <w:t>[254]       Cfr. Informe de la investigadora de la Unidad Contra  Homicidios</w:t>
        <w:br/>
        <w:t>de Mujeres del Servicio de Investigación Criminal de la PNC de 13 de  agosto</w:t>
        <w:br/>
        <w:t>de 2005 (expediente de prueba, folios 68 a 71), y Álbum  fotográfico  de  la</w:t>
        <w:br/>
        <w:t>escena trabajada el 13 de agosto de 2005 en el lugar donde se  documentó  el</w:t>
        <w:br/>
        <w:t>cadáver de Claudina Velásquez (expediente de  prueba,  folio  2802).  Véase,</w:t>
        <w:br/>
        <w:t>además, el Informe de Verificación sobre Violaciones al deber de  investigar</w:t>
        <w:br/>
        <w:t>en el caso de Claudina Isabel Velásquez  Paiz  de  la  Procuraduría  de  los</w:t>
        <w:br/>
        <w:t>Derechos Humanos (expediente de prueba, folio 111).</w:t>
        <w:br/>
        <w:t>[255]       Véase, el Informe de Verificación sobre Violaciones al deber  de</w:t>
        <w:br/>
        <w:t>investigar en el caso de Claudina Isabel Velásquez Paiz de  la  Procuraduría</w:t>
        <w:br/>
        <w:t>de los Derechos Humanos (expediente de prueba, folio 111).</w:t>
        <w:br/>
        <w:t>[256]       Cfr. Certificación de Defunción  de  Claudina  Isabel  Velásquez</w:t>
        <w:br/>
        <w:t>Paiz (expediente de prueba, folio 3016).</w:t>
        <w:br/>
        <w:t>[257]       Cfr. Informe de  reconociendo  médico  externo  y  procesamiento</w:t>
        <w:br/>
        <w:t>médico legal de la escena del crimen de 30 de agosto de 2005 (expediente  de</w:t>
        <w:br/>
        <w:t>prueba, folios 35 y 36).</w:t>
        <w:br/>
        <w:t>[258]       Cfr. Escrito de 21 de  junio  de  2006  (expediente  de  prueba,</w:t>
        <w:br/>
        <w:t>folio 38).</w:t>
        <w:br/>
        <w:t>[259]       Cfr. Informe del médico forense del Organismo Judicial de  3  de</w:t>
        <w:br/>
        <w:t>diciembre de 2007 (expediente de prueba, folio 5073).</w:t>
        <w:br/>
        <w:t>[260]       Cfr. Informe de necropsia de 16 de agosto  de  2005  (expediente</w:t>
        <w:br/>
        <w:t>de prueba, folios 30 y 31); Informe de 16 de agosto de 2005 del  Técnico  de</w:t>
        <w:br/>
        <w:t>Investigaciones  Criminalísticas  del  Ministerio  Público  (expediente   de</w:t>
        <w:br/>
        <w:t>prueba, folio 3302); Escrito de 23 de agosto de 2005, mediante  el  cual  el</w:t>
        <w:br/>
        <w:t>Técnico de Investigaciones Criminalísticas remitió  al  auxiliar  fiscal  el</w:t>
        <w:br/>
        <w:t>álbum fotográfico de la escena trabajada (expediente de prueba, folios  2795</w:t>
        <w:br/>
        <w:t>a 2805); Informe de  reconociendo  médico  externo  y  procesamiento  médico</w:t>
        <w:br/>
        <w:t>legal de la escena del crimen  de  30  de  agosto  de  2005  (expediente  de</w:t>
        <w:br/>
        <w:t>prueba, folio 35); Escrito de 19 de septiembre de 2005, mediante el cual  el</w:t>
        <w:br/>
        <w:t>Técnico de Investigaciones Criminalísticas remitió  al  auxiliar  fiscal  el</w:t>
        <w:br/>
        <w:t>croquis de la escena trabajada (expediente de prueba, folios 4611  y  4612);</w:t>
        <w:br/>
        <w:t>Dictamen pericial TOXI-05-2620 de 16 de septiembre de  2005  (expediente  de</w:t>
        <w:br/>
        <w:t>prueba, folios 93 y 94); Dictamen BIOL-05-1455 de 26 de septiembre  de  2005</w:t>
        <w:br/>
        <w:t>(expediente de prueba, folios  90  y  91);  Oficio  BAL-05-1308/1639  de  la</w:t>
        <w:br/>
        <w:t>Dirección de Investigaciones  Criminalísticas  de  14  de  octubre  de  2005</w:t>
        <w:br/>
        <w:t>(expediente de prueba,  folios  3014  y  3015);  Escrito  de  corrección  al</w:t>
        <w:br/>
        <w:t>Informe de necropsia de 7 de junio de  2006  (expediente  de  prueba,  folio</w:t>
        <w:br/>
        <w:t>87); Escritos de 7 de junio  de  2006  del  auxiliar  fiscal,  mediante  los</w:t>
        <w:br/>
        <w:t>cuales solicitó aclaraciones al Informe de reconocimiento médico  externo  y</w:t>
        <w:br/>
        <w:t>procesamiento médico legal de la escena del crimen  (expediente  de  prueba,</w:t>
        <w:br/>
        <w:t>folios 88 y 193); Escrito de 23 de  junio  de  2006,  mediante  el  cual  el</w:t>
        <w:br/>
        <w:t>médico forense del Ministerio Público realizó la corrección del  Informe  de</w:t>
        <w:br/>
        <w:t>reconocimiento médico externo y procesamiento médico legal de la escena  del</w:t>
        <w:br/>
        <w:t>crimen (expediente de prueba, folio 38); Escrito de 18  de  julio  de  2008,</w:t>
        <w:br/>
        <w:t>mediante el cual el Técnico de Investigaciones  Criminalísticas  remitió  al</w:t>
        <w:br/>
        <w:t>auxiliar  fiscal  10  fotografías  de  descarte  de  la   escena   trabajada</w:t>
        <w:br/>
        <w:t>(expediente de prueba, folios 4153 a 4158).</w:t>
        <w:br/>
        <w:t>[261]       Cfr. Declaración del médico forense que asistió al  lugar  donde</w:t>
        <w:br/>
        <w:t>se encontró el cuerpo sin vida de Claudina Velásquez de 20 de enero de  2009</w:t>
        <w:br/>
        <w:t>ante el auxiliar  fiscal  del  Ministerio  Público  (expediente  de  prueba,</w:t>
        <w:br/>
        <w:t>folios 2879 a 2883).</w:t>
        <w:br/>
        <w:t>[262]       Cfr. Caso de la Masacre  de  la  Rochela  Vs.  Colombia.  Fondo,</w:t>
        <w:br/>
        <w:t>Reparaciones y Costas. Sentencia de 11 de mayo de 2007.  Serie  C  No.  163,</w:t>
        <w:br/>
        <w:t>párr. 158, y Caso Defensor de Derechos Humanos Vs. Guatemala,  supra,  párr.</w:t>
        <w:br/>
        <w:t>214.</w:t>
        <w:br/>
        <w:t>[263]       Cfr. Caso Kawas Fernández Vs. Honduras.  Fondo,  Reparaciones  y</w:t>
        <w:br/>
        <w:t>Costas. Sentencia de 3 de abril de 2009. Serie C No. 196, párr. 96,  y  Caso</w:t>
        <w:br/>
        <w:t>Defensor de Derechos Humanos Vs. Guatemala, supra, párr. 214.</w:t>
        <w:br/>
        <w:t>[264]       Cfr. Caso  Cantoral  Huamaní  y  García  Santa  Cruz  Vs.  Perú.</w:t>
        <w:br/>
        <w:t>Excepción Preliminar, Fondo, Reparaciones  y  Costas.  Sentencia  de  10  de</w:t>
        <w:br/>
        <w:t>julio de 2007. Serie C No. 167,  párr.  87,  y  Caso  Defensor  de  Derechos</w:t>
        <w:br/>
        <w:t>Humanos Vs. Guatemala, supra, párr. 214.</w:t>
        <w:br/>
        <w:t>[265]       Cfr. Caso Nogueira de Carvalho y otro  Vs.  Brasil.  Excepciones</w:t>
        <w:br/>
        <w:t>Preliminares y Fondo. Sentencia de 28 de noviembre  de  2006.  Serie  C  No.</w:t>
        <w:br/>
        <w:t>161, párr. 80, y Caso Defensor de Derechos  Humanos  Vs.  Guatemala,  supra,</w:t>
        <w:br/>
        <w:t>párr. 214.</w:t>
        <w:br/>
        <w:t>[266]       Cfr. Caso Ibsen  Cárdenas  e  Ibsen  Peña  Vs.  Bolivia.  Fondo,</w:t>
        <w:br/>
        <w:t>Reparaciones y Costas. Sentencia de 1 de septiembre  de  2010  Serie  C  No.</w:t>
        <w:br/>
        <w:t>217, párr. 172, y Caso Defensor de Derechos Humanos  Vs.  Guatemala,  supra,</w:t>
        <w:br/>
        <w:t>párr. 214. La impunidad ha sido definida por la Corte como la  falta  en  su</w:t>
        <w:br/>
        <w:t>conjunto de investigación, persecución, captura,  enjuiciamiento  y  condena</w:t>
        <w:br/>
        <w:t>de los responsables de las violaciones de los derechos  humanos.  Cfr.  Caso</w:t>
        <w:br/>
        <w:t>de la “Panel Blanca” (Paniagua Morales y otros) Vs.  Guatemala.  Excepciones</w:t>
        <w:br/>
        <w:t>Preliminares. Sentencia del 25 de enero de 1996. Serie C No. 23, párr.  173,</w:t>
        <w:br/>
        <w:t>y Caso Manuel Cepeda Vargas Vs. Colombia, supra, nota 184.</w:t>
        <w:br/>
        <w:t>[267]       Cfr. Propuesta de Modificación a  la  Constitución  Política  de</w:t>
        <w:br/>
        <w:t>Costa Rica Relacionada con la Naturalización. Opinión Consultiva OC-4/84  de</w:t>
        <w:br/>
        <w:t>19 de enero de 1984. Serie A No. 4, párr. 55, y Caso Espinoza  Gonzáles  Vs.</w:t>
        <w:br/>
        <w:t>Perú, supra, párr. 216.</w:t>
        <w:br/>
        <w:t>[268] Cfr. Condición Jurídica y Derechos de  los  Migrantes  Indocumentados.</w:t>
        <w:br/>
        <w:t>Opinión Consultiva OC-18/03 de 17 de septiembre de 2013.  Serie  A  No.  18,</w:t>
        <w:br/>
        <w:t>párrs. 101, 103 y 104, y Caso Espinoza Gonzáles Vs. Perú, supra, párrs.  216</w:t>
        <w:br/>
        <w:t>y 220.</w:t>
        <w:br/>
        <w:t>[269]        Cfr.  Caso  Apitz  Barbera  y  otros  (“Corte  Primera  de  los</w:t>
        <w:br/>
        <w:t>Contencioso Administrativo”) Vs.  Venezuela.  Excepción  Preliminar,  Fondo,</w:t>
        <w:br/>
        <w:t>Reparaciones y Costas. Sentencia de 5 de agosto de 2008. Serie  C  No.  182,</w:t>
        <w:br/>
        <w:t>párr. 209, y Caso Espinoza Gonzáles Vs. Perú, supra, párr. 217.</w:t>
        <w:br/>
        <w:t>[270]        Cfr.  Caso  Yatama  Vs.  Nicaragua.  Excepciones  Preliminares,</w:t>
        <w:br/>
        <w:t>Fondo, Reparaciones y Costas. Sentencia de 23 de junio de 2005. Serie C  No.</w:t>
        <w:br/>
        <w:t>127, párr. 186, y Caso Espinoza Gonzáles Vs. Perú, supra, párr. 217.</w:t>
        <w:br/>
        <w:t>[271]        Cfr.  Caso  Apitz  Barbera  y  otros  (“Corte  Primera  de   lo</w:t>
        <w:br/>
        <w:t>Contencioso  Administrativo”)  Vs.  Venezuela,  supra,  párr.  209,  y  Caso</w:t>
        <w:br/>
        <w:t>Gonzales  Lluy  y  otros  Vs.  Ecuador.  Excepciones  Preliminares,   Fondo,</w:t>
        <w:br/>
        <w:t>Reparaciones y Costas. Sentencia de 1 de septiembre de  2015.  Serie  C  No.</w:t>
        <w:br/>
        <w:t>298, párr. 243.</w:t>
        <w:br/>
        <w:t>[272] Cfr. Caso González y otras (“Campo Algodonero”) Vs. México.  Excepción</w:t>
        <w:br/>
        <w:t>Preliminar, Fondo, Reparaciones y Costas. Sentencia de 16  de  noviembre  de</w:t>
        <w:br/>
        <w:t>2009. Serie C No.205, párr. 396, citando la Convención  de  Belém  do  Pará,</w:t>
        <w:br/>
        <w:t>preámbulo y artículo 6.</w:t>
        <w:br/>
        <w:t>[273]       Cfr. Caso González y  otras  (“Campo  Algodonero”)  Vs.  México,</w:t>
        <w:br/>
        <w:t>supra, párr. 394, citando la Convención sobre la eliminación  de  todas  las</w:t>
        <w:br/>
        <w:t>formas de discriminación contra la  mujer,  de  18  de  diciembre  de  1979,</w:t>
        <w:br/>
        <w:t>artículo 1.</w:t>
        <w:br/>
        <w:t>[274] Cfr. Caso González y otras (“Campo  Algodonero”)  Vs.  México,  supra,</w:t>
        <w:br/>
        <w:t>párr. 395, citando al  Comité  para  la  Eliminación  de  la  Discriminación</w:t>
        <w:br/>
        <w:t>contra la Mujer, Recomendación general 19: La  Violencia  contra  la  Mujer,</w:t>
        <w:br/>
        <w:t>11° período de sesiones, 1992, UN Doc. HRI\GEN\1\Rev.1 at 84 (1994),  párrs.</w:t>
        <w:br/>
        <w:t>1 y 6.</w:t>
        <w:br/>
        <w:t>[275]       Cfr. Caso González y  otras  (“Campo  Algodonero”)  Vs.  México,</w:t>
        <w:br/>
        <w:t>supra, párrs. 388 y 400, y Caso Veliz Franco y otros Vs.  Guatemala,  supra,</w:t>
        <w:br/>
        <w:t>párr. 208.</w:t>
        <w:br/>
        <w:t>[276]       Cfr. Caso Veliz Franco y otros Vs. Guatemala, supra, párr. 208.</w:t>
        <w:br/>
        <w:t>[277]       Cfr. Declaración del señor Jorge Rolando Velásquez Durán  de  24</w:t>
        <w:br/>
        <w:t>de enero de 2006 ante el auxiliar fiscal del Ministerio Público  (expediente</w:t>
        <w:br/>
        <w:t>de prueba, folios 3877  y  3878);  Reconocimiento  médico  psiquiátrico  del</w:t>
        <w:br/>
        <w:t>señor Jorge Rolando Velásquez Durán de 21 de octubre de 2009 (expediente  de</w:t>
        <w:br/>
        <w:t>prueba, folios 199 y 637); Declaración rendida ante la Corte  Interamericana</w:t>
        <w:br/>
        <w:t>por Jorge Rolando Velásquez Durán durante la audiencia pública celebrada  el</w:t>
        <w:br/>
        <w:t>21 de abril de 2015; Declaración rendida ante fedatario público  (affidávit)</w:t>
        <w:br/>
        <w:t>por la señora Elsa Claudina Paiz Vidal el 9 de abril de 2015 (expediente  de</w:t>
        <w:br/>
        <w:t>prueba, folio 6701);  Reconocimiento médico psiquiátrico de la  señora  Elsa</w:t>
        <w:br/>
        <w:t>Claudina Paiz Vidal de 2 de diciembre de 2010 (expediente de prueba,  folio,</w:t>
        <w:br/>
        <w:t>206). Al respecto, ver también: Declaración rendida ante  fedatario  público</w:t>
        <w:br/>
        <w:t>(affidávit)  por  Pablo  Andrés  Velásquez  Paiz  el  9  de  abril  de  2015</w:t>
        <w:br/>
        <w:t>(expediente  de  prueba,   folio  6689);  Peritaje  rendido  ante  fedatario</w:t>
        <w:br/>
        <w:t>público (affidávit) por Alberto Bovino el 13 de abril  de  2015  (expediente</w:t>
        <w:br/>
        <w:t>de prueba, folio 6669); Informe de Verificación sobre Violaciones  al  deber</w:t>
        <w:br/>
        <w:t>de  investigar  en  el  caso  de  Claudina  Isabel  Velásquez  Paiz  de   la</w:t>
        <w:br/>
        <w:t>Procuraduría de los Derechos Humanos  (expediente  de  prueba,  folios  105,</w:t>
        <w:br/>
        <w:t>114, 3308 y 3317). Al  respecto,  durante  la  audiencia  ante  la  Comisión</w:t>
        <w:br/>
        <w:t>Interamericana de 27 de marzo de 2012, el perito Álvaro Rodrigo  Castellanos</w:t>
        <w:br/>
        <w:t>Howell explicó que en las  investigaciones  realizadas  se  menciona  a  una</w:t>
        <w:br/>
        <w:t>“investigadora encargada de la investigación de las  primeras  horas  en  la</w:t>
        <w:br/>
        <w:t>escena del crimen que básicamente [hizo] comentarios sobre el hecho  de  que</w:t>
        <w:br/>
        <w:t>no valía la pena dedicarle mayor investigación a este caso dado que era  una</w:t>
        <w:br/>
        <w:t>persona que por las características que en ese  momento  encontraron  en  la</w:t>
        <w:br/>
        <w:t>escena del crimen, consideraban, […] [que] no valía la pena, haciéndose  una</w:t>
        <w:br/>
        <w:t>referencia a una persona que tenía [...]  un  arete  en  el  ombligo  y  que</w:t>
        <w:br/>
        <w:t>estaba en sandalias, dando a entender […] por su  apariencia,  que  era  una</w:t>
        <w:br/>
        <w:t>persona que había, incluso, provocado, su asesinato”. Cfr.  Declaración  del</w:t>
        <w:br/>
        <w:t>perito Álvaro Rodrigo  Castellanos  Howell  durante  la  audiencia  ante  la</w:t>
        <w:br/>
        <w:t>Comisión Interamericana de 27  de  marzo  de  2012  (expediente  de  prueba,</w:t>
        <w:br/>
        <w:t>folios 266 y 2723). La investigadora  Carolina  Elizabeth  Ruiz  realizó  un</w:t>
        <w:br/>
        <w:t>informe de investigación el 22 de agosto de 2005, mediante  el  cual  señaló</w:t>
        <w:br/>
        <w:t>que el 15 de agosto de 2005 entrevistó a la señora Elsa Claudina Paiz  Vidal</w:t>
        <w:br/>
        <w:t>en su domicilio. Cfr. Informe  de  la  investigadora  de  la  Unidad  Contra</w:t>
        <w:br/>
        <w:t>Homicidios de Mujeres del Servicio de Investigación Criminal de  la  PNC  de</w:t>
        <w:br/>
        <w:t>22 de agosto de 2005 (expediente de prueba, folios 2900 y 2901).</w:t>
        <w:br/>
        <w:t>[278]       Al respecto, consta que: i) El 13  de  agosto  de  2005  y  tras</w:t>
        <w:br/>
        <w:t>haber sido comisionada para tal efecto, arribó a la escena  del  crimen,  la</w:t>
        <w:br/>
        <w:t>cual estaba siendo procesada por miembros  de  la  Policía  Nacional  y  del</w:t>
        <w:br/>
        <w:t>Ministerio Público, entrevistó a una vecina del lugar y escuchó  la  versión</w:t>
        <w:br/>
        <w:t>de otros vecinos que prefirieron no identificarse; ii) El 13  de  agosto  de</w:t>
        <w:br/>
        <w:t>2005 realizó un informe mediante el cual comunicó a la  Agencia  Fiscal  del</w:t>
        <w:br/>
        <w:t>Ministerio Público sobre la apertura de la investigación  preliminar  de  la</w:t>
        <w:br/>
        <w:t>policía y remitió la información recabada en la escena del crimen;  iii)  El</w:t>
        <w:br/>
        <w:t>15 de agosto de 2005  se  constituyó  en  el  domicilio  de  los  padres  de</w:t>
        <w:br/>
        <w:t>Claudina Velásquez y entrevistó a Elsa Claudina Paiz Vidal y a José  Rodolfo</w:t>
        <w:br/>
        <w:t>López Barrientos; iv) El 18 de agosto de 2005 Jorge Rolando Velásquez  Durán</w:t>
        <w:br/>
        <w:t>le proporcionó información, mediante una llamada telefónica, sobre el  lugar</w:t>
        <w:br/>
        <w:t>en que se encontraba Claudina Velásquez la noche del 12 de agosto  de  2005;</w:t>
        <w:br/>
        <w:t>v) El 22 de agosto de 2005 realizó un  informe  que  dirigió  a  la  Agencia</w:t>
        <w:br/>
        <w:t>Fiscal, en el que se refirió al contenido  de  dichas  entrevistas  y  a  la</w:t>
        <w:br/>
        <w:t>referida  llamada  telefónica,  y  brindó  información   sobre   los   datos</w:t>
        <w:br/>
        <w:t>personales de la  víctima,  la  necropsia,  la  causa  de  la  muerte  y  su</w:t>
        <w:br/>
        <w:t>identificación en la morgue. En dicho informe indicó  que  el  móvil  de  la</w:t>
        <w:br/>
        <w:t>muerte de Claudina Velásquez había  sido:  “Posiblemente  problema  pasional</w:t>
        <w:br/>
        <w:t>bajo efectos de licor con el saldo de una persona fallecida”; vi)  Los  días</w:t>
        <w:br/>
        <w:t>25 y 28 de agosto, 21 y 23 de septiembre de  2005  y  7  de  marzo  de  2006</w:t>
        <w:br/>
        <w:t>entrevistó en sus respectivos domicilios a cinco personas, y  vii)  Puso  la</w:t>
        <w:br/>
        <w:t>información recabada en dichas entrevistas, así como diligencias  realizadas</w:t>
        <w:br/>
        <w:t>en el marco de la investigación hasta ese momento,  en  conocimiento  de  la</w:t>
        <w:br/>
        <w:t>Agencia Fiscal mediante un informe que elaboró al respecto el 25  de  agosto</w:t>
        <w:br/>
        <w:t>de 2005 (sic). Cfr.  Informe  de  16  de  agosto  de  2005  del  Técnico  de</w:t>
        <w:br/>
        <w:t>Investigaciones  Criminalísticas  del  Ministerio  Público  (expediente   de</w:t>
        <w:br/>
        <w:t>prueba, folio  56);  Informes  de  la  investigadora  de  la  Unidad  Contra</w:t>
        <w:br/>
        <w:t>Homicidios de Mujeres del Servicio de Investigación Criminal de  la  PNC  de</w:t>
        <w:br/>
        <w:t>13 de agosto de 2005 (expediente de prueba,  folios,  68,  69,  2896,  2897,</w:t>
        <w:br/>
        <w:t>3223 y 3224); Informes de la investigadora de la  Unidad  Contra  Homicidios</w:t>
        <w:br/>
        <w:t>de Mujeres del Servicio de Investigación Criminal de la PNC de 22 de  agosto</w:t>
        <w:br/>
        <w:t>de 2005 (expediente de  prueba,  folios  2900  y  2901),  e  Informe  de  la</w:t>
        <w:br/>
        <w:t>investigadora de la Unidad Contra Homicidios  de  Mujeres  del  Servicio  de</w:t>
        <w:br/>
        <w:t>Investigación Criminal de la PNC de 25 de  agosto  de  2005  (expediente  de</w:t>
        <w:br/>
        <w:t>prueba, folios 4986 a 4993).</w:t>
        <w:br/>
        <w:t>[279]       El artículo 304 (Prevención policial) del Código Procesal  Penal</w:t>
        <w:br/>
        <w:t>vigente en la época de los hechos indicaba que: “Los funcionarios y  agentes</w:t>
        <w:br/>
        <w:t>policiales que tengan noticia de un hecho  punible  perseguible  de  oficio,</w:t>
        <w:br/>
        <w:t>informarán enseguida detalladamente al Ministerio Público y practicarán  una</w:t>
        <w:br/>
        <w:t>investigación preliminar, para reunir o asegurar con urgencia los  elementos</w:t>
        <w:br/>
        <w:t>de convicción y evitar la  fuga  u  ocultación  de  los  sospechosos.  Igual</w:t>
        <w:br/>
        <w:t>función  tendrán  los  jueces  de  paz  en  los  lugares  donde  no  existan</w:t>
        <w:br/>
        <w:t>funcionarios del Ministerio Público o agentes de la  policía”.  El  artículo</w:t>
        <w:br/>
        <w:t>307 (Remisión  de  actuaciones)  señalaba  que:  “Las  actuaciones  y  cosas</w:t>
        <w:br/>
        <w:t>secuestradas serán remitidas al Ministerio  Público  en  el  plazo  de  tres</w:t>
        <w:br/>
        <w:t>días,  sin  perjuicio  de  lo  previsto  para  el  caso  de  aprehensión  de</w:t>
        <w:br/>
        <w:t>personas”.</w:t>
        <w:br/>
        <w:t>[280]       Cfr. Caso González y  otras  (“Campo  Algodonero”)  Vs.  México,</w:t>
        <w:br/>
        <w:t>supra, párr. 401.</w:t>
        <w:br/>
        <w:t>[281]        Cfr.  Mutatis  mutandi,   Caso   González   y   otras   (“Campo</w:t>
        <w:br/>
        <w:t>Algodonero”)  Vs.  México,  supra,  párr.  401.  Al  respecto,  ver  mutatis</w:t>
        <w:br/>
        <w:t>mutandi, Peritaje rendido ante fedatario público (affidávit) por  Christiane</w:t>
        <w:br/>
        <w:t>Mary Chinkin el 13 de abril de 2015 (expediente de  prueba,  folios  6797  y</w:t>
        <w:br/>
        <w:t>6798), y Peritaje rendido ante fedatario  público  (affidávit)  por  Alberto</w:t>
        <w:br/>
        <w:t>Bovino el 13 de abril de 2015 (expediente de prueba, folios 6666 y 6667).</w:t>
        <w:br/>
        <w:t>[282]       Cfr. Peritaje rendido ante  fedatario  público  (affidávit)  por</w:t>
        <w:br/>
        <w:t>Christiane Mary Chinkin el 13  de  abril  de  2015  (expediente  de  prueba,</w:t>
        <w:br/>
        <w:t>folios 6782 a 6802).</w:t>
        <w:br/>
        <w:t>[283]       Cfr. Peritaje rendido ante  fedatario  público  (affidávit)  por</w:t>
        <w:br/>
        <w:t>Paloma Soria Montañez el 16 de abril de 2015 (expediente de  prueba,  folios</w:t>
        <w:br/>
        <w:t>6744 a 6781).</w:t>
        <w:br/>
        <w:t>[284]       Cfr. Peritaje rendido ante  fedatario  público  (affidávit)  por</w:t>
        <w:br/>
        <w:t>Christiane Mary Chinkin el 13  de  abril  de  2015  (expediente  de  prueba,</w:t>
        <w:br/>
        <w:t>folios 6798 y 6799).</w:t>
        <w:br/>
        <w:t>[285]       Cfr. Peritaje rendido ante  fedatario  público  (affidávit)  por</w:t>
        <w:br/>
        <w:t>Paloma Soria Montañez el 16 de abril de 2015 (expediente  de  prueba,  folio</w:t>
        <w:br/>
        <w:t>6771).</w:t>
        <w:br/>
        <w:t>[286]       Cfr. Peritaje rendido ante  fedatario  público  (affidávit)  por</w:t>
        <w:br/>
        <w:t>Christiane Mary Chinkin el 13  de  abril  de  2015  (expediente  de  prueba,</w:t>
        <w:br/>
        <w:t>folios 6798 y 6799).</w:t>
        <w:br/>
        <w:t>[287]       Cfr. Peritaje rendido ante  fedatario  público  (affidávit)  por</w:t>
        <w:br/>
        <w:t>Paloma Soria Montañez el 16 de abril de 2015 (expediente  de  prueba,  folio</w:t>
        <w:br/>
        <w:t>6771).</w:t>
        <w:br/>
        <w:t>[288]       Cfr. Informe de  Verificación  sobre  Violaciones  al  deber  de</w:t>
        <w:br/>
        <w:t>investigar en el caso de Claudina Isabel Velásquez Paiz de  la  Procuraduría</w:t>
        <w:br/>
        <w:t>de los Derechos Humanos (expediente de prueba, folios 104, 105 y 114).</w:t>
        <w:br/>
        <w:t>[289]       Cfr. Peritaje rendido ante  fedatario  público  (affidávit)  por</w:t>
        <w:br/>
        <w:t>Alberto Bovino el 13 de abril de 2015 (expediente de prueba, folios  6670  y</w:t>
        <w:br/>
        <w:t>6674).</w:t>
        <w:br/>
        <w:t>[290]        En  el  Informe  de  la  investigadora  de  la  Unidad   Contra</w:t>
        <w:br/>
        <w:t>Homicidios de Mujeres del Servicio de Investigación Criminal de  la  PNC  de</w:t>
        <w:br/>
        <w:t>13 de agosto de 2005 y en el Informe  de  reconocimiento  médico  externo  y</w:t>
        <w:br/>
        <w:t>procesamiento médico legal de la escena del crimen de 30 de agosto  de  2005</w:t>
        <w:br/>
        <w:t>se indicó que se encontró “un envoltorio de preservativo”. No  obstante,  en</w:t>
        <w:br/>
        <w:t>el álbum fotográfico de la  escena  trabajada  el  13  de  agosto  de  2005,</w:t>
        <w:br/>
        <w:t>remitido el 23 de agosto  de  2005  al  auxiliar  fiscal,  se  documentó  el</w:t>
        <w:br/>
        <w:t>hallazgo de un sobre con la descripción “CUP RAMEN  VEGETALES  aparentemente</w:t>
        <w:br/>
        <w:t>de color verde limón”. Cfr. Informe de la investigadora de la Unidad  Contra</w:t>
        <w:br/>
        <w:t>Homicidios de Mujeres del Servicio de Investigación Criminal de  la  PNC  de</w:t>
        <w:br/>
        <w:t>13 de agosto de 2005 (expediente de prueba, folios  69  y  70);  Informe  de</w:t>
        <w:br/>
        <w:t>reconocimiento médico externo y procesamiento médico legal de la escena  del</w:t>
        <w:br/>
        <w:t>crimen de 30 de agosto de 2005 (expediente de prueba, folios  35  y  36),  y</w:t>
        <w:br/>
        <w:t>Álbum  fotográfico  de  la  escena  trabajada  el  13  de  agosto  de   2005</w:t>
        <w:br/>
        <w:t>(expediente de prueba, folio 2804).</w:t>
        <w:br/>
        <w:t>[291]       Cfr. Perfil psiquiátrico de víctima,  victimario  y  escena  del</w:t>
        <w:br/>
        <w:t>crimen sobre el caso de la muerte  violenta  de  Claudina  Isabel  Velásquez</w:t>
        <w:br/>
        <w:t>Paiz (expediente de prueba, folios 4875 y 4876).</w:t>
        <w:br/>
        <w:t>[292]       Cfr. Caso Veliz Franco y otros Vs. Guatemala, supra, párrs.  210</w:t>
        <w:br/>
        <w:t>a 212.</w:t>
        <w:br/>
        <w:t>[293]       El artículo 1 de la  Convención  de  Belém  do  Pará  define  la</w:t>
        <w:br/>
        <w:t>violencia contra la mujer como: “cualquier acción o conducta, basada  en  su</w:t>
        <w:br/>
        <w:t>género, que cause muerte, daño o sufrimiento físico, sexual o psicológico  a</w:t>
        <w:br/>
        <w:t>la mujer, tanto en el ámbito público  como  en  el  privado”.  La  Corte  ha</w:t>
        <w:br/>
        <w:t>establecido  anteriormente  que  “[e]l  CEDAW  […]  ha  señalado  que  ‘[l]a</w:t>
        <w:br/>
        <w:t>violencia contra  la  mujer  es  una  forma  de  discriminación  que  impide</w:t>
        <w:br/>
        <w:t>gravemente que goce de derechos y libertades  en  pie  de  igualdad  con  el</w:t>
        <w:br/>
        <w:t>hombre’”. Cfr. Caso González y otras  (“Campo  Algodonero”),  supra,  párrs.</w:t>
        <w:br/>
        <w:t>143, 401 y 395. Por otra parte, también ha señalado este  Tribunal  que  “no</w:t>
        <w:br/>
        <w:t>toda violación de un derecho humano  cometida  en  perjuicio  de  una  mujer</w:t>
        <w:br/>
        <w:t>conlleva necesariamente una violación de las disposiciones de la  Convención</w:t>
        <w:br/>
        <w:t>de Belém do Pará”.  Cfr.  Caso  Ríos  y  otros  Vs.  Venezuela.  Excepciones</w:t>
        <w:br/>
        <w:t>Preliminares, Fondo, Reparaciones y Costas. Sentencia  de  28  de  enero  de</w:t>
        <w:br/>
        <w:t>2009. Serie C No. 194, párr. 279. De ello no se desprende que,  en  relación</w:t>
        <w:br/>
        <w:t>con la investigación de hechos cometidos contra mujeres,  la  aplicación  de</w:t>
        <w:br/>
        <w:t>la Convención de Belém do Pará dependa  de  un  grado  absoluto  de  certeza</w:t>
        <w:br/>
        <w:t>sobre si el hecho a ser investigado constituyó  o  no  violencia  contra  la</w:t>
        <w:br/>
        <w:t>mujer en los términos de dicha Convención. Al respecto, debe resaltarse  que</w:t>
        <w:br/>
        <w:t>es mediante el cumplimiento  del  deber  de  investigar  establecido  en  el</w:t>
        <w:br/>
        <w:t>artículo 7 de la Convención de Belém do Pará que, en diversos  casos,  podrá</w:t>
        <w:br/>
        <w:t>arribarse a la certidumbre sobre si el  acto  investigado  constituyó  o  no</w:t>
        <w:br/>
        <w:t>violencia contra la mujer. El  cumplimiento  de  tal  deber  no  puede,  por</w:t>
        <w:br/>
        <w:t>tanto, hacerse depender de dicha certidumbre. Basta entones,  a  efectos  de</w:t>
        <w:br/>
        <w:t>hacer surgir la obligación de investigar en los términos  de  la  Convención</w:t>
        <w:br/>
        <w:t>de Belém do Pará, que el hecho en cuestión,  en  su  materialidad,  presente</w:t>
        <w:br/>
        <w:t>características que, apreciadas razonablemente, indiquen la  posibilidad  de</w:t>
        <w:br/>
        <w:t>que el mismo se trate de un hecho de violencia contra la  mujer.  Cfr.  Caso</w:t>
        <w:br/>
        <w:t>Veliz Franco y otros Vs. Guatemala, supra, nota al pie 254.</w:t>
        <w:br/>
        <w:t>[294]       Cfr. Entrevista a los dos agentes policiales  que  acudieron  al</w:t>
        <w:br/>
        <w:t>lugar donde se encontró el cuerpo sin vida de  Claudina  Velásquez,  Informe</w:t>
        <w:br/>
        <w:t>de Investigación de 24 de octubre de 2005 (expediente de prueba, folio 48).</w:t>
        <w:br/>
        <w:t>[295]       Cfr. Perfil psiquiátrico de víctima,  victimario  y  escena  del</w:t>
        <w:br/>
        <w:t>crimen sobre el caso de la muerte  violenta  de  Claudina  Isabel  Velásquez</w:t>
        <w:br/>
        <w:t>Paiz (expediente de prueba, folio 4876).</w:t>
        <w:br/>
        <w:t>[296]       Cfr. Declaración del médico forense que asistió al  lugar  donde</w:t>
        <w:br/>
        <w:t>se encontró el cuerpo sin vida de Claudina Velásquez,  de  20  de  enero  de</w:t>
        <w:br/>
        <w:t>2009, ante el auxiliar fiscal del Ministerio Público (expediente de  prueba,</w:t>
        <w:br/>
        <w:t>folio 2880).</w:t>
        <w:br/>
        <w:t>[297]       Cfr. Peritaje rendido ante  fedatario  público  (affidávit)  por</w:t>
        <w:br/>
        <w:t>Christiane Mary Chinkin el 13  de  abril  de  2015  (expediente  de  prueba,</w:t>
        <w:br/>
        <w:t>folios 6796 y 6797); Peritaje rendido  ante  fedatario  público  (affidávit)</w:t>
        <w:br/>
        <w:t>por Claudia González Orellana el 19 de marzo de 2015 (expediente de  prueba,</w:t>
        <w:br/>
        <w:t>folio 6813), y Peritaje  rendido  ante  fedatario  público  (affidávit)  por</w:t>
        <w:br/>
        <w:t>Alberto Bovino el 13 de abril de 2015 (expediente de prueba, folio 6674).</w:t>
        <w:br/>
        <w:t>[298] El artículo 5.1  de  la  Convención  establece:  “Toda  persona  tiene</w:t>
        <w:br/>
        <w:t>derecho a que se respete su integridad física, psíquica y moral”.</w:t>
        <w:br/>
        <w:t>[299] El artículo 11 de la Convención establece que:</w:t>
        <w:br/>
        <w:t>“1. Toda persona tiene derecho al respeto de su honra  y  al  reconocimiento</w:t>
        <w:br/>
        <w:t>de su dignidad.</w:t>
        <w:br/>
        <w:t>2. Nadie puede ser objeto de injerencias arbitrarias o abusivas en  su  vida</w:t>
        <w:br/>
        <w:t>privada, en la de su familia, en su domicilio o en  su  correspondencia,  ni</w:t>
        <w:br/>
        <w:t>de ataques ilegales a su honra o reputación.</w:t>
        <w:br/>
        <w:t>3. Toda persona tiene  derecho  a  la  protección  de  la  ley  contra  esas</w:t>
        <w:br/>
        <w:t>injerencias o esos ataques”.</w:t>
        <w:br/>
        <w:br/>
        <w:t>[300]       Cfr. Caso Castillo Páez Vs.  Perú.  Fondo.  Sentencia  de  3  de</w:t>
        <w:br/>
        <w:t>noviembre de 1997. Serie C No. 34, punto resolutivo cuarto, y Caso  Gonzales</w:t>
        <w:br/>
        <w:t>Lluy y otros Vs. Ecuador. Excepciones Preliminares,  Fondo,  Reparaciones  y</w:t>
        <w:br/>
        <w:t>Costas. Sentencia de 01 de septiembre de 2015. Serie C No. 298, párr. 211.</w:t>
        <w:br/>
        <w:t>[301]       Cfr. Caso Albán Cornejo y Otros Vs. Ecuador.  Interpretación  de</w:t>
        <w:br/>
        <w:t>la Sentencia de Fondo, Reparaciones y Costas. Sentencia de 5  de  agosto  de</w:t>
        <w:br/>
        <w:t>2008. Serie C No. 183, párr. 46, y Caso Gonzales Lluy y otros  Vs.  Ecuador,</w:t>
        <w:br/>
        <w:t>supra, párr. 211.</w:t>
        <w:br/>
        <w:t>[302] Cfr. Caso Bámaca Velásquez Vs. Guatemala. Fondo. Sentencia  de  25  de</w:t>
        <w:br/>
        <w:t>noviembre de 2000. Serie C No. 70, párr. 163, y Caso Gonzales Lluy  y  otros</w:t>
        <w:br/>
        <w:t>Vs. Ecuador, supra, párr. 211.</w:t>
        <w:br/>
        <w:t>[303]       Cfr.  Caso  Baldeón  García  Vs.  Perú.  Fondo,  Reparaciones  y</w:t>
        <w:br/>
        <w:t>Costas. Sentencia de 6 de abril de 2006. Serie C No. 147, párr. 128, y  Caso</w:t>
        <w:br/>
        <w:t>Gonzales Lluy y otros Vs. Ecuador, supra, párr. 211.</w:t>
        <w:br/>
        <w:t>[304]       Cfr. Declaración rendida ante la Corte Interamericana por  Jorge</w:t>
        <w:br/>
        <w:t>Rolando Velásquez Durán durante la audiencia pública celebrada el  21  y  22</w:t>
        <w:br/>
        <w:t>de abril de 2015.</w:t>
        <w:br/>
        <w:t>[305]       Cfr. Declaración rendida ante la Corte Interamericana por  Jorge</w:t>
        <w:br/>
        <w:t>Rolando Velásquez Durán durante la audiencia pública celebrada el  21  y  22</w:t>
        <w:br/>
        <w:t>de abril de 2015.</w:t>
        <w:br/>
        <w:t>[306]       Cfr. Declaración  de  Elsa  Claudina  Paiz  Vidal  rendida  ante</w:t>
        <w:br/>
        <w:t>fedatario público (affidávit) el 9 de abril de 2015 (expediente  de  prueba,</w:t>
        <w:br/>
        <w:t>folio 6701).</w:t>
        <w:br/>
        <w:t>[307]       Cfr. Declaración  de  Elsa  Claudina  Paiz  Vidal  rendida  ante</w:t>
        <w:br/>
        <w:t>fedatario público (affidávit) el 9 de abril de 2015 (expediente  de  prueba,</w:t>
        <w:br/>
        <w:t>folios 6700 y 6701).</w:t>
        <w:br/>
        <w:t>[308]       Cfr. Declaración  de  Elsa  Claudina  Paiz  Vidal  rendida  ante</w:t>
        <w:br/>
        <w:t>fedatario público (affidávit) el 9 de abril de 2015 (expediente  de  prueba,</w:t>
        <w:br/>
        <w:t>folio 6702).</w:t>
        <w:br/>
        <w:t>[309]       Cfr. Declaración de Pablo Andrés  Velásquez  Paiz  rendida  ante</w:t>
        <w:br/>
        <w:t>fedatario público (affidávit) el 9 de abril de 2015 (expediente  de  prueba,</w:t>
        <w:br/>
        <w:t>folios 6690 y 6691).</w:t>
        <w:br/>
        <w:t>[310]       Cfr. Declaración  de  Elsa  Claudina  Paiz  Vidal  rendida  ante</w:t>
        <w:br/>
        <w:t>fedatario público (affidávit) el 9 de abril de 2015 (expediente  de  prueba,</w:t>
        <w:br/>
        <w:t>folio 6702).</w:t>
        <w:br/>
        <w:t>[311]       Cfr. Declaración de Pablo Andrés  Velásquez  Paiz  rendida  ante</w:t>
        <w:br/>
        <w:t>fedatario público (affidávit) el 9 de abril de 2015 (expediente  de  prueba,</w:t>
        <w:br/>
        <w:t>folio 6689).</w:t>
        <w:br/>
        <w:t>[312]       Cfr. Informe de  Verificación  sobre  Violaciones  al  deber  de</w:t>
        <w:br/>
        <w:t>investigar en el caso de Claudina Isabel Velásquez Paiz de  la  Procuraduría</w:t>
        <w:br/>
        <w:t>de los Derechos Humanos (expediente de prueba, folios 3319 y 3320).</w:t>
        <w:br/>
        <w:t>[313]       Cfr. Informe de la especialista  en  psiquiatría  Karen  Denisse</w:t>
        <w:br/>
        <w:t>Peña Juárez aportado durante el  trámite  ante  la  Comisión  Interamericana</w:t>
        <w:br/>
        <w:t>(expediente de prueba, folio 203).</w:t>
        <w:br/>
        <w:t>[314]       Cfr. Caso  Tristán  Donoso  Vs.  Panamá.  Excepción  Preliminar,</w:t>
        <w:br/>
        <w:t>Fondo, Reparaciones y Costas. Sentencia de 27 de enero de 2009. Serie C  No.</w:t>
        <w:br/>
        <w:t>193, párr. 57,  y  Caso  Mémoli  Vs.  Argentina.  Excepciones  Preliminares,</w:t>
        <w:br/>
        <w:t>Fondo, Reparaciones y Costas. Sentencia de 22 de agosto  de  2013.  Serie  C</w:t>
        <w:br/>
        <w:t>No. 265, párr. 124.</w:t>
        <w:br/>
        <w:t>[315]        Cfr.  Caso  Bámaca  Velásquez  Vs.  Guatemala.  Reparaciones  y</w:t>
        <w:br/>
        <w:t>Costas. Sentencia de 22 de febrero de 2002. Serie C No.  91,  párr.  81.  Al</w:t>
        <w:br/>
        <w:t>respecto, ver también mutatis  mutandi  Caso  Blake  Vs.  Guatemala.  Fondo.</w:t>
        <w:br/>
        <w:t>Sentencia de 24 de enero de 1998. Serie C No. 36, párr. 115.</w:t>
        <w:br/>
        <w:t>[316]       El artículo 63.1  de  la  Convención  Americana  establece  que:</w:t>
        <w:br/>
        <w:t>“[c]uando decida que hubo violación de un derecho o libertad  protegidos  en</w:t>
        <w:br/>
        <w:t>[la]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lesionada”.</w:t>
        <w:br/>
        <w:t>[317]       Cfr. Caso  Velásquez  Rodríguez  Vs.  Honduras.  Reparaciones  y</w:t>
        <w:br/>
        <w:t>Costas. Sentencia de 21 de julio de 1989. Serie C No. 7, párr.  25,  y  Caso</w:t>
        <w:br/>
        <w:t>López Lone y otros Vs. Honduras. Excepción Preliminar,  Fondo,  Reparaciones</w:t>
        <w:br/>
        <w:t>y Costas. Sentencia de 05 de octubre de 2015. Serie C No. 302, párr. 286.</w:t>
        <w:br/>
        <w:t>[318]       Cfr. Caso  Velásquez  Rodríguez  Vs.  Honduras.  Reparaciones  y</w:t>
        <w:br/>
        <w:t>Costas, supra, párr. 26, y Caso López Lone  y  otros  Vs.  Honduras,  supra,</w:t>
        <w:br/>
        <w:t>párr. 287.</w:t>
        <w:br/>
        <w:t>[319]       Cfr. Caso  de  la  Masacre  de  las  Dos  Erres  Vs.  Guatemala.</w:t>
        <w:br/>
        <w:t>Excepción Preliminar, Fondo, Reparaciones  y  Costas.  Sentencia  de  24  de</w:t>
        <w:br/>
        <w:t>noviembre de 2009. Serie C No. 211, párr. 226, y Caso  López  Lone  y  otros</w:t>
        <w:br/>
        <w:t>Vs. Honduras, supra, párr. 287.</w:t>
        <w:br/>
        <w:t>[320] Cfr. Caso Ticona Estrada y otros Vs. Bolivia.  Fondo,  Reparaciones  y</w:t>
        <w:br/>
        <w:t>Costas. Sentencia de 27 de noviembre de 2008. Serie C No. 191, párr. 110,  y</w:t>
        <w:br/>
        <w:t>Caso López Lone y otros Vs. Honduras, supra, párr. 288.</w:t>
        <w:br/>
        <w:t>[321]       Cfr. Caso  Velásquez  Rodríguez  Vs.  Honduras.  Reparaciones  y</w:t>
        <w:br/>
        <w:t>Costas, supra, párrs. 25 a 27, y Caso  López  Lone  y  otros  Vs.  Honduras,</w:t>
        <w:br/>
        <w:t>supra, párr. 289.</w:t>
        <w:br/>
        <w:t>[322]       Cfr. Caso de la Masacre  de  la  Rochela  Vs.  Colombia.  Fondo,</w:t>
        <w:br/>
        <w:t>Reparaciones y Costas. Sentencia de 11 de mayo de 2007.  Serie  C  No.  163,</w:t>
        <w:br/>
        <w:t>párr. 233, y Caso López Lone y otros Vs. Honduras, supra, párr. 290.</w:t>
        <w:br/>
        <w:t>[323]       Cfr. Caso Cabrera García y Montiel Flores Vs. México.  Excepción</w:t>
        <w:br/>
        <w:t>Preliminar, Fondo, Reparaciones y Costas. Sentencia de 26  de  noviembre  de</w:t>
        <w:br/>
        <w:t>2010. Serie C No. 220, párr. 215, y Caso  Defensor  de  Derechos  Humanos  y</w:t>
        <w:br/>
        <w:t>otros  Vs.  Guatemala.  Excepciones  Preliminares,  Fondo,  Reparaciones   y</w:t>
        <w:br/>
        <w:t>Costas. Sentencia de 28 de agosto de 2014. Serie C No. 283, párr. 253.</w:t>
        <w:br/>
        <w:t>[324] Cfr. Caso Barrios Altos Vs. Perú. Reparaciones y Costas. Sentencia  de</w:t>
        <w:br/>
        <w:t>30 de noviembre de 2001. Serie C No. 87, párrs. 42 y 45,  y  Caso  Comunidad</w:t>
        <w:br/>
        <w:t>Campesina de  Santa  Bárbara  Vs.  Perú.  Excepciones  Preliminares,  Fondo,</w:t>
        <w:br/>
        <w:t>Reparaciones y Costas. Sentencia de 01 de septiembre de 2015.  Serie  C  No.</w:t>
        <w:br/>
        <w:t>299, párr. 308.</w:t>
        <w:br/>
        <w:t>[325]       Cfr. Caso Cantoral Benavides Vs. Perú.  Reparaciones  y  Costas.</w:t>
        <w:br/>
        <w:t>Sentencia de 3 de diciembre de 2001. Serie C No. 88, párr. 79, y Caso  López</w:t>
        <w:br/>
        <w:t>Lone y otros Vs. Honduras, supra, párr. 303.</w:t>
        <w:br/>
        <w:t>[326]       Cfr. Caso González y  otras  (“Campo  Algodonero”)  Vs.  México.</w:t>
        <w:br/>
        <w:t>Excepción Preliminar, Fondo, Reparaciones  y  Costas.  Sentencia  de  16  de</w:t>
        <w:br/>
        <w:t>noviembre de 2009. Serie C No.205, párr., 543.</w:t>
        <w:br/>
        <w:t>[327]       Según el Estado, a partir  del  inicio  de  sus  actividades  se</w:t>
        <w:br/>
        <w:t>crearon  e  implementaron  protocolos  y  lineamientos  de   actuación   que</w:t>
        <w:br/>
        <w:t>actualizaron las prácticas para la realización de necropsias que  van  mucho</w:t>
        <w:br/>
        <w:t>más allá de identificar los cadáveres. El mayor cambio  es  que  su  función</w:t>
        <w:br/>
        <w:t>principal es la obtención de pruebas científicas que  posteriormente  sirven</w:t>
        <w:br/>
        <w:t>para formular la acusación y probar el posible vínculo entre  el  acusado  y</w:t>
        <w:br/>
        <w:t>las  lesiones  que  presenta  el  cadáver.  Señaló  que  el  uso  de  dichos</w:t>
        <w:br/>
        <w:t>protocolos se ha ido perfeccionando a lo  largo  de  los  años.  Por  tanto,</w:t>
        <w:br/>
        <w:t>consideró que ha cumplido con la recomendación realizada por la Comisión  en</w:t>
        <w:br/>
        <w:t>cuanto  a  adoptar/adecuar  protocolos  de  investigación  y  de   servicios</w:t>
        <w:br/>
        <w:t>periciales, y resaltó  que  la  Comisión  aportó  elementos  suficientes  ni</w:t>
        <w:br/>
        <w:t>específicos en cuanto a qué parte de los protocolos que se han  implementado</w:t>
        <w:br/>
        <w:t>no es satisfactorio.</w:t>
        <w:br/>
        <w:t>[328]        Dicho  Protocolo  está   orientado   a   institucionalizar   la</w:t>
        <w:br/>
        <w:t>metodología  de  trabajo  para  fortalecer  y  guiar  la   investigación   y</w:t>
        <w:br/>
        <w:t>persecución penal del delito de femicidio y tentativas por los  funcionarios</w:t>
        <w:br/>
        <w:t>del Ministerio Publico, y que tiene como finalidad que toda  muerte  de  una</w:t>
        <w:br/>
        <w:t>mujer  o  tentativa  sea  investigada  de  manera  inmediata,   ordenada   y</w:t>
        <w:br/>
        <w:t>exhaustiva considerando el marco legal de  protección  de  la  vida  de  las</w:t>
        <w:br/>
        <w:t>mujeres, adolescentes y niñas.</w:t>
        <w:br/>
        <w:t>[329]       Dichas  directrices  están  dirigidas  a  lo  siguiente:  i)  el</w:t>
        <w:br/>
        <w:t>fortalecimiento de la Unidad de la Escena del Crimen; ii)  la  creación  del</w:t>
        <w:br/>
        <w:t>Manual de normas y procedimientos para el procesamiento  de  la  escena  del</w:t>
        <w:br/>
        <w:t>crimen; iii) la emisión de una serie de Instrucciones Generales durante  los</w:t>
        <w:br/>
        <w:t>años 2006, 2007, 2008 y 2013,  las  cuales  regulan  y  brindan  directrices</w:t>
        <w:br/>
        <w:t>relacionadas a la investigación y persecución penal, manejo  de  escena  del</w:t>
        <w:br/>
        <w:t>crimen,  recolección  y  preservación  de  la  prueba,  así  como  para   la</w:t>
        <w:br/>
        <w:t>aplicación de la Ley Contra el Femicidio y Otras Formas de Violencia  Contra</w:t>
        <w:br/>
        <w:t>la Mujer.</w:t>
        <w:br/>
        <w:t>[330]       Entre ellas, el  Modelo  de  Atención  Integral  a  la  Víctima,</w:t>
        <w:br/>
        <w:t>Implementación del Modelo de Atención a la  Víctima  7-2008,  Implementación</w:t>
        <w:br/>
        <w:t>del Protocolo para la Estabilización de la Víctima en la Primera  Visita  8-</w:t>
        <w:br/>
        <w:t>2008,  Implementación  del  Protocolo  para  la  Atención  de  la  Niñez   y</w:t>
        <w:br/>
        <w:t>Adolescencia,  Víctimas  Directas  y  Colaterales   e   Implementación   del</w:t>
        <w:br/>
        <w:t>Protocolo para la Atención a la Víctima de  Delitos  Contra  la  Libertad  y</w:t>
        <w:br/>
        <w:t>Seguridad Sexual y el Pudor en las Oficinas de Atención  a  la  Víctima  10-</w:t>
        <w:br/>
        <w:t>2008.</w:t>
        <w:br/>
        <w:t>[331]       Cfr. Caso  Veliz  Franco  y  otros  Vs.  Guatemala.  Excepciones</w:t>
        <w:br/>
        <w:t>Preliminares, Fondo, Reparaciones y Costas.  Sentencia  de  19  de  mayo  de</w:t>
        <w:br/>
        <w:t>2014. Serie C No. 277, párr. 264.</w:t>
        <w:br/>
        <w:t>[332]       Cfr. Peritaje rendido por Karen Musalo  ante  fedatario  público</w:t>
        <w:br/>
        <w:t>(affidávit) el 13 de abril de 2015 (expediente  de  prueba,  folios  6662  y</w:t>
        <w:br/>
        <w:t>6663).</w:t>
        <w:br/>
        <w:t>[333]       Señaló la necesidad del “[m]ejoramiento de la  investigación  en</w:t>
        <w:br/>
        <w:t>la escena del crimen, de los controles de  la  cadena  de  custodia,  de  la</w:t>
        <w:br/>
        <w:t>capacitación y de la coordinación de la  policía,  los  investigadores,  los</w:t>
        <w:br/>
        <w:t>fiscales y los  funcionarios  judiciales,  desarrollando  sistemas  que  les</w:t>
        <w:br/>
        <w:t>permitan a las autoridades responder de forma más  rápida  y  efectiva  ante</w:t>
        <w:br/>
        <w:t>delitos contra las mujeres, evitar la contaminación de evidencia  valiosa  y</w:t>
        <w:br/>
        <w:t>facilitar el seguimiento necesario. Esto también incluye  el  desarrollo  de</w:t>
        <w:br/>
        <w:t>laboratorios de delitos forenses y programas que capaciten  a  especialistas</w:t>
        <w:br/>
        <w:t>forenses en la toma de evidencia en los femicidios  y  otros  casos  penales</w:t>
        <w:br/>
        <w:t>relacionados con el género y en la toma, el procesamiento y la  preservación</w:t>
        <w:br/>
        <w:t>de evidencia relacionada con ADN  para  facilitar  la  identificación  y  el</w:t>
        <w:br/>
        <w:t>enjuiciamiento de los autores materiales y en preservar  la  evidencia  para</w:t>
        <w:br/>
        <w:t>el futuro  si  fuera  necesario.  Además,  esto  incluiría  la  adopción  de</w:t>
        <w:br/>
        <w:t>protocolos relevantes como por ejemplo la  creación  de  un  protocolo  para</w:t>
        <w:br/>
        <w:t>diferenciar entre femicidio y asesinato de mujeres que  no  cumplan  con  la</w:t>
        <w:br/>
        <w:t>definición de femicidio”. Peritaje rendido por Karen Musalo  ante  fedatario</w:t>
        <w:br/>
        <w:t>público (affidávit) el 13 de abril de  2015  (expediente  de  prueba,  folio</w:t>
        <w:br/>
        <w:t>6662).</w:t>
        <w:br/>
        <w:t>[334]       Señaló la necesidad del “suministro de fondos adecuados y  otros</w:t>
        <w:br/>
        <w:t>recursos necesarios para poner en funcionamiento las  Cortes  Especializadas</w:t>
        <w:br/>
        <w:t>para Crímenes en contra de las Mujeres y Femicidio, autorizadas por  la  Ley</w:t>
        <w:br/>
        <w:t>de 2008. Esto incluiría la elaboración de una evaluación sobre si el  número</w:t>
        <w:br/>
        <w:t>y la distribución de Corte  Especializadas  es  suficiente;  si  no  lo  es,</w:t>
        <w:br/>
        <w:t>debería autorizarse la creación de  Cortes  adicionales”.  Peritaje  rendido</w:t>
        <w:br/>
        <w:t>por Karen Musalo ante fedatario público (affidávit) el 13 de abril  de  2015</w:t>
        <w:br/>
        <w:t>(expediente de prueba, folio 6662).</w:t>
        <w:br/>
        <w:t>[335]       Cfr. Caso Veliz Franco y otros Vs. Guatemala, supra, párrs.  267</w:t>
        <w:br/>
        <w:t>y 268.</w:t>
        <w:br/>
        <w:t>[336]       En  cuanto  al  fortalecimiento  del  INACIF,  en  sus  alegatos</w:t>
        <w:br/>
        <w:t>finales escritos el Estado únicamente se  refirió  a  la  existencia  de  un</w:t>
        <w:br/>
        <w:t>posgrado dirigido a funcionarios de dicha entidad,  entre  otros  operadores</w:t>
        <w:br/>
        <w:t>de justicia e instituciones del Estado así como de “un  esfuerzo  coordinado</w:t>
        <w:br/>
        <w:t>con los tres poderes del Estado (Ejecutivo, Legislativo  y  Judicial)”  para</w:t>
        <w:br/>
        <w:t>impulsar “una política criminal democrática de Estado”, “con el objetivo  de</w:t>
        <w:br/>
        <w:t>abordar la criminalidad  desde  4  ejes  fundamentales:  1)  prevención;  2)</w:t>
        <w:br/>
        <w:t>investigación; 3) Sanción y la Reinserción  Social”.  El  Estado  no  aportó</w:t>
        <w:br/>
        <w:t>documentación al respecto.</w:t>
        <w:br/>
        <w:t>[337]       Cfr. Caso Veliz Franco y otros Vs. Guatemala, supra, párr. 269.</w:t>
        <w:br/>
        <w:t>[338]       Cfr. Caso Veliz Franco y otros Vs. Guatemala, supra, párr. 269</w:t>
        <w:br/>
        <w:t>y nota al pie 354.</w:t>
        <w:br/>
        <w:t>[339]       Según informó el Estado, las agencias especializadas  están  en:</w:t>
        <w:br/>
        <w:t>Agencias 6 y 7 de Delitos contra la Vida, en ciudad de  Guatemala,  Fiscalía</w:t>
        <w:br/>
        <w:t>Municipal  de  Villa  Nueva,   Fiscalía   Municipal   de   Mixco,   Fiscalía</w:t>
        <w:br/>
        <w:t>Departamental  de  Chiquimula,  Fiscalía  Departamental  de  Quetzaltenango,</w:t>
        <w:br/>
        <w:t>Fiscalía   Departamental   de   Coatepeque,   Fiscalía   Departamental    de</w:t>
        <w:br/>
        <w:t>Huehuetenango,  Fiscalía  Municipal  de  Santa  Catarina  Pinula,   Fiscalía</w:t>
        <w:br/>
        <w:t>Distrital de Chimaltenango,  Fiscalía  Distrital  de  Escuintla  y  Fiscalía</w:t>
        <w:br/>
        <w:t>Distrital de Cobán.</w:t>
        <w:br/>
        <w:t>[340]       El Estado indicó que la Corte Suprema de Justicia  ha  fomentado</w:t>
        <w:br/>
        <w:t>la creación de diversos juzgados, así como unidades  para  capacitar  a  los</w:t>
        <w:br/>
        <w:t>jueces en relación con el tema de violencia sexual en contra de las  mujeres</w:t>
        <w:br/>
        <w:t>y las niñas. Con  estas  capacitaciones  lo  que  se  pretende  es  que  los</w:t>
        <w:br/>
        <w:t>servicios  que  ofrece  el  Organismo  Judicial  sean  prestados  de   forma</w:t>
        <w:br/>
        <w:t>eficiente, con total apego a la ley y sin ningún  matiz  de  discriminación.</w:t>
        <w:br/>
        <w:t>En específico el Estado se refirió a la creación de la Unidad de la Mujer  y</w:t>
        <w:br/>
        <w:t>Análisis de Género del Organismo Judicial, creada con el fin de capacitar  y</w:t>
        <w:br/>
        <w:t>brindar asesoría a los  jueces,  auxiliares  y  personal  administrativo  de</w:t>
        <w:br/>
        <w:t>dicho organismo sobre el tema, así como juzgar y sancionar  los  delitos  de</w:t>
        <w:br/>
        <w:t>violencia intrafamiliar y violencia contra la  mujer.  Dicha  Unidad  habría</w:t>
        <w:br/>
        <w:t>implementado los  siguientes  diplomados  de  capacitación  en  materias  de</w:t>
        <w:br/>
        <w:t>género: Diplomado “Semipresencial de Actualización y  Especialización  sobre</w:t>
        <w:br/>
        <w:t>Femicidio y otras Formas de Violencia Contra la Mujer en  el  Marco  de  los</w:t>
        <w:br/>
        <w:t>Derechos Humanos”; Diplomado “Semipresencial de Trabajo Social  en  Justicia</w:t>
        <w:br/>
        <w:t>y Derechos Humanos y Género”, y Programa de “Transversalización de Género  y</w:t>
        <w:br/>
        <w:t>Análisis Normativo en Materia de Violencia Contra la Mujer en  el  Organismo</w:t>
        <w:br/>
        <w:t>Judicial”.</w:t>
        <w:br/>
        <w:t>[341]       En octubre del 2013, el Ministerio de Gobernación formó la  Mesa</w:t>
        <w:br/>
        <w:t>Especifica del Eje de la Violencia Contra la Mujer y se habría realizado  el</w:t>
        <w:br/>
        <w:t>diplomado sobre “Igualdad  de  Género,  Ciudadanía,  Seguridad  y  Políticas</w:t>
        <w:br/>
        <w:t>Públicas, Aportes Metodológicos para el Trabajo en el Estado”.</w:t>
        <w:br/>
        <w:t>[342]       Según el Estado, se ha dado capacitación  al  personal  femenino</w:t>
        <w:br/>
        <w:t>de la PNC, sobre las leyes vigentes del país que las protege fuera y  dentro</w:t>
        <w:br/>
        <w:t>de la institución. Durante el  período  2012  a  2014,  el  Departamento  de</w:t>
        <w:br/>
        <w:t>Equidad de Género, de la PNC, impartió 82  talleres  a  un  total  de  3,521</w:t>
        <w:br/>
        <w:t>elementos de la institución sobre la Ley del Femicidio  y  otras  Formas  de</w:t>
        <w:br/>
        <w:t>Violencia Contra la Mujer,  de  igual  forma  recibieron  capacitación  para</w:t>
        <w:br/>
        <w:t>mejorar la calidad de atención hacia las mujeres víctimas  y  sobrevivientes</w:t>
        <w:br/>
        <w:t>de violencia. En el período de 2012 a  2014,  la  Sub-dirección  General  de</w:t>
        <w:br/>
        <w:t>Prevención del Delito, ha impartido, 49 talleres para  la  actuación  de  la</w:t>
        <w:br/>
        <w:t>PNC, en el abordaje de Violencia contra la Mujer,  habiéndose  capacitado  a</w:t>
        <w:br/>
        <w:t>un total de 10,931 mujeres y 11,647 hombres, ambos de la Sociedad Civil.  En</w:t>
        <w:br/>
        <w:t>el año 2014, se capacitó a los miembros de las Comisiones de Prevención  del</w:t>
        <w:br/>
        <w:t>Delito en 13 departamentos, 115 municipalidades  y  280  comunidades  en  su</w:t>
        <w:br/>
        <w:t>propio  idioma,  en  los  temas  de:  Seguridad   Ciudadana,   Participación</w:t>
        <w:br/>
        <w:t>Ciudadana, Planificación  Participativa,  Ruta  de  la  Denuncia,  Violencia</w:t>
        <w:br/>
        <w:t>contra  la  Mujer,  Violencia  Intrafamiliar,  Derechos   de   los   Pueblos</w:t>
        <w:br/>
        <w:t>Indígenas, Igualdad y Equidad de Género.</w:t>
        <w:br/>
        <w:t>[343]        Habría  implementado  diplomados  dirigidos   a   empleados   y</w:t>
        <w:br/>
        <w:t>funcionarios públicos del Ejecutivo y otras instituciones sobre el  tema  de</w:t>
        <w:br/>
        <w:t>violencia contra las mujeres, entre los cuales se  hace  referencia:  en  el</w:t>
        <w:br/>
        <w:t>año  2015,  Diplomado  “Derechos  Humanos  y  Ciudadanía  de   las   Mujeres</w:t>
        <w:br/>
        <w:t>Indígenas”,  con  la  participación   de   las   siguientes   instituciones:</w:t>
        <w:br/>
        <w:t>Procuraduría General de la Nación –PGN-; Coordinadora  Nacional  Indígena  y</w:t>
        <w:br/>
        <w:t>Campesina –CONIC-; Ministerio de Cultura y Deportes –MICUDE-; Defensoría  de</w:t>
        <w:br/>
        <w:t>la Mujer Indígena -DEMI-; Ministerio  de  Gobernación  -MINEGOB-;  Fondo  de</w:t>
        <w:br/>
        <w:t>Solidaridad;  Ministerio  de  Finanzas  -MINFIN-;  Ministerio   de   Trabajo</w:t>
        <w:br/>
        <w:t>–MINTRAB-;  Dirección  General  del  Sistema   Penitenciario;   Coordinadora</w:t>
        <w:br/>
        <w:t>Nacional para la Reducción de Desastres -CONRED-; Ministerio  de  Desarrollo</w:t>
        <w:br/>
        <w:t>Social de Guatemala -MIDES-; Oficina Nacional  de  Servicio  Civil  –ONSEC-;</w:t>
        <w:br/>
        <w:t>Instituto  Nacional  de  Turismo  -INGUAT-.  Asimismo,  “Diplomado  Derechos</w:t>
        <w:br/>
        <w:t>Humanos  de  las  Mujeres”,  con  la   participación   de   las   siguientes</w:t>
        <w:br/>
        <w:t>instituciones:  Ministerio  de  Finanzas  -MINFIN-;  Ministerio  de  Defensa</w:t>
        <w:br/>
        <w:t>-MINDEF-; Ministerio  de  Educación;  Ministerio  de  Desarrollo  Social  de</w:t>
        <w:br/>
        <w:t>Guatemala -MIDES-; Ministerio de Cultura  y  Deportes  –MICUDE-;  Secretaría</w:t>
        <w:br/>
        <w:t>Presidencial de la Mujer -SEPREM-; Ministerio de Trabajo –MINTRAB-;  Oficina</w:t>
        <w:br/>
        <w:t>Nacional de  la  Mujer  -ONAM-;  Unidad  de  Prevención  Comunitaria  de  la</w:t>
        <w:br/>
        <w:t>Violencia del Organismo Judicial; Fondo de Desarrollo Indígena de  Guatemala</w:t>
        <w:br/>
        <w:t>–FODIGUA-; Instituto Nacional de Estadística -INE-; Instituto de la  Defensa</w:t>
        <w:br/>
        <w:t>Pública Penal -IDPP-, y  Contraloría  General  de  Cuentas.  Finalmente,  el</w:t>
        <w:br/>
        <w:t>Estado informó sobre el Postgrado dirigido a operadores de Justicia y  otras</w:t>
        <w:br/>
        <w:t>instituciones del Estado, específicamente, a la Procuraduría General  de  la</w:t>
        <w:br/>
        <w:t>Nación -PGN-; Ministerio Público -PM-; Procuraduría de los Derechos  Humanos</w:t>
        <w:br/>
        <w:t>–PDH-; Ministerio de la Defensa  –MINDEF-;  Policía  Nacional  Civil  –PNC-;</w:t>
        <w:br/>
        <w:t>Instituto de la Defensa  Pública  Penal  –IDPP-;  Organismo  Judicial  –OJ-;</w:t>
        <w:br/>
        <w:t>Instituto Nacional Forense de Guatemala –INACIF-; Comisión  Presidencial  de</w:t>
        <w:br/>
        <w:t>Derechos Humanos –COPREDEH-; Comisión Presidencial Contra la  Discriminación</w:t>
        <w:br/>
        <w:t>y el Racismo –CODISRA-.</w:t>
        <w:br/>
        <w:t>[344]       Cfr. Caso Veliz Franco y otros Vs. Guatemala, supra, párr. 275.</w:t>
        <w:br/>
        <w:t>[345]       Señalaron que, como mínimo, las mujeres y  las  niñas  en  todos</w:t>
        <w:br/>
        <w:t>los  departamentos  deben  tener  el  acceso  oportuno  a  las   estructuras</w:t>
        <w:br/>
        <w:t>gubernamentales de apoyo y a los mecanismos de respuesta  a  emergencias;  a</w:t>
        <w:br/>
        <w:t>los tribunales especiales que abordan  la  violencia  de  género,  y  a  los</w:t>
        <w:br/>
        <w:t>refugios para las víctimas de la violencia. Cada programa  o  la  ley  deben</w:t>
        <w:br/>
        <w:t>recibir una financiación adecuada, y el  gobierno  debe  evaluar  anualmente</w:t>
        <w:br/>
        <w:t>los progresos realizados  en  la  aplicación  de  cada  programa  y  ley,  y</w:t>
        <w:br/>
        <w:t>difundir los datos y estadísticas sobre este progreso al público.</w:t>
        <w:br/>
        <w:t>[346]       “11. El Estado deberá, en un  plazo  razonable,  implementar  el</w:t>
        <w:br/>
        <w:t>funcionamiento de los “órganos  jurisdiccionales  especializados”  y  de  la</w:t>
        <w:br/>
        <w:t>fiscalía especializada […]. 12. El Estado deberá,  en  un  plazo  razonable,</w:t>
        <w:br/>
        <w:t>implementar programas y cursos para funcionarios públicos pertenecientes  al</w:t>
        <w:br/>
        <w:t>Poder Judicial, Ministerio  Público  y  Policía  Nacional  Civil  que  estén</w:t>
        <w:br/>
        <w:t>vinculados a la  investigación  de  actos  de  homicidio  de  mujeres  sobre</w:t>
        <w:br/>
        <w:t>estándares en materia de prevención,  eventual  sanción  y  erradicación  de</w:t>
        <w:br/>
        <w:t>homicidios de mujeres y  capacitarlos  sobre  la  debida  aplicación  de  la</w:t>
        <w:br/>
        <w:t>normativa pertinente en la materia […]”.</w:t>
        <w:br/>
        <w:t>[347]       Cfr. Ley del Sistema de  Alerta  Alba-Keneth.  Decreto  No.  28-</w:t>
        <w:br/>
        <w:t>2010. Cfr. Caso Veliz Franco y otros Vs. Guatemala, supra, nota al pie 357.</w:t>
        <w:br/>
        <w:t>[348]        Iniciativa  de   Ley   de   Búsqueda   Inmediata   de   Mujeres</w:t>
        <w:br/>
        <w:t>Desaparecidas,          pág.           6.           Disponible           en:</w:t>
        <w:br/>
        <w:t>http://www.congreso.gob.gt/manager/images/4097B3FD-E522-0547-3042-</w:t>
        <w:br/>
        <w:t>D05791A99602.pdf</w:t>
        <w:br/>
        <w:t>[349]       Cfr. Dictamen No.  03-2014  de  la  Comisión  de  Legislación  y</w:t>
        <w:br/>
        <w:t>Puntos Constitucionales del Congreso de la República de Guatemala  sobre  el</w:t>
        <w:br/>
        <w:t>proyecto de “Ley de Búsqueda Inmediata de Mujeres Desaparecidas”,  págs.  6,</w:t>
        <w:br/>
        <w:t>8 y 10. Disponible  en:  http://www.congreso.gob.gt/manager/images/91E9DEF7-</w:t>
        <w:br/>
        <w:t>5D94-7146-29A0-8AB105E3FC92.PDF</w:t>
        <w:br/>
        <w:t>[350]        Véase  mutatis  mutandi,  Caso   González   y   otras   (“Campo</w:t>
        <w:br/>
        <w:t>Algodonero”) Vs. México, supra, párr. 506.</w:t>
        <w:br/>
        <w:t>[351]        Véase,  Instituto  Nacional  de   Estadística   de   Guatemala.</w:t>
        <w:br/>
        <w:t>Disponible en: http://www.ine.gob.gt</w:t>
        <w:br/>
        <w:t>[352] Cfr. Caso Veliz Franco y otros Vs. Guatemala, supra, párr. 276.</w:t>
        <w:br/>
        <w:t>[353]       Cfr. Caso de los  “Niños  de  la  Calle”  (Villagrán  Morales  y</w:t>
        <w:br/>
        <w:t>otros) Vs. Guatemala. Reparaciones y Costas. Sentencia  de  26  de  mayo  de</w:t>
        <w:br/>
        <w:t>2001. Serie C No. 77, párr. 84, y Caso López  Lone  y  otros  Vs.  Honduras,</w:t>
        <w:br/>
        <w:t>supra, párr. 320.</w:t>
        <w:br/>
        <w:t>[354]       Cfr. Caso Cantoral Benavides Vs. Perú.  Reparaciones  y  Costas.</w:t>
        <w:br/>
        <w:t>párr. 53, y Caso Argüelles y otros Vs. Argentina. Excepciones  Preliminares,</w:t>
        <w:br/>
        <w:t>Fondo, Reparaciones y Costas. Sentencia de 20 de noviembre de 2014. Serie  C</w:t>
        <w:br/>
        <w:t>No. 288, párr. 286.</w:t>
        <w:br/>
        <w:t>[355]        Cfr.  Caso  Bámaca  Velásquez  Vs.  Guatemala.  Reparaciones  y</w:t>
        <w:br/>
        <w:t>Costas, supra, párr. 43, y Caso López Lone y otros Vs.  Honduras.  Excepción</w:t>
        <w:br/>
        <w:t>Preliminar, Fondo, Reparaciones y Costas. Sentencia  de  05  de  octubre  de</w:t>
        <w:br/>
        <w:t>2015. Serie C No. 302, párr. 314.</w:t>
        <w:br/>
        <w:t>[356]       Cfr. Dictamen del Actuario Independiente de 31 de julio de  2014</w:t>
        <w:br/>
        <w:t>(expediente de prueba, folios, 2683 a 2685).</w:t>
        <w:br/>
        <w:t>[357]       Cfr. Dictamen del Actuario Independiente de 31 de julio de  2014</w:t>
        <w:br/>
        <w:t>(expediente de prueba, folios, 2679 a 2681).</w:t>
        <w:br/>
        <w:t>[358]       Cfr. Declaración rendida ante  la  Corte  Interamericana  por  a</w:t>
        <w:br/>
        <w:t>Jorge Rolando Velásquez Durán durante la audiencia pública celebrada  el  21</w:t>
        <w:br/>
        <w:t>y 22 de abril de 2015; Declaración rendida  por  Elsa  Claudina  Paiz  Vidal</w:t>
        <w:br/>
        <w:t>ante fedatario público (affidávit) el 9 de  abril  de  2015  (expediente  de</w:t>
        <w:br/>
        <w:t>prueba, folio 6701), y Declaración rendida por Pablo Andrés  Velásquez  Paiz</w:t>
        <w:br/>
        <w:t>ante fedatario público (affidávit) el 9 de  abril  de  2015  (expediente  de</w:t>
        <w:br/>
        <w:t>prueba, folio 6689).</w:t>
        <w:br/>
        <w:t>[359]       Cfr. Reconocimiento médico psiquiátrico del señor Jorge  Rolando</w:t>
        <w:br/>
        <w:t>Velásquez Durán de 21 de octubre de 2009 (expediente de prueba,  folios  197</w:t>
        <w:br/>
        <w:t>a 204); Reconocimiento médico psiquiátrico de la señora Elsa  Claudina  Paiz</w:t>
        <w:br/>
        <w:t>Vidal de 2 de diciembre de 2010 (expediente de prueba, folios 205 a 211).</w:t>
        <w:br/>
        <w:t>[360]       Declaración rendida por Elsa Claudina Paiz Vidal ante  fedatario</w:t>
        <w:br/>
        <w:t>público (affidávit) de 9 de abril de  2015  (expediente  de  prueba,  folios</w:t>
        <w:br/>
        <w:t>6702 y 6703), y Declaración rendida por Pablo  Andrés  Velásquez  Paiz  ante</w:t>
        <w:br/>
        <w:t>fedatario público (affidávit) de 9 de abril de 2015 (expediente  de  prueba,</w:t>
        <w:br/>
        <w:t>folios 6690 y 6691).</w:t>
        <w:br/>
        <w:t>[361]       Cfr. Caso Garrido y  Baigorria  Vs.  Argentina.  Reparaciones  y</w:t>
        <w:br/>
        <w:t>Costas. Sentencia de 27 de agosto de 1998. Serie C No. 39,  párr.  82,  Caso</w:t>
        <w:br/>
        <w:t>Omar Humberto Maldonado Vargas y otros  Vs.  Chile.  Fondo,  Reparaciones  y</w:t>
        <w:br/>
        <w:t>Costas. Sentencia de 02 de septiembre de 2015. Serie C No. 300, párr. 181.</w:t>
        <w:br/>
        <w:t>[362]        Cfr.  Caso  Chaparro  Álvarez  y  Lapo  Íñiguez.  Vs.  Ecuador.</w:t>
        <w:br/>
        <w:t>Excepciones Preliminares, Fondo, Reparaciones y Costas. Sentencia de  21  de</w:t>
        <w:br/>
        <w:t>noviembre de 2007. Serie C No. 170, párr. 275, y  Caso  Comunidad  Campesina</w:t>
        <w:br/>
        <w:t>de Santa Bárbara Vs. Perú. Excepciones Preliminares, Fondo,  Reparaciones  y</w:t>
        <w:br/>
        <w:t>Costas. Sentencia de 01 de septiembre de 2015. Serie C No. 299, párr. 347.</w:t>
        <w:br/>
        <w:t>[363]    http://www.theguardian.com/fashion/fashion-blog/2014/feb/28/uganda-</w:t>
        <w:br/>
        <w:t>miniskirt-ban-attacks-women</w:t>
        <w:br/>
        <w:t>[364]</w:t>
        <w:br/>
        <w:t>http://www.ipea.gov.br/portal/images/stories/PDFs/SIPS/140327_sips_violencia</w:t>
        <w:br/>
        <w:t>_mulheres_novo.pdf</w:t>
        <w:br/>
        <w:t>[365]      http://www.unwomen.org/en/news/stories/2013/2/un-women-supported-</w:t>
        <w:br/>
        <w:t>survey-in-delhi</w:t>
        <w:br/>
        <w:t>[366] Cfr. Caso Veliz Franco y otros Vs. Guatemala, párr. 68. Citando  a  la</w:t>
        <w:br/>
        <w:t>Comisión  para  el  Esclarecimiento  Histórico,  “Guatemala:   Memoria   del</w:t>
        <w:br/>
        <w:t>Silencio”,  tomo  III,  junio  de  1999,  págs.  13  y  27.  Disponible  en:</w:t>
        <w:br/>
        <w:t>http://www.iom.int/seguridad-fronteriza/lit/land/cap2_2.pdf</w:t>
        <w:br/>
        <w:t>[367]                                     http://www.unwomen.org/en/digital-</w:t>
        <w:br/>
        <w:t>library/multimedia/2015/11/infographic-violence-against-women</w:t>
        <w:br/>
        <w:t>[368] Voto Disidente del Juez Eduardo Vio Grossi, Caso  Comunidad  Campesina</w:t>
        <w:br/>
        <w:t>Santa Bárbara Vs. Perú, Sentencia de 1 de Septiembre  de  2015  (Excepciones</w:t>
        <w:br/>
        <w:t>Preliminares, Fondo, Reparaciones y Costas); Voto Individual  Disidente  del</w:t>
        <w:br/>
        <w:t>Juez Eduardo Vio Grossi, Caso Wong Ho Wing Vs.  Perú,  Sentencia  de  30  de</w:t>
        <w:br/>
        <w:t>junio de 2015 (Excepción Preliminar, Fondo,  Reparaciones  y  Costas);  Voto</w:t>
        <w:br/>
        <w:t>Individual Disidente del Juez Eduardo Vio Grossi, Caso Cruz Sánchez y  otros</w:t>
        <w:br/>
        <w:t>Vs. Perú, Sentencia de  17  de  abril  de  2015  (Excepciones  Preliminares,</w:t>
        <w:br/>
        <w:t>Fondo, Reparaciones y Costas); Voto Individual Disidente  del  Juez  Eduardo</w:t>
        <w:br/>
        <w:t>Vio Grossi, Caso Liakat Ali Alibux Vs. Suriname, Sentencia de  30  de  enero</w:t>
        <w:br/>
        <w:t>de 2014 (Excepciones Preliminares, Fondo, Reparaciones  y  Costas),  y  Voto</w:t>
        <w:br/>
        <w:t>Individual Disidente del  Juez  Eduardo  Vio  Grossi,  Caso  Díaz  Peña  Vs.</w:t>
        <w:br/>
        <w:t>Venezuela, Sentencia de 26 de junio de 2012  (Excepción  Preliminar,  Fondo,</w:t>
        <w:br/>
        <w:t>Reparaciones y Costas).</w:t>
        <w:br/>
        <w:br/>
        <w:t>[369]        Preámbulo  de  la  Convención  Interamericana  para   Prevenir,</w:t>
        <w:br/>
        <w:t>Sancionar y Erradicar la Violencia contra la Mujer (“Convención de Belém  do</w:t>
        <w:br/>
        <w:t>Pará”), adoptada el 9 de junio  de  1994,  en  el  vigésimo  cuarto  periodo</w:t>
        <w:br/>
        <w:t>ordinario de sesiones de la OEA, entrando en vigor el 5 de mayo de 1995.</w:t>
        <w:br/>
        <w:br/>
        <w:t>[370]       Entendida como  “cualquier  acción  o  conducta,  basada  en  su</w:t>
        <w:br/>
        <w:t>género, que cause muerte, daño o sufrimiento físico, sexual o psicológico  a</w:t>
        <w:br/>
        <w:t>la mujer, tanto en el ámbito público como en el privado”. Artículo 1  de  la</w:t>
        <w:br/>
        <w:t>“Convención Belém do Pará”.</w:t>
        <w:br/>
        <w:br/>
        <w:t>[371]       Corte IDH,  Caso  González  y  otras  (“Campo  Algodonero”)  Vs.</w:t>
        <w:br/>
        <w:t>México. Excepción Preliminar, Fondo, Reparaciones y Costas. Sentencia de  16</w:t>
        <w:br/>
        <w:t>de noviembre de 2009. Serie C No. 205, párr. 143.</w:t>
        <w:br/>
        <w:br/>
        <w:t>[372]       En las Sentencias de ambos casos se utiliza  indistintamente  la</w:t>
        <w:br/>
        <w:t>expresión “feminicidio” o  “femicidio”,  para  referirse  al  “homicidio  de</w:t>
        <w:br/>
        <w:t>mujer por razón de género”. Asimismo, en las dos Sentencias se  destaca  que</w:t>
        <w:br/>
        <w:t>Guatemala aprobó en mayo de 2008 la Ley contra el Femicidio y  otras  formas</w:t>
        <w:br/>
        <w:t>de Violencia contra la  Mujer  (Decreto  No.  22-2008),  que  tipifica  como</w:t>
        <w:br/>
        <w:t>delitos de acción pública, entre ellos, el de “femicidio”,  definiéndolo  en</w:t>
        <w:br/>
        <w:t>su artículo 3 como la “[m]uerte violenta de  una  mujer,  ocasionada  en  el</w:t>
        <w:br/>
        <w:t>contexto de las relaciones desiguales de poder entre hombres y  mujeres,  en</w:t>
        <w:br/>
        <w:t>ejercicio del poder de género en contra de las mujeres”. Véanse  Caso  Veliz</w:t>
        <w:br/>
        <w:t>Franco y otros Vs. Guatemala. Excepciones Preliminares, Fondo,  Reparaciones</w:t>
        <w:br/>
        <w:t>y Costas. Sentencia de 19 de mayo de 2014. Serie C No. 277, párr. 71,  notal</w:t>
        <w:br/>
        <w:t>al pie 68;  y  Caso  Velásquez  Paiz  y  otros  Vs.  Guatemala.  Excepciones</w:t>
        <w:br/>
        <w:t>Preliminares, Fondo Reparaciones y Costas. Sentencia de 19 de  noviembre  de</w:t>
        <w:br/>
        <w:t>2015, Serie C No. 307, párr. 45, nota al pie 26.</w:t>
        <w:br/>
        <w:br/>
        <w:t>[373]  Feminicidio : Del lat. fem-[pic]na 'mujer' y -</w:t>
        <w:br/>
        <w:t>cidio; cf. ingl. feminicide. 1.m.ez Paiz y otros Vs. Guatemala. Excepciones</w:t>
        <w:br/>
        <w:t>Preliminares, Fondo Reparaciones y Costas. Sentencia de 19 de noviembre de</w:t>
        <w:br/>
        <w:t>2015, Serie C No. 307, párr. 45, nota al pie 26.</w:t>
        <w:br/>
        <w:br/>
        <w:t>[374] “Feminicidio”: Del lat. femĭna 'mujer' y -</w:t>
        <w:br/>
        <w:t>cidio; cf. ingl. feminicide.</w:t>
        <w:br/>
        <w:t>1.m. Asesinato de una mujer por razón de su sexo. Disponible en:</w:t>
        <w:br/>
        <w:t>http://dle.rae.es/</w:t>
        <w:br/>
        <w:t>[375]       “Artículo 7: Los Estados Partes condenan  todas  las  formas  de</w:t>
        <w:br/>
        <w:t>violencia contra la mujer y convienen  en  adoptar,  por  todos  los  medios</w:t>
        <w:br/>
        <w:t>apropiados y sin dilaciones, políticas orientadas a  prevenir,  sancionar  y</w:t>
        <w:br/>
        <w:t xml:space="preserve">erradicar dicha violencia y en llevar a cabo lo siguiente: </w:t>
        <w:br/>
        <w:t>a. abstenerse de cualquier acción o práctica de violencia contra la mujer  y</w:t>
        <w:br/>
        <w:t>velar por que las  autoridades,  sus  funcionarios,  personal  y  agentes  e</w:t>
        <w:br/>
        <w:t xml:space="preserve">instituciones se comporten de conformidad con esta obligación; </w:t>
        <w:br/>
        <w:t>b. actuar con la debida diligencia para prevenir, investigar y sancionar  la</w:t>
        <w:br/>
        <w:t xml:space="preserve">violencia contra la mujer; </w:t>
        <w:br/>
        <w:t>c.  incluir  en  su  legislación   interna   normas   penales,   civiles   y</w:t>
        <w:br/>
        <w:t>administrativas, así como las de otra naturaleza que  sean  necesarias  para</w:t>
        <w:br/>
        <w:t>prevenir, sancionar y erradicar la violencia contra la mujer y  adoptar  las</w:t>
        <w:br/>
        <w:t xml:space="preserve">medidas administrativas apropiadas que sean del caso; </w:t>
        <w:br/>
        <w:t>d. adoptar medidas jurídicas  para  conminar  al  agresor  a  abstenerse  de</w:t>
        <w:br/>
        <w:t>hostigar, intimidar, amenazar, dañar o poner en peligro la vida de la  mujer</w:t>
        <w:br/>
        <w:t>de  cualquier  forma  que  atente  contra  su  integridad  o  perjudique  su</w:t>
        <w:br/>
        <w:t xml:space="preserve">propiedad; </w:t>
        <w:br/>
        <w:t>e.  tomar  todas  las  medidas  apropiadas,  incluyendo  medidas   de   tipo</w:t>
        <w:br/>
        <w:t>legislativo, para modificar o abolir leyes y reglamentos  vigentes,  o  para</w:t>
        <w:br/>
        <w:t>modificar  prácticas  jurídicas  o   consuetudinarias   que   respalden   la</w:t>
        <w:br/>
        <w:t xml:space="preserve">persistencia o la tolerancia de la violencia contra la mujer; </w:t>
        <w:br/>
        <w:t>f. establecer procedimientos legales justos y eficaces  para  la  mujer  que</w:t>
        <w:br/>
        <w:t>haya sido sometida a  violencia,  que  incluyan,  entre  otros,  medidas  de</w:t>
        <w:br/>
        <w:t>protección, un juicio oportuno y el acceso efectivo a tales  procedimientos;</w:t>
        <w:br/>
        <w:br/>
        <w:t>g. establecer los mecanismos judiciales y  administrativos  necesarios  para</w:t>
        <w:br/>
        <w:t>asegurar  que  la  mujer  objeto  de  violencia  tenga  acceso  efectivo   a</w:t>
        <w:br/>
        <w:t>resarcimiento, reparación del daño u otros medios de compensación  justos  y</w:t>
        <w:br/>
        <w:t>eficaces, y</w:t>
        <w:br/>
        <w:t>h. adoptar  las  disposiciones  legislativas  o  de  otra  índole  que  sean</w:t>
        <w:br/>
        <w:t>necesarias para hacer efectiva esta Convención”.</w:t>
        <w:br/>
        <w:br/>
        <w:t>[376]       Corte IDH,  Caso  González  y  otras  (“Campo  Algodonero”)  Vs.</w:t>
        <w:br/>
        <w:t>México. Excepción Preliminar, Fondo, Reparaciones y Costas. Sentencia de  16</w:t>
        <w:br/>
        <w:t>de noviembre de 2009. Serie C No. 205, y  Caso  Veliz  Franco  y  otros  Vs.</w:t>
        <w:br/>
        <w:t>Guatemala.  Excepciones  Preliminares,   Fondo,   Reparaciones   y   Costas.</w:t>
        <w:br/>
        <w:t>Sentencia de 19 de mayo de 2014. Serie C No. 277.</w:t>
        <w:br/>
        <w:br/>
        <w:t>[377]       En el presente caso el Estado cuestionó la  competencia  ratione</w:t>
        <w:br/>
        <w:t>materiae  de  la  Corte  IDH.  Siguiendo   sus   precedentes   el   Tribunal</w:t>
        <w:br/>
        <w:t>Interamericano desestimó dicha excepción preliminar al enteder  que  “parece</w:t>
        <w:br/>
        <w:t>claro que el tenor literal del artículo 12 de la Convención  Belém  do  Pará</w:t>
        <w:br/>
        <w:t>concede competencia a la Corte, al no exceptuar de su aplicación ninguna  de</w:t>
        <w:br/>
        <w:t>las  normas  y  requisitos  de   procedimiento   para   las   comunicaciones</w:t>
        <w:br/>
        <w:t>individuales”, además de que en otros casos contenciosos  contra  Guatemala,</w:t>
        <w:br/>
        <w:t>la Corte IDH declaró la responsabilidad del  Estado  por  la  violación  del</w:t>
        <w:br/>
        <w:t>artículo 7 de la Convención de Belém do Pará, y no encuentra elementos  para</w:t>
        <w:br/>
        <w:t>cambiar su jurisprudencia. Véanse párrs. 16 a 19 de la Sentencia.</w:t>
        <w:br/>
        <w:br/>
        <w:t>[378]       Corte IDH, Caso del Penal Miguel Castro Castro Vs. Perú.  Fondo,</w:t>
        <w:br/>
        <w:t>Reparaciones y Costas. Sentencia de 25 de noviembre de  2006.  Serie  C  No.</w:t>
        <w:br/>
        <w:t>160; Caso González  y  otras  (“Campo  Algodonero”)  Vs.  México.  Excepción</w:t>
        <w:br/>
        <w:t>Preliminar, Fondo, Reparaciones y Costas. Sentencia de 16  de  noviembre  de</w:t>
        <w:br/>
        <w:t>2009. Serie C No. 205; Caso De la Masacre de las Dos  Erres  Vs.  Guatemala.</w:t>
        <w:br/>
        <w:t>Excepción Preliminar, Fondo, Reparaciones  y  Costas.  Sentencia  de  24  de</w:t>
        <w:br/>
        <w:t>noviembre de 2009. Serie C No. 211;  Caso  Fernández  Ortega  y  otros.  Vs.</w:t>
        <w:br/>
        <w:t>México. Excepción Preliminar, Fondo, Reparaciones y Costas. Sentencia de  30</w:t>
        <w:br/>
        <w:t>de agosto de 2010 Serie C No. 215; Caso Rosendo Cantú  y  otra  Vs.  México.</w:t>
        <w:br/>
        <w:t>Excepción Preliminar, Fondo, Reparaciones  y  Costas.  Sentencia  de  31  de</w:t>
        <w:br/>
        <w:t>agosto de 2010 Serie C No. 216; Caso Masacres de Río  Negro  Vs.  Guatemala.</w:t>
        <w:br/>
        <w:t>Excepción Preliminar, Fondo,  Reparaciones  y  Costas.  Sentencia  de  4  de</w:t>
        <w:br/>
        <w:t>septiembre de 2012 Serie C No. 250; Caso Masacres de  El  Mozote  y  lugares</w:t>
        <w:br/>
        <w:t>aledaños Vs. El Salvador. Fondo, Reparaciones y Costas. Sentencia de  25  de</w:t>
        <w:br/>
        <w:t>octubre de 2012 Serie C No.  252;  Caso  Gudiel  Álvarez  y  otros  ("Diario</w:t>
        <w:br/>
        <w:t>Militar") Vs. Guatemala.  Fondo  Reparaciones  y  Costas.  Sentencia  de  20</w:t>
        <w:br/>
        <w:t>noviembre de 2012 Serie C No. 253; Caso J. Vs. Perú.  Excepción  Preliminar,</w:t>
        <w:br/>
        <w:t>Fondo, Reparaciones y Costas. Sentencia de 27 de noviembre de 2013. Serie  C</w:t>
        <w:br/>
        <w:t>No. 275; Caso Veliz Franco y otros Vs. Guatemala. Excepciones  Preliminares,</w:t>
        <w:br/>
        <w:t>Fondo, Reparaciones y Costas. Sentencia de 19 de mayo de 2014. Serie  C  No.</w:t>
        <w:br/>
        <w:t>277, y Caso Espinoza Gonzáles Vs.  Perú.  Excepciones  Preliminares,  Fondo,</w:t>
        <w:br/>
        <w:t>Reparaciones y Costas. Sentencia de 20 de noviembre de  2014.  Serie  C  No.</w:t>
        <w:br/>
        <w:t>289.</w:t>
        <w:br/>
        <w:br/>
        <w:t>[379]       Artículo 7 de la “Convención de  Belém  do  Pará”,  véase  supra</w:t>
        <w:br/>
        <w:t>nota 6.</w:t>
        <w:br/>
        <w:br/>
        <w:t>[380]       Corte IDH, Caso del Penal Miguel Castro Castro Vs. Perú.  Fondo,</w:t>
        <w:br/>
        <w:t>Reparaciones y Costas. Sentencia de 25 de noviembre de  2006.  Serie  C  No.</w:t>
        <w:br/>
        <w:t>160.</w:t>
        <w:br/>
        <w:br/>
        <w:t>[381]       Corte IDH, Caso del Penal Miguel Castro Castro Vs. Perú.  Fondo,</w:t>
        <w:br/>
        <w:t>Reparaciones y Costas. Sentencia de 25 de noviembre de  2006.  Serie  C  No.</w:t>
        <w:br/>
        <w:t>160, párr. 394.</w:t>
        <w:br/>
        <w:br/>
        <w:t>[382]       Corte IDH, Caso del Penal Miguel Castro Castro Vs. Perú.  Fondo,</w:t>
        <w:br/>
        <w:t>Reparaciones y Costas. Sentencia de 25 de noviembre de  2006.  Serie  C  No.</w:t>
        <w:br/>
        <w:t>160, párr. 408.</w:t>
        <w:br/>
        <w:br/>
        <w:t>[383]       Corte IDH,  Caso  González  y  otras  (“Campo  Algodonero”)  Vs.</w:t>
        <w:br/>
        <w:t>México. Excepción Preliminar, Fondo, Reparaciones y Costas. Sentencia de  16</w:t>
        <w:br/>
        <w:t>de noviembre de 2009. Serie C No.205, párr. 284.</w:t>
        <w:br/>
        <w:br/>
        <w:t>[384]       Corte IDH,  Caso  González  y  otras  (“Campo  Algodonero”)  Vs.</w:t>
        <w:br/>
        <w:t>México. Excepción Preliminar, Fondo, Reparaciones y Costas. Sentencia de  16</w:t>
        <w:br/>
        <w:t>de noviembre de 2009. Serie C No.205, párr. 285.</w:t>
        <w:br/>
        <w:br/>
        <w:t>[385]       Corte IDH, Caso De la Masacre de las Dos  Erres  Vs.  Guatemala.</w:t>
        <w:br/>
        <w:t>Excepción Preliminar, Fondo, Reparaciones  y  Costas.  Sentencia  de  24  de</w:t>
        <w:br/>
        <w:t>noviembre de 2009. Serie C No. 211.</w:t>
        <w:br/>
        <w:br/>
        <w:t>[386]       Corte IDH, Caso De la Masacre de las Dos  Erres  Vs.  Guatemala.</w:t>
        <w:br/>
        <w:t>Excepción Preliminar, Fondo, Reparaciones  y  Costas.  Sentencia  de  24  de</w:t>
        <w:br/>
        <w:t>noviembre de 2009. Serie C No. 211, párr. 139 a 141.</w:t>
        <w:br/>
        <w:br/>
        <w:t>[387]       Corte IDH, Caso De la Masacre de las Dos  Erres  Vs.  Guatemala.</w:t>
        <w:br/>
        <w:t>Excepción Preliminar, Fondo, Reparaciones  y  Costas.  Sentencia  de  24  de</w:t>
        <w:br/>
        <w:t>noviembre de 2009. Serie C No. 211, párr. 153.</w:t>
        <w:br/>
        <w:br/>
        <w:t>[388]       Corte IDH, Caso Fernández Ortega y otros. Vs. México.  Excepción</w:t>
        <w:br/>
        <w:t>Preliminar, Fondo, Reparaciones y Costas. Sentencia de 30 de agosto de  2010</w:t>
        <w:br/>
        <w:t>Serie C No. 215.</w:t>
        <w:br/>
        <w:br/>
        <w:t>[389]       Corte IDH, Caso Rosendo  Cantú  y  otra  Vs.  México.  Excepción</w:t>
        <w:br/>
        <w:t>Preliminar, Fondo, Reparaciones y Costas. Sentencia de 31 de agosto de  2010</w:t>
        <w:br/>
        <w:t>Serie C No. 216.</w:t>
        <w:br/>
        <w:br/>
        <w:t>[390]       Corte IDH, Caso Fernández Ortega y otros. Vs. México.  Excepción</w:t>
        <w:br/>
        <w:t>Preliminar, Fondo, Reparaciones y Costas. Sentencia de 30 de agosto de  2010</w:t>
        <w:br/>
        <w:t>Serie C No. 215, párr.  131,  y  Caso  Rosendo  Cantú  y  otra  Vs.  México.</w:t>
        <w:br/>
        <w:t>Excepción Preliminar, Fondo, Reparaciones  y  Costas.  Sentencia  de  31  de</w:t>
        <w:br/>
        <w:t>agosto de 2010 Serie C No. 216, párr. 121.</w:t>
        <w:br/>
        <w:br/>
        <w:t>[391]       Corte IDH, Caso Fernández Ortega y otros. Vs. México.  Excepción</w:t>
        <w:br/>
        <w:t>Preliminar, Fondo, Reparaciones y Costas. Sentencia de 30 de agosto de  2010</w:t>
        <w:br/>
        <w:t>Serie C No. 215, párrs. 197 y 198, y Caso Rosendo Cantú y otra  Vs.  México.</w:t>
        <w:br/>
        <w:t>Excepción Preliminar, Fondo, Reparaciones  y  Costas.  Sentencia  de  31  de</w:t>
        <w:br/>
        <w:t>agosto de 2010 Serie C No. 216, párrs. 181 y 182.</w:t>
        <w:br/>
        <w:br/>
        <w:t>[392]       Corte IDH, Caso Masacres de Río Negro Vs.  Guatemala.  Excepción</w:t>
        <w:br/>
        <w:t>Preliminar, Fondo, Reparaciones y Costas. Sentencia de 4  de  septiembre  de</w:t>
        <w:br/>
        <w:t>2012 Serie C No. 250.</w:t>
        <w:br/>
        <w:br/>
        <w:t>[393]       Corte IDH, Caso Masacres de El Mozote y lugares aledaños Vs.  El</w:t>
        <w:br/>
        <w:t>Salvador. Fondo, Reparaciones y Costas. Sentencia de 25 de octubre  de  2012</w:t>
        <w:br/>
        <w:t>Serie C No. 252.</w:t>
        <w:br/>
        <w:br/>
        <w:t>[394]       Corte IDH, Caso Gudiel Álvarez y otros  ("Diario  Militar")  Vs.</w:t>
        <w:br/>
        <w:t>Guatemala. Fondo Reparaciones y Costas. Sentencia de 20  noviembre  de  2012</w:t>
        <w:br/>
        <w:t>Serie C No. 253.</w:t>
        <w:br/>
        <w:br/>
        <w:t>[395]       Corte IDH, Caso Masacres de Río Negro Vs.  Guatemala.  Excepción</w:t>
        <w:br/>
        <w:t>Preliminar, Fondo, Reparaciones y Costas. Sentencia de 4  de  septiembre  de</w:t>
        <w:br/>
        <w:t>2012 Serie C No. 250, párr. 227 y 236; Caso Masacres de El Mozote y  lugares</w:t>
        <w:br/>
        <w:t>aledaños Vs. El Salvador. Fondo, Reparaciones y Costas. Sentencia de  25  de</w:t>
        <w:br/>
        <w:t>octubre de 2012 Serie C No. 252, párr. 2 y 252,  y  Caso  Gudiel  Álvarez  y</w:t>
        <w:br/>
        <w:t>otros  ("Diario  Militar")  Vs.  Guatemala.  Fondo  Reparaciones  y  Costas.</w:t>
        <w:br/>
        <w:t>Sentencia de 20 noviembre de 2012 Serie C No. 253, párrs. 2 y  281.</w:t>
        <w:br/>
        <w:br/>
        <w:t>[396]       El caso se relaciona con la detención ilegal y arbitraria de  J.</w:t>
        <w:br/>
        <w:t>y los registros domiciliarios realizados el 13 de abril de  1992  por  parte</w:t>
        <w:br/>
        <w:t>de agentes estatales, quienes presuntamente habían  incurrido  en  actos  de</w:t>
        <w:br/>
        <w:t>tortura y  tratos  crueles,  inhumanos  y  degradantes,  incluida  violencia</w:t>
        <w:br/>
        <w:t>sexual.  Corte  IDH,  Caso  J.  Vs.  Perú.  Excepción   Preliminar,   Fondo,</w:t>
        <w:br/>
        <w:t>Reparaciones y Costas. Sentencia de 27 de noviembre de  2013.  Serie  C  No.</w:t>
        <w:br/>
        <w:t>275.</w:t>
        <w:br/>
        <w:br/>
        <w:t>[397]       Corte IDH,  Caso  J.  Vs.  Perú.  Excepción  Preliminar,  Fondo,</w:t>
        <w:br/>
        <w:t>Reparaciones y Costas. Sentencia de 27 de noviembre de  2013.  Serie  C  No.</w:t>
        <w:br/>
        <w:t>275, párrs. 365 a 368.</w:t>
        <w:br/>
        <w:br/>
        <w:t>[398]       Corte IDH, Caso Veliz Franco y otros Vs. Guatemala.  Excepciones</w:t>
        <w:br/>
        <w:t>Preliminares, Fondo, Reparaciones y Costas.  Sentencia  de  19  de  mayo  de</w:t>
        <w:br/>
        <w:t>2014. Serie C No. 277.</w:t>
        <w:br/>
        <w:br/>
        <w:t>[399]       En dicho caso la Corte IDH declaró vulnerados los artículos  7.b</w:t>
        <w:br/>
        <w:t>y 7.c de la “Convención Belém do Pará”. En un  primer  momento,  declaró  la</w:t>
        <w:br/>
        <w:t>violación a los artículos 4.1 y 5.1 de la Convención Americana, en  relación</w:t>
        <w:br/>
        <w:t>con los artículos 19  y 1.1, así como el 7.b) de  la  “Convención  Belém  do</w:t>
        <w:br/>
        <w:t>Pará”, en razón de “la falta  de  debida  diligencia  en  la  investigación,</w:t>
        <w:br/>
        <w:t>desde sus primeras fases, que derivó en la impunidad de los  hechos”  en  lo</w:t>
        <w:br/>
        <w:t>referente a las primeras horas posteriores a la denuncia de la  desaparición</w:t>
        <w:br/>
        <w:t>de María Isabel Veliz. Corte IDH, Caso Veliz Franco y otros  Vs.  Guatemala.</w:t>
        <w:br/>
        <w:t>Excepciones Preliminares, Fondo, Reparaciones y Costas. Sentencia de  19  de</w:t>
        <w:br/>
        <w:t>mayo de 2014. Serie C No. 277, párr. 157.</w:t>
        <w:br/>
        <w:br/>
        <w:t>[400]       Corte IDH, Caso Veliz Franco y otros Vs. Guatemala.  Excepciones</w:t>
        <w:br/>
        <w:t>Preliminares, Fondo, Reparaciones y Costas.  Sentencia  de  19  de  mayo  de</w:t>
        <w:br/>
        <w:t>2014. Serie C No. 277, párr. 225.</w:t>
        <w:br/>
        <w:br/>
        <w:t>[401]       Dicho caso se relaciona  con  la  supuesta  detención  ilegal  y</w:t>
        <w:br/>
        <w:t>arbitraria de Gladys Carol Espinoza Gonzáles, así como la alegada  violación</w:t>
        <w:br/>
        <w:t>sexual y otros hechos constitutivos de  tortura  de  los  que  fue  víctima,</w:t>
        <w:br/>
        <w:t>mientras permaneció bajo la custodia de agentes estatales. Corte  IDH,  Caso</w:t>
        <w:br/>
        <w:t>Espinoza Gonzáles Vs. Perú. Excepciones Preliminares, Fondo, Reparaciones  y</w:t>
        <w:br/>
        <w:t>Costas. Sentencia de 20 de noviembre de 2014. Serie C No. 289, párr. 1.</w:t>
        <w:br/>
        <w:br/>
        <w:t>[402]        Corte  IDH,  Caso  Espinoza  Gonzáles  Vs.  Perú.   Excepciones</w:t>
        <w:br/>
        <w:t>Preliminares, Fondo, Reparaciones y Costas. Sentencia de 20 de noviembre  de</w:t>
        <w:br/>
        <w:t>2014. Serie C No. 289, párr. 287.</w:t>
        <w:br/>
        <w:br/>
        <w:t>[403]        Corte  IDH,  Caso  Espinoza  Gonzáles  Vs.  Perú.   Excepciones</w:t>
        <w:br/>
        <w:t>Preliminares, Fondo, Reparaciones y Costas. Sentencia de 20 de noviembre  de</w:t>
        <w:br/>
        <w:t>2014. Serie C No. 289, párr. 288.</w:t>
        <w:br/>
        <w:br/>
        <w:t>[404]        Corte  IDH,  Caso  Espinoza  Gonzáles  Vs.  Perú.   Excepciones</w:t>
        <w:br/>
        <w:t>Preliminares, Fondo, Reparaciones y Costas. Sentencia de 20 de noviembre  de</w:t>
        <w:br/>
        <w:t>2014. Serie C No. 289, párr. 229.</w:t>
        <w:br/>
        <w:br/>
        <w:t>[405]       Corte IDH,  Caso  González  y  otras  (“Campo  Algodonero”)  Vs.</w:t>
        <w:br/>
        <w:t>México. Excepción Preliminar, Fondo, Reparaciones y Costas. Sentencia de  16</w:t>
        <w:br/>
        <w:t>de noviembre de 2009. Serie C No.205,  y  Caso  Veliz  Franco  y  otros  Vs.</w:t>
        <w:br/>
        <w:t>Guatemala.  Excepciones  Preliminares,   Fondo,   Reparaciones   y   Costas.</w:t>
        <w:br/>
        <w:t>Sentencia de 19 de mayo de 2014. Serie C No. 277.</w:t>
        <w:br/>
        <w:br/>
        <w:t>[406]       Corte IDH,  Caso  González  y  otras  (“Campo  Algodonero”)  Vs.</w:t>
        <w:br/>
        <w:t>México. Excepción Preliminar, Fondo, Reparaciones y Costas. Sentencia de  16</w:t>
        <w:br/>
        <w:t>de noviembre de 2009. Serie C No.205, párrs. 249 a 286, y Caso Veliz  Franco</w:t>
        <w:br/>
        <w:t>y otros Vs.  Guatemala.  Excepciones  Preliminares,  Fondo,  Reparaciones  y</w:t>
        <w:br/>
        <w:t>Costas. Sentencia de 19 de mayo de 2014. Serie C No. 277, párrs. 133 a 158.</w:t>
        <w:br/>
        <w:br/>
        <w:t>[407]       El caso se relaciona con la desaparición y  ulterior  muerte  de</w:t>
        <w:br/>
        <w:t>las jóvenes Claudia Ivette  González,  Esmeralda  Herrera  Monreal  y  Laura</w:t>
        <w:br/>
        <w:t>Berenice Ramos Monárrez,  cuyos  cuerpos  fueron  encontrados  en  un  campo</w:t>
        <w:br/>
        <w:t>algodonero de Ciudad Juárez el día 6 de  noviembre  de  2001,  así  como  la</w:t>
        <w:br/>
        <w:t>falta de debida diligencia por parte de las  autoridades.  Corte  IDH,  Caso</w:t>
        <w:br/>
        <w:t>González y otras (“Campo  Algodonero”)  Vs.  México.  Excepción  Preliminar,</w:t>
        <w:br/>
        <w:t>Fondo, Reparaciones y Costas. Sentencia de 16 de noviembre de 2009. Serie  C</w:t>
        <w:br/>
        <w:t>No.205.</w:t>
        <w:br/>
        <w:br/>
        <w:t>[408]       Corte IDH,  Caso  González  y  otras  (“Campo  Algodonero”)  Vs.</w:t>
        <w:br/>
        <w:t>México. Excepción Preliminar, Fondo, Reparaciones y Costas. Sentencia de  16</w:t>
        <w:br/>
        <w:t>de noviembre de 2009. Serie C  No.205,  párr.  258,  y  Párrafo  108  de  la</w:t>
        <w:br/>
        <w:t>Sentencia.</w:t>
        <w:br/>
        <w:br/>
        <w:t>[409]       Corte IDH,  Caso  González  y  otras  (“Campo  Algodonero”)  Vs.</w:t>
        <w:br/>
        <w:t>México. Excepción Preliminar, Fondo, Reparaciones y Costas. Sentencia de  16</w:t>
        <w:br/>
        <w:t>de noviembre de 2009. Serie C No.205, párr. 258; Caso Veliz Franco  y  otros</w:t>
        <w:br/>
        <w:t>Vs. Guatemala.  Excepciones  Preliminares,  Fondo,  Reparaciones  y  Costas.</w:t>
        <w:br/>
        <w:t>Sentencia de 19 de mayo de 2014. Serie C No. 277, párr. 136, y  Párrafo  108</w:t>
        <w:br/>
        <w:t>de la Sentencia.</w:t>
        <w:br/>
        <w:br/>
        <w:t>[410]       Corte IDH,  Caso  González  y  otras  (“Campo  Algodonero”)  Vs.</w:t>
        <w:br/>
        <w:t>México. Excepción Preliminar, Fondo, Reparaciones y Costas. Sentencia de  16</w:t>
        <w:br/>
        <w:t>de noviembre de 2009. Serie C No.205, párr. 281  y  siguientes;  Caso  Veliz</w:t>
        <w:br/>
        <w:t>Franco y otros Vs. Guatemala. Excepciones Preliminares, Fondo,  Reparaciones</w:t>
        <w:br/>
        <w:t>y Costas. Sentencia de 19 de mayo de 2014. Serie C No.  277,  párr.  138,  y</w:t>
        <w:br/>
        <w:t>Párrafo 110 de la Sentencia.</w:t>
        <w:br/>
        <w:br/>
        <w:t>[411]       Corte IDH,  Caso  González  y  otras  (“Campo  Algodonero”)  Vs.</w:t>
        <w:br/>
        <w:t>México. Excepción Preliminar, Fondo, Reparaciones y Costas. Sentencia de  16</w:t>
        <w:br/>
        <w:t>de noviembre de 2009. Serie C No.205, párr. 282.</w:t>
        <w:br/>
        <w:br/>
        <w:t>[412]       Corte IDH,  Caso  González  y  otras  (“Campo  Algodonero”)  Vs.</w:t>
        <w:br/>
        <w:t>México. Excepción Preliminar, Fondo, Reparaciones y Costas. Sentencia de  16</w:t>
        <w:br/>
        <w:t>de noviembre de 2009. Serie C No.205, párr. 283.</w:t>
        <w:br/>
        <w:br/>
        <w:t>[413]       Corte IDH,  Caso  González  y  otras  (“Campo  Algodonero”)  Vs.</w:t>
        <w:br/>
        <w:t>México. Excepción Preliminar, Fondo, Reparaciones y Costas. Sentencia de  16</w:t>
        <w:br/>
        <w:t>de noviembre de 2009. Serie C No.205, párrs. 284 y 285.</w:t>
        <w:br/>
        <w:br/>
        <w:t>[414]       Corte IDH,  Caso  González  y  otras  (“Campo  Algodonero”)  Vs.</w:t>
        <w:br/>
        <w:t>México. Excepción Preliminar, Fondo, Reparaciones y Costas. Sentencia de  16</w:t>
        <w:br/>
        <w:t>de noviembre de 2009. Serie C No.205, párrs. 284 y 286.</w:t>
        <w:br/>
        <w:br/>
        <w:t>[415]       Dicho caso se relaciona con la desaparición  y  ulterior  muerte</w:t>
        <w:br/>
        <w:t>de María Isabel Veliz, así como la falta de respuesta eficaz por  parte  del</w:t>
        <w:br/>
        <w:t>Estado ante la denuncia, y las posteriores falencias en la investigación  de</w:t>
        <w:br/>
        <w:t>los hechos. Corte IDH, Caso Veliz Franco y otros Vs. Guatemala.  Excepciones</w:t>
        <w:br/>
        <w:t>Preliminares, Fondo, Reparaciones y Costas.  Sentencia  de  19  de  mayo  de</w:t>
        <w:br/>
        <w:t>2014. Serie C No. 277.</w:t>
        <w:br/>
        <w:br/>
        <w:t>[416]       Corte IDH, Caso Veliz Franco y otros Vs. Guatemala.  Excepciones</w:t>
        <w:br/>
        <w:t>Preliminares, Fondo, Reparaciones y Costas.  Sentencia  de  19  de  mayo  de</w:t>
        <w:br/>
        <w:t>2014. Serie C No. 277, párr. 135. Véase en el mismo sentido:  Caso  González</w:t>
        <w:br/>
        <w:t>y otras  (“Campo  Algodonero”)  Vs.  México.  Excepción  Preliminar,  Fondo,</w:t>
        <w:br/>
        <w:t>Reparaciones y Costas. Sentencia  de  16  de  noviembre  de  2009.  Serie  C</w:t>
        <w:br/>
        <w:t>No.205, párr. 252, y Párrafo 107 de la Sentencia.</w:t>
        <w:br/>
        <w:br/>
        <w:t>[417]       Corte IDH, Caso Veliz Franco y otros Vs. Guatemala.  Excepciones</w:t>
        <w:br/>
        <w:t>Preliminares, Fondo, Reparaciones y Costas.  Sentencia  de  19  de  mayo  de</w:t>
        <w:br/>
        <w:t>2014. Serie  C  No.  277,  párr.  136,  y  Caso  González  y  otras  (“Campo</w:t>
        <w:br/>
        <w:t>Algodonero”)  Vs.  México.  Excepción  Preliminar,  Fondo,  Reparaciones   y</w:t>
        <w:br/>
        <w:t>Costas. Sentencia de 16 de noviembre de 2009. Serie C No. 205, párr. 258.</w:t>
        <w:br/>
        <w:br/>
        <w:t>[418]       Corte IDH, Caso Veliz Franco y otros Vs. Guatemala.  Excepciones</w:t>
        <w:br/>
        <w:t>Preliminares, Fondo, Reparaciones y Costas.  Sentencia  de  19  de  mayo  de</w:t>
        <w:br/>
        <w:t>2014. Serie  C  No.  277,  párr.  138,  y  Caso  González  y  otras  (“Campo</w:t>
        <w:br/>
        <w:t>Algodonero”)  Vs.  México.  Excepción  Preliminar,  Fondo,  Reparaciones   y</w:t>
        <w:br/>
        <w:t>Costas. Sentencia de 16 de noviembre de 2009. Serie C No. 205, párr. 281.</w:t>
        <w:br/>
        <w:br/>
        <w:t>[419]       Corte IDH, Caso Veliz Franco y otros Vs. Guatemala.  Excepciones</w:t>
        <w:br/>
        <w:t>Preliminares, Fondo, Reparaciones y Costas.  Sentencia  de  19  de  mayo  de</w:t>
        <w:br/>
        <w:t>2014. Serie C No. 277, párr. 139.</w:t>
        <w:br/>
        <w:br/>
        <w:t>[420]       Corte IDH, Caso Veliz Franco y otros Vs. Guatemala.  Excepciones</w:t>
        <w:br/>
        <w:t>Preliminares, Fondo, Reparaciones y Costas.  Sentencia  de  19  de  mayo  de</w:t>
        <w:br/>
        <w:t>2014. Serie C No. 277, párr. 142.</w:t>
        <w:br/>
        <w:br/>
        <w:t>[421]       Corte IDH, Caso Veliz Franco y otros Vs. Guatemala.  Excepciones</w:t>
        <w:br/>
        <w:t>Preliminares, Fondo, Reparaciones y Costas.  Sentencia  de  19  de  mayo  de</w:t>
        <w:br/>
        <w:t>2014. Serie C No. 277, párr. 155.</w:t>
        <w:br/>
        <w:br/>
        <w:t>[422]       Corte IDH, Caso Veliz Franco y otros Vs. Guatemala.  Excepciones</w:t>
        <w:br/>
        <w:t>Preliminares, Fondo, Reparaciones y Costas.  Sentencia  de  19  de  mayo  de</w:t>
        <w:br/>
        <w:t>2014. Serie C No. 277, párr. 144.</w:t>
        <w:br/>
        <w:br/>
        <w:t>[423]       Corte IDH, Caso Veliz Franco y otros Vs. Guatemala.  Excepciones</w:t>
        <w:br/>
        <w:t>Preliminares, Fondo, Reparaciones y Costas.  Sentencia  de  19  de  mayo  de</w:t>
        <w:br/>
        <w:t>2014. Serie C No. 277, párr. 154.</w:t>
        <w:br/>
        <w:br/>
        <w:t>[424]       Corte IDH, Caso Veliz Franco y otros Vs. Guatemala.  Excepciones</w:t>
        <w:br/>
        <w:t>Preliminares, Fondo, Reparaciones y Costas.  Sentencia  de  19  de  mayo  de</w:t>
        <w:br/>
        <w:t>2014. Serie C No. 277, párr. 155.</w:t>
        <w:br/>
        <w:br/>
        <w:t>[425]       Corte IDH, Caso Veliz Franco y otros Vs. Guatemala.  Excepciones</w:t>
        <w:br/>
        <w:t>Preliminares, Fondo, Reparaciones y Costas.  Sentencia  de  19  de  mayo  de</w:t>
        <w:br/>
        <w:t>2014. Serie C No. 277, párr. 158.</w:t>
        <w:br/>
        <w:br/>
        <w:t>[426]       Corte IDH,  Caso  González  y  otras  (“Campo  Algodonero”)  Vs.</w:t>
        <w:br/>
        <w:t>México. Excepción Preliminar, Fondo, Reparaciones y Costas. Sentencia de  16</w:t>
        <w:br/>
        <w:t>de noviembre de 2009. Serie C No. 205, párr. 282,  y  Caso  Veliz  Franco  y</w:t>
        <w:br/>
        <w:t>otros  Vs.  Guatemala.  Excepciones  Preliminares,  Fondo,  Reparaciones   y</w:t>
        <w:br/>
        <w:t>Costas. Sentencia de 19 de mayo de 2014. Serie C No. 277, párr. 139.</w:t>
        <w:br/>
        <w:br/>
        <w:t>[427]       Corte IDH,  Caso  González  y  otras  (“Campo  Algodonero”)  Vs.</w:t>
        <w:br/>
        <w:t>México. Excepción Preliminar, Fondo, Reparaciones y Costas. Sentencia de  16</w:t>
        <w:br/>
        <w:t>de noviembre de 2009. Serie C No. 205, párr. 282.</w:t>
        <w:br/>
        <w:br/>
        <w:t>[428]       Corte IDH, Caso Veliz Franco y otros Vs. Guatemala.  Excepciones</w:t>
        <w:br/>
        <w:t>Preliminares, Fondo, Reparaciones y Costas.  Sentencia  de  19  de  mayo  de</w:t>
        <w:br/>
        <w:t>2014. Serie C No. 277, párr. 139.</w:t>
        <w:br/>
        <w:br/>
        <w:t>[429]       Párrs. 45 a 48 de la Sentencia.</w:t>
        <w:br/>
        <w:br/>
        <w:t>[430]       Párrs. 45 y siguientes.</w:t>
        <w:br/>
        <w:br/>
        <w:t>[431]       Párrs. 45 de  la  Sentencia.  Citando:  Corte  IDH,  Caso  Veliz</w:t>
        <w:br/>
        <w:t>Franco y otros Vs. Guatemala. Excepciones Preliminares, Fondo,  Reparaciones</w:t>
        <w:br/>
        <w:t>y Costas. Sentencia de 19 de mayo de 2014. Serie C No. 277, párr. 73,  81  y</w:t>
        <w:br/>
        <w:t>152.</w:t>
        <w:br/>
        <w:br/>
        <w:t>[432]       Párrs. 46 de  la  Sentencia.  Citando:  Corte  IDH,  Caso  Veliz</w:t>
        <w:br/>
        <w:t>Franco y otros Vs. Guatemala. Excepciones Preliminares, Fondo,  Reparaciones</w:t>
        <w:br/>
        <w:t>y Costas. Sentencia de 19 de mayo de 2014. Serie C No. 277, párr. 76.</w:t>
        <w:br/>
        <w:br/>
        <w:t>[433]       Párrs. 46 de la Sentencia.</w:t>
        <w:br/>
        <w:br/>
        <w:t>[434]       Párrs. 45, 46 y 47 de la Sentencia.</w:t>
        <w:br/>
        <w:br/>
        <w:t>[435]       Corte IDH, Caso Veliz Franco y otros Vs. Guatemala.  Excepciones</w:t>
        <w:br/>
        <w:t>Preliminares, Fondo, Reparaciones y Costas.  Sentencia  de  19  de  mayo  de</w:t>
        <w:br/>
        <w:t>2014. Serie C No. 277, párr. 78 de la Sentencia. Párr. 48 de la Sentencia.</w:t>
        <w:br/>
        <w:br/>
        <w:t>[436]       Corte IDH, Caso Veliz Franco y otros Vs. Guatemala.  Excepciones</w:t>
        <w:br/>
        <w:t>Preliminares, Fondo, Reparaciones y Costas.  Sentencia  de  19  de  mayo  de</w:t>
        <w:br/>
        <w:t>2014. Serie C No. 277, párr. 89 de la Sentencia. Párr. 49 de la Sentencia.</w:t>
        <w:br/>
        <w:br/>
        <w:t>[437]       Corte IDH, Caso Veliz Franco y otros Vs. Guatemala.  Excepciones</w:t>
        <w:br/>
        <w:t>Preliminares, Fondo, Reparaciones y Costas.  Sentencia  de  19  de  mayo  de</w:t>
        <w:br/>
        <w:t>2014. Serie C No. 277, párrs. 90 y 212 de  la  Sentencia.  Párr.  49  de  la</w:t>
        <w:br/>
        <w:t>Sentencia.</w:t>
        <w:br/>
        <w:br/>
        <w:t>[438]       Corte IDH, Caso Veliz Franco y otros Vs. Guatemala.  Excepciones</w:t>
        <w:br/>
        <w:t>Preliminares, Fondo, Reparaciones y Costas.  Sentencia  de  19  de  mayo  de</w:t>
        <w:br/>
        <w:t>2014. Serie C No. 277, párr. 82.</w:t>
        <w:br/>
        <w:br/>
        <w:t>[439]       Párr. 109 de la Sentencia.</w:t>
        <w:br/>
        <w:br/>
        <w:t>[440]       Párr. 110 de la Sentencia.</w:t>
        <w:br/>
        <w:br/>
        <w:t>[441]       Párr. 111 de la Sentencia.</w:t>
        <w:br/>
        <w:br/>
        <w:t>[442]       Párrs. 112 y siguientes de la Sentencia.</w:t>
        <w:br/>
        <w:br/>
        <w:t>[443]       Párr. 118 a 120 de la Sentencia.</w:t>
        <w:br/>
        <w:br/>
        <w:t>[444]       Párr. 120 de la Sentencia.</w:t>
        <w:br/>
        <w:br/>
        <w:t>[445]       Párr. 121 de la Sentencia.</w:t>
        <w:br/>
        <w:br/>
        <w:t>[446]       Párr. 123 de la Sentencia.</w:t>
        <w:br/>
        <w:br/>
        <w:t>[447]       Párr. 126 de la Sentencia.</w:t>
        <w:br/>
        <w:br/>
        <w:t>[448]       Al respecto cabe mencionar, en primer lugar, que  la  Corte  IDH</w:t>
        <w:br/>
        <w:t>advirtió falta de claridad en cuanto a el momento a partir del  cual  debían</w:t>
        <w:br/>
        <w:t>transcurrir veinticuatro horas para la presentación de  la  denuncia  de  la</w:t>
        <w:br/>
        <w:t>desaparición de Claudina Velásquez; en segundo  lugar,  en  respuesta  a  la</w:t>
        <w:br/>
        <w:t>petición de información al Estado sobre la  existencia  de  alguna  norma  o</w:t>
        <w:br/>
        <w:t>práctica según las cuales se debía esperar veinticuatro horas  para  recibir</w:t>
        <w:br/>
        <w:t>una denuncia por desaparición de personas, el Estado expresó que “dentro  de</w:t>
        <w:br/>
        <w:t>la legislación interna  no existe norma alguna” atinente a  dicho  lapso,  y</w:t>
        <w:br/>
        <w:t>en tercer lugar, la norma sobre la cual el Estado argumentó que los  agentes</w:t>
        <w:br/>
        <w:t>policiales habían basado su actuar (artículo 51 del Decreto No. 40-90 de  la</w:t>
        <w:br/>
        <w:t>Ley Orgánica del Ministerio Público) no explicaba la  actuación  que  debían</w:t>
        <w:br/>
        <w:t>tener las autoridades en dicho caso, y tampoco hacía referencia alguna a  la</w:t>
        <w:br/>
        <w:t>recepción de una denuncia, reflejando confusión en cuanto  a  “cuál  era  la</w:t>
        <w:br/>
        <w:t>reglamentación que los policías debían seguir”. Párrs.  128  al  131  de  la</w:t>
        <w:br/>
        <w:t>Sentencia.</w:t>
        <w:br/>
        <w:br/>
        <w:t>[449]       Párr. 132 de la Sentencia.</w:t>
        <w:br/>
        <w:br/>
        <w:t>[450]       Párr. 133 de la Sentencia.</w:t>
        <w:br/>
        <w:br/>
        <w:t>[451]       Párr. 133 de la Sentencia.</w:t>
        <w:br/>
        <w:br/>
        <w:t>[452]       Párr. 120 de la Sentencia.</w:t>
        <w:br/>
        <w:br/>
        <w:t>[453]       Párr. 111 de la Sentencia.</w:t>
        <w:br/>
        <w:br/>
        <w:t>[454]       Párr. 112 de la Sentencia.</w:t>
        <w:br/>
        <w:br/>
        <w:t>[455]       Párr. 259 y siguientes de la Sentencia.</w:t>
        <w:br/>
        <w:br/>
        <w:t>[456]       La insuficiencia tenía su origen en  “la  carencia  de  recursos</w:t>
        <w:br/>
        <w:t>asignados, la falta de coordinación entre las diversas  instituciones  y  de</w:t>
        <w:br/>
        <w:t>una estrategia integral de protección”, así como el hecho de que  el  Estado</w:t>
        <w:br/>
        <w:t>no había demostrado haber implementado “las medidas necesarias a fin de  que</w:t>
        <w:br/>
        <w:t>los funcionarios responsables de recibir denuncias de desaparición  tuvieran</w:t>
        <w:br/>
        <w:t>la capacidad y la sensibilidad para  entender  la  gravedad  de  las  mismas</w:t>
        <w:br/>
        <w:t>frente al contexto de violencia contra la mujer,  así  como  la  voluntad  y</w:t>
        <w:br/>
        <w:t>entrenamiento para actuar de inmediato y de forma eficaz”. Párr. 264  de  la</w:t>
        <w:br/>
        <w:t>Sentencia.</w:t>
        <w:br/>
        <w:br/>
        <w:t>[457]       Párr. 265 de la Sentencia.</w:t>
        <w:br/>
        <w:br/>
        <w:t>[458]       Párr. 266 de la Sentencia.</w:t>
        <w:br/>
        <w:br/>
        <w:t>[459]       Párr. 107 de la Sentencia.</w:t>
        <w:br/>
        <w:br/>
        <w:t>[460]       Párr. 107  de  la  Sentencia.  Citando:  Corte  IDH,  Cfr.  Caso</w:t>
        <w:br/>
        <w:t>Velásquez Rodríguez Vs. Honduras. Fondo. Sentencia de 29 de julio  de  1988.</w:t>
        <w:br/>
        <w:t>Serie C No. 4, párr. 166, y Caso Rodríguez Vera y otros  (Desaparecidos  del</w:t>
        <w:br/>
        <w:t>Palacio  de  Justicia)  Vs.  Colombia.  Excepciones   Preliminares,   Fondo,</w:t>
        <w:br/>
        <w:t>Reparaciones y Costas. Sentencia de 14 de noviembre de  2014.  Serie  C  No.</w:t>
        <w:br/>
        <w:t>287, párr. 519.</w:t>
        <w:br/>
        <w:br/>
        <w:t>[461]       Párr. 108 de la Sentencia.</w:t>
        <w:br/>
        <w:br/>
        <w:t>[462]       Párr. 108 de la Sentencia. Citando: Corte IDH,  Caso  del  Penal</w:t>
        <w:br/>
        <w:t>Miguel Castro Castro Vs. Perú. Fondo, Reparaciones y  Costas.  Sentencia  de</w:t>
        <w:br/>
        <w:t>25 de noviembre de 2006. Serie C No. 160, párr. 346, y Caso Veliz  Franco  y</w:t>
        <w:br/>
        <w:t>otros  Vs.  Guatemala.  Excepciones  Preliminares,  Fondo,  Reparaciones   y</w:t>
        <w:br/>
        <w:t>Costas. Sentencia de 19 de mayo de 2014. Serie C No. 277, párr. 133.</w:t>
        <w:br/>
        <w:br/>
        <w:t>[463]       Párr. 108 de la Sentencia. Citando: Corte IDH, Caso  González  y</w:t>
        <w:br/>
        <w:t>otras  (“Campo  Algodonero”)  Vs.  México.  Excepción   Preliminar,   Fondo,</w:t>
        <w:br/>
        <w:t>Reparaciones y Costas. Sentencia de 16 de noviembre de  2009.  Serie  C  No.</w:t>
        <w:br/>
        <w:t>205, párr. 258, y Caso Veliz  Franco  y  otros  Vs.  Guatemala.  Excepciones</w:t>
        <w:br/>
        <w:t>Preliminares, Fondo, Reparaciones y Costas.  Sentencia  de  19  de  mayo  de</w:t>
        <w:br/>
        <w:t>2014. Serie C No. 277, párr. 136.</w:t>
        <w:br/>
        <w:br/>
        <w:t>[464]       Corte IDH,  Caso  González  y  otras  (“Campo  Algodonero”)  Vs.</w:t>
        <w:br/>
        <w:t>México. Excepción Preliminar, Fondo, Reparaciones y Costas. Sentencia de  16</w:t>
        <w:br/>
        <w:t>de noviembre de 2009. Serie C No. 205, párr. 282,  y  Caso  Veliz  Franco  y</w:t>
        <w:br/>
        <w:t>otros  Vs.  Guatemala.  Excepciones  Preliminares,  Fondo,  Reparaciones   y</w:t>
        <w:br/>
        <w:t>Costas. Sentencia de 19 de mayo de 2014. Serie C No. 277, párr. 139.</w:t>
        <w:br/>
        <w:br/>
        <w:t>[465]       Corte IDH,  Caso  González  y  otras  (“Campo  Algodonero”)  Vs.</w:t>
        <w:br/>
        <w:t>México. Excepción Preliminar, Fondo, Reparaciones y Costas. Sentencia de  16</w:t>
        <w:br/>
        <w:t>de noviembre de 2009. Serie C No. 205, párr. 258,  y  Caso  Veliz  Franco  y</w:t>
        <w:br/>
        <w:t>otros  Vs.  Guatemala.  Excepciones  Preliminares,  Fondo,  Reparaciones   y</w:t>
        <w:br/>
        <w:t>Costas. Sentencia de 19 de mayo de 2014. Serie C No. 277, párr. 136.</w:t>
        <w:br/>
        <w:br/>
        <w:t>[466]       Tal como se expone en los párrs. 112 a 120 de la Sentencia.</w:t>
        <w:br/>
        <w:br/>
        <w:t>[467]       Corte IDH,  Caso  González  y  otras  (“Campo  Algodonero”)  Vs.</w:t>
        <w:br/>
        <w:t>México. Excepción Preliminar, Fondo, Reparaciones y Costas. Sentencia de  16</w:t>
        <w:br/>
        <w:t>de noviembre de 2009. Serie C No. 205, y  Caso  Veliz  Franco  y  otros  Vs.</w:t>
        <w:br/>
        <w:t>Guatemala.  Excepciones  Preliminares,   Fondo,   Reparaciones   y   Costas.</w:t>
        <w:br/>
        <w:t>Sentencia de 19 de mayo de 2014.</w:t>
        <w:br/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