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>CORTE INTERAMERICANA DE DERECHOS HUMANOS</w:t>
        <w:br/>
        <w:br/>
        <w:br/>
        <w:t>CASO DUQUE VS. COLOMBIA[1]</w:t>
        <w:br/>
        <w:br/>
        <w:br/>
        <w:br/>
        <w:t>SENTENCIA DE 21 DE NOVIEMBRE DE 2016</w:t>
        <w:br/>
        <w:t>(Interpretación  de  la  Sentencia  de  Excepciones  Preliminares,  Fondo,</w:t>
        <w:br/>
        <w:t>Reparaciones y Costas)</w:t>
        <w:br/>
        <w:br/>
        <w:br/>
        <w:br/>
        <w:t>En el Caso Duque,</w:t>
        <w:br/>
        <w:br/>
        <w:t>la Corte  Interamericana  de  Derechos  Humanos  (en  adelante  “la  Corte</w:t>
        <w:br/>
        <w:t>Interamericana”, “la Corte” o “el Tribunal”), integrada por los siguientes</w:t>
        <w:br/>
        <w:t>Jueces:</w:t>
        <w:br/>
        <w:br/>
        <w:t>Roberto F. Caldas, Presidente;</w:t>
        <w:br/>
        <w:t xml:space="preserve">      Eduardo Ferrer Mac-Gregor Poisot, Vicepresidente;</w:t>
        <w:br/>
        <w:t>Manuel E. Ventura Robles, Juez;</w:t>
        <w:br/>
        <w:t>Diego García-Sayán, Juez;</w:t>
        <w:br/>
        <w:t>Alberto Pérez Pérez, Juez, y</w:t>
        <w:br/>
        <w:t>Eduardo Vio Grossi, Juez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 el  artículo  67  de  la  Convención  Americana  sobre</w:t>
        <w:br/>
        <w:t>Derechos Humanos (en adelante también  “la  Convención  Americana”  o  “la</w:t>
        <w:br/>
        <w:t>Convención”) y el artículo 68 del Reglamento de la Corte (en adelante  “el</w:t>
        <w:br/>
        <w:t>Reglamento”), resuelve la solicitud de interpretación de la  Sentencia  de</w:t>
        <w:br/>
        <w:t>excepciones preliminares, fondo, reparaciones y costas  emitida  por  este</w:t>
        <w:br/>
        <w:t>Tribunal el 26 de febrero de 2016 en el presente caso (en adelante también</w:t>
        <w:br/>
        <w:t>“la Sentencia”), interpuesta el 11 de julio  de  2016  por  el  Estado  de</w:t>
        <w:br/>
        <w:t>Colombia (en adelante “Colombia” o “el Estado”).</w:t>
        <w:br/>
        <w:br/>
        <w:t xml:space="preserve">                                      I</w:t>
        <w:br/>
        <w:t xml:space="preserve">                         SOLICITUD DE INTERPRETACIÓN</w:t>
        <w:br/>
        <w:t xml:space="preserve">                        Y PROCEDIMIENTO ANTE LA cORTE</w:t>
        <w:br/>
        <w:br/>
        <w:br/>
        <w:t xml:space="preserve">   1. El 26 de febrero de 2016 la Corte emitió la  Sentencia,  la  cual  fue</w:t>
        <w:br/>
        <w:t xml:space="preserve">      notificada a las partes y a la  Comisión  Interamericana  de  Derechos</w:t>
        <w:br/>
        <w:t xml:space="preserve">      Humanos (en adelante “la Comisión Interamericana” o “la Comisión”)  el</w:t>
        <w:br/>
        <w:t xml:space="preserve">      15 de abril del mismo año.</w:t>
        <w:br/>
        <w:br/>
        <w:br/>
        <w:t xml:space="preserve">   2.  El  11  de  julio  de  2016  el  Estado  sometió  una  solicitud   de</w:t>
        <w:br/>
        <w:t xml:space="preserve">      interpretación respecto de la interpretación de los párrafos 199 y 227</w:t>
        <w:br/>
        <w:t xml:space="preserve">      de la Sentencia. En particular, el Estado  solicitó  a  la  Corte  una</w:t>
        <w:br/>
        <w:t xml:space="preserve">      interpretación referida al plazo con que cuenta el señor Ángel Alberto</w:t>
        <w:br/>
        <w:t xml:space="preserve">      Duque para presentar su solicitud de reconocimiento de la  pensión  de</w:t>
        <w:br/>
        <w:t xml:space="preserve">      sobreviviente y en torno al pago de los gastos adicionales durante  la</w:t>
        <w:br/>
        <w:t xml:space="preserve">      etapa de supervisión de cumplimiento de la Sentencia[2].</w:t>
        <w:br/>
        <w:br/>
        <w:br/>
        <w:t xml:space="preserve">   3. El 27 de julio de 2016,  de  conformidad  con  el  artículo  68.2  del</w:t>
        <w:br/>
        <w:t xml:space="preserve">      Reglamento y siguiendo instrucciones del Presidente de  la  Corte,  la</w:t>
        <w:br/>
        <w:t xml:space="preserve">      Secretaría transmitió la referida solicitud de  interpretación  a  los</w:t>
        <w:br/>
        <w:t xml:space="preserve">      representante y  a  la  Comisión  y  les  otorgó  un  plazo  para  que</w:t>
        <w:br/>
        <w:t xml:space="preserve">      presentaran las alegaciones escritas que  estimaran  pertinentes.  Los</w:t>
        <w:br/>
        <w:t xml:space="preserve">      días 25 de agosto  y  8  de  septiembre  de  2016  los  representantes</w:t>
        <w:br/>
        <w:t xml:space="preserve">      presentaron sus alegaciones escritas, y el 6 de septiembre de 2016  la</w:t>
        <w:br/>
        <w:t xml:space="preserve">      Comisión hizo lo propio.</w:t>
        <w:br/>
        <w:br/>
        <w:br/>
        <w:t xml:space="preserve">   4. El 3 de octubre de 2016, el Estado  remitió  un  escrito  en  el  cual</w:t>
        <w:br/>
        <w:t xml:space="preserve">      informó sobre el hecho que el señor Duque ya había iniciado el trámite</w:t>
        <w:br/>
        <w:t xml:space="preserve">      con la finalidad de solicitar la pensión de sobrevivencia e indicó que</w:t>
        <w:br/>
        <w:t xml:space="preserve">      renunciaba a la solicitud de interpretación con respecto a dos de  las</w:t>
        <w:br/>
        <w:t xml:space="preserve">      tres  preguntas  que  habían  sido  planteadas  en  su  solicitud   de</w:t>
        <w:br/>
        <w:t xml:space="preserve">      interpretación presentada el 11 de julio de 2016 (supra párr. 2).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 xml:space="preserve">   5. El artículo 67 de la Convención establece que “[e]l fallo de la  Corte</w:t>
        <w:br/>
        <w:t xml:space="preserve">      será definitivo e inapelable. En caso de desacuerdo sobre el sentido o</w:t>
        <w:br/>
        <w:t xml:space="preserve">      alcance del fallo, la Corte lo interpretará a solicitud de  cualquiera</w:t>
        <w:br/>
        <w:t xml:space="preserve">      de las partes, siempre que dicha solicitud se presente dentro  de  los</w:t>
        <w:br/>
        <w:t xml:space="preserve">      noventa días a partir de la fecha de la notificación del fallo”.</w:t>
        <w:br/>
        <w:br/>
        <w:br/>
        <w:t xml:space="preserve">   6. De conformidad con el artículo citado, la  Corte  es  competente  para</w:t>
        <w:br/>
        <w:t xml:space="preserve">      interpretar sus fallos. Para realizar el examen de las solicitudes  de</w:t>
        <w:br/>
        <w:t xml:space="preserve">      interpretación y resolver lo  que  a  este  respecto  corresponda,  el</w:t>
        <w:br/>
        <w:t xml:space="preserve">      Tribunal debe tener, si es posible, la misma composición que tenía  al</w:t>
        <w:br/>
        <w:t xml:space="preserve">      dictar la Sentencia respectiva, de acuerdo con el  artículo  68.3  del</w:t>
        <w:br/>
        <w:t xml:space="preserve">      Reglamento. En esta ocasión, la Corte se integra con  los  jueces  que</w:t>
        <w:br/>
        <w:t xml:space="preserve">      dictaron la Sentencia cuya interpretación ha sido solicitada.</w:t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 xml:space="preserve">   7. Corresponde a la Corte verificar si la  solicitud  presentada  por  el</w:t>
        <w:br/>
        <w:t xml:space="preserve">      Estado cumple con los requisitos establecidos en las normas aplicables</w:t>
        <w:br/>
        <w:t xml:space="preserve">      a una solicitud de interpretación de Sentencia, a saber,  el  artículo</w:t>
        <w:br/>
        <w:t xml:space="preserve">      67 de la Convención,  anteriormente  citado,  y  el  artículo  68  del</w:t>
        <w:br/>
        <w:t xml:space="preserve">      Reglamento[3]. La Corte advierte que el Estado presentó  su  solicitud</w:t>
        <w:br/>
        <w:t xml:space="preserve">      de interpretación el 11 de julio de 2016, dentro del plazo de  noventa</w:t>
        <w:br/>
        <w:t xml:space="preserve">      días  establecido  en  el  artículo  67  de  la  Convención  para   la</w:t>
        <w:br/>
        <w:t xml:space="preserve">      presentación de una solicitud de interpretación de  la  Sentencia,  ya</w:t>
        <w:br/>
        <w:t xml:space="preserve">      que la misma fue notificada el 15 de abril de 2016 (supra párrs.  1  y</w:t>
        <w:br/>
        <w:t xml:space="preserve">      2). Por ende, la solicitud resulta admisible en lo que se  refiere  al</w:t>
        <w:br/>
        <w:t xml:space="preserve">      plazo de su presentación.</w:t>
        <w:br/>
        <w:br/>
        <w:br/>
        <w:t xml:space="preserve">                                     IV</w:t>
        <w:br/>
        <w:t xml:space="preserve">        ANÁLISIS DE LA PROCEDENCIA DE LA SOLICITUD DE INTERPRETACIÓN</w:t>
        <w:br/>
        <w:br/>
        <w:br/>
        <w:t xml:space="preserve">   8. A continuación el Tribunal analizará  la  solicitud  del  Estado  para</w:t>
        <w:br/>
        <w:t xml:space="preserve">      determinar  si,  de  acuerdo  a  la  normativa  y  a  los   estándares</w:t>
        <w:br/>
        <w:t xml:space="preserve">      desarrollados en su  jurisprudencia,  procede  aclarar  el  sentido  o</w:t>
        <w:br/>
        <w:t xml:space="preserve">      alcance de algún punto de la Sentencia.</w:t>
        <w:br/>
        <w:br/>
        <w:br/>
        <w:t xml:space="preserve">   9. Para analizar la procedencia de la solicitud del Estado, la Corte toma</w:t>
        <w:br/>
        <w:t xml:space="preserve">      en consideración su jurisprudencia constante, claramente sustentada en</w:t>
        <w:br/>
        <w:t xml:space="preserve">      el  ordenamiento  aplicable,  en  cuanto  a  que  una   solicitud   de</w:t>
        <w:br/>
        <w:t xml:space="preserve">      interpretación  de  sentencia  no  puede  utilizarse  como  medio   de</w:t>
        <w:br/>
        <w:t xml:space="preserve">      impugnación de la decisión  cuya  interpretación  se  requiere.  Dicha</w:t>
        <w:br/>
        <w:t xml:space="preserve">      solicitud tiene como objeto, exclusivamente, determinar el sentido  de</w:t>
        <w:br/>
        <w:t xml:space="preserve">      un fallo cuando alguna de las partes sostiene  que  el  texto  de  sus</w:t>
        <w:br/>
        <w:t xml:space="preserve">      puntos resolutivos o de  sus  consideraciones  carece  de  claridad  o</w:t>
        <w:br/>
        <w:t xml:space="preserve">      precisión, siempre y cuando  esas  consideraciones  incidan  en  dicha</w:t>
        <w:br/>
        <w:t xml:space="preserve">      parte  resolutiva[4].  Por  lo  tanto,  no  se  puede   solicitar   la</w:t>
        <w:br/>
        <w:t xml:space="preserve">      modificación o anulación de la sentencia respectiva a  través  de  una</w:t>
        <w:br/>
        <w:t xml:space="preserve">      solicitud de interpretación[5].</w:t>
        <w:br/>
        <w:br/>
        <w:br/>
        <w:t xml:space="preserve">  10. El Estado solicitó una interpretación en relación con tres aspectos de</w:t>
        <w:br/>
        <w:t xml:space="preserve">      la Sentencia en el presente caso. Sin embargo, por comunicación  de  3</w:t>
        <w:br/>
        <w:t xml:space="preserve">      de octubre de 2016 (supra párr. 4) indicó que desistía de la solicitud</w:t>
        <w:br/>
        <w:t xml:space="preserve">      en relación con dos de las preguntas planteadas. En  consecuencia,  le</w:t>
        <w:br/>
        <w:t xml:space="preserve">      corresponde a la Corte emitir un pronunciamiento únicamente  sobre  la</w:t>
        <w:br/>
        <w:t xml:space="preserve">      pregunta planteada por el Estado que se refiere a las costas y  gastos</w:t>
        <w:br/>
        <w:t xml:space="preserve">      que la Corte puede ordenar que sean cubiertas por el mismo en la etapa</w:t>
        <w:br/>
        <w:t xml:space="preserve">      de supervisión de cumplimiento de Sentencia (supra párr. 2).</w:t>
        <w:br/>
        <w:br/>
        <w:br/>
        <w:t xml:space="preserve">  11. A continuación, se expondrán los (A) argumentos de las partes y de  la</w:t>
        <w:br/>
        <w:t xml:space="preserve">      Comisión y se realizarán (B) las consideraciones pertinentes.</w:t>
        <w:br/>
        <w:br/>
        <w:br/>
        <w:t xml:space="preserve">     A. Argumentos de las partes y de la Comisión</w:t>
        <w:br/>
        <w:br/>
        <w:br/>
        <w:t xml:space="preserve">  12. El Estado se refirió al párrafo  227  de  la  Sentencia,  el  cual  se</w:t>
        <w:br/>
        <w:t xml:space="preserve">      establece que: "(l)a Corte  considera  que,  en  el  procedimiento  de</w:t>
        <w:br/>
        <w:t xml:space="preserve">      supervisión del cumplimiento de la […] Sentencia, podrá  disponer  que</w:t>
        <w:br/>
        <w:t xml:space="preserve">      el Estado reembolse a la  víctima  o  sus  representantes  los  gastos</w:t>
        <w:br/>
        <w:t xml:space="preserve">      razonables en que incurran en dicha etapa procesal".  Señaló  que  “el</w:t>
        <w:br/>
        <w:t xml:space="preserve">      apart[ado] en cuestión carece de claridad y precisión, en cuanto a: i)</w:t>
        <w:br/>
        <w:t xml:space="preserve">      los rubros que podrán ser incluidos como gastos y ii) el tiempo en que</w:t>
        <w:br/>
        <w:t xml:space="preserve">      esos emolumentos deberán ser asumidos”. Agregó que “[l]o anterior,  da</w:t>
        <w:br/>
        <w:t xml:space="preserve">      lugar a márgenes hermenéuticos de gran amplitud para  las  partes  del</w:t>
        <w:br/>
        <w:t xml:space="preserve">      proceso,  que  podrían  conducir  a  que  se  deban  sufragar   gastos</w:t>
        <w:br/>
        <w:t xml:space="preserve">      indeterminados por parte del Estado”. Concluyó arguyendo que “el punto</w:t>
        <w:br/>
        <w:t xml:space="preserve">      en cuestión amerita una interpretación de la Corte […] en  el  que  se</w:t>
        <w:br/>
        <w:t xml:space="preserve">      establezca de manera precisa el alcance de la orden bajo análisis,  de</w:t>
        <w:br/>
        <w:t xml:space="preserve">      forma tal que no se dé lugar a la inclusión de  gastos  injustificados</w:t>
        <w:br/>
        <w:t xml:space="preserve">      por un lapso indefinido”.</w:t>
        <w:br/>
        <w:br/>
        <w:br/>
        <w:t xml:space="preserve">  13. Los representantes alegaron que el Estado  hizo  alusión  a  un  punto</w:t>
        <w:br/>
        <w:t xml:space="preserve">      relacionado con la supervisión del cumplimiento de  la  Sentencia  que</w:t>
        <w:br/>
        <w:t xml:space="preserve">      “no resulta necesario tramitarlo bajo una demanda de  interpretación”.</w:t>
        <w:br/>
        <w:t xml:space="preserve">      Indicaron asimismo que “el reintegro de los gastos  no  es  mandatorio</w:t>
        <w:br/>
        <w:t xml:space="preserve">      sino potestativo pues será la […] Corte  quien  determinará  cuáles  y</w:t>
        <w:br/>
        <w:t xml:space="preserve">      cuántos se cubren, por lo que  pretender  anticipar  una  eventualidad</w:t>
        <w:br/>
        <w:t xml:space="preserve">      aludiendo aclaraciones no es procedente”. Por último  también  sostuvo</w:t>
        <w:br/>
        <w:t xml:space="preserve">      que el concepto de “gastos razonables” “ya contiene una limitación  al</w:t>
        <w:br/>
        <w:t xml:space="preserve">      temor del  […]  Estado  de  erogaciones  injustificables,  pues  deben</w:t>
        <w:br/>
        <w:t xml:space="preserve">      entenderse como aquellos indispensables para  la  etapa  procesal  que</w:t>
        <w:br/>
        <w:t xml:space="preserve">      refiere  el  párrafo  citado,   es   decir   desplazamientos   aéreos,</w:t>
        <w:br/>
        <w:t xml:space="preserve">      manutención y alojamiento en las audiencias que cite el alto tribunal,</w:t>
        <w:br/>
        <w:t xml:space="preserve">      que deben ser acreditados como lo señala la jurisprudencia en punto de</w:t>
        <w:br/>
        <w:t xml:space="preserve">      costas y gastos”.</w:t>
        <w:br/>
        <w:br/>
        <w:br/>
        <w:t xml:space="preserve">  14. Por su  parte,  la  Comisión  sostuvo  que  no  consideraba  necesario</w:t>
        <w:br/>
        <w:t xml:space="preserve">      “especificar ‘los rubros que podrán ser incluidos como gastos’ ni  ‘el</w:t>
        <w:br/>
        <w:t xml:space="preserve">      tiempo en que esos emolumentos deberán ser asumidos’ [puesto que], del</w:t>
        <w:br/>
        <w:t xml:space="preserve">      párrafo citado, se desprende  claramente  que  tales  gastos  son  las</w:t>
        <w:br/>
        <w:t xml:space="preserve">      erogaciones directamente relacionadas con el cumplimiento integral  de</w:t>
        <w:br/>
        <w:t xml:space="preserve">      la Sentencia y que se trata de una facultad  de  la  Corte  determinar</w:t>
        <w:br/>
        <w:t xml:space="preserve">      durante el proceso  de  supervisión  tales  montos  atendiendo  a  las</w:t>
        <w:br/>
        <w:t xml:space="preserve">      circunstancias particulares de dicho proceso así como a la prueba  que</w:t>
        <w:br/>
        <w:t xml:space="preserve">      sea presentada por las partes al respecto”.</w:t>
        <w:br/>
        <w:br/>
        <w:br/>
        <w:t xml:space="preserve">     B. Consideraciones de la Corte</w:t>
        <w:br/>
        <w:br/>
        <w:br/>
        <w:t xml:space="preserve">  15. El Tribunal recuerda que el párrafo 227 de la Sentencia en el presente</w:t>
        <w:br/>
        <w:t xml:space="preserve">      caso establece:</w:t>
        <w:br/>
        <w:br/>
        <w:br/>
        <w:t xml:space="preserve">      “La Corte considera  que,  en  el  procedimiento  de  supervisión  del</w:t>
        <w:br/>
        <w:t xml:space="preserve">      cumplimiento de  la  […]  Sentencia,  podrá  disponer  que  el  Estado</w:t>
        <w:br/>
        <w:t xml:space="preserve">      reembolse a la víctima o sus representantes los gastos  razonables  en</w:t>
        <w:br/>
        <w:t xml:space="preserve">      que incurran en dicha etapa procesal”.</w:t>
        <w:br/>
        <w:br/>
        <w:br/>
        <w:t xml:space="preserve">  16.  La  Corte  considera  que  el  texto  del  referido  párrafo  es   lo</w:t>
        <w:br/>
        <w:t xml:space="preserve">      suficientemente claro y preciso,  pues  de  la  Sentencia  se  infiere</w:t>
        <w:br/>
        <w:t xml:space="preserve">      claramente  que  esos  reintegros  se  refieren  a  gastos  que  deben</w:t>
        <w:br/>
        <w:t xml:space="preserve">      necesariamente estar relacionados con el procedimiento de  supervisión</w:t>
        <w:br/>
        <w:t xml:space="preserve">      de cumplimiento de la  Sentencia,  y  que  dicha  obligación  subsiste</w:t>
        <w:br/>
        <w:t xml:space="preserve">      mientras que el caso se encuentre en esa etapa procesal.</w:t>
        <w:br/>
        <w:br/>
        <w:br/>
        <w:br/>
        <w:br/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br/>
        <w:t>Por tanto,</w:t>
        <w:br/>
        <w:br/>
        <w:t>LA CORTE</w:t>
        <w:br/>
        <w:br/>
        <w:t>de conformidad con el artículo 67 de la Convención Americana sobre  Derechos</w:t>
        <w:br/>
        <w:t>Humanos y los artículos 31.3 y 68 del Reglamento,</w:t>
        <w:br/>
        <w:br/>
        <w:t>DECIDE:</w:t>
        <w:br/>
        <w:br/>
        <w:t>Por unanimidad,</w:t>
        <w:br/>
        <w:br/>
        <w:t>Declarar admisible la  solicitud  de  interpretación  de  la  Sentencia  de</w:t>
        <w:br/>
        <w:t>excepciones preliminares, fondo, reparaciones y costas emitida en  el  caso</w:t>
        <w:br/>
        <w:t>Duque Vs. Colombia interpuesta por el Estado.</w:t>
        <w:br/>
        <w:br/>
        <w:t>Declarar que la pregunta planteada por el Estado en torno  al  rembolso  de</w:t>
        <w:br/>
        <w:t>los gastos razonables que  podría  ordenar  esta  Corte  en  el  marco  del</w:t>
        <w:br/>
        <w:t>procedimiento de supervisión del cumplimiento se  refiere  a  un  texto  lo</w:t>
        <w:br/>
        <w:t>suficientemente claro y preciso por  las  razones  que  se  indican  en  el</w:t>
        <w:br/>
        <w:t>párrafo 16 de la presente sentencia.</w:t>
        <w:br/>
        <w:br/>
        <w:t>Disponer que la Secretaría de la Corte notifique la presente  sentencia  de</w:t>
        <w:br/>
        <w:t>interpretación a la República de  Colombia,  a  los  representantes  de  la</w:t>
        <w:br/>
        <w:t>víctima y a la Comisión Interamericana de Derechos Humanos.</w:t>
        <w:br/>
        <w:br/>
        <w:br/>
        <w:br/>
        <w:t>Redactada en español, en San José, Costa Rica, el 21 de noviembre de 2016.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Sentencia de Interpretación de la  Sentencia  de  Excepciones  Preliminares,</w:t>
        <w:br/>
        <w:t>Fondo, Reparaciones y Costas. Caso Duque vs Colombia.</w:t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br/>
        <w:t>Eduardo  Ferrer  Mac-Gregor  Poisot                      Manuel  E.  Ventura</w:t>
        <w:br/>
        <w:t>Robles</w:t>
        <w:br/>
        <w:br/>
        <w:br/>
        <w:br/>
        <w:br/>
        <w:br/>
        <w:t>Diego  García-Sayán                                          Alberto   Pérez</w:t>
        <w:br/>
        <w:t>Pérez</w:t>
        <w:br/>
        <w:br/>
        <w:br/>
        <w:br/>
        <w:br/>
        <w:br/>
        <w:t>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br/>
        <w:t>[1]   El Juez Humberto Antonio Sierra Porto, de nacionalidad colombiana,  no</w:t>
        <w:br/>
        <w:t>participó en la deliberación de la presente Sentencia,  de  conformidad  con</w:t>
        <w:br/>
        <w:t>lo dispuesto en los artículos 19.2 del Estatuto y 19.1 del Reglamento de  la</w:t>
        <w:br/>
        <w:t>Corte.</w:t>
        <w:br/>
        <w:br/>
        <w:br/>
        <w:t>[2]   ¿Cuál es el  plazo  con  cuenta  el  señor  Duque  para  presentar  su</w:t>
        <w:br/>
        <w:t>solicitud de reconocimiento de la pensión de sobreviviente?  y  ¿Cuáles  son</w:t>
        <w:br/>
        <w:t>las consecuencias de que el señor Duque  posponga  la  radicación  de  dicho</w:t>
        <w:br/>
        <w:t>requerimiento por un lapso prolongado? En  cuanto  al  segundo  aspecto,  el</w:t>
        <w:br/>
        <w:t>Estado pidió que se interpretara el párrafo 227 de la Sentencia, en el  cual</w:t>
        <w:br/>
        <w:t>se indica que en el procedimiento de  supervisión  del  cumplimiento  de  la</w:t>
        <w:br/>
        <w:t>Sentencia, la Corte podrá disponer que el Estado reembolse a  la  víctima  o</w:t>
        <w:br/>
        <w:t>sus representantes los gastos razonables en  que  incurran  en  dicha  etapa</w:t>
        <w:br/>
        <w:t>procesal. En particular indicó el Estado que no quedaba claro i) los  rubros</w:t>
        <w:br/>
        <w:t>que  podran  ser  incluidos  como  gastos  y  ii)  el  tiempo  en  que  esos</w:t>
        <w:br/>
        <w:t>emolumentos deberán ser asumidos por el Estado.</w:t>
        <w:br/>
        <w:br/>
        <w:br/>
        <w:t>[3]   Esta última norma dispone, en lo pertinente, que: 1. La  solicitud  de</w:t>
        <w:br/>
        <w:t>interpretación a que se refiere  el  artículo  67  de  la  Convención  podrá</w:t>
        <w:br/>
        <w:t>promoverse en relación  con  las  sentencias  de  excepciones  preliminares,</w:t>
        <w:br/>
        <w:t>fondo o reparaciones y costas y se presentará en la Secretaría de  la  Corte</w:t>
        <w:br/>
        <w:t>indicándose en ella, con precisión, las cuestiones relativas  al  sentido  o</w:t>
        <w:br/>
        <w:t>alcance de la sentencia cuya interpretación se pida. […] 4. La solicitud  de</w:t>
        <w:br/>
        <w:t>interpretación no suspenderá la ejecución  de  la  sentencia.  5.  La  Corte</w:t>
        <w:br/>
        <w:t>determinará el  procedimiento  que  se  seguirá  y  resolverá  mediante  una</w:t>
        <w:br/>
        <w:t>sentencia.</w:t>
        <w:br/>
        <w:br/>
        <w:br/>
        <w:t>[4]   Cfr. Caso Loayza Tamayo Vs. Perú. Interpretación de  la  Sentencia  de</w:t>
        <w:br/>
        <w:t>Fondo. Resolución de la Corte de 8 de marzo de 1998. Serie C No.  47,  párr.</w:t>
        <w:br/>
        <w:t>16, y Caso  J.  Vs.  Perú.  Interpretación  de  la  Sentencia  de  Excepción</w:t>
        <w:br/>
        <w:t>Preliminar, Fondo, Reparaciones y Costas. Sentencia de 20  de  noviembre  de</w:t>
        <w:br/>
        <w:t>2014. Serie C No. 291, párr. 12.</w:t>
        <w:br/>
        <w:br/>
        <w:br/>
        <w:t>[5]   Cfr. Caso Loayza Tamayo Vs. Perú. Interpretación de  la  Sentencia  de</w:t>
        <w:br/>
        <w:t>Fondo, párr. 16, y López Lone, Interpretación, párr. 18.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