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CASO COMUNIDAD CAMPESINA DE SANTA BÁRBARA VS. PERÚ</w:t>
        <w:br/>
        <w:br/>
        <w:br/>
        <w:t xml:space="preserve">                    Sentencia de 21 DE noviembre DE 2016</w:t>
        <w:br/>
        <w:br/>
        <w:t xml:space="preserve">        (Interpretación de la Sentencia de Excepciones Preliminares,</w:t>
        <w:br/>
        <w:t xml:space="preserve">                        Fondo, Reparaciones y Costas)</w:t>
        <w:br/>
        <w:br/>
        <w:br/>
        <w:br/>
        <w:t>En el caso Comunidad Campesina de Santa Bárbara Vs. Perú,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Jueces(:</w:t>
        <w:br/>
        <w:br/>
        <w:t>Roberto F. Caldas, Presidente;</w:t>
        <w:br/>
        <w:t>Eduardo Ferrer Mac-Gregor Poisot, Vicepresidente;</w:t>
        <w:br/>
        <w:t>Manuel E. Ventura Robles, Juez;</w:t>
        <w:br/>
        <w:t>Alberto Pérez Pérez, Juez;</w:t>
        <w:br/>
        <w:t>Eduardo Vio Grossi, Juez, y</w:t>
        <w:br/>
        <w:t>Humberto Antonio Sierra Porto, Juez;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el artículo 67 de la Convención Americana sobre  Derechos</w:t>
        <w:br/>
        <w:t>Humanos (en adelante también “la Convención Americana” o “la Convención”)  y</w:t>
        <w:br/>
        <w:t>el artículo 68 del Reglamento de la Corte  (en  adelante  “el  Reglamento”),</w:t>
        <w:br/>
        <w:t>resuelve la solicitud de  interpretación  de  la  Sentencia  de  excepciones</w:t>
        <w:br/>
        <w:t>preliminares, fondo, reparaciones y costas emitida por este  Tribunal  el  1</w:t>
        <w:br/>
        <w:t>de septiembre  de  2015  en  el  presente  caso  (en  adelante  también  “la</w:t>
        <w:br/>
        <w:t>Sentencia” o “el Fallo”), interpuesta el  15  de  febrero  de  2016  por  el</w:t>
        <w:br/>
        <w:t>Estado del Perú (en adelante “el Estado peruano”, “el Estado” o “el  Perú”).</w:t>
        <w:br/>
        <w:br/>
        <w:br/>
        <w:br/>
        <w:br/>
        <w:t>I</w:t>
        <w:br/>
        <w:t>SOLICITUD DE INTERPRETACIÓN</w:t>
        <w:br/>
        <w:t>Y PROCEDIMIENTO ANTE LA CORTE</w:t>
        <w:br/>
        <w:br/>
        <w:br/>
        <w:br/>
        <w:t>1. El 1 de septiembre de 2015 la Corte emitió la  Sentencia  de  excepciones</w:t>
        <w:br/>
        <w:t xml:space="preserve"> preliminares, fondo, reparaciones y costas en el caso Comunidad  Campesina</w:t>
        <w:br/>
        <w:t xml:space="preserve"> de Santa Bárbara Vs. Perú, la cual fue notificada a  las  partes  y  a  la</w:t>
        <w:br/>
        <w:t xml:space="preserve"> Comisión Interamericana de Derechos  Humanos  (en  adelante  “la  Comisión</w:t>
        <w:br/>
        <w:t xml:space="preserve"> Interamericana” o “la Comisión”) el 13 de noviembre del mismo año.</w:t>
        <w:br/>
        <w:br/>
        <w:br/>
        <w:br/>
        <w:t>2.  El 15 de febrero de 2016 el Estado sometió a la Corte una  solicitud  de</w:t>
        <w:br/>
        <w:t xml:space="preserve"> interpretación en relación con la  medida  de  reparación  relativa  a  la</w:t>
        <w:br/>
        <w:t xml:space="preserve"> investigación de las violaciones declaradas en la Sentencia, dispuesta  en</w:t>
        <w:br/>
        <w:t xml:space="preserve"> el Punto Resolutivo 10 de la misma[1].</w:t>
        <w:br/>
        <w:br/>
        <w:br/>
        <w:br/>
        <w:t>3. El 18 de febrero de 2016, siguiendo instrucciones del  Presidente  de  la</w:t>
        <w:br/>
        <w:t xml:space="preserve"> Corte, la Secretaría del Tribunal transmitió la  referida  comunicación  a</w:t>
        <w:br/>
        <w:t xml:space="preserve"> los representantes de las víctimas[2] y a la  Comisión  y  les  otorgó  un</w:t>
        <w:br/>
        <w:t xml:space="preserve"> plazo hasta el 18 de marzo de 2016 para presentar  los  alegatos  escritos</w:t>
        <w:br/>
        <w:t xml:space="preserve"> que estimaran pertinentes.</w:t>
        <w:br/>
        <w:br/>
        <w:br/>
        <w:br/>
        <w:t>4. El 18 de marzo de 2016 la Comisión y los representantes de  las  víctimas</w:t>
        <w:br/>
        <w:t xml:space="preserve"> presentaron sus respectivas observaciones y alegatos sobre la solicitud de</w:t>
        <w:br/>
        <w:t xml:space="preserve"> interpretación del Estado.</w:t>
        <w:br/>
        <w:br/>
        <w:br/>
        <w:br/>
        <w:br/>
        <w:t>II</w:t>
        <w:br/>
        <w:t>COMPETENCIA</w:t>
        <w:br/>
        <w:br/>
        <w:br/>
        <w:br/>
        <w:t>5. El artículo 67 de la Convención establece que:</w:t>
        <w:br/>
        <w:br/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br/>
        <w:t>6. De conformidad con el  artículo  citado,  la  Corte  es  competente  para</w:t>
        <w:br/>
        <w:t xml:space="preserve"> interpretar sus fallos.  Para  realizar  el  examen  de  la  solicitud  de</w:t>
        <w:br/>
        <w:t xml:space="preserve"> interpretación y resolver lo que a este respecto corresponda, el  Tribunal</w:t>
        <w:br/>
        <w:t xml:space="preserve"> debe tener, si es posible, la misma composición que  tenía  al  dictar  la</w:t>
        <w:br/>
        <w:t xml:space="preserve"> Sentencia respectiva, de acuerdo con el artículo 68.3 del  Reglamento.  En</w:t>
        <w:br/>
        <w:t xml:space="preserve"> esta ocasión, la Corte se integra con los jueces que dictaron la Sentencia</w:t>
        <w:br/>
        <w:t xml:space="preserve"> cuya interpretación ha sido solicitada por el Estado.</w:t>
        <w:br/>
        <w:br/>
        <w:br/>
        <w:br/>
        <w:t>III</w:t>
        <w:br/>
        <w:t>ADMISIBILIDAD</w:t>
        <w:br/>
        <w:br/>
        <w:br/>
        <w:t>7. Corresponde a la Corte  verificar  si  la  solicitud  presentada  por  el</w:t>
        <w:br/>
        <w:t xml:space="preserve"> Estado cumple con los requisitos establecidos en las normas  aplicables  a</w:t>
        <w:br/>
        <w:t xml:space="preserve"> una solicitud de interpretación de Sentencia, a saber, el artículo  67  de</w:t>
        <w:br/>
        <w:t xml:space="preserve"> la Convención y el artículo 68 del Reglamento[3].</w:t>
        <w:br/>
        <w:br/>
        <w:br/>
        <w:br/>
        <w:t>8. La Corte observa que el Estado presentó su  solicitud  de  interpretación</w:t>
        <w:br/>
        <w:t xml:space="preserve"> de la Sentencia dentro  del  plazo  de  noventa  días  establecido  en  el</w:t>
        <w:br/>
        <w:t xml:space="preserve"> artículo 67 de la Convención, ya que la misma  fue  notificada  el  13  de</w:t>
        <w:br/>
        <w:t xml:space="preserve"> noviembre de 2015[4]. Por ende, la solicitud resulta admisible en  lo  que</w:t>
        <w:br/>
        <w:t xml:space="preserve"> se refiere al plazo de su presentación.</w:t>
        <w:br/>
        <w:br/>
        <w:br/>
        <w:t>IV</w:t>
        <w:br/>
        <w:t>ANÁLISIS DE LA PROCEDENCIA DE LA SOLICITUD DE INTERPRETACIÓN</w:t>
        <w:br/>
        <w:br/>
        <w:br/>
        <w:t>9.  A  continuación,  la  Corte  analizará  la  solicitud  del  Estado  para</w:t>
        <w:br/>
        <w:t xml:space="preserve"> determinar si, de acuerdo a la normativa y a los estándares  desarrollados</w:t>
        <w:br/>
        <w:t xml:space="preserve"> en su jurisprudencia, procede aclarar el sentido o alcance de algún  punto</w:t>
        <w:br/>
        <w:t xml:space="preserve"> de la Sentencia.</w:t>
        <w:br/>
        <w:br/>
        <w:t>10. Para analizar la procedencia de la solicitud del Estado, la  Corte  toma</w:t>
        <w:br/>
        <w:t xml:space="preserve"> en consideración su jurisprudencia constante, claramente sustentada en  el</w:t>
        <w:br/>
        <w:t xml:space="preserve"> ordenamiento aplicable, en cuanto a que una solicitud de interpretación de</w:t>
        <w:br/>
        <w:t xml:space="preserve"> sentencia no puede utilizarse como medio de  impugnación  de  la  decisión</w:t>
        <w:br/>
        <w:t xml:space="preserve"> cuya interpretación  se  requiere.  Dicha  solicitud  tiene  como  objeto,</w:t>
        <w:br/>
        <w:t xml:space="preserve"> exclusivamente, determinar el sentido de un fallo  cuando  alguna  de  las</w:t>
        <w:br/>
        <w:t xml:space="preserve"> partes  sostiene  que  el  texto  de  sus  puntos  resolutivos  o  de  sus</w:t>
        <w:br/>
        <w:t xml:space="preserve"> consideraciones carece de claridad o  precisión,  siempre  y  cuando  esas</w:t>
        <w:br/>
        <w:t xml:space="preserve"> consideraciones incidan en dicha parte resolutiva[5].  Por  lo  tanto,  de</w:t>
        <w:br/>
        <w:t xml:space="preserve"> conformidad con el artículo 31.3 del Reglamento, no se puede solicitar  la</w:t>
        <w:br/>
        <w:t xml:space="preserve"> modificación o anulación de  la  sentencia  respectiva  a  través  de  una</w:t>
        <w:br/>
        <w:t xml:space="preserve"> solicitud de interpretación[6].</w:t>
        <w:br/>
        <w:br/>
        <w:t>11. Seguidamente, la Corte  considerará  cada  una  de  las  solicitudes  de</w:t>
        <w:br/>
        <w:t xml:space="preserve"> interpretación planteadas por el Estado, todas relacionadas con el alcance</w:t>
        <w:br/>
        <w:t xml:space="preserve"> del Punto Resolutivo décimo de la Sentencia, en el siguiente orden: A)  si</w:t>
        <w:br/>
        <w:t xml:space="preserve"> la Corte se refería a la apertura de nuevas investigaciones penales,  o  a</w:t>
        <w:br/>
        <w:t xml:space="preserve"> la continuación del proceso penal realizado en sede nacional ante la  Sala</w:t>
        <w:br/>
        <w:t xml:space="preserve"> Penal Nacional, respecto de los procesados  no  habidos  y/o  de  aquellos</w:t>
        <w:br/>
        <w:t xml:space="preserve"> sobre los cuales se dispuso remitir copias  certificadas  del  proceso  al</w:t>
        <w:br/>
        <w:t xml:space="preserve"> Ministerio Publico, y B) si las investigaciones dispuestas por la Corte  a</w:t>
        <w:br/>
        <w:t xml:space="preserve"> modo de  reparación  deben  efectuarse  bajo  el  tipo  penal  interno  de</w:t>
        <w:br/>
        <w:t xml:space="preserve"> desaparición forzada, y si la eventual decisión estatal de  continuar  las</w:t>
        <w:br/>
        <w:t xml:space="preserve"> investigaciones  por  la  comisión  del  delito  de  homicidio  calificado</w:t>
        <w:br/>
        <w:t xml:space="preserve"> (ejecución extrajudicial), contravendría lo dispuesto por la Corte.</w:t>
        <w:br/>
        <w:br/>
        <w:br/>
        <w:t xml:space="preserve">      Si al disponer la investigación de las violaciones  declaradas  en  la</w:t>
        <w:br/>
        <w:t xml:space="preserve">      Sentencia, la Corte se refería a la apertura de nuevas investigaciones</w:t>
        <w:br/>
        <w:t xml:space="preserve">      penales, o a la continuación  del  proceso  penal  realizado  en  sede</w:t>
        <w:br/>
        <w:t xml:space="preserve">      nacional</w:t>
        <w:br/>
        <w:br/>
        <w:br/>
        <w:t xml:space="preserve">      A.1. Argumentos de las partes y de la Comisión</w:t>
        <w:br/>
        <w:br/>
        <w:t>12. El Estado señaló, entre otros, que en el párrafo 258  de  la  Sentencia,</w:t>
        <w:br/>
        <w:t xml:space="preserve"> el Tribunal se refirió a que, “en su sentencia de 9 de febrero de 2012, la</w:t>
        <w:br/>
        <w:t xml:space="preserve"> Sala Penal Nacional de la Corte Superior de Justicia de  Lima  dispuso  la</w:t>
        <w:br/>
        <w:t xml:space="preserve"> remisión de copias certificadas de la causa al Ministerio Público para que</w:t>
        <w:br/>
        <w:t xml:space="preserve"> se investigue a [cinco personas]. No obstante, la Corte no  c[ontaba]  con</w:t>
        <w:br/>
        <w:t xml:space="preserve"> información   respecto   de   posibles   investigaciones   abiertas    con</w:t>
        <w:br/>
        <w:t xml:space="preserve"> posterioridad a ello”. Asimismo, en los párrafos 259 y 267 del  Fallo,  la</w:t>
        <w:br/>
        <w:t xml:space="preserve"> Corte consideró que habían transcurrido 24 años desde que  ocurrieron  los</w:t>
        <w:br/>
        <w:t xml:space="preserve"> hechos, sin que todavía se hubiera esclarecido completamente lo  ocurrido,</w:t>
        <w:br/>
        <w:t xml:space="preserve"> ni determinado todas las responsabilidades correspondientes. De este modo,</w:t>
        <w:br/>
        <w:t xml:space="preserve"> el Estado consultó si, “¿[a]l disponer la Corte […] que se lleven  a  cabo</w:t>
        <w:br/>
        <w:t xml:space="preserve"> determinadas investigaciones a modo  de  reparación,  se  ref[ería]  a  la</w:t>
        <w:br/>
        <w:t xml:space="preserve"> apertura de nuevas  investigaciones  penales,  o  a  la  continuación  del</w:t>
        <w:br/>
        <w:t xml:space="preserve"> proceso penal realizado en sede  nacional  ante  la  Sala  Penal  Nacional</w:t>
        <w:br/>
        <w:t xml:space="preserve"> respecto de los procesados no habidos y/o de aquellos sobre los cuales  se</w:t>
        <w:br/>
        <w:t xml:space="preserve"> dispuso remitir copias certificadas del proceso al Ministerio Publico?”</w:t>
        <w:br/>
        <w:br/>
        <w:br/>
        <w:t>13. Los representantes sostuvieron “que la solicitud de  interpretación  del</w:t>
        <w:br/>
        <w:t xml:space="preserve"> Estado no es procedente, dado que hace referencia a la forma en la cual el</w:t>
        <w:br/>
        <w:t xml:space="preserve"> Estado debe implementar la reparación contenida  en  el  punto  resolutivo</w:t>
        <w:br/>
        <w:t xml:space="preserve"> B.1, cuyo momento apropiado corresponde  a  la  etapa  de  supervisión  de</w:t>
        <w:br/>
        <w:t xml:space="preserve"> cumplimiento de [S]entencia”. Asimismo, consideraron “improcedente que  se</w:t>
        <w:br/>
        <w:t xml:space="preserve"> pretenda, con la interpretación solicitada por el  Estado,  determinar  un</w:t>
        <w:br/>
        <w:t xml:space="preserve"> número concreto de investigaciones a realizarse,  o  que  la  Corte  elija</w:t>
        <w:br/>
        <w:t xml:space="preserve"> entre abrir nuevas investigaciones o la continuación de las  ya  iniciadas</w:t>
        <w:br/>
        <w:t xml:space="preserve"> para considerar reparado el daño”.</w:t>
        <w:br/>
        <w:br/>
        <w:t>14. La Comisión consideró que “no resulta necesaria una  interpretación  del</w:t>
        <w:br/>
        <w:t xml:space="preserve"> alcance de la Sentencia, en vista de que de  la  misma  se  desprende  con</w:t>
        <w:br/>
        <w:t xml:space="preserve"> claridad que se encuentra en cabeza del Estado la  obligación  de  adoptar</w:t>
        <w:br/>
        <w:t xml:space="preserve"> todas las medidas necesarias para identificar, juzgar y  sancionar  a  los</w:t>
        <w:br/>
        <w:t xml:space="preserve"> responsables, lo cual incluye la continuación del proceso en  curso  o  la</w:t>
        <w:br/>
        <w:t xml:space="preserve"> reapertura de las investigaciones necesarias”.</w:t>
        <w:br/>
        <w:br/>
        <w:t xml:space="preserve">      A.2. Consideraciones de la Corte</w:t>
        <w:br/>
        <w:br/>
        <w:br/>
        <w:t>15. La Corte reitera lo señalado en los párrafos 289 y 290 de la  Sentencia,</w:t>
        <w:br/>
        <w:t xml:space="preserve"> en los siguientes términos:</w:t>
        <w:br/>
        <w:br/>
        <w:t xml:space="preserve">    289.   Este Tribunal valora las acciones realizadas por el  Estado  con</w:t>
        <w:br/>
        <w:t xml:space="preserve">    el fin de  esclarecer  los  hechos.  En  específico,  reitera  que  las</w:t>
        <w:br/>
        <w:t xml:space="preserve">    sentencias de 9 de febrero de 2012 y  29  de  mayo  de  2013,  emitidas</w:t>
        <w:br/>
        <w:t xml:space="preserve">    respectivamente por la Sala Penal Nacional y la Sala Penal  Transitoria</w:t>
        <w:br/>
        <w:t xml:space="preserve">    de la Corte Suprema de Justicia, son un referente importante y positivo</w:t>
        <w:br/>
        <w:t xml:space="preserve">    en el actuar estatal de su Poder Judicial.  No  obstante,  teniendo  en</w:t>
        <w:br/>
        <w:t xml:space="preserve">    cuenta las  conclusiones  de  los  Capítulos  IX.I  y  IX.III  de  esta</w:t>
        <w:br/>
        <w:t xml:space="preserve">    Sentencia, la Corte dispone que  el  Estado  debe  llevar  a  cabo  las</w:t>
        <w:br/>
        <w:t xml:space="preserve">    investigaciones amplias, sistemáticas y minuciosas que sean  necesarias</w:t>
        <w:br/>
        <w:t xml:space="preserve">    para determinar, juzgar y, en su caso, sancionar a los responsables  de</w:t>
        <w:br/>
        <w:t xml:space="preserve">    lo ocurrido a las quince víctimas  señaladas  en  el  párrafo  194  del</w:t>
        <w:br/>
        <w:t xml:space="preserve">    presente  Fallo.  Dicha  obligación  debe  ser  cumplida  en  un  plazo</w:t>
        <w:br/>
        <w:t xml:space="preserve">    razonable a través de los mecanismos existentes en el derecho interno.</w:t>
        <w:br/>
        <w:br/>
        <w:br/>
        <w:t xml:space="preserve">    290.   Conforme a su jurisprudencia constante, la Corte  considera  que</w:t>
        <w:br/>
        <w:t xml:space="preserve">    el Estado debe asegurar el pleno acceso y capacidad de  actuar  de  las</w:t>
        <w:br/>
        <w:t xml:space="preserve">    víctimas o sus familiares en todas las etapas de la investigación y  el</w:t>
        <w:br/>
        <w:t xml:space="preserve">    juzgamiento de los responsables, de acuerdo con la ley  interna  y  las</w:t>
        <w:br/>
        <w:t xml:space="preserve">    normas de la Convención Americana. Adicionalmente,  los  resultados  de</w:t>
        <w:br/>
        <w:t xml:space="preserve">    los procesos correspondientes deberán ser públicamente divulgados  para</w:t>
        <w:br/>
        <w:t xml:space="preserve">    que la sociedad peruana conozca los hechos objeto  del  presente  caso,</w:t>
        <w:br/>
        <w:t xml:space="preserve">    así como, en su caso, a sus responsables. (Subrayado agregado.)</w:t>
        <w:br/>
        <w:br/>
        <w:br/>
        <w:t>16. La Corte considera que los párrafos  289  y  290  de  la  Sentencia  son</w:t>
        <w:br/>
        <w:t xml:space="preserve"> claros al señalar que el Estado debe llevar  a  cabo  las  investigaciones</w:t>
        <w:br/>
        <w:t xml:space="preserve"> amplias, sistemáticas y minuciosas que sean  necesarias  para  determinar,</w:t>
        <w:br/>
        <w:t xml:space="preserve"> juzgar y, en su caso, sancionar a los responsables de lo  ocurrido  a  las</w:t>
        <w:br/>
        <w:t xml:space="preserve"> quince víctimas reconocidas en el párrafo 194 de  la  Sentencia,  lo  cual</w:t>
        <w:br/>
        <w:t xml:space="preserve"> podría implicar la continuación del proceso realizado en sede  nacional  o</w:t>
        <w:br/>
        <w:t xml:space="preserve"> bien, la reapertura de nuevas investigaciones. Por tanto, se desestima  la</w:t>
        <w:br/>
        <w:t xml:space="preserve"> solicitud de interpretación en este extremo.</w:t>
        <w:br/>
        <w:br/>
        <w:br/>
        <w:br/>
        <w:t xml:space="preserve">      Si las investigaciones dispuestas por la Corte a  modo  de  reparación</w:t>
        <w:br/>
        <w:t xml:space="preserve">      deben efectuarse bajo el tipo penal interno de desaparición forzada  y</w:t>
        <w:br/>
        <w:t xml:space="preserve">      si la eventual decisión estatal de continuar las  investigaciones  por</w:t>
        <w:br/>
        <w:t xml:space="preserve">      la  comisión   del   delito   de   homicidio   calificado   (ejecución</w:t>
        <w:br/>
        <w:t xml:space="preserve">      extrajudicial), contravendría lo dispuesto por la Corte.</w:t>
        <w:br/>
        <w:br/>
        <w:br/>
        <w:br/>
        <w:t xml:space="preserve">      B.1. Argumentos de las partes y de la Comisión</w:t>
        <w:br/>
        <w:br/>
        <w:t>17. El Estado señaló que la Corte concluyó en los párrafos 186 y 187  de  la</w:t>
        <w:br/>
        <w:t xml:space="preserve"> Sentencia, que los hechos expuestos configuraron jurídicamente un caso  de</w:t>
        <w:br/>
        <w:t xml:space="preserve"> desaparición forzada y no una ejecución extrajudicial como lo  planteó  el</w:t>
        <w:br/>
        <w:t xml:space="preserve"> Estado peruano, en consonancia con lo establecido  y  calificado  por  los</w:t>
        <w:br/>
        <w:t xml:space="preserve"> órganos jurisdiccionales internos en las sentencias domésticas de  2012  y</w:t>
        <w:br/>
        <w:t xml:space="preserve"> 2013. Asimismo, la Corte decidió no aplicar el principio de subsidiariedad</w:t>
        <w:br/>
        <w:t xml:space="preserve"> y complementariedad debido a la falta  de  seriedad  y  diligencia  en  la</w:t>
        <w:br/>
        <w:t xml:space="preserve"> investigación forense. De este modo, el Perú consultó si, “¿[c]onsiderando</w:t>
        <w:br/>
        <w:t xml:space="preserve"> que la Corte calificó  los  hechos  del  caso  como  uno  de  desaparición</w:t>
        <w:br/>
        <w:t xml:space="preserve"> forzada, las investigaciones dispuestas por dicho  Tribunal  a  modo  [de]</w:t>
        <w:br/>
        <w:t xml:space="preserve"> reparación deben efectuarse bajo el tipo penal interno  de  tal  delito?”.</w:t>
        <w:br/>
        <w:t xml:space="preserve"> También consultó si “¿[l]a eventual  decisión  estatal  de  continuar  las</w:t>
        <w:br/>
        <w:t xml:space="preserve"> investigaciones  por  la  comisión  del  delito  de  homicidio  calificado</w:t>
        <w:br/>
        <w:t xml:space="preserve"> (ejecución extrajudicial), contravendría lo dispuesto por la Corte?”.</w:t>
        <w:br/>
        <w:br/>
        <w:br/>
        <w:t>18. Los representantes consideraron que “no existe duda  en  relación  a  la</w:t>
        <w:br/>
        <w:t xml:space="preserve"> calificación jurídica de los hechos que debe ser impuesta  dentro  de  los</w:t>
        <w:br/>
        <w:t xml:space="preserve"> procesos internos, y considera[ron] que, de no  seguir  [la]  calificación</w:t>
        <w:br/>
        <w:t xml:space="preserve"> jurídica  [de  desaparición  forzada],   se   estaría   en   un   evidente</w:t>
        <w:br/>
        <w:t xml:space="preserve"> incumplimiento del propio texto de la […] [S]entencia y de  principios  de</w:t>
        <w:br/>
        <w:t xml:space="preserve"> derecho internacional”. Resaltaron que “la solicitud de interpretación  no</w:t>
        <w:br/>
        <w:t xml:space="preserve"> solo contiene su respuesta en la propia [S]entencia  sino  también  en  la</w:t>
        <w:br/>
        <w:t xml:space="preserve"> jurisprudencia de la Corte, de la cual es evidente la  importancia  y  los</w:t>
        <w:br/>
        <w:t xml:space="preserve"> efectos que  se  perciben  en  los  procesos  internos  para  combatir  la</w:t>
        <w:br/>
        <w:t xml:space="preserve"> impunidad  de  los  hechos,  el  implementar  la   correcta   calificación</w:t>
        <w:br/>
        <w:t xml:space="preserve"> jurídica”. Por otra parte, los  representantes  manifestaron  preocupación</w:t>
        <w:br/>
        <w:t xml:space="preserve"> por el hecho que el Estado se  haya  referido  a  una  “eventual  decisión</w:t>
        <w:br/>
        <w:t xml:space="preserve"> estatal” de continuar las investigaciones por la comisión  del  delito  de</w:t>
        <w:br/>
        <w:t xml:space="preserve"> homicidio calificado, ya que “no cabe duda de las consecuencias  negativas</w:t>
        <w:br/>
        <w:t xml:space="preserve"> que  una  calificación  jurídica  incorrecta  podría   tener   sobre   las</w:t>
        <w:br/>
        <w:t xml:space="preserve"> investigaciones”. Así, refirieron que en la Sentencia, la Corte señaló que</w:t>
        <w:br/>
        <w:t xml:space="preserve"> una vez ocurrida una desaparición forzada, es necesario que la  misma  sea</w:t>
        <w:br/>
        <w:t xml:space="preserve"> efectivamente considerada y tratada como un hecho ilícito que pueda  tener</w:t>
        <w:br/>
        <w:t xml:space="preserve"> como consecuencia  la  imposición  de  sanciones  para  quien  la  cometa,</w:t>
        <w:br/>
        <w:t xml:space="preserve"> instigue, encubra o de cualquier otra forma participe en  la  perpetración</w:t>
        <w:br/>
        <w:t xml:space="preserve"> de la misma.</w:t>
        <w:br/>
        <w:br/>
        <w:t>19. La Comisión observó que la Convención Interamericana sobre  Desaparición</w:t>
        <w:br/>
        <w:t xml:space="preserve"> Forzada de Personas establece la obligación  de  tipificar,  investigar  y</w:t>
        <w:br/>
        <w:t xml:space="preserve"> sancionar esta conducta que presenta características diferentes a la de la</w:t>
        <w:br/>
        <w:t xml:space="preserve"> ejecución extrajudicial, en vista de que tiene un  carácter  continuado  o</w:t>
        <w:br/>
        <w:t xml:space="preserve"> permanente mientras los restos de las víctimas sean localizados e  incluye</w:t>
        <w:br/>
        <w:t xml:space="preserve"> tanto  las  acciones  como  las  omisiones  que  hayan   posibilitado   la</w:t>
        <w:br/>
        <w:t xml:space="preserve"> desaparición de las víctimas. Precisamente  varios  de  los  aspectos  que</w:t>
        <w:br/>
        <w:t xml:space="preserve"> acreditaron la falta de debida  diligencia  por  parte  del  Estado  y  su</w:t>
        <w:br/>
        <w:t xml:space="preserve"> consecuente responsabilidad internacional, se derivan de no haber  actuado</w:t>
        <w:br/>
        <w:t xml:space="preserve"> con prontitud para esclarecer  el  paradero  de  las  víctimas  y  por  el</w:t>
        <w:br/>
        <w:t xml:space="preserve"> transcurso  del  tiempo  sin  esclarecer  completamente  lo  ocurrido   ni</w:t>
        <w:br/>
        <w:t xml:space="preserve"> determinado fehacientemente el paradero  de  las  personas  desaparecidas.</w:t>
        <w:br/>
        <w:t xml:space="preserve"> Además, la Comisión observó que la Sentencia recoge el deber de investigar</w:t>
        <w:br/>
        <w:t xml:space="preserve"> y sancionar tal conducta y que los elementos que se desprenden de la misma</w:t>
        <w:br/>
        <w:t xml:space="preserve"> resultan relevantes  para  que  la  Corte  se  pronuncie  respecto  de  la</w:t>
        <w:br/>
        <w:t xml:space="preserve"> solicitud  planteada  por  el  Estado  con  el  objetivo  de  reducir  los</w:t>
        <w:br/>
        <w:t xml:space="preserve"> obstáculos que puedan afectar el cumplimiento de la Sentencia.</w:t>
        <w:br/>
        <w:br/>
        <w:t xml:space="preserve">      B.2. Consideraciones de la Corte</w:t>
        <w:br/>
        <w:br/>
        <w:t>20. En el Punto Resolutivo décimo de la Sentencia, la Corte ordenó  al  Perú</w:t>
        <w:br/>
        <w:t xml:space="preserve"> “llevar a cabo las investigaciones amplias, sistemáticas y minuciosas  que</w:t>
        <w:br/>
        <w:t xml:space="preserve"> sean necesarias para determinar, juzgar y, en su  caso,  sancionar  a  los</w:t>
        <w:br/>
        <w:t xml:space="preserve"> responsables de las violaciones  declaradas  en  esta  Sentencia,  en  los</w:t>
        <w:br/>
        <w:t xml:space="preserve"> términos de los párrafos 289 a 290 de la misma”. Al respecto, el  Tribunal</w:t>
        <w:br/>
        <w:t xml:space="preserve"> considera que, dado que la figura delictiva a utilizarse dependerá de  los</w:t>
        <w:br/>
        <w:t xml:space="preserve"> hechos específicos de  cada  causa  concreta  bajo  estudio,  el  efectivo</w:t>
        <w:br/>
        <w:t xml:space="preserve"> desarrollo de la investigación y eventual sanción de los  responsables  es</w:t>
        <w:br/>
        <w:t xml:space="preserve"> materia del procedimiento de supervisión de cumplimiento de la  Sentencia.</w:t>
        <w:br/>
        <w:t xml:space="preserve"> Por tanto, se desestima la solicitud de interpretación en este extremo.</w:t>
        <w:br/>
        <w:br/>
        <w:br/>
        <w:t>V</w:t>
        <w:br/>
        <w:t>PUNTOS RESOLUTIVOS</w:t>
        <w:br/>
        <w:br/>
        <w:t>Por tanto,</w:t>
        <w:br/>
        <w:t>LA CORTE,</w:t>
        <w:br/>
        <w:t>de conformidad con el artículo 67 de la Convención Americana sobre  Derechos</w:t>
        <w:br/>
        <w:t>Humanos y los artículos 31.3 y 68 del Reglamento,</w:t>
        <w:br/>
        <w:t>DECIDE:</w:t>
        <w:br/>
        <w:t>Por unanimidad,</w:t>
        <w:br/>
        <w:t>Declarar admisible la solicitud de interpretación de la Sentencia de</w:t>
        <w:br/>
        <w:t>excepciones preliminares, fondo, reparaciones y costas emitida en el caso</w:t>
        <w:br/>
        <w:t>Comunidad Campesina de Santa Bárbara Vs. Perú, interpuesta por el Estado.</w:t>
        <w:br/>
        <w:br/>
        <w:t>Desestimar por improcedentes las consultas del Estado.</w:t>
        <w:br/>
        <w:br/>
        <w:t>Disponer que la Secretaría de la Corte notifique la  presente  Sentencia  de</w:t>
        <w:br/>
        <w:t>interpretación al Estado del Perú, a los representantes de las víctimas y  a</w:t>
        <w:br/>
        <w:t>la Comisión Interamericana de Derechos Humanos.</w:t>
        <w:br/>
        <w:br/>
        <w:t>Redactada en español, en San José, Costa Rica, el 21 de noviembre de 2016.</w:t>
        <w:br/>
        <w:t>Sentencia de Interpretación de la  Sentencia  de  Excepciones  Preliminares,</w:t>
        <w:br/>
        <w:t>Fondo, Reparaciones y Costas. Caso Comunidad Campesina de Santa Bárbara  Vs.</w:t>
        <w:br/>
        <w:t>Perú.</w:t>
        <w:br/>
        <w:br/>
        <w:br/>
        <w:br/>
        <w:br/>
        <w:br/>
        <w:t xml:space="preserve">                        Humberto Antonio Sierra Porto</w:t>
        <w:br/>
        <w:t xml:space="preserve">                                 Presidente</w:t>
        <w:br/>
        <w:br/>
        <w:br/>
        <w:br/>
        <w:br/>
        <w:br/>
        <w:t>Roberto  F.  Caldas                                      Manuel  E.  Ventura</w:t>
        <w:br/>
        <w:t>Robles</w:t>
        <w:br/>
        <w:br/>
        <w:br/>
        <w:br/>
        <w:br/>
        <w:br/>
        <w:t>Alberto                             Pérez                              Pérez</w:t>
        <w:br/>
        <w:t>Eduardo Vio Grossi</w:t>
        <w:br/>
        <w:br/>
        <w:br/>
        <w:br/>
        <w:br/>
        <w:br/>
        <w:t xml:space="preserve">                      Eduardo Ferrer Mac-Gregor Poisot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t xml:space="preserve">                                              Humberto Antonio Sierra Porto</w:t>
        <w:br/>
        <w:br/>
        <w:br/>
        <w:t xml:space="preserve">                                                  Presidente</w:t>
        <w:br/>
        <w:br/>
        <w:br/>
        <w:br/>
        <w:br/>
        <w:t>Pablo Saavedra Alessandri</w:t>
        <w:br/>
        <w:t xml:space="preserve">      Secretario</w:t>
        <w:br/>
        <w:t>-----------------------</w:t>
        <w:br/>
        <w:t>(     El Juez Diego García-Sayán, de nacionalidad peruana, no participó en</w:t>
        <w:br/>
        <w:t>el conocimiento y deliberación del presente caso, de conformidad con lo</w:t>
        <w:br/>
        <w:t>dispuesto en el artículo 19.1 del Reglamento de la Corte.</w:t>
        <w:br/>
        <w:t>[1]   El Punto Resolutivo 10 establece: “El Estado debe llevar a cabo las</w:t>
        <w:br/>
        <w:t>investigaciones amplias, sistemáticas y minuciosas que sean necesarias para</w:t>
        <w:br/>
        <w:t>determinar, juzgar y, en su caso, sancionar a los responsables de las</w:t>
        <w:br/>
        <w:t>violaciones declaradas en esta Sentencia, en los términos de los párrafos</w:t>
        <w:br/>
        <w:t>289 a 290 de la misma”.</w:t>
        <w:br/>
        <w:t>[2]   La Asociación Paz y Esperanza y el Centro por la Justicia y el</w:t>
        <w:br/>
        <w:t>Derecho Internacional (CEJIL) ejercen la representación de las víctimas en</w:t>
        <w:br/>
        <w:t>el presente caso.</w:t>
        <w:br/>
        <w:t>[3]   Dicho  artículo  dispone,  en  lo  pertinente:  “1.  La  solicitud  de</w:t>
        <w:br/>
        <w:t>interpretación a que se refiere  el  artículo  67  de  la  Convención  podrá</w:t>
        <w:br/>
        <w:t>promoverse en relación  con  las  sentencias  de  excepciones  preliminares,</w:t>
        <w:br/>
        <w:t>fondo o reparaciones y costas y se presentará en la Secretaría de  la  Corte</w:t>
        <w:br/>
        <w:t>indicándose en ella, con precisión, las cuestiones relativas  al  sentido  o</w:t>
        <w:br/>
        <w:t>alcance de la sentencia cuya interpretación se pida. […] 4. La solicitud  de</w:t>
        <w:br/>
        <w:t>interpretación no suspenderá la ejecución  de  la  sentencia.  5.  La  Corte</w:t>
        <w:br/>
        <w:t>determinará el  procedimiento  que  se  seguirá  y  resolverá  mediante  una</w:t>
        <w:br/>
        <w:t>sentencia”.</w:t>
        <w:br/>
        <w:t>[4]   Para la contabilización de este plazo se tomó en cuenta el Acuerdo de</w:t>
        <w:br/>
        <w:t>Corte 1/14 “Precisiones sobre el Cómputo de Plazos”.</w:t>
        <w:br/>
        <w:t>[5]   Cfr. Caso Loayza Tamayo Vs. Perú. Interpretación de la Sentencia de</w:t>
        <w:br/>
        <w:t>Fondo. Resolución de la Corte de 8 de marzo de 1998. Serie C No. 47, párr.</w:t>
        <w:br/>
        <w:t>16, y Caso J. Vs. Perú. Interpretación de la Sentencia de Excepción</w:t>
        <w:br/>
        <w:t>Preliminar, Fondo, Reparaciones y Costas. Sentencia de 20 de noviembre de</w:t>
        <w:br/>
        <w:t>2014. Serie C No. 291, párr. 12.</w:t>
        <w:br/>
        <w:t>[6]   Cfr. Caso Loayza Tamayo Vs. Perú. Interpretación de la Sentencia de</w:t>
        <w:br/>
        <w:t>Fondo, párr. 16, y Caso J. Vs. Perú. Interpretación de la Sentencia de</w:t>
        <w:br/>
        <w:t>Excepción Preliminar, Fondo, Reparaciones y Costas, párr. 12.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