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Caso  de los “ Niños de la Calle” (Villagrán Morales y otros) Vs. Guatemala</w:t>
        <w:br/>
        <w:br/>
        <w:br/>
        <w:br/>
        <w:t xml:space="preserve">                    Sentencia de 11 de septiembre de 1997</w:t>
        <w:br/>
        <w:t xml:space="preserve">                         (Excepciones Preliminares)</w:t>
        <w:br/>
        <w:br/>
        <w:br/>
        <w:br/>
        <w:t>En el caso Villagrán Morales y Otros,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Máximo Pacheco Gómez, Juez</w:t>
        <w:br/>
        <w:t xml:space="preserve">      Oliver Jackman, Juez</w:t>
        <w:br/>
        <w:t xml:space="preserve">      Alirio Abreu Burelli, Juez y</w:t>
        <w:br/>
        <w:t xml:space="preserve">      Antônio A. Cançado Trindade, Juez</w:t>
        <w:br/>
        <w:br/>
        <w:br/>
        <w:br/>
        <w:br/>
        <w:t>presentes, además,</w:t>
        <w:br/>
        <w:br/>
        <w:br/>
        <w:t xml:space="preserve">      Manuel E. Ventura Robles, Secretario y</w:t>
        <w:br/>
        <w:t xml:space="preserve">      Víctor M. Rodríguez Rescia, Secretario adjunto a.i.</w:t>
        <w:br/>
        <w:br/>
        <w:br/>
        <w:t>de acuerdo con el artículo 36.6 del Reglamento de  la  Corte  Interamericana</w:t>
        <w:br/>
        <w:t>de Derechos Humanos  (en  adelante  “el  Reglamento”),  dicta  la  siguiente</w:t>
        <w:br/>
        <w:t>sentencia sobre las excepciones preliminares interpuestas por  la  República</w:t>
        <w:br/>
        <w:t>de Guatemala (en adelante “el Estado” o “Guatemala”).</w:t>
        <w:br/>
        <w:br/>
        <w:t xml:space="preserve">                                      I</w:t>
        <w:br/>
        <w:br/>
        <w:br/>
        <w:t>1.    El presente caso fue sometido a la Corte  Interamericana  de  Derechos</w:t>
        <w:br/>
        <w:t>Humanos (en  adelante  “la  Corte”  o  “la  Corte  Interamericana”)  por  la</w:t>
        <w:br/>
        <w:t>Comisión Interamericana de Derechos Humanos (en  adelante  “la  Comisión”  o</w:t>
        <w:br/>
        <w:t>“la Comisión Interamericana”), el 30 de enero de  1997,  en  idioma  inglés.</w:t>
        <w:br/>
        <w:t>Se originó en una denuncia (No. 11.383) recibida  en  la  Secretaría  de  la</w:t>
        <w:br/>
        <w:t>Comisión el 15 de septiembre de 1994.</w:t>
        <w:br/>
        <w:br/>
        <w:t>2.    Al presentar el caso ante la Corte, la Comisión invocó  los  artículos</w:t>
        <w:br/>
        <w:t>50 y 51 de la Convención Americana sobre Derechos Humanos (en  adelante  “la</w:t>
        <w:br/>
        <w:t>Convención” o “la Convención Americana”) y 32 y siguientes  del  Reglamento.</w:t>
        <w:br/>
        <w:t>La Comisión sometió este caso para que la Corte decidiera si hubo  violación</w:t>
        <w:br/>
        <w:t>de los siguientes artículos de la Convención:   1  (Obligación  de  Respetar</w:t>
        <w:br/>
        <w:t>los Derechos), 4 (Derecho a la Vida), 5 (Derecho a la Integridad  Personal),</w:t>
        <w:br/>
        <w:t>7  (Derecho  a  la  Libertad  Personal),  8  (Garantías  Judiciales)  y   25</w:t>
        <w:br/>
        <w:t>(Protección Judicial).  Dichas violaciones se produjeron, según la  demanda,</w:t>
        <w:br/>
        <w:t>por:</w:t>
        <w:br/>
        <w:br/>
        <w:t xml:space="preserve">      el secuestro, la tortura y el asesinato de  Henry  Giovani  Contreras,</w:t>
        <w:br/>
        <w:t xml:space="preserve">      Federico Clemente Figueroa Túnchez,  Julio  Roberto  Caal  Sandoval  y</w:t>
        <w:br/>
        <w:t xml:space="preserve">      Jovito Josué Juárez Cifuentes;  el  asesinato  de  Anstraum  Villagrán</w:t>
        <w:br/>
        <w:t xml:space="preserve">      Morales; y la omisión de los mecanismos del Estado  de  tratar  dichas</w:t>
        <w:br/>
        <w:t xml:space="preserve">      violaciones como correspondía, y de brindar acceso a la justicia a las</w:t>
        <w:br/>
        <w:t xml:space="preserve">      familias de las víctimas.</w:t>
        <w:br/>
        <w:br/>
        <w:t>Como dos de las víctimas, Julio Roberto Caal Sandoval y Jovito Josué  Juárez</w:t>
        <w:br/>
        <w:t>Cifuentes eran menores de edad  cuando  fueron  secuestrados,  torturados  y</w:t>
        <w:br/>
        <w:t>asesinados y Anstraum  Villagrán  Morales  era  menor  de  edad  cuando  fue</w:t>
        <w:br/>
        <w:t>asesinado, la Comisión alegó que Guatemala  también  violó  el  artículo  19</w:t>
        <w:br/>
        <w:t>(Derechos  del  Niño)  de  la  Convención  Americana.   Además  la  Comisión</w:t>
        <w:br/>
        <w:t>solicitó que la Corte ordenara que el Estado  tome  las  medidas  necesarias</w:t>
        <w:br/>
        <w:t>para completar una pronta, imparcial y efectiva investigación de los  hechos</w:t>
        <w:br/>
        <w:t>“a fin de que puedan detallarse en una reseña oficialmente sancionada”  para</w:t>
        <w:br/>
        <w:t>determinar la responsabilidad individual por las  violaciones  y  que  “haga</w:t>
        <w:br/>
        <w:t>objeto a esas personas responsables de adecuadas  sanciones”.   Solicitó  al</w:t>
        <w:br/>
        <w:t>Estado “reivindic[ar] los nombres de las víctimas así como el  pago  de  una</w:t>
        <w:br/>
        <w:t>justa indemnización a quienes  se  vieron  perjudicados  en  virtud  de  las</w:t>
        <w:br/>
        <w:t>violaciones de los derechos precedentemente mencionados” y el  pago  de  las</w:t>
        <w:br/>
        <w:t>costas a las víctimas y sus representantes.   En  su  demanda,  la  Comisión</w:t>
        <w:br/>
        <w:t>también invocó la violación de los artículos 1,  6  y  8  de  la  Convención</w:t>
        <w:br/>
        <w:t>Interamericana para Prevenir y Sancionar la Tortura.</w:t>
        <w:br/>
        <w:br/>
        <w:t>3.     La  Comisión  Interamericana  designó  como  sus  delegados  a   John</w:t>
        <w:br/>
        <w:t>Donaldson y Claudio Grossman y como  sus  abogados  a  David  J.  Padilla  y</w:t>
        <w:br/>
        <w:t>Elizabeth Abi-Mershed.   Como  sus  asistentes  acreditados  en  calidad  de</w:t>
        <w:br/>
        <w:t>representantes de las víctimas nombró a Ariel Dulitzky, Viviana  Krsticevic,</w:t>
        <w:br/>
        <w:t>Alejandro Valencia Villa, Francisco Cox Vial y José Miguel Vivanco.</w:t>
        <w:br/>
        <w:br/>
        <w:t>4.    Por nota de 6 de  marzo  de  1997,  la  Secretaría  de  la  Corte  (en</w:t>
        <w:br/>
        <w:t>adelante “la Secretaría”), previo examen preliminar de la demanda  realizado</w:t>
        <w:br/>
        <w:t>por el Presidente de la Corte (en adelante  “el  Presidente”),  notificó  la</w:t>
        <w:br/>
        <w:t>demanda en idioma inglés al Estado, la cual fue recibida al día siguiente  y</w:t>
        <w:br/>
        <w:t>le informó que disponía de cuatro meses para responderla, de dos meses  para</w:t>
        <w:br/>
        <w:t>oponer excepciones preliminares y de un mes para  nombrar  agente  y  agente</w:t>
        <w:br/>
        <w:t>alterno; todos estos plazos a partir de la notificación de la demanda.   Por</w:t>
        <w:br/>
        <w:t>comunicación de la misma fecha se invitó al Estado a designar Juez  ad  hoc.</w:t>
        <w:br/>
        <w:t>La traducción de la demanda al idioma español fue transmitida al  Estado  el</w:t>
        <w:br/>
        <w:t>14 de septiembre de 1997.</w:t>
        <w:br/>
        <w:br/>
        <w:t>5.    El 31 de marzo de 1997 Guatemala comunicó a la  Corte  la  designación</w:t>
        <w:br/>
        <w:t>como agente de Julio Gándara Valenzuela,  Embajador  de  Guatemala  ante  la</w:t>
        <w:br/>
        <w:t>República de Costa Rica.</w:t>
        <w:br/>
        <w:br/>
        <w:t>6.    El 2 de abril de 1997 Guatemala presentó un escrito mediante  el  cual</w:t>
        <w:br/>
        <w:t>interpuso  cuatro  excepciones  preliminares  y  solicitó   que   la   Corte</w:t>
        <w:br/>
        <w:t>“prorrog[ara] el  plazo  de  contestación  de  la  demanda  hasta  que  [las</w:t>
        <w:br/>
        <w:t>excepciones preliminares] se [hubiesen] resuelto”.</w:t>
        <w:br/>
        <w:br/>
        <w:t>7.    Por resolución de 16 de abril de 1997 la Corte  declaró  “improcedente</w:t>
        <w:br/>
        <w:t>la solicitud del Estado de Guatemala de prorrogar el plazo  de  contestación</w:t>
        <w:br/>
        <w:t>de la demanda” en el presente caso y resolvió “continuar con la  tramitación</w:t>
        <w:br/>
        <w:t>de éste en sus respectivas etapas procesales”.</w:t>
        <w:br/>
        <w:br/>
        <w:t>8.    El 18 de abril de 1997 el Estado informó a la Corte de  un  “error  de</w:t>
        <w:br/>
        <w:t>hecho en el escrito de excepciones preliminares” y solicitó que la Corte  lo</w:t>
        <w:br/>
        <w:t>tuviese “por no presentado [y] consecuentemente, se [dejase] sin  efecto  la</w:t>
        <w:br/>
        <w:t>resolución de esta Corte, de fecha 16 de abril de 1997”.</w:t>
        <w:br/>
        <w:br/>
        <w:t>9.    Por resolución de 18 de abril de 1997, el Presidente  resolvió  “tener</w:t>
        <w:br/>
        <w:t>por no presentado el escrito de excepciones preliminares de 2  de  abril  de</w:t>
        <w:br/>
        <w:t>1997”.</w:t>
        <w:br/>
        <w:br/>
        <w:t>10.   El 6  de  mayo  de  1997,  de  conformidad  con  el  artículo  36  del</w:t>
        <w:br/>
        <w:t>Reglamento, el Estado presentó, dentro del plazo,  un  escrito  mediante  el</w:t>
        <w:br/>
        <w:t>cual interpuso excepciones preliminares (supra, párr. 4).</w:t>
        <w:br/>
        <w:br/>
        <w:t>11.   El día siguiente la Secretaría transmitió el escrito  de  Guatemala  a</w:t>
        <w:br/>
        <w:t>la Comisión, la que presentó sus observaciones, en idioma inglés,  el  6  de</w:t>
        <w:br/>
        <w:t>junio de 1997.  La traducción al  español  realizada  por  la  Comisión  fue</w:t>
        <w:br/>
        <w:t>recibida el 3 de julio de 1997 y transmitida al Estado el día siguiente.</w:t>
        <w:br/>
        <w:br/>
        <w:t>12.   El 4 de julio del mismo año el Estado presentó su contestación  de  la</w:t>
        <w:br/>
        <w:t>demanda.</w:t>
        <w:br/>
        <w:br/>
        <w:br/>
        <w:t xml:space="preserve">                                     II</w:t>
        <w:br/>
        <w:br/>
        <w:t>13.   En los siguientes  párrafos,  y  de  acuerdo  con  la  demanda  de  la</w:t>
        <w:br/>
        <w:t>Comisión Interamericana, la Corte resume los hechos del presente caso:</w:t>
        <w:br/>
        <w:br/>
        <w:t xml:space="preserve">      a)    En la tarde del 15 de junio de 1990, en la  zona  conocida  como</w:t>
        <w:br/>
        <w:t xml:space="preserve">      “Las Casetas” en la ciudad de Guatemala, una  camioneta  se  acercó  a</w:t>
        <w:br/>
        <w:t xml:space="preserve">      Henry Giovani  Contreras,  de  18  años  de  edad;  Federico  Clemente</w:t>
        <w:br/>
        <w:t xml:space="preserve">      Figueroa Túnchez, de 20 años; Julio Roberto Caal  Sandoval,  de  15  y</w:t>
        <w:br/>
        <w:t xml:space="preserve">      Jovito Josué Juárez Cifuentes,  de  17.   De  dicho  vehículo  bajaron</w:t>
        <w:br/>
        <w:t xml:space="preserve">      hombres armados y secuestraron a los cuatro  jóvenes,  obligándolos  a</w:t>
        <w:br/>
        <w:t xml:space="preserve">      subir a la camioneta.</w:t>
        <w:br/>
        <w:br/>
        <w:br/>
        <w:t xml:space="preserve">      b)    Los cuerpos de los jóvenes Juárez Cifuentes y  Figueroa  Túnchez</w:t>
        <w:br/>
        <w:t xml:space="preserve">      fueron encontrados en los Bosques de San Nicolás el  16  de  junio  de</w:t>
        <w:br/>
        <w:t xml:space="preserve">      1990  y  los  cadáveres  de  los  jóvenes  Contreras  y  Caal   fueron</w:t>
        <w:br/>
        <w:t xml:space="preserve">      descubiertos en el  mismo  lugar  el  día  siguiente.   Los  cadáveres</w:t>
        <w:br/>
        <w:t xml:space="preserve">      mostraban signos graves de tortura y la causa oficial de la muerte, en</w:t>
        <w:br/>
        <w:t xml:space="preserve">      todos los casos, fue atribuida a lesiones producidas  por  heridas  de</w:t>
        <w:br/>
        <w:t xml:space="preserve">      armas de fuego.</w:t>
        <w:br/>
        <w:br/>
        <w:br/>
        <w:t xml:space="preserve">      c)    El 25  de  junio  de  1990,  aproximadamente  a  la  medianoche,</w:t>
        <w:br/>
        <w:t xml:space="preserve">      Anstraum Villagrán, de 17 años, fue asesinado mediante un  disparo  de</w:t>
        <w:br/>
        <w:t xml:space="preserve">      arma de fuego en “Las Casetas”.  Testigos oculares vieron a la víctima</w:t>
        <w:br/>
        <w:t xml:space="preserve">      cuando entró en un callejón, seguido por dos hombres.   Intercambiaron</w:t>
        <w:br/>
        <w:t xml:space="preserve">      algunas palabras y varios minutos después, cuando el  joven  Villagrán</w:t>
        <w:br/>
        <w:t xml:space="preserve">      se dio vuelta para escapar, uno  de  los  hombres  le  disparó  en  la</w:t>
        <w:br/>
        <w:t xml:space="preserve">      espalda y le dio muerte.</w:t>
        <w:br/>
        <w:br/>
        <w:br/>
        <w:t xml:space="preserve">      d)    Momentos después del asesinato  del  señor  Villagrán,  los  dos</w:t>
        <w:br/>
        <w:t xml:space="preserve">      homicidas se acercaron al  kiosco  Nº  29  y  pidieron  dos  cervezas.</w:t>
        <w:br/>
        <w:t xml:space="preserve">      Algunos niños de la calle se acercaron a los hombres y los acusaron de</w:t>
        <w:br/>
        <w:t xml:space="preserve">      haberle dado muerte al joven Villagrán.  Los dos hombres  respondieron</w:t>
        <w:br/>
        <w:t xml:space="preserve">      que “se callaran o sufrirían las consecuencias”.</w:t>
        <w:br/>
        <w:br/>
        <w:br/>
        <w:t xml:space="preserve">      e)    Sostiene la Comisión que “Las  Casetas”,  y  específicamente  la</w:t>
        <w:br/>
        <w:t xml:space="preserve">      zona cerca del kiosco de “Pepsi” fue el escenario de los secuestros de</w:t>
        <w:br/>
        <w:t xml:space="preserve">      las cuatro primeras víctimas y del asesinato de la quinta.  Los  cinco</w:t>
        <w:br/>
        <w:t xml:space="preserve">      jóvenes eran amigos, vivían en las calles de la Ciudad de Guatemala  y</w:t>
        <w:br/>
        <w:t xml:space="preserve">      eran conocidos por muchas personas de la  zona.   De  acuerdo  con  la</w:t>
        <w:br/>
        <w:t xml:space="preserve">      Comisión Interamericana, en el período en que ocurrieron los hechos la</w:t>
        <w:br/>
        <w:t xml:space="preserve">      zona de  “Las  Casetas”  era  notoria  por  tener  una  alta  tasa  de</w:t>
        <w:br/>
        <w:t xml:space="preserve">      delincuencia y criminalidad.</w:t>
        <w:br/>
        <w:br/>
        <w:br/>
        <w:t xml:space="preserve">      f)    La señora Julia Griselda Ramírez, quien trabajaba en  el  kiosco</w:t>
        <w:br/>
        <w:t xml:space="preserve">      Nº 29 de “Las Casetas”  (“kiosco  de  Pepsi”),  en  la  época  en  que</w:t>
        <w:br/>
        <w:t xml:space="preserve">      ocurrieron los secuestros y los presenció el día 15 de junio  de  1990</w:t>
        <w:br/>
        <w:t xml:space="preserve">      declaró que la señora  Rosa  Trinidad  Morales  Pérez,  quien  también</w:t>
        <w:br/>
        <w:t xml:space="preserve">      estaba trabajando en el kiosco ese día, detestaba a los  niños  de  la</w:t>
        <w:br/>
        <w:t xml:space="preserve">      calle y había amenazado de muerte a algunos de ellos.  Sin embargo, el</w:t>
        <w:br/>
        <w:t xml:space="preserve">      día  que  ocurrieron  los  hechos,  había  invitado   a   los   cuatro</w:t>
        <w:br/>
        <w:t xml:space="preserve">      secuestrados a tomar sopa en el kiosco, cosa  que  nunca  antes  había</w:t>
        <w:br/>
        <w:t xml:space="preserve">      hecho.  Mientras comían, la señora Morales Pérez salió  del  kiosco  y</w:t>
        <w:br/>
        <w:t xml:space="preserve">      momentos después llegó la camioneta con los hombres armados.   Además,</w:t>
        <w:br/>
        <w:t xml:space="preserve">      la señora  Ramírez declaró que escuchó a la señora Morales Pérez decir</w:t>
        <w:br/>
        <w:t xml:space="preserve">      que a Anstraum, la quinta víctima, “lo matarían  como  había  ocurrido</w:t>
        <w:br/>
        <w:t xml:space="preserve">      con sus amigos”.</w:t>
        <w:br/>
        <w:br/>
        <w:br/>
        <w:t xml:space="preserve">      g)    La señora Ramírez proporcionó una descripción  física  detallada</w:t>
        <w:br/>
        <w:t xml:space="preserve">      de los hombres, quienes, según ella, eran  como  miembros  del  Quinto</w:t>
        <w:br/>
        <w:t xml:space="preserve">      Cuerpo de la Policía  Nacional.   Identificó,  en  particular  al  ex-</w:t>
        <w:br/>
        <w:t xml:space="preserve">      oficial Samuel Váldez Zúñiga y al oficial Néstor Fonseca López.   Otro</w:t>
        <w:br/>
        <w:t xml:space="preserve">      testigo, Gustavo Adolfo Cisneros Cóncaba (“Toby”),  otro  niño  de  la</w:t>
        <w:br/>
        <w:t xml:space="preserve">      calle que  estuvo  con  Anstraum  la  noche  del  asesinato,  dio  una</w:t>
        <w:br/>
        <w:t xml:space="preserve">      descripción similar de los dos hombres.</w:t>
        <w:br/>
        <w:br/>
        <w:br/>
        <w:t xml:space="preserve">      h)    En su informe de 25 de marzo de 1991, los investigadores  de  la</w:t>
        <w:br/>
        <w:t xml:space="preserve">      policía señalaron al oficial de policía Néstor Fonseca López y al  ex-</w:t>
        <w:br/>
        <w:t xml:space="preserve">      oficial de policía Samuel Váldez Zúñiga como presuntos  implicados  en</w:t>
        <w:br/>
        <w:t xml:space="preserve">      el secuestro, tortura y asesinato de los jóvenes mencionados y a  Rosa</w:t>
        <w:br/>
        <w:t xml:space="preserve">      Trinidad Morales Pérez, como cómplice en la comisión de esos delitos.</w:t>
        <w:br/>
        <w:br/>
        <w:br/>
        <w:t xml:space="preserve">      i)     El  17  de  abril  de  1991  los  procesos  referentes   a   la</w:t>
        <w:br/>
        <w:t xml:space="preserve">      investigación de los delitos cometidos contra los cinco jóvenes fueron</w:t>
        <w:br/>
        <w:t xml:space="preserve">      acumulados y sometidos  a  la  jurisdicción  del  Juzgado  Segundo  de</w:t>
        <w:br/>
        <w:t xml:space="preserve">      Primera Instancia del Ramo  Penal  de  Instrucción  de  la  Ciudad  de</w:t>
        <w:br/>
        <w:t xml:space="preserve">      Guatemala, el cual formuló  cargos  de  homicidio  en  contra  de  dos</w:t>
        <w:br/>
        <w:t xml:space="preserve">      oficiales de la Policía y un civil.  En su fallo de 26 de diciembre de</w:t>
        <w:br/>
        <w:t xml:space="preserve">      1991 el Juzgado  de  Primera  Instancia  de  la  Ciudad  de  Guatemala</w:t>
        <w:br/>
        <w:t xml:space="preserve">      invalidó  importantes testimonios  en  el  caso  relacionados  con  la</w:t>
        <w:br/>
        <w:t xml:space="preserve">      identificación de los acusados.  La sentencia señaló que los  acusados</w:t>
        <w:br/>
        <w:t xml:space="preserve">      habían negado su participación en los delitos, nunca se había  probado</w:t>
        <w:br/>
        <w:t xml:space="preserve">      el tipo de arma asignado a los oficiales y  que  algunos  testigos  no</w:t>
        <w:br/>
        <w:t xml:space="preserve">      podían identificar al  acusado  en  procedimientos  de  reconocimiento</w:t>
        <w:br/>
        <w:t xml:space="preserve">      personal.  Por lo tanto, el Juzgado de Primera Instancia  “absolvió  a</w:t>
        <w:br/>
        <w:t xml:space="preserve">      los acusados, señalando que las pruebas eran insuficientes  como  para</w:t>
        <w:br/>
        <w:t xml:space="preserve">      demostrar su participación” en los hechos.  El 25 de marzo de 1992  la</w:t>
        <w:br/>
        <w:t xml:space="preserve">      Sala Cuarta de la Corte  de  Apelaciones  confirmó  la  sentencia  del</w:t>
        <w:br/>
        <w:t xml:space="preserve">      Juzgado de Primera Instancia.  El 5 de  mayo  de  1992  el  Ministerio</w:t>
        <w:br/>
        <w:t xml:space="preserve">      Público presentó un recurso de casación contra la anterior  resolución</w:t>
        <w:br/>
        <w:t xml:space="preserve">      y el 21 de julio de 1993 la Corte Suprema confirmó  la  sentencia  del</w:t>
        <w:br/>
        <w:t xml:space="preserve">      Juzgado de Primera Instancia.</w:t>
        <w:br/>
        <w:br/>
        <w:br/>
        <w:t xml:space="preserve">      j)    La Comisión alega que los delitos  cometidos  contra  las  cinco</w:t>
        <w:br/>
        <w:t xml:space="preserve">      víctimas “constituye un ejemplo de las graves violaciones de  derechos</w:t>
        <w:br/>
        <w:t xml:space="preserve">      humanos de que fueron objeto niños de la  calle  guatemaltecos  en  el</w:t>
        <w:br/>
        <w:t xml:space="preserve">      período de tiempo de que se  trata  en  la  denuncia  de  este  caso”.</w:t>
        <w:br/>
        <w:t xml:space="preserve">      Agregó que pese a que ya han pasado  seis  años  desde  la  fecha  del</w:t>
        <w:br/>
        <w:t xml:space="preserve">      asesinato de esos jóvenes, el Estado no ha “realizado ningún  esfuerzo</w:t>
        <w:br/>
        <w:t xml:space="preserve">      serio de reacción frente a esos crímenes”.</w:t>
        <w:br/>
        <w:br/>
        <w:br/>
        <w:t xml:space="preserve">                                     III</w:t>
        <w:br/>
        <w:br/>
        <w:t>14.   La Corte es  competente  para  conocer  las  excepciones  preliminares</w:t>
        <w:br/>
        <w:t>presentadas por el Estado.  Guatemala  es  Estado  Parte  en  la  Convención</w:t>
        <w:br/>
        <w:t>Americana desde el 25 de mayo de 1978 y aceptó  la  competencia  contenciosa</w:t>
        <w:br/>
        <w:t>de la Corte el 9 de marzo de 1987.</w:t>
        <w:br/>
        <w:br/>
        <w:br/>
        <w:t xml:space="preserve">                                     IV</w:t>
        <w:br/>
        <w:br/>
        <w:t>15.   En su escrito de 6 de mayo de  1996,  el  Estado  interpuso  una  sola</w:t>
        <w:br/>
        <w:t>excepción preliminar que hizo conocer como: “INCOMPETENCIA DE  LA  HONORABLE</w:t>
        <w:br/>
        <w:t>CORTE INTERAMERICANA DE DERECHOS HUMANOS  PARA  CONOCER  EL  PRESENTE  CASO”</w:t>
        <w:br/>
        <w:t>(mayúsculas del original).   Los  argumentos  del  Estado  para  fundamentar</w:t>
        <w:br/>
        <w:t>dicha excepción pueden sintetizarse por la Corte de la siguiente manera:</w:t>
        <w:br/>
        <w:br/>
        <w:br/>
        <w:t xml:space="preserve">      a)     Dicha  excepción  se  basa  en  el   principio   constitucional</w:t>
        <w:br/>
        <w:t xml:space="preserve">      guatemalteco de que las sentencias  emitidas  por  sus  Tribunales  de</w:t>
        <w:br/>
        <w:t xml:space="preserve">      Justicia, “que  han  causado  autoridad  de  cosa  juzgada,  sólo  son</w:t>
        <w:br/>
        <w:t xml:space="preserve">      susceptibles de revisión judicial” por la Corte Suprema de Justicia  y</w:t>
        <w:br/>
        <w:t xml:space="preserve">      los demás  tribunales  internos  competentes  y  que  “[n]inguna  otra</w:t>
        <w:br/>
        <w:t xml:space="preserve">      autoridad podrá intervenir en la administración de justicia”.</w:t>
        <w:br/>
        <w:br/>
        <w:br/>
        <w:t xml:space="preserve">      b)    Agregó que el caso que fundamenta la demanda presentada  por  la</w:t>
        <w:br/>
        <w:t xml:space="preserve">      Comisión fue objeto de sentencias de primera y segunda instancia y  de</w:t>
        <w:br/>
        <w:t xml:space="preserve">      casación “en las cuales fue resuelta la acusación penal en  contra  de</w:t>
        <w:br/>
        <w:t xml:space="preserve">      los imputados”  y,  por  lo  tanto,  la  Corte  carece  de  facultades</w:t>
        <w:br/>
        <w:t xml:space="preserve">      “jurisdiccionales para conocer de este caso, porque  ello  conllevaría</w:t>
        <w:br/>
        <w:t xml:space="preserve">      necesariamente la creación de una instancia jurisdiccional”.</w:t>
        <w:br/>
        <w:br/>
        <w:br/>
        <w:t xml:space="preserve">      c)    Según el escrito del Estado, la demanda de la Comisión entra  en</w:t>
        <w:br/>
        <w:t xml:space="preserve">      contradicción con los artículos 8.4 de la  Convención  Americana,  que</w:t>
        <w:br/>
        <w:t xml:space="preserve">      establece que un “inculpado absuelto por sentencia firme no podrá  ser</w:t>
        <w:br/>
        <w:t xml:space="preserve">      sometido a un nuevo juicio por los  mismos  hechos”  y  25.2.c  de  la</w:t>
        <w:br/>
        <w:t xml:space="preserve">      misma, que establece que el Estado tiene el  deber  de  garantizar  el</w:t>
        <w:br/>
        <w:t xml:space="preserve">      cumplimiento de toda decisión en que se haya  estimado  procedente  un</w:t>
        <w:br/>
        <w:t xml:space="preserve">      recurso.  Además consideró que una revisión por la Corte del  presente</w:t>
        <w:br/>
        <w:t xml:space="preserve">      caso violaría los artículos 1, 2, 3, 9, 11, 12, 16,  17  y  18  de  la</w:t>
        <w:br/>
        <w:t xml:space="preserve">      Carta  de  la  Organización  de  Estados  Americanos  referente  a  la</w:t>
        <w:br/>
        <w:t xml:space="preserve">      soberanía de los Estados y la independencia y garantía legítima de  la</w:t>
        <w:br/>
        <w:t xml:space="preserve">      división de poderes del Estado y su correcto ejercicio y contraría las</w:t>
        <w:br/>
        <w:t xml:space="preserve">      Resoluciones 40/32 de 29 de noviembre  de  1985  y  40/146  de  13  de</w:t>
        <w:br/>
        <w:t xml:space="preserve">      diciembre de 1985 de la Asamblea General de las Naciones Unidas  sobre</w:t>
        <w:br/>
        <w:t xml:space="preserve">      los principios básicos relativos a la independencia de la judicatura.</w:t>
        <w:br/>
        <w:br/>
        <w:br/>
        <w:t xml:space="preserve">      d)    Como fundamento de su posición, el Estado citó la jurisprudencia</w:t>
        <w:br/>
        <w:t xml:space="preserve">      de la Corte y los Informes de la Comisión Interamericana en el sentido</w:t>
        <w:br/>
        <w:t xml:space="preserve">      de que el mero hecho de que una investigación  no  produjo  resultados</w:t>
        <w:br/>
        <w:t xml:space="preserve">      satisfactorios, per se no significa una violación  de  la  Convención.</w:t>
        <w:br/>
        <w:t xml:space="preserve">      En el caso al cual se refiere la demanda, el Estado  señaló  que  “los</w:t>
        <w:br/>
        <w:t xml:space="preserve">      órganos competentes actuaron desde el primer momento y que  produjeron</w:t>
        <w:br/>
        <w:t xml:space="preserve">      las pruebas necesarias para incoar el proceso penal en contra  de  los</w:t>
        <w:br/>
        <w:t xml:space="preserve">      imputados” e hicieron su pronunciamiento.</w:t>
        <w:br/>
        <w:br/>
        <w:br/>
        <w:t xml:space="preserve">      e)    El  Estado  solicitó  que  la  Corte,  en  concordancia  con  su</w:t>
        <w:br/>
        <w:t xml:space="preserve">      jurisprudencia  y   los   principios   mencionados,   se   pronunciase</w:t>
        <w:br/>
        <w:t xml:space="preserve">      oportunamente sobre la excepción interpuesta.</w:t>
        <w:br/>
        <w:br/>
        <w:t>16.    La  Comisión,  en  su  contestación   al   escrito   de   excepciones</w:t>
        <w:br/>
        <w:t>preliminares de Guatemala, hizo las consideraciones que la  Corte  sintetiza</w:t>
        <w:br/>
        <w:t>a continuación:</w:t>
        <w:br/>
        <w:br/>
        <w:t xml:space="preserve">      a)    Que la excepción interpuesta por el Estado es infundada como una</w:t>
        <w:br/>
        <w:t xml:space="preserve">      cuestión de derecho.  Estimó que los argumentos del Estado  presuponen</w:t>
        <w:br/>
        <w:t xml:space="preserve">      una evaluación de  la  materia  de  fondo  de  la  demanda  y  de  las</w:t>
        <w:br/>
        <w:t xml:space="preserve">      evidencias presentadas que tratan de afirmar la eficacia de su sistema</w:t>
        <w:br/>
        <w:t xml:space="preserve">      judicial y las sentencias falladas en los tribunales internos en  este</w:t>
        <w:br/>
        <w:t xml:space="preserve">      caso, que “no constituyen excepciones preliminares,  por  lo  cual  no</w:t>
        <w:br/>
        <w:t xml:space="preserve">      deben ser admitidas como tales”.</w:t>
        <w:br/>
        <w:br/>
        <w:br/>
        <w:t xml:space="preserve">      b)    Manifestó, citando la sentencia de la  Corte  sobre  excepciones</w:t>
        <w:br/>
        <w:t xml:space="preserve">      preliminares en el caso Blake, que los argumentos del  Estado,  en  el</w:t>
        <w:br/>
        <w:t xml:space="preserve">      sentido de que los fallos internos cumplen con los  requerimientos  de</w:t>
        <w:br/>
        <w:t xml:space="preserve">      la Convención y que el resultado negativo del  proceso  no  constituye</w:t>
        <w:br/>
        <w:t xml:space="preserve">      una infracción de la misma, no puede considerarse como  una  excepción</w:t>
        <w:br/>
        <w:t xml:space="preserve">      preliminar  y,  por  el  contrario,  es  una  importante  petición  de</w:t>
        <w:br/>
        <w:t xml:space="preserve">      principio que debe examinarse con el fondo del  caso.   En  referencia</w:t>
        <w:br/>
        <w:t xml:space="preserve">      con los argumentos del Estado sobre las obligaciones  establecidas  en</w:t>
        <w:br/>
        <w:t xml:space="preserve">      la carta de la OEA de respetar la independencia judicial, y  que,  por</w:t>
        <w:br/>
        <w:t xml:space="preserve">      lo tanto, la Corte no puede interferir con  sus  fallos,  la  Comisión</w:t>
        <w:br/>
        <w:t xml:space="preserve">      señaló que “el mero hecho de que la materia ha[ya]  sido  procesada  y</w:t>
        <w:br/>
        <w:t xml:space="preserve">      decidida a nivel nacional [e] impide a los  órganos  supervisores  del</w:t>
        <w:br/>
        <w:t xml:space="preserve">      sistema ejercer su jurisdicción [es] una interpretación errónea de los</w:t>
        <w:br/>
        <w:t xml:space="preserve">      objetivos y procedimientos del sistema”.</w:t>
        <w:br/>
        <w:br/>
        <w:br/>
        <w:t xml:space="preserve">      c)    En cuanto a los argumentos del Estado de que la Corte carece  de</w:t>
        <w:br/>
        <w:t xml:space="preserve">      facultades  jurisdiccionales  para  conocer  este  caso  porque   ello</w:t>
        <w:br/>
        <w:t xml:space="preserve">      conllevaría  la  creación  de   una  “cuarta  instancia”  de  revisión</w:t>
        <w:br/>
        <w:t xml:space="preserve">      jurisdiccional, la Comisión sostuvo que  estos  argumentos  no  fueron</w:t>
        <w:br/>
        <w:t xml:space="preserve">      planteados in limine litis ante ella y por lo tanto debe impedirse  el</w:t>
        <w:br/>
        <w:t xml:space="preserve">      planteamiento  de  la  objeción  en  este  estado  avanzado   de   los</w:t>
        <w:br/>
        <w:t xml:space="preserve">      procedimientos.   Manifestó  que  el  Estado  tampoco  afirmó  que  la</w:t>
        <w:br/>
        <w:t xml:space="preserve">      Comisión carecía de competencia.</w:t>
        <w:br/>
        <w:br/>
        <w:br/>
        <w:t xml:space="preserve">      d)    La Comisión señaló que no pretendía la  aplicación  del  derecho</w:t>
        <w:br/>
        <w:t xml:space="preserve">      interno del Estado a los hechos del presente caso, ni había solicitado</w:t>
        <w:br/>
        <w:t xml:space="preserve">      eso de la Corte, sino que trataba de procurar que la Corte “eval[uara]</w:t>
        <w:br/>
        <w:t xml:space="preserve">      los secuestros, torturas y  asesinato,  así  como  las  fallas  en  la</w:t>
        <w:br/>
        <w:t xml:space="preserve">      respuesta a los mismos y la impunidad resultante, de acuerdo  con  las</w:t>
        <w:br/>
        <w:t xml:space="preserve">      disposiciones de la Convención”.</w:t>
        <w:br/>
        <w:br/>
        <w:br/>
        <w:t xml:space="preserve">      e)    La Comisión manifestó, sin embargo, que  si  la  Corte  entra  a</w:t>
        <w:br/>
        <w:t xml:space="preserve">      conocer los  argumentos  sustantivos  del  Estado,  considera  que  ha</w:t>
        <w:br/>
        <w:t xml:space="preserve">      demostrado claramente en su  demanda  que  el  Estado  ha  violado  la</w:t>
        <w:br/>
        <w:t xml:space="preserve">      Convención Americana en relación con el secuestro, tortura y asesinato</w:t>
        <w:br/>
        <w:t xml:space="preserve">      de niños de la calle y que ha habido denegación  de  justicia  en  los</w:t>
        <w:br/>
        <w:t xml:space="preserve">      procedimientos internos pertinentes.  Aunque los  tribunales  internos</w:t>
        <w:br/>
        <w:t xml:space="preserve">      tuvieron  la  oportunidad  de  resolver,  corregir  y  reparar   estas</w:t>
        <w:br/>
        <w:t xml:space="preserve">      violaciones, consideró que ha probado que no se hizo así.  Afirmó  que</w:t>
        <w:br/>
        <w:t xml:space="preserve">      la investigación y el proceso judicial interno realizado en este  caso</w:t>
        <w:br/>
        <w:t xml:space="preserve">      “fueron deficientes al punto de negar el debido proceso y la  justicia</w:t>
        <w:br/>
        <w:t xml:space="preserve">      a los familiares de las víctimas”.</w:t>
        <w:br/>
        <w:br/>
        <w:br/>
        <w:t xml:space="preserve">      f)    La  Comisión  solicitó  que  la  Corte  “[r]echace  la  objeción</w:t>
        <w:br/>
        <w:t xml:space="preserve">      preliminar interpuesta por el Estado de Guatemala” y  que  proceda  “a</w:t>
        <w:br/>
        <w:t xml:space="preserve">      examinar los méritos del caso”.</w:t>
        <w:br/>
        <w:br/>
        <w:br/>
        <w:t xml:space="preserve">                                      V</w:t>
        <w:br/>
        <w:br/>
        <w:t>17.   La única excepción preliminar  hecha  valer  por  Guatemala  consiste,</w:t>
        <w:br/>
        <w:t>esencialmente, en la falta de competencia de esta Corte para conocer en  una</w:t>
        <w:br/>
        <w:t>“cuarta instancia” de la sentencia dictada por la Corte Suprema de ese  país</w:t>
        <w:br/>
        <w:t>el 21 de julio de 1993,  que  confirmó  el  fallo  del  Juzgado  Segundo  de</w:t>
        <w:br/>
        <w:t>Primera Instancia del Ramo Penal del Estado de Guatemala de 26 de  diciembre</w:t>
        <w:br/>
        <w:t>de 1991, mediante el cual se absolvió a los acusados de  la  muerte  de  las</w:t>
        <w:br/>
        <w:t>personas señaladas como víctimas por la Comisión, con  sentencia  de  último</w:t>
        <w:br/>
        <w:t>grado que adquirió la autoridad de cosa juzgada.</w:t>
        <w:br/>
        <w:br/>
        <w:t>18.   Esta Corte  considera  que  la  demanda  presentada  por  la  Comisión</w:t>
        <w:br/>
        <w:t>Interamericana no pretende la revisión del fallo  de  la  Corte  Suprema  de</w:t>
        <w:br/>
        <w:t>Guatemala sino que solicita que  se  declare  que  el  Estado  violó  varios</w:t>
        <w:br/>
        <w:t>preceptos de la Convención Americana por la muerte de las citadas  personas,</w:t>
        <w:br/>
        <w:t>que atribuye a miembros de la policía de ese  Estado  y  que  por  lo  tanto</w:t>
        <w:br/>
        <w:t>existe responsabilidad de éste.</w:t>
        <w:br/>
        <w:br/>
        <w:t>19.   Por lo tanto, y como lo afirma la Comisión al contestar el escrito  de</w:t>
        <w:br/>
        <w:t>excepciones preliminares, se trata de una cuestión que corresponde al  fondo</w:t>
        <w:br/>
        <w:t>de este asunto, y, por ello, la Corte  considera  que  la  excepción  no  es</w:t>
        <w:br/>
        <w:t>preliminar sino más bien cuestión efectivamente vinculada  al  fondo  de  la</w:t>
        <w:br/>
        <w:t>controversia.</w:t>
        <w:br/>
        <w:br/>
        <w:t>20.   En  consecuencia  la  Corte  considera  que  debe  desestimarse  dicha</w:t>
        <w:br/>
        <w:t>excepción preliminar por improcedente.</w:t>
        <w:br/>
        <w:br/>
        <w:br/>
        <w:t xml:space="preserve">                                     VI</w:t>
        <w:br/>
        <w:br/>
        <w:br/>
        <w:t>Por tanto,</w:t>
        <w:br/>
        <w:br/>
        <w:t>LA CORTE,</w:t>
        <w:br/>
        <w:br/>
        <w:br/>
        <w:t>RESUELVE:</w:t>
        <w:br/>
        <w:br/>
        <w:t>por unanimidad,</w:t>
        <w:br/>
        <w:br/>
        <w:t>1.    Desechar por improcedente la excepción  preliminar  formulada  por  el</w:t>
        <w:br/>
        <w:t>Estado de Guatemala.</w:t>
        <w:br/>
        <w:br/>
        <w:t>2.    Continuar con el conocimiento del caso.</w:t>
        <w:br/>
        <w:br/>
        <w:t>Redactada en español e inglés, haciendo fe  el  texto  en  español,  en  San</w:t>
        <w:br/>
        <w:t>José, Costa Rica, el día 11 de septiembre de 1997.</w:t>
        <w:br/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br/>
        <w:t>Hernán Salgado Pesantes     Alejandro Montiel Argüello</w:t>
        <w:br/>
        <w:br/>
        <w:t>Máximo Pacheco Gómez   Oliver Jackman</w:t>
        <w:br/>
        <w:br/>
        <w:t>Alirio Abreu Burelli   Antônio A. Cançado Trindade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Leída en sesión pública en la sede de la Corte en San José, Costa  Rica,  el</w:t>
        <w:br/>
        <w:t>día 20 de septiembre de 1997.</w:t>
        <w:br/>
        <w:br/>
        <w:br/>
        <w:br/>
        <w:t>Comuníquese y ejecútese,</w:t>
        <w:br/>
        <w:t xml:space="preserve">                                                 Héctor Fix-Zamudio</w:t>
        <w:br/>
        <w:t xml:space="preserve">                                    Presidente</w:t>
        <w:br/>
        <w:br/>
        <w:br/>
        <w:t>Manuel E. Ventura Robles</w:t>
        <w:br/>
        <w:t xml:space="preserve">            Secretario</w:t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