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Caso Trabajadores CESADOS DE PETROPERÚ Y OTROS VS. PERÚ</w:t>
        <w:br/>
        <w:br/>
        <w:t xml:space="preserve">                    SENTENCIA DE 23 DE NOVIEMBRE DE 2017</w:t>
        <w:br/>
        <w:br/>
        <w:t xml:space="preserve">          (Excepciones Preliminares, Fondo, Reparaciones y Costas)</w:t>
        <w:br/>
        <w:br/>
        <w:br/>
        <w:br/>
        <w:t>En el Caso Trabajadores Cesados de Petroperú, del Ministerio  de  Educación,</w:t>
        <w:br/>
        <w:t>del Ministerio de Economía y Finanzas y de la Empresa Nacional de Puertos,</w:t>
        <w:br/>
        <w:br/>
        <w:br/>
        <w:t>la  Corte  Interamericana  de  Derechos  Humanos  (en  adelante  “la  Corte</w:t>
        <w:br/>
        <w:t>Interamericana”, “la Corte” o “el Tribunal”), integrada por los  siguientes</w:t>
        <w:br/>
        <w:t>Jueces y Jueza:</w:t>
        <w:br/>
        <w:br/>
        <w:t xml:space="preserve">      Roberto F. Caldas, Presidente;</w:t>
        <w:br/>
        <w:t xml:space="preserve">      Eduardo Ferrer Mac-Gregor Poisot, Vicepresidente;</w:t>
        <w:br/>
        <w:t xml:space="preserve">      Eduardo Vio Grossi, Juez;</w:t>
        <w:br/>
        <w:t xml:space="preserve">      Humberto Antonio Sierra Porto, Juez;</w:t>
        <w:br/>
        <w:t xml:space="preserve">      Elizabeth Odio Benito, Jueza;</w:t>
        <w:br/>
        <w:t xml:space="preserve">      Eugenio Raúl Zaffaroni, Juez, y</w:t>
        <w:br/>
        <w:t xml:space="preserve">      L. Patricio Pazmiño Freire, Juez;</w:t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los artículos 62.3 y 63.1  de  la  Convención  Americana</w:t>
        <w:br/>
        <w:t>sobre Derechos Humanos  (en  adelante,  “la  Convención  Americana”  o  “la</w:t>
        <w:br/>
        <w:t>Convención”) y con los artículos 31, 32, 42, 65 y 67 del Reglamento  de  la</w:t>
        <w:br/>
        <w:t>Corte (en adelante también “el Reglamento”), dicta la presente Sentencia.</w:t>
        <w:br/>
        <w:br/>
        <w:br/>
        <w:br/>
        <w:t xml:space="preserve">                                   Índice</w:t>
        <w:br/>
        <w:br/>
        <w:t>I INTRODUCCIÓN DE LA CAUSA Y OBJETO DE LA CONTROVERSIA  4</w:t>
        <w:br/>
        <w:t>II PROCEDIMIENTO ANTE LA CORTE    6</w:t>
        <w:br/>
        <w:t>III COMPETENCIA  10</w:t>
        <w:br/>
        <w:t>IV EXCEPCIONES PRELIMINARES 10</w:t>
        <w:br/>
        <w:t>A. Excepción por falta de agotamiento de los recursos internos  respecto  de</w:t>
        <w:br/>
        <w:t>las presuntas víctimas de Petroperú    11</w:t>
        <w:br/>
        <w:t xml:space="preserve">  A.1       Alegatos del  Estado  y  observaciones  de  la  Comisión  y  los</w:t>
        <w:br/>
        <w:t xml:space="preserve">  representantes 11</w:t>
        <w:br/>
        <w:t xml:space="preserve">  A.2       Consideraciones de la Corte      12</w:t>
        <w:br/>
        <w:t xml:space="preserve">  A.2.1 La presentación de la excepción en el momento procesal oportuno  13</w:t>
        <w:br/>
        <w:t xml:space="preserve">  A.2.2. La existencia de  recursos  idóneos  y  efectivos  para  agotar  la</w:t>
        <w:br/>
        <w:t xml:space="preserve">  jurisdicción interna 15</w:t>
        <w:br/>
        <w:t>B. Excepción por falta de competencia por razón de la materia      20</w:t>
        <w:br/>
        <w:t xml:space="preserve">  B.1.  Alegatos  del  Estado  y  observaciones  de  la   Comisión   y   los</w:t>
        <w:br/>
        <w:t xml:space="preserve">  representantes 20</w:t>
        <w:br/>
        <w:t xml:space="preserve">  B.2. Consideraciones de la Corte     21</w:t>
        <w:br/>
        <w:t>V COnsideraciones previas   21</w:t>
        <w:br/>
        <w:t>A. Control de legalidad sobre los actos de la Comisión  21</w:t>
        <w:br/>
        <w:t xml:space="preserve">  A.1. Alegatos de la representante, de la Comisión y del Estado   21</w:t>
        <w:br/>
        <w:t xml:space="preserve">  A.2. Consideraciones de la Corte     22</w:t>
        <w:br/>
        <w:t>B. Sobre la determinación de las presuntas víctimas en el presente caso 24</w:t>
        <w:br/>
        <w:t xml:space="preserve">  B.1.  Alegatos  del  Estado  y  observaciones  de  la   Comisión   y   los</w:t>
        <w:br/>
        <w:t xml:space="preserve">  representantes 24</w:t>
        <w:br/>
        <w:t xml:space="preserve">  B.2. Consideraciones de la Corte     25</w:t>
        <w:br/>
        <w:t>C. Respecto al contexto y a los hechos de la controversia    25</w:t>
        <w:br/>
        <w:t xml:space="preserve">  C.1.  Alegatos  del  Estado  y  observaciones  de  la   Comisión   y   los</w:t>
        <w:br/>
        <w:t xml:space="preserve">  representantes 25</w:t>
        <w:br/>
        <w:t xml:space="preserve">  C.2. Consideraciones de la Corte     26</w:t>
        <w:br/>
        <w:t>D. Respecto a las actuaciones  y  pruebas  remitidas  por  la  representante</w:t>
        <w:br/>
        <w:t>Roxana Palomino Mayta       28</w:t>
        <w:br/>
        <w:t>VI PRUEBA   28</w:t>
        <w:br/>
        <w:t>A. Prueba documental, testimonial y pericial 28</w:t>
        <w:br/>
        <w:t>B. Admisión de la prueba    28</w:t>
        <w:br/>
        <w:t xml:space="preserve">  B.1. Admisión de la prueba documental      28</w:t>
        <w:br/>
        <w:t xml:space="preserve">  B.2. Admisión de las declaraciones y de los dictámenes periciales      31</w:t>
        <w:br/>
        <w:t>C. Valoración de la prueba  31</w:t>
        <w:br/>
        <w:t>VII Hechos  31</w:t>
        <w:br/>
        <w:t>A. Antecedentes de los ceses colectivos      32</w:t>
        <w:br/>
        <w:t>B. El cese de las presuntas víctimas   33</w:t>
        <w:br/>
        <w:t xml:space="preserve">  B.1. Los ceses llevados a cabo por Enapu   33</w:t>
        <w:br/>
        <w:t xml:space="preserve">  B.2. Los ceses llevados a cabo por MEF     35</w:t>
        <w:br/>
        <w:t xml:space="preserve">  B.3. Los ceses llevados a cabo por Petroperú    36</w:t>
        <w:br/>
        <w:t xml:space="preserve">  B.4. Los ceses llevados a cabo por Minedu  38</w:t>
        <w:br/>
        <w:t>C. Las acciones  de  amparo  y  los  procesos  contenciosos  administrativos</w:t>
        <w:br/>
        <w:t>interpuestos por las presuntas víctimas      40</w:t>
        <w:br/>
        <w:t xml:space="preserve">  C.1. Las acciones de amparo interpuestas por los trabajadores de Enapu 40</w:t>
        <w:br/>
        <w:t xml:space="preserve">  C.2. Las acciones de amparo interpuestas por los trabajadores de MEF   41</w:t>
        <w:br/>
        <w:t xml:space="preserve">  C.3. Las acciones de amparo interpuestas por los trabajadores de Petroperú</w:t>
        <w:br/>
        <w:t xml:space="preserve">  43</w:t>
        <w:br/>
        <w:t xml:space="preserve">  C.4. Las acciones de amparo interpuestas por los  trabajadores  de  Minedu</w:t>
        <w:br/>
        <w:t xml:space="preserve">  45</w:t>
        <w:br/>
        <w:t>D. Marco normativo a partir de 2001 con el propósito de  revisar  y  reparar</w:t>
        <w:br/>
        <w:t>los ceses   46</w:t>
        <w:br/>
        <w:t xml:space="preserve">  D.1. Creación y funcionamiento de la Comisión  Especial  encargada  de  la</w:t>
        <w:br/>
        <w:t xml:space="preserve">  revisión de los ceses colectivos efectuados en  las  empresas  del  Estado</w:t>
        <w:br/>
        <w:t xml:space="preserve">  sometidas a procesos de promoción de la inversión privada  46</w:t>
        <w:br/>
        <w:t xml:space="preserve">  D.2. Creación y funcionamiento de las Comisiones encargadas de revisar los</w:t>
        <w:br/>
        <w:t xml:space="preserve">  ceses colectivos en el sector público      47</w:t>
        <w:br/>
        <w:t xml:space="preserve">  D.3. Creación y funcionamiento de la Comisión  Ejecutiva  y  del  Programa</w:t>
        <w:br/>
        <w:t xml:space="preserve">  Extraordinario de Acceso a Beneficios a favor de ex trabajadores 48</w:t>
        <w:br/>
        <w:t>E. Beneficios otorgados a favor de las presuntas víctimas    51</w:t>
        <w:br/>
        <w:t xml:space="preserve">  E.1. Enapu     51</w:t>
        <w:br/>
        <w:t xml:space="preserve">  E.2. MEF  51</w:t>
        <w:br/>
        <w:t xml:space="preserve">  E.3. Petroperú 52</w:t>
        <w:br/>
        <w:t xml:space="preserve">  E.4. Minedu    53</w:t>
        <w:br/>
        <w:t>VIII FONDO  53</w:t>
        <w:br/>
        <w:t>VIII-1 DERECHO A LAS GARANTÍAS JUDICIALES y  a  la  protección  judicial  en</w:t>
        <w:br/>
        <w:t>relación con las obligaciones de respetar y garantizar los  derechos,  y  el</w:t>
        <w:br/>
        <w:t>deber de adoptar disposiciones de derecho interno (ARTICULOS 8,  25,  1.1  Y</w:t>
        <w:br/>
        <w:t>2)    54</w:t>
        <w:br/>
        <w:t>A. Alegatos de la Comisión y de las partes   55</w:t>
        <w:br/>
        <w:t>B. Consideraciones de la Corte    58</w:t>
        <w:br/>
        <w:t xml:space="preserve">  B.1. Los artículos 8 y 25 de la Convención Americana  58</w:t>
        <w:br/>
        <w:t xml:space="preserve">  B.2.      La aplicación al presente caso de  las  consideraciones  de  los</w:t>
        <w:br/>
        <w:t xml:space="preserve">  casos Aguado Alfaro y otros y Canales Huapaya y otros 59</w:t>
        <w:br/>
        <w:t xml:space="preserve">  B.3. Derecho a las garantías judiciales y a la protección judicial de  los</w:t>
        <w:br/>
        <w:t xml:space="preserve">  trabajadores de Enapu y Minedu  60</w:t>
        <w:br/>
        <w:t xml:space="preserve">  B.4. Derecho a las garantías judiciales y a la protección judicial de  los</w:t>
        <w:br/>
        <w:t xml:space="preserve">  trabajadores de Petroperú 62</w:t>
        <w:br/>
        <w:t xml:space="preserve">  B.5.      Derecho a las garantías judiciales y a la protección judicial de</w:t>
        <w:br/>
        <w:t xml:space="preserve">  los trabajadores del MEF        65</w:t>
        <w:br/>
        <w:t xml:space="preserve">  B.6.      Deber de adoptar disposiciones de derecho interno      68</w:t>
        <w:br/>
        <w:t>C. Conclusión    68</w:t>
        <w:br/>
        <w:t>VIII-2 DERECHO AL TRABAJO en relación con las  obligaciones  de  respetar  y</w:t>
        <w:br/>
        <w:t>garantizar los derechos (ARTICULOS 26 y 1.1) 69</w:t>
        <w:br/>
        <w:t>A. Alegatos de la Comisión y de las partes   69</w:t>
        <w:br/>
        <w:t>B. Consideraciones de la Corte    70</w:t>
        <w:br/>
        <w:t>IX REPARACIONES  (Aplicación del artículo 63.1 de  la  Convención  Americana</w:t>
        <w:br/>
        <w:t>sobre Derechos Humanos)     72</w:t>
        <w:br/>
        <w:t>A. Parte Lesionada     73</w:t>
        <w:br/>
        <w:t>B. Consideración previa en materia de reparaciones      73</w:t>
        <w:br/>
        <w:t>C. Medida de satisfacción   76</w:t>
        <w:br/>
        <w:t xml:space="preserve">  C.1. Publicación de la sentencia     76</w:t>
        <w:br/>
        <w:t>D. Indemnizaciones compensatorias 77</w:t>
        <w:br/>
        <w:t xml:space="preserve">  D.1. Daño material   77</w:t>
        <w:br/>
        <w:t xml:space="preserve">  D.2. Pago de aportaciones al sistema de pensiones     78</w:t>
        <w:br/>
        <w:t xml:space="preserve">  D.3. Lucro cesante   79</w:t>
        <w:br/>
        <w:t xml:space="preserve">  D.4. Daño inmaterial 80</w:t>
        <w:br/>
        <w:t>E. Otras medidas de reparación solicitadas por los representantes  81</w:t>
        <w:br/>
        <w:t xml:space="preserve">  E.1. Alegatos de las partes y de la Comisión    81</w:t>
        <w:br/>
        <w:t xml:space="preserve">  E.2. Consideraciones de la Corte     82</w:t>
        <w:br/>
        <w:t>F. Reintegro de los gastos al Fondo de Asistencia Legal 83</w:t>
        <w:br/>
        <w:t>G. Costas y Gastos     84</w:t>
        <w:br/>
        <w:t>H. Modalidad de cumplimiento de los pagos ordenados     86</w:t>
        <w:br/>
        <w:t>X PUNTOS RESOLUTIVOS   87</w:t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 xml:space="preserve">   1. El caso sometido a la Corte.– El 13 de  agosto  de  2015  la  Comisión</w:t>
        <w:br/>
        <w:t xml:space="preserve">      Interamericana de Derechos Humanos (en adelante también  “la  Comisión</w:t>
        <w:br/>
        <w:t xml:space="preserve">      Interamericana”  o  “la  Comisión”)  sometió  a  la  Corte   el   caso</w:t>
        <w:br/>
        <w:t xml:space="preserve">      Trabajadores Cesados de Petroperú, del Ministerio  de  Educación,  del</w:t>
        <w:br/>
        <w:t xml:space="preserve">      Ministerio de Economía y Finanzas y de la Empresa Nacional de  Puertos</w:t>
        <w:br/>
        <w:t xml:space="preserve">      contra la República del Perú (en adelante “el Estado”  o  “Perú”).  De</w:t>
        <w:br/>
        <w:t xml:space="preserve">      acuerdo con lo indicado por la Comisión,  el  caso  se  refiere  a  la</w:t>
        <w:br/>
        <w:t xml:space="preserve">      presunta responsabilidad del Estado por la violación de los derechos a</w:t>
        <w:br/>
        <w:t xml:space="preserve">      las garantías judiciales y protección  judicial  en  perjuicio  de  84</w:t>
        <w:br/>
        <w:t xml:space="preserve">      trabajadores de Petroperú, 39 trabajadores del Ministerio de Educación</w:t>
        <w:br/>
        <w:t xml:space="preserve">      (en adelante “Minedu”), 15 trabajadores del Ministerio de  Economía  y</w:t>
        <w:br/>
        <w:t xml:space="preserve">      Finanzas (en adelante “MEF”) y 25 trabajadores de la Empresa  Nacional</w:t>
        <w:br/>
        <w:t xml:space="preserve">      de Puertos (en adelante “Enapu”), cuyos nombres se  encuentran  en  el</w:t>
        <w:br/>
        <w:t xml:space="preserve">      cuadro anexo a la presente sentencia, como consecuencia de la falta de</w:t>
        <w:br/>
        <w:t xml:space="preserve">      respuesta judicial adecuada y efectiva frente a sus ceses  colectivos,</w:t>
        <w:br/>
        <w:t xml:space="preserve">      ocurridos entre los años de 1996 y 1998, en el marco de  los  procesos</w:t>
        <w:br/>
        <w:t xml:space="preserve">      de racionalización llevados a cabo por las entidades  públicas  a  las</w:t>
        <w:br/>
        <w:t xml:space="preserve">      cuales pertenecían en la década de los noventa. Según la Comisión, los</w:t>
        <w:br/>
        <w:t xml:space="preserve">      trabajadores habrían sido víctimas de la ineficacia, falta de  certeza</w:t>
        <w:br/>
        <w:t xml:space="preserve">      jurídica   y   ausencia   de   independencia   e   imparcialidad   que</w:t>
        <w:br/>
        <w:t xml:space="preserve">      caracterizarían al Poder Judicial en la época de los hechos.</w:t>
        <w:br/>
        <w:br/>
        <w:t xml:space="preserve">   2. Trámite ante la Comisión.- El trámite del caso ante la Comisión fue el</w:t>
        <w:br/>
        <w:t xml:space="preserve">      siguiente:</w:t>
        <w:br/>
        <w:br/>
        <w:t xml:space="preserve">   a) Peticiones.- El 2 de noviembre de 1998 la Comisión recibió la petición</w:t>
        <w:br/>
        <w:t xml:space="preserve">      número 12.666, sometida por la Federación Nacional de Trabajadores  de</w:t>
        <w:br/>
        <w:t xml:space="preserve">      la Empresa Nacional de Puertos S.A., a favor de 25 trabajadores[1]. El</w:t>
        <w:br/>
        <w:t xml:space="preserve">      19 de febrero de 1996 la Comisión recibió la  petición  número  11.602</w:t>
        <w:br/>
        <w:t xml:space="preserve">      sometida por el Sindicato Único de Trabajadores  Petroleros  del  Perú</w:t>
        <w:br/>
        <w:t xml:space="preserve">      Zona Noroeste, a favor de 85 trabajadores.  El  8  de  septiembre  del</w:t>
        <w:br/>
        <w:t xml:space="preserve">      2000, la Comisión Interamericana recibió la petición número  12.385  a</w:t>
        <w:br/>
        <w:t xml:space="preserve">      favor de 39 trabajadores del Ministerio de  Educación  presentada  por</w:t>
        <w:br/>
        <w:t xml:space="preserve">      ellos mismos. El 8 de marzo de 2002 la CIDH recibió la petición número</w:t>
        <w:br/>
        <w:t xml:space="preserve">      12.665, presentada por Gloria Nila Amabelia Moreno Cueva  y  otros  14</w:t>
        <w:br/>
        <w:t xml:space="preserve">      trabajadores del Ministerio de Economía y Finanzas.</w:t>
        <w:br/>
        <w:br/>
        <w:br/>
        <w:t xml:space="preserve">      b)    Informes de Admisibilidad: El 24 de julio de  2008  la  Comisión</w:t>
        <w:br/>
        <w:t xml:space="preserve">      aprobó  los   Informes  de  Admisibilidad  No.  54/08[2],  55/08[3]  y</w:t>
        <w:br/>
        <w:t xml:space="preserve">      56/08[4].</w:t>
        <w:br/>
        <w:br/>
        <w:br/>
        <w:t xml:space="preserve">      c)    Acumulación de casos. - El  13  de  mayo  de  2015  la  Comisión</w:t>
        <w:br/>
        <w:t xml:space="preserve">      decidió acumular  los  casos  11.602,  12.385,  12.665  y  12.666,  de</w:t>
        <w:br/>
        <w:t xml:space="preserve">      conformidad con el artículo 29.5 de su Reglamento.</w:t>
        <w:br/>
        <w:br/>
        <w:br/>
        <w:t xml:space="preserve">      d)    Informe de Admisibilidad y Fondo.- El 23 de  marzo  de  2015  se</w:t>
        <w:br/>
        <w:t xml:space="preserve">      adoptó el Informe de Admisibilidad y Fondo No. 14/15[5]  (en  adelante</w:t>
        <w:br/>
        <w:t xml:space="preserve">      “Informe  de  Fondo”),  de  conformidad  con  el  artículo  50  de  la</w:t>
        <w:br/>
        <w:t xml:space="preserve">      Convención. En el mencionado Informe la Comisión realizó  el  análisis</w:t>
        <w:br/>
        <w:t xml:space="preserve">      de admisibilidad del caso  12.385  respecto  de  los  trabajadores  de</w:t>
        <w:br/>
        <w:t xml:space="preserve">      Minedu, así como el Informe de Fondo de los cuatro casos.</w:t>
        <w:br/>
        <w:br/>
        <w:br/>
        <w:t xml:space="preserve">      i) Conclusiones.– La Comisión concluyó que el Estado  era  responsable</w:t>
        <w:br/>
        <w:t xml:space="preserve">         por la violación de los derechos protegidos en los artículos 8.1  y</w:t>
        <w:br/>
        <w:t xml:space="preserve">         25.1 de la Convención Americana, en relación con  las  obligaciones</w:t>
        <w:br/>
        <w:t xml:space="preserve">         previstas en los artículos  1.1  y  2  del  mismo  instrumento,  en</w:t>
        <w:br/>
        <w:t xml:space="preserve">         perjuicio de 84 trabajadores  de  Petroperú,  39  trabajadores  del</w:t>
        <w:br/>
        <w:t xml:space="preserve">         Ministerio de Educación, 15 trabajadores del Ministerio de Economía</w:t>
        <w:br/>
        <w:t xml:space="preserve">         y Finanzas y 25 trabajadores de la Empresa Nacional de Puertos.</w:t>
        <w:br/>
        <w:br/>
        <w:br/>
        <w:t xml:space="preserve">     ii) Recomendaciones.- En consecuencia, la Comisión recomendó al  Estado</w:t>
        <w:br/>
        <w:t xml:space="preserve">         lo siguiente:</w:t>
        <w:br/>
        <w:br/>
        <w:t xml:space="preserve">        1. Respecto de las personas que no se encuentran en ninguno de  los</w:t>
        <w:br/>
        <w:t xml:space="preserve">           listados de trabajadores cesados irregularmente, y por lo tanto,</w:t>
        <w:br/>
        <w:t xml:space="preserve">           la irregularidad de su cese  no  ha  sido  desconocida  a  nivel</w:t>
        <w:br/>
        <w:t xml:space="preserve">           interno, el Estado peruano debe crear un mecanismo expedito para</w:t>
        <w:br/>
        <w:t xml:space="preserve">           que efectué una  evaluación  individualizada  sobre  sus  ceses,</w:t>
        <w:br/>
        <w:t xml:space="preserve">           determine si los mismos fueron o no arbitrarios y  disponga  las</w:t>
        <w:br/>
        <w:t xml:space="preserve">           reparaciones que correspondan, incluyendo componentes mínimos de</w:t>
        <w:br/>
        <w:t xml:space="preserve">           una reparación por despido arbitrario.</w:t>
        <w:br/>
        <w:br/>
        <w:br/>
        <w:t xml:space="preserve">        2. Respecto de las personas que se encuentran en  algún  listado  o</w:t>
        <w:br/>
        <w:t xml:space="preserve">           que  cuentan  con  algún   reconocimiento   estatal   sobre   la</w:t>
        <w:br/>
        <w:t xml:space="preserve">           irregularidad de su  cese  y  que  optaron  por  alguno  de  los</w:t>
        <w:br/>
        <w:t xml:space="preserve">           beneficios del Decreto 27803, el Estado peruano  debe  crear  un</w:t>
        <w:br/>
        <w:t xml:space="preserve">           mecanismo   expedito   que   disponga,   tras   una   evaluación</w:t>
        <w:br/>
        <w:t xml:space="preserve">           individualizada,   el   otorgamiento   de    reparaciones    que</w:t>
        <w:br/>
        <w:t xml:space="preserve">           complementen  las  ya   percibidas   por   cada   víctima   como</w:t>
        <w:br/>
        <w:t xml:space="preserve">           consecuencia de la aplicación del Decreto 27803.</w:t>
        <w:br/>
        <w:br/>
        <w:t xml:space="preserve">        3. Respecto de las personas que se encuentran en  algún  listado  o</w:t>
        <w:br/>
        <w:t xml:space="preserve">           que  cuentan  con  algún   reconocimiento   estatal   sobre   la</w:t>
        <w:br/>
        <w:t xml:space="preserve">           irregularidad de su cese  y  que  optaron  por  ninguno  de  los</w:t>
        <w:br/>
        <w:t xml:space="preserve">           beneficios del Decreto 27803, el Estado debe crear un  mecanismo</w:t>
        <w:br/>
        <w:t xml:space="preserve">           expedito que  directamente  efectué  una  determinación  de  las</w:t>
        <w:br/>
        <w:t xml:space="preserve">           reparaciones que correspondan, incluyendo componentes mínimos de</w:t>
        <w:br/>
        <w:t xml:space="preserve">           una reparación por despido arbitrario.</w:t>
        <w:br/>
        <w:br/>
        <w:t xml:space="preserve">      e)    Notificación al Estado.– El Informe de Admisibilidad y Fondo fue</w:t>
        <w:br/>
        <w:t xml:space="preserve">      notificado al Estado mediante comunicación de 13 de mayo de  2015,  en</w:t>
        <w:br/>
        <w:t xml:space="preserve">      la que se le otorgaba un plazo de dos meses  para  informar  sobre  el</w:t>
        <w:br/>
        <w:t xml:space="preserve">      cumplimiento de las recomendaciones. El Estado, en su primer  escrito,</w:t>
        <w:br/>
        <w:t xml:space="preserve">      solicitó una prorroga a la Comisión  con  base  en  la  relevancia  de</w:t>
        <w:br/>
        <w:t xml:space="preserve">      esperar que la Corte Interamericana emitiera la Sentencia en  el  Caso</w:t>
        <w:br/>
        <w:t xml:space="preserve">      Canales Huayapa y otros vs Perú. En tal sentido, la Comisión  solicito</w:t>
        <w:br/>
        <w:t xml:space="preserve">      la exigencia de la renuncia a interponer excepciones preliminares  con</w:t>
        <w:br/>
        <w:t xml:space="preserve">      relación al plazo  del  artículo  51.1  de  la  Convención  Americana.</w:t>
        <w:br/>
        <w:t xml:space="preserve">      Asimismo, en un escrito posterior,  el  Estado  peruano  cuestionó  el</w:t>
        <w:br/>
        <w:t xml:space="preserve">      Informe de Fondo 14/15 e indicó que  no  incurrió  en  responsabilidad</w:t>
        <w:br/>
        <w:t xml:space="preserve">      internacional alguna.</w:t>
        <w:br/>
        <w:br/>
        <w:t>3. Sometimiento a la Corte.– El 13 de agosto de 2015 la Comisión sometió  el</w:t>
        <w:br/>
        <w:t xml:space="preserve">   caso a la Corte “ante la necesidad de obtención de justicia y  reparación</w:t>
        <w:br/>
        <w:t xml:space="preserve">   para las víctimas del caso”[6].</w:t>
        <w:br/>
        <w:br/>
        <w:t>4. Solicitudes de la Comisión Interamericana.- Con base en lo  anterior,  la</w:t>
        <w:br/>
        <w:t xml:space="preserve">   Comisión  solicitó  a  este  Tribunal  que  concluyera  y  declarara   la</w:t>
        <w:br/>
        <w:t xml:space="preserve">   responsabilidad internacional del Estado por las violaciones de  derechos</w:t>
        <w:br/>
        <w:t xml:space="preserve">   declaradas en su Informe de Admisibilidad  y  Fondo  y  que  ordenara  al</w:t>
        <w:br/>
        <w:t xml:space="preserve">   Estado, como medidas de reparación, las recomendaciones contenidas en  el</w:t>
        <w:br/>
        <w:t xml:space="preserve">   mismo.</w:t>
        <w:br/>
        <w:t xml:space="preserve">                                     II</w:t>
        <w:br/>
        <w:t xml:space="preserve">                         PROCEDIMIENTO ANTE LA CORTE</w:t>
        <w:br/>
        <w:br/>
        <w:t>5. Acumulación de casos.- El Tribunal deja constancia que estima  pertinente</w:t>
        <w:br/>
        <w:t xml:space="preserve">   la acumulación realizada por parte de la Comisión de  los  casos  números</w:t>
        <w:br/>
        <w:t xml:space="preserve">   11.602, 12.385, 12.665 y 12.666.</w:t>
        <w:br/>
        <w:br/>
        <w:t>6. Designación de tres intervinientes comunes de los representantes  de  las</w:t>
        <w:br/>
        <w:t xml:space="preserve">   presuntas víctimas.- Las presuntas víctimas  no  llegaron  a  un  acuerdo</w:t>
        <w:br/>
        <w:t xml:space="preserve">   sobre la designación de  un  interviniente  común,  por  esta  razón,  en</w:t>
        <w:br/>
        <w:t xml:space="preserve">   aplicación del artículo 25.2 del Reglamento de la  Corte,  se  designaron</w:t>
        <w:br/>
        <w:t xml:space="preserve">   tres intervinientes comunes: (i) Carolina Loayza Tamayo[7],  (ii)  Roxana</w:t>
        <w:br/>
        <w:t xml:space="preserve">   Palomino Mayta[8], y (iii)  Gregorio  Paredes  y  Manuel  Paiba[9]  y  se</w:t>
        <w:br/>
        <w:t xml:space="preserve">   dispuso que respecto a las presuntas víctimas que no hubieren  presentado</w:t>
        <w:br/>
        <w:t xml:space="preserve">   poder de representación, siguiendo instrucciones del Pleno de  la  Corte,</w:t>
        <w:br/>
        <w:t xml:space="preserve">   debían  ser  consideradas  como   representadas   por   los   mencionados</w:t>
        <w:br/>
        <w:t xml:space="preserve">   intervinientes comunes, de manera que no se afecte el derecho de  defensa</w:t>
        <w:br/>
        <w:t xml:space="preserve">   de ninguna de las presuntas víctimas del presente caso[10].</w:t>
        <w:br/>
        <w:br/>
        <w:t>7. Notificación al Estado y a los representantes.- El  caso  fue  notificado</w:t>
        <w:br/>
        <w:t xml:space="preserve">   al Estado de Perú el 9 de  diciembre  de  2015  y  a  las  intervinientes</w:t>
        <w:br/>
        <w:t xml:space="preserve">   comunes (i) Carolina Loayza Tamayo y (ii) Roxana Palomino Mayta. En fecha</w:t>
        <w:br/>
        <w:t xml:space="preserve">   17 diciembre de 2015 se  notificó  a  los  intervinientes  comunes  (iii)</w:t>
        <w:br/>
        <w:t xml:space="preserve">   Gregorio Paredes y Manuel Paiba.</w:t>
        <w:br/>
        <w:br/>
        <w:t>8. Escritos de solicitudes y argumentos.- El 10 de febrero de 2016 la  Corte</w:t>
        <w:br/>
        <w:t xml:space="preserve">   recibió el escrito de solicitudes,  argumentos  y  pruebas  (en  adelante</w:t>
        <w:br/>
        <w:t xml:space="preserve">   “escritos de solicitudes y argumentos”) de Carolina Loayza Tamayo[11]. La</w:t>
        <w:br/>
        <w:t xml:space="preserve">   representante manifestó que, en lo sustantivo, comparte y hace suyos “los</w:t>
        <w:br/>
        <w:t xml:space="preserve">   argumentos de hecho y de derecho  contenidos  en  el  informe  sobre  los</w:t>
        <w:br/>
        <w:t xml:space="preserve">   méritos aprobado por la Comisión en favor de [los trabajadores cesados de</w:t>
        <w:br/>
        <w:t xml:space="preserve">   Petroperú, MEF y Enapu]”. Sin perjuicio de ello, la representante  amplió</w:t>
        <w:br/>
        <w:t xml:space="preserve">   el contexto y precisó los hechos  establecidos  por  la  Comisión  en  su</w:t>
        <w:br/>
        <w:t xml:space="preserve">   Informe de Fondo, sometió  una  cuestión  previa  al  Tribunal,  y  alegó</w:t>
        <w:br/>
        <w:t xml:space="preserve">   violaciones adicionales a los artículos 24 en relación  con  el  artículo</w:t>
        <w:br/>
        <w:t xml:space="preserve">   8.1 del Protocolo de San Salvador; al artículo 8.1 en  relación  con  los</w:t>
        <w:br/>
        <w:t xml:space="preserve">   artículos 9, 24 y 1.1 de la Convención; al derecho al  trabajo,  el  cual</w:t>
        <w:br/>
        <w:t xml:space="preserve">   “se encuentra subsumido en el artículo 26 de la CADH”; y a los  artículos</w:t>
        <w:br/>
        <w:t xml:space="preserve">   4, 5, 11 y 21 de  la  Convención.  Asimismo,  solicitó  a  la  Corte  que</w:t>
        <w:br/>
        <w:t xml:space="preserve">   ordenara al Estado la adopción de diversas medidas  de  reparación  y  el</w:t>
        <w:br/>
        <w:t xml:space="preserve">   reintegro  de  determinadas  costas  y  gastos.  Las  presuntas  víctimas</w:t>
        <w:br/>
        <w:t xml:space="preserve">   solicitaron,  a  través  de  su  representante,  acogerse  al  Fondo   de</w:t>
        <w:br/>
        <w:t xml:space="preserve">   Asistencia Legal de Víctimas de la Corte Interamericana (en  adelante  el</w:t>
        <w:br/>
        <w:t xml:space="preserve">   “Fondo de Asistencia de la Corte” o el “Fondo”).</w:t>
        <w:br/>
        <w:br/>
        <w:t>9. El 17 de febrero de 2016 la Corte  recibió  el  escrito  de  solicitudes,</w:t>
        <w:br/>
        <w:t xml:space="preserve">   argumentos y pruebas de los  representantes  Gregorio  Paredes  y  Manuel</w:t>
        <w:br/>
        <w:t xml:space="preserve">   Paiba. Los representantes manifestaron  su  conformidad  “con  todos  los</w:t>
        <w:br/>
        <w:t xml:space="preserve">   contenidos del Informe de Fondo 14/15 de la Comisión […]”, y  solicitaron</w:t>
        <w:br/>
        <w:t xml:space="preserve">   a la Corte que ordenara al Estado la  adopción  de  diversas  medidas  de</w:t>
        <w:br/>
        <w:t xml:space="preserve">   reparación y el reintegro de determinadas costas y gastos. El escrito  de</w:t>
        <w:br/>
        <w:t xml:space="preserve">   solicitudes y argumentos de Roxana Palomino Mayta fue recibido el  23  de</w:t>
        <w:br/>
        <w:t xml:space="preserve">   febrero de 2016 de forma extemporánea, por  lo  que  no  será  tomado  en</w:t>
        <w:br/>
        <w:t xml:space="preserve">   cuenta por el Tribunal, según fue informado a las partes a través  de  la</w:t>
        <w:br/>
        <w:t xml:space="preserve">   nota de 29 de febrero de 2016.</w:t>
        <w:br/>
        <w:br/>
        <w:t>10. Escrito de contestación.- El 20 de junio 2016 el Estado[12] presentó  su</w:t>
        <w:br/>
        <w:t xml:space="preserve">   escrito de interposición de  excepciones  preliminares,  contestación  al</w:t>
        <w:br/>
        <w:t xml:space="preserve">   sometimiento  del  caso  y  observaciones  al  escrito  de   solicitudes,</w:t>
        <w:br/>
        <w:t xml:space="preserve">   argumentos  y  pruebas  (en  adelante  “contestación”   o   “escrito   de</w:t>
        <w:br/>
        <w:t xml:space="preserve">   contestación”). El  Estado  interpuso  dos  excepciones  preliminares,  y</w:t>
        <w:br/>
        <w:t xml:space="preserve">   señaló que las argumentaciones de la Comisión y los representantes  sobre</w:t>
        <w:br/>
        <w:t xml:space="preserve">   las alegadas violaciones a los derechos a las garantías judiciales  y  la</w:t>
        <w:br/>
        <w:t xml:space="preserve">   protección judicial no han sido demostradas. En consecuencia, señaló  que</w:t>
        <w:br/>
        <w:t xml:space="preserve">   no le corresponde reparar los supuestos daños ocasionados.</w:t>
        <w:br/>
        <w:br/>
        <w:t>11. Acogimiento al Fondo  de  Asistencia  Legal.–  Mediante  resolución  del</w:t>
        <w:br/>
        <w:t xml:space="preserve">   Presidente de la Corte, el 22 de junio de 2016 se declaró  procedente  la</w:t>
        <w:br/>
        <w:t xml:space="preserve">   solicitud realizada por un grupo de presuntas víctimas, representadas por</w:t>
        <w:br/>
        <w:t xml:space="preserve">   Carolina Loayza Tamayo, para acogerse al Fondo  de  Asistencia  Legal  de</w:t>
        <w:br/>
        <w:t xml:space="preserve">   Victimas de la Corte[13]. Mediante escrito de 29 de agosto  de  2016,  la</w:t>
        <w:br/>
        <w:t xml:space="preserve">   Corte rechazó la solicitud realizada por un grupo de presuntas  víctimas,</w:t>
        <w:br/>
        <w:t xml:space="preserve">   representadas por los representantes Paredes y Paiba, en virtud de  haber</w:t>
        <w:br/>
        <w:t xml:space="preserve">   presentado su solicitud de manera extemporánea.</w:t>
        <w:br/>
        <w:br/>
        <w:t>12. Observaciones a las excepciones preliminares.- El 29 de  julio  de  2016</w:t>
        <w:br/>
        <w:t xml:space="preserve">   la Comisión presentó  su  escrito  de  observaciones  a  las  excepciones</w:t>
        <w:br/>
        <w:t xml:space="preserve">   preliminares, y el 30 de julio los intervinientes comunes remitieron  sus</w:t>
        <w:br/>
        <w:t xml:space="preserve">   observaciones, solicitando el rechazo  de  las  excepciones  preliminares</w:t>
        <w:br/>
        <w:t xml:space="preserve">   presentadas por el Estado.</w:t>
        <w:br/>
        <w:br/>
        <w:t>13. Audiencia Pública.- El 14 de septiembre de 2016,  el  Presidente  de  la</w:t>
        <w:br/>
        <w:t xml:space="preserve">   Corte emitió una Resolución[14] en la que convocó a las  partes  y  a  la</w:t>
        <w:br/>
        <w:t xml:space="preserve">   Comisión a una  audiencia  pública  para  (i)  escuchar  los  alegatos  y</w:t>
        <w:br/>
        <w:t xml:space="preserve">   observaciones  finales  orales  de  las  partes   y   de   la   Comisión,</w:t>
        <w:br/>
        <w:t xml:space="preserve">   respectivamente, (ii) escuchar las declaraciones en audiencia pública  de</w:t>
        <w:br/>
        <w:t xml:space="preserve">   una  presunta  víctima  y  de  un  perito,  ambos   propuestos   por   un</w:t>
        <w:br/>
        <w:t xml:space="preserve">   representante, y (iii) requerir la  declaración  ante  fedatario  público</w:t>
        <w:br/>
        <w:t xml:space="preserve">   (affidávit) de cinco presuntas víctimas y de dos peritajes propuestos por</w:t>
        <w:br/>
        <w:t xml:space="preserve">   otro representante, así como de un testigo y de tres  peritos  propuestos</w:t>
        <w:br/>
        <w:t xml:space="preserve">   por el  Estado.  Además,  ordenó  incorporar  al  acervo  probatorio  del</w:t>
        <w:br/>
        <w:t xml:space="preserve">   presente caso, en lo que resulte pertinente, los peritajes  rendidos  por</w:t>
        <w:br/>
        <w:t xml:space="preserve">   Carlos Alza Barco[15] y  Lourdes  Flores  Nano[16]  en  el  caso  Canales</w:t>
        <w:br/>
        <w:t xml:space="preserve">   Huayapa y otros Vs. Perú[17]. La audiencia pública fue celebrada los días</w:t>
        <w:br/>
        <w:t xml:space="preserve">   11 y 12 de octubre de  2016  durante  el  56  Período  Extraordinario  de</w:t>
        <w:br/>
        <w:t xml:space="preserve">   Sesiones en la ciudad de Quito, Ecuador[18].</w:t>
        <w:br/>
        <w:br/>
        <w:t>14. Amicus Curiae.- El Tribunal recibió cinco escritos de amici  curiae[19],</w:t>
        <w:br/>
        <w:t xml:space="preserve">   presentados por Nilda Garay Montañez[20], Oscar  Luján  Fappiano[21],  la</w:t>
        <w:br/>
        <w:t xml:space="preserve">   Clínica de Derechos Humanos de la Amazonía[22], Baicus Consultoría[23]  y</w:t>
        <w:br/>
        <w:t xml:space="preserve">   dos estudiantes de la Universidad de Nacional Mayor de San Marcos[24].</w:t>
        <w:br/>
        <w:br/>
        <w:t>15.  Alegatos y observaciones finales  escritos.–  El  14  de  noviembre  de</w:t>
        <w:br/>
        <w:t xml:space="preserve">   2016[25] los  representantes  de  las  presuntas  víctimas  y  el  Estado</w:t>
        <w:br/>
        <w:t xml:space="preserve">   presentaron sus alegatos finales escritos, así como determinados  anexos,</w:t>
        <w:br/>
        <w:t xml:space="preserve">   y en esa misma fecha  la  Comisión  presentó  sus  observaciones  finales</w:t>
        <w:br/>
        <w:t xml:space="preserve">   escritas.</w:t>
        <w:br/>
        <w:br/>
        <w:t>16. Observaciones de las partes y la Comisión.– El 22 de diciembre  de  2016</w:t>
        <w:br/>
        <w:t xml:space="preserve">   la Secretaría de la Corte remitió los escritos de alegatos finales y  sus</w:t>
        <w:br/>
        <w:t xml:space="preserve">   anexos y solicitó a las partes y a  la  Comisión  las  observaciones  que</w:t>
        <w:br/>
        <w:t xml:space="preserve">   estimaran pertinentes. Mediante comunicaciones de 20 de enero de 2017  el</w:t>
        <w:br/>
        <w:t xml:space="preserve">   Estado remitió  sus  observaciones  a  los  anexos  presentados  por  los</w:t>
        <w:br/>
        <w:t xml:space="preserve">   representantes en sus alegatos finales escritos, y en la misma fecha  los</w:t>
        <w:br/>
        <w:t xml:space="preserve">   representantes Paredes y Paiba  remitieron  sus  observaciones  al  anexo</w:t>
        <w:br/>
        <w:t xml:space="preserve">   primero de los alegatos finales escritos del Estado, solicitando  que  no</w:t>
        <w:br/>
        <w:t xml:space="preserve">   sean tomados en cuenta. La Comisión y los intervinientes comunes Carolina</w:t>
        <w:br/>
        <w:t xml:space="preserve">   Loayza Tamayo y Roxana Palomino Mayta no presentaron observaciones a  los</w:t>
        <w:br/>
        <w:t xml:space="preserve">   anexos presentados por el Estado.</w:t>
        <w:br/>
        <w:br/>
        <w:t>17. Erogaciones en aplicación del Fondo de Asistencia. – El 14 de  diciembre</w:t>
        <w:br/>
        <w:t xml:space="preserve">   de 2016 se remitió información al Estado sobre las erogaciones efectuadas</w:t>
        <w:br/>
        <w:t xml:space="preserve">   en aplicación del Fondo de Asistencia Legal de Víctimas  en  el  presente</w:t>
        <w:br/>
        <w:t xml:space="preserve">   caso. Según lo dispuesto en el artículo 5  del  Reglamento  de  la  Corte</w:t>
        <w:br/>
        <w:t xml:space="preserve">   sobre el funcionamiento del referido  Fondo,  le  otorgó  un  plazo  para</w:t>
        <w:br/>
        <w:t xml:space="preserve">   presentar las observaciones que estimara pertinentes. El Estado  presentó</w:t>
        <w:br/>
        <w:t xml:space="preserve">   observaciones por medio de escrito de 20 de diciembre de 2016, dentro del</w:t>
        <w:br/>
        <w:t xml:space="preserve">   plazo otorgado para tal efecto.</w:t>
        <w:br/>
        <w:br/>
        <w:t>18. Prueba para mejor resolver.- El 27 de julio de 2017 se  solicitó  a  los</w:t>
        <w:br/>
        <w:t xml:space="preserve">   intervinientes comunes prueba para mejor resolver. El 3 y 4 de agosto  de</w:t>
        <w:br/>
        <w:t xml:space="preserve">   2017 los intervinientes comunes remitieron la información solicitada.</w:t>
        <w:br/>
        <w:br/>
        <w:t>19. Prueba superviniente.- El 10 de octubre de 2016  los  señores  Paibas  y</w:t>
        <w:br/>
        <w:t xml:space="preserve">   Paredes, en su calidad de representantes, presentaron un escrito mediante</w:t>
        <w:br/>
        <w:t xml:space="preserve">   el cual adjuntaron los antecedentes de la Resolución  Defensorial  N.006-</w:t>
        <w:br/>
        <w:t xml:space="preserve">   97/DP, resolución que forma parte de los autos del presente caso.</w:t>
        <w:br/>
        <w:br/>
        <w:t>20. Deliberación de presente caso.- La Corte inició la  deliberación  de  la</w:t>
        <w:br/>
        <w:t xml:space="preserve">   presente Sentencia el 20 de noviembre de 2017.</w:t>
        <w:br/>
        <w:br/>
        <w:t xml:space="preserve">                                     III</w:t>
        <w:br/>
        <w:t xml:space="preserve">                                 COMPETENCIA</w:t>
        <w:br/>
        <w:br/>
        <w:t>21. La Corte es competente para conocer el presente caso,  en  los  términos</w:t>
        <w:br/>
        <w:t xml:space="preserve">   del artículo 62.3 de la Convención, en razón de que Perú es Estado  Parte</w:t>
        <w:br/>
        <w:t xml:space="preserve">   en la Convención Americana desde el 28 de julio de 1978  y  reconoció  la</w:t>
        <w:br/>
        <w:t xml:space="preserve">   competencia contenciosa de la Corte el 21 de enero de 1981.</w:t>
        <w:br/>
        <w:br/>
        <w:t xml:space="preserve">                                     IV</w:t>
        <w:br/>
        <w:t xml:space="preserve">                          EXCEPCIONES PRELIMINARES</w:t>
        <w:br/>
        <w:br/>
        <w:t>22. A continuación, la  Corte  procederá  a  analizar  las  dos  excepciones</w:t>
        <w:br/>
        <w:t xml:space="preserve">   preliminares presentadas  por  el  Estado:  1.  Excepción  por  falta  de</w:t>
        <w:br/>
        <w:t xml:space="preserve">   agotamiento de los  recursos  internos,  y  2.  Excepción  por  falta  de</w:t>
        <w:br/>
        <w:t xml:space="preserve">   competencia por razón de la materia.</w:t>
        <w:br/>
        <w:br/>
        <w:t>A. Excepción por falta de agotamiento de los recursos internos  respecto  de</w:t>
        <w:br/>
        <w:t>las presuntas víctimas de Petroperú</w:t>
        <w:br/>
        <w:br/>
        <w:t xml:space="preserve">      A.1   Alegatos del  Estado  y  observaciones  de  la  Comisión  y  los</w:t>
        <w:br/>
        <w:t>representantes</w:t>
        <w:br/>
        <w:br/>
        <w:t>23. El Estado alegó  (i)  que  los  trabajadores  cesados  de  Petroperú  no</w:t>
        <w:br/>
        <w:t xml:space="preserve">   agotaron los recursos de la jurisdicción interna relativos a procesos  de</w:t>
        <w:br/>
        <w:t xml:space="preserve">   cese, pues  debieron  interponer  el  recurso  extraordinario  contra  la</w:t>
        <w:br/>
        <w:t xml:space="preserve">   resolución de segundo grado dictada por la Corte Superior en el marco del</w:t>
        <w:br/>
        <w:t xml:space="preserve">   proceso  de  amparo    que  iniciaron,  lo  cual  hubiera  permitido   el</w:t>
        <w:br/>
        <w:t xml:space="preserve">   conocimiento de la controversia por parte  del  Tribunal  Constitucional,</w:t>
        <w:br/>
        <w:t xml:space="preserve">   (ii) que esta excepción fue presentada en el momento procesal oportuno, a</w:t>
        <w:br/>
        <w:t xml:space="preserve">   través de las notas diplomáticas No. 7-5-M/120 de fecha 10  de  abril  de</w:t>
        <w:br/>
        <w:t xml:space="preserve">   1997, No. 7-5-M/074 de fecha 18 de febrero de 1998, y  No.  7-5-M/466  de</w:t>
        <w:br/>
        <w:t xml:space="preserve">   fecha 27 de octubre de 1999. En ese sentido, sostuvo (iii) que  a  través</w:t>
        <w:br/>
        <w:t xml:space="preserve">   del  recurso  extraordinario  el  Tribunal  Constitucional  realizaba  el</w:t>
        <w:br/>
        <w:t xml:space="preserve">   control de constitucionalidad, muchas veces inaplicando  normas  para  el</w:t>
        <w:br/>
        <w:t xml:space="preserve">   caso concreto y, (iv) que la Comisión aplicó un doble criterio,  pues  en</w:t>
        <w:br/>
        <w:t xml:space="preserve">   el caso de Petroperú consideró que los trabajadores  cesados  no  estaban</w:t>
        <w:br/>
        <w:t xml:space="preserve">   obligados a recurrir el fallo de segunda instancia, pero respecto de  los</w:t>
        <w:br/>
        <w:t xml:space="preserve">   otros tres grupos de peticionarios (MEF, Enapu y Minedu), las  sentencias</w:t>
        <w:br/>
        <w:t xml:space="preserve">   de recurso  extraordinario,  emitidas  por  el  Tribunal  Constitucional,</w:t>
        <w:br/>
        <w:t xml:space="preserve">   debían tener por agotados los recursos internos.</w:t>
        <w:br/>
        <w:br/>
        <w:t>24. En sus alegatos finales, señaló que el recurso  no  agotado  (v)  habría</w:t>
        <w:br/>
        <w:t xml:space="preserve">   sido plenamente identificado a  través  de  las  notas  diplomáticas,  de</w:t>
        <w:br/>
        <w:t xml:space="preserve">   fechas 10 de abril de 1997, 18 de febrero de 1998  y  27  de  octubre  de</w:t>
        <w:br/>
        <w:t xml:space="preserve">   1997, (vi) que era adecuado,  rápido,  idóneo,  sencillo  y  eficaz  para</w:t>
        <w:br/>
        <w:t xml:space="preserve">   remediar la violación; (vii) que de conformidad con el artículo 41 de  la</w:t>
        <w:br/>
        <w:t xml:space="preserve">   Ley Nº 26435,  Ley  Orgánica  del  Tribunal  Constitucional,  vigente  al</w:t>
        <w:br/>
        <w:t xml:space="preserve">   momento del cese irregular, el  Tribunal  Constitucional  era  competente</w:t>
        <w:br/>
        <w:t xml:space="preserve">   para  conocer  en  última  y  definitiva  instancia,  de   los   recursos</w:t>
        <w:br/>
        <w:t xml:space="preserve">   extraordinarios interpuestos en contra de las resoluciones  de  la  Corte</w:t>
        <w:br/>
        <w:t xml:space="preserve">   Suprema, denegatorias de las acciones de garantía,  entre  ellas  de  las</w:t>
        <w:br/>
        <w:t xml:space="preserve">   acciones de amparo, (viii) que era eficaz, en tanto era capaz de producir</w:t>
        <w:br/>
        <w:t xml:space="preserve">   el resultado para el cual fue concebido, (ix) que  si  los  peticionarios</w:t>
        <w:br/>
        <w:t xml:space="preserve">   hubiesen agotado todas las instancias del proceso de amparo, el  Tribunal</w:t>
        <w:br/>
        <w:t xml:space="preserve">   hubiese  estado  en  aptitud  de  pronunciarse  sobre  el  fondo  de   la</w:t>
        <w:br/>
        <w:t xml:space="preserve">   controversia, (x) que en el marco de otros procesos de amparo,  similares</w:t>
        <w:br/>
        <w:t xml:space="preserve">   al presente caso, el Tribunal Constitucional emitió sentencias favorables</w:t>
        <w:br/>
        <w:t xml:space="preserve">   o parcialmente favorables a diversos trabajadores de Petroperú,  haciendo</w:t>
        <w:br/>
        <w:t xml:space="preserve">   referencia a dos sentencias de recurso extraordinario para acreditar  tal</w:t>
        <w:br/>
        <w:t xml:space="preserve">   circunstancia, y (xi) que para cuestionar  la  constitucionalidad  de  la</w:t>
        <w:br/>
        <w:t xml:space="preserve">   norma que permitió los ceses irregulares, las presuntas víctimas debieron</w:t>
        <w:br/>
        <w:t xml:space="preserve">   continuar con el proceso de amparo.</w:t>
        <w:br/>
        <w:br/>
        <w:t>25. La Comisión sostuvo (i) que la excepción por  falta  de  agotamiento  de</w:t>
        <w:br/>
        <w:t xml:space="preserve">   los recursos internos no fue alegada de manera expresa por el  Estado  en</w:t>
        <w:br/>
        <w:t xml:space="preserve">   el trámite de admisibilidad, y por  lo  tanto  resulta  extemporánea.  De</w:t>
        <w:br/>
        <w:t xml:space="preserve">   manera subsidiaria, señaló (ii) que las presuntas víctimas  deben  agotar</w:t>
        <w:br/>
        <w:t xml:space="preserve">   sólo  los  recursos  ordinarios  que  permitan  subsanar  la   afectación</w:t>
        <w:br/>
        <w:t xml:space="preserve">   producida, por lo que, en principio, no era necesario que  fuera  agotado</w:t>
        <w:br/>
        <w:t xml:space="preserve">   el recurso extraordinario ante el Tribunal Constitucional, (iii)  que  si</w:t>
        <w:br/>
        <w:t xml:space="preserve">   bien en ciertos casos particulares es posible considerar que los recursos</w:t>
        <w:br/>
        <w:t xml:space="preserve">   extraordinarios pueden ser idóneos y efectivos, esta idoneidad  debe  ser</w:t>
        <w:br/>
        <w:t xml:space="preserve">   argumentada por parte del Estado durante la etapa  de  admisibilidad,  lo</w:t>
        <w:br/>
        <w:t xml:space="preserve">   que no ocurrió en el caso concreto. Adicionalmente, en sus  observaciones</w:t>
        <w:br/>
        <w:t xml:space="preserve">   finales, sostuvo (iv) que la Corte en el caso Canales  Hauapaya  y  otros</w:t>
        <w:br/>
        <w:t xml:space="preserve">   calificó como recurso extraordinario, el recurso que pretende  el  Estado</w:t>
        <w:br/>
        <w:t xml:space="preserve">   sea conocido por el Tribunal Constitucional, en el marco de la acción  de</w:t>
        <w:br/>
        <w:t xml:space="preserve">   amparo.</w:t>
        <w:br/>
        <w:br/>
        <w:t>26. Un representante alegó (i) que la Corte es competente para  conocer  del</w:t>
        <w:br/>
        <w:t xml:space="preserve">   presente caso respecto a los  trabajadores  cesados  de  Petroperú,  pues</w:t>
        <w:br/>
        <w:t xml:space="preserve">   estos agotaron oportunamente los recursos internos, (ii) que  como  norma</w:t>
        <w:br/>
        <w:t xml:space="preserve">   general, los únicos recursos que deben  ser  agotados  son  los  recursos</w:t>
        <w:br/>
        <w:t xml:space="preserve">   ordinarios, no los extraordinarios, (iii) que a la fecha  de  los  hechos</w:t>
        <w:br/>
        <w:t xml:space="preserve">   denunciados, la situación del Poder Judicial había  empeorado,  generando</w:t>
        <w:br/>
        <w:t xml:space="preserve">   desconfianza justificada en los  justiciables  respecto  del  sistema  de</w:t>
        <w:br/>
        <w:t xml:space="preserve">   justicia peruana, (iv) que la falta de estabilidad  de  los  magistrados,</w:t>
        <w:br/>
        <w:t xml:space="preserve">   como garantía de su independencia e imparcialidad, fue confirmada al  año</w:t>
        <w:br/>
        <w:t xml:space="preserve">   siguiente  por  la  destitución  de   algunos   miembros   del   Tribunal</w:t>
        <w:br/>
        <w:t xml:space="preserve">   Constitucional, (v) que las presuntas víctimas optaron por iniciar  otros</w:t>
        <w:br/>
        <w:t xml:space="preserve">   procedimientos que consideraron idóneos, y por lo tanto no acudieron ante</w:t>
        <w:br/>
        <w:t xml:space="preserve">   el Tribunal Constitucional, en virtud de  las  resoluciones  del  Juzgado</w:t>
        <w:br/>
        <w:t xml:space="preserve">   Especializado en lo Civil en Talara, y de la Segunda  Sala  Civil  de  la</w:t>
        <w:br/>
        <w:t xml:space="preserve">   Sala Superior de Piura, así como por la falta de confianza en el Tribunal</w:t>
        <w:br/>
        <w:t xml:space="preserve">   Constitucional derivada de “la intervención política  en  el  sistema  de</w:t>
        <w:br/>
        <w:t xml:space="preserve">   justicia peruano”, (vi) que el Estado mencionó de forma genérica la falta</w:t>
        <w:br/>
        <w:t xml:space="preserve">   de agotamiento de los recursos internos en su nota  de  10  de  abril  de</w:t>
        <w:br/>
        <w:t xml:space="preserve">   1997, (vii) que incluso  admitiendo  que  el  recurso  ante  el  Tribunal</w:t>
        <w:br/>
        <w:t xml:space="preserve">   Constitucional era el recurso adecuado no existía garantía alguna que  el</w:t>
        <w:br/>
        <w:t xml:space="preserve">   mismo fuera eficaz para garantizar los derechos de las  víctimas,  (viii)</w:t>
        <w:br/>
        <w:t xml:space="preserve">   que al analizar cada caso, la Comisión recurrió a los  estándares  de  la</w:t>
        <w:br/>
        <w:t xml:space="preserve">   Corte para determinar que las  presuntas  víctimas  de  Petroperú  habían</w:t>
        <w:br/>
        <w:t xml:space="preserve">   agotado los recursos internos, (ix) que el Estado aceptó  la  competencia</w:t>
        <w:br/>
        <w:t xml:space="preserve">   de la Comisión al llevar a cabo  conversaciones  con  las  víctimas  para</w:t>
        <w:br/>
        <w:t xml:space="preserve">   alcanzar una solución amistosa  en  las  que  aceptó  su  responsabilidad</w:t>
        <w:br/>
        <w:t xml:space="preserve">   internacional, por lo cual no puede pretender, en  esta  etapa  procesal,</w:t>
        <w:br/>
        <w:t xml:space="preserve">   negar los efectos de sus  propios  actos,  de  acuerdo  a  la  teoría  de</w:t>
        <w:br/>
        <w:t xml:space="preserve">   estoppel.</w:t>
        <w:br/>
        <w:br/>
        <w:t xml:space="preserve">      A.2   Consideraciones de la Corte</w:t>
        <w:br/>
        <w:br/>
        <w:t>27. La Corte ha señalado que el artículo 46.1.a) de  la  Convención  dispone</w:t>
        <w:br/>
        <w:t xml:space="preserve">   que, para determinar la admisibilidad  de  una  petición  o  comunicación</w:t>
        <w:br/>
        <w:t xml:space="preserve">   presentada ante la Comisión, de conformidad con los artículos 44 o 45  de</w:t>
        <w:br/>
        <w:t xml:space="preserve">   la Convención, es necesario  que  se  hayan  interpuesto  y  agotado  los</w:t>
        <w:br/>
        <w:t xml:space="preserve">   recursos de la  jurisdicción  interna,  conforme  a  los  principios  del</w:t>
        <w:br/>
        <w:t xml:space="preserve">   Derecho  Internacional  generalmente  reconocidos[26].  Al  respecto,  el</w:t>
        <w:br/>
        <w:t xml:space="preserve">   Tribunal ha desarrollado pautas para analizar una excepción basada en  un</w:t>
        <w:br/>
        <w:t xml:space="preserve">   presunto incumplimiento del requisito  de  agotamiento  de  los  recursos</w:t>
        <w:br/>
        <w:t xml:space="preserve">   internos.  Primero,  ha  interpretado  la  excepción  como  una   defensa</w:t>
        <w:br/>
        <w:t xml:space="preserve">   disponible para el Estado, y como tal, puede renunciar  a  ella,  ya  sea</w:t>
        <w:br/>
        <w:t xml:space="preserve">   expresa  o  tácitamente.  Segundo,  esta   excepción   debe   presentarse</w:t>
        <w:br/>
        <w:t xml:space="preserve">   oportunamente con el propósito de que el Estado pueda ejercer su  derecho</w:t>
        <w:br/>
        <w:t xml:space="preserve">   a la defensa. Tercero, la Corte ha afirmado que el  Estado  que  presenta</w:t>
        <w:br/>
        <w:t xml:space="preserve">   esta excepción debe especificar los recursos internos que aún no  se  han</w:t>
        <w:br/>
        <w:t xml:space="preserve">   agotado, y demostrar que estos recursos son aplicables  y  efectivos[27].</w:t>
        <w:br/>
        <w:t xml:space="preserve">   La Corte recuerda que no es tarea de este Tribunal, ni  de  la  Comisión,</w:t>
        <w:br/>
        <w:t xml:space="preserve">   identificar ex officio cuáles son los  recursos  internos  pendientes  de</w:t>
        <w:br/>
        <w:t xml:space="preserve">   agotamiento, en razón de que no compete  a  los  órganos  internacionales</w:t>
        <w:br/>
        <w:t xml:space="preserve">   subsanar la falta de precisión de los alegatos  del  Estado[28].  Por  lo</w:t>
        <w:br/>
        <w:t xml:space="preserve">   anterior, la invocación por el Estado de la existencia de un  recurso  no</w:t>
        <w:br/>
        <w:t xml:space="preserve">   agotado debe no sólo ser oportuna, sino también clara,  identificando  el</w:t>
        <w:br/>
        <w:t xml:space="preserve">   recurso en cuestión y también cómo el mismo, en el caso, sería adecuado y</w:t>
        <w:br/>
        <w:t xml:space="preserve">   efectivo para proteger a las personas en  la  situación  que  se  hubiere</w:t>
        <w:br/>
        <w:t xml:space="preserve">   denunciado[29].</w:t>
        <w:br/>
        <w:br/>
        <w:t>28. A partir de lo  anterior,  en  el  presente  caso,  la  Corte  considera</w:t>
        <w:br/>
        <w:t xml:space="preserve">   necesario examinar: a) si la excepción de agotamiento de los recursos fue</w:t>
        <w:br/>
        <w:t xml:space="preserve">   presentada en el momento procesal oportuno; b) si  se  interpusieron  los</w:t>
        <w:br/>
        <w:t xml:space="preserve">   recursos idóneos y  efectivos  para  remediar  la  alegada  violación  de</w:t>
        <w:br/>
        <w:t xml:space="preserve">   derechos y, c) si proceden las excepciones al agotamiento previo  de  los</w:t>
        <w:br/>
        <w:t xml:space="preserve">   recursos internos.</w:t>
        <w:br/>
        <w:br/>
        <w:t xml:space="preserve">      A.2.1 La presentación de la excepción en el momento procesal oportuno</w:t>
        <w:br/>
        <w:br/>
        <w:t>29. Lo primero  que  procede  determinar,  en  relación  con  una  excepción</w:t>
        <w:br/>
        <w:t xml:space="preserve">   preliminar de esta naturaleza, es si la excepción fue  presentada  en  el</w:t>
        <w:br/>
        <w:t xml:space="preserve">   momento procesal oportuno[30]. La Corte ha reiterado que el  Estado  debe</w:t>
        <w:br/>
        <w:t xml:space="preserve">   precisar  con  claridad  ante  la   Comisión,   durante   la   etapa   de</w:t>
        <w:br/>
        <w:t xml:space="preserve">   admisibilidad, los recursos que en su criterio no se habían  agotado[31].</w:t>
        <w:br/>
        <w:t xml:space="preserve">   Por  otra  parte,  los  argumentos  que  dan  contenido  a  la  excepción</w:t>
        <w:br/>
        <w:t xml:space="preserve">   preliminar interpuesta por el Estado ante la Comisión durante la etapa de</w:t>
        <w:br/>
        <w:t xml:space="preserve">   admisibilidad,  deben  corresponder  a  aquellos   esgrimidos   ante   la</w:t>
        <w:br/>
        <w:t xml:space="preserve">   Corte[32].  La  Corte  constata  que  el  Estado,  mediante   las   notas</w:t>
        <w:br/>
        <w:t xml:space="preserve">   diplomáticas  referidas  en  sus  alegatos  finales,  manifestó  que  los</w:t>
        <w:br/>
        <w:t xml:space="preserve">   trabajadores de Petroperú no interpusieron el recurso extraordinario ante</w:t>
        <w:br/>
        <w:t xml:space="preserve">   el Tribunal  Constitucional.  Específicamente,  el  Estado  manifestó  lo</w:t>
        <w:br/>
        <w:t xml:space="preserve">   siguiente:</w:t>
        <w:br/>
        <w:br/>
        <w:t xml:space="preserve">   a) mediante la nota diplomática No. 7-5-M/120, de fecha 10  de  abril  de</w:t>
        <w:br/>
        <w:t xml:space="preserve">      1997, que “[c]ontra la resolución  de  la  Corte  Superior,  la  parte</w:t>
        <w:br/>
        <w:t xml:space="preserve">      demandante no ha interpuesto recurso  extraordinario  alguno  ante  el</w:t>
        <w:br/>
        <w:t xml:space="preserve">      Tribunal Constitucional”[33];</w:t>
        <w:br/>
        <w:br/>
        <w:br/>
        <w:t xml:space="preserve">   b) asimismo, a través de la nota diplomática No. 7-5-M/074, de  fecha  18</w:t>
        <w:br/>
        <w:t xml:space="preserve">      de febrero de 1998, sostuvo que “contra  la  Resolución  de  la  Corte</w:t>
        <w:br/>
        <w:t xml:space="preserve">      Superior antes mencionada, el  Sindicato  no  ha  interpuesto  recurso</w:t>
        <w:br/>
        <w:t xml:space="preserve">      extraordinario ante el Tribunal Constitucional, órgano competente para</w:t>
        <w:br/>
        <w:t xml:space="preserve">      conocer de dicho tipo de  recursos,  conforme  lo  dispone  la  Cuarta</w:t>
        <w:br/>
        <w:t xml:space="preserve">      Disposición Transitoria de la Ley Nº 26435, deduciéndose de ello,  que</w:t>
        <w:br/>
        <w:t xml:space="preserve">      se interpuso  la  petición  11.602  sin  haber  agotado  los  recursos</w:t>
        <w:br/>
        <w:t xml:space="preserve">      internos que la ley nacional contempla”[34];</w:t>
        <w:br/>
        <w:br/>
        <w:br/>
        <w:t xml:space="preserve">   c) por último, en lo que respecta a este  punto,  que  mediante  la  nota</w:t>
        <w:br/>
        <w:t xml:space="preserve">      diplomática No. 7-5-M/466 de fecha 27 de octubre  de  1999,  manifestó</w:t>
        <w:br/>
        <w:t xml:space="preserve">      que el sindicato  no  habría  interpuesto  un  recurso  extraordinario</w:t>
        <w:br/>
        <w:t xml:space="preserve">      contra  la  resolución  de  la  Corte  Superior,  “lo  cual  demuestra</w:t>
        <w:br/>
        <w:t xml:space="preserve">      claramente que el Sindicato reclamante,  recurrió  a  la  Jurisdicción</w:t>
        <w:br/>
        <w:t xml:space="preserve">      Internacional sin agotar  todos  los  recursos  que  le  facultaba  el</w:t>
        <w:br/>
        <w:t xml:space="preserve">      ordenamiento jurídico”[35].</w:t>
        <w:br/>
        <w:br/>
        <w:t>30. En relación con lo  anterior,  de  la  lectura  integral  de  las  notas</w:t>
        <w:br/>
        <w:t xml:space="preserve">   diplomáticas No. 7-5-M/120, No. 7-5-M/074,  y  No.  7-5-M/466,  la  Corte</w:t>
        <w:br/>
        <w:t xml:space="preserve">   advierte que el Estado identificó con claridad suficiente que el  recurso</w:t>
        <w:br/>
        <w:t xml:space="preserve">   no agotado  consistía  en  el  recurso  extraordinario,  competencia  del</w:t>
        <w:br/>
        <w:t xml:space="preserve">   Tribunal  Constitucional,  señalando  además,  que  los  trabajadores  de</w:t>
        <w:br/>
        <w:t xml:space="preserve">   Petroperú no obtuvieron un pronunciamiento favorable  de  los  Tribunales</w:t>
        <w:br/>
        <w:t xml:space="preserve">   internos toda vez que sus reclamos carecían de fundamento válido y porque</w:t>
        <w:br/>
        <w:t xml:space="preserve">   a ello se aunaron errores procesales de los profesionales a los cuales se</w:t>
        <w:br/>
        <w:t xml:space="preserve">   les encargó su  defensa[36].  En  consideración  de  este  Tribunal,  los</w:t>
        <w:br/>
        <w:t xml:space="preserve">   argumentos del Estado no solamente se encontraban dirigidos a  cuestionar</w:t>
        <w:br/>
        <w:t xml:space="preserve">   los alegatos de fondo de las presuntas  víctimas,  relacionadas  con  las</w:t>
        <w:br/>
        <w:t xml:space="preserve">   supuestas  violaciones  al  debido  proceso,  y  la  actuación   de   los</w:t>
        <w:br/>
        <w:t xml:space="preserve">   representantes  legales  de  los  trabajadores  en   los   procedimientos</w:t>
        <w:br/>
        <w:t xml:space="preserve">   judiciales internos, sino también a cuestionar la falta de agotamiento de</w:t>
        <w:br/>
        <w:t xml:space="preserve">   los recursos internos  de  la  jurisdicción  peruana  como  requisito  de</w:t>
        <w:br/>
        <w:t xml:space="preserve">   admisibilidad del presente caso, de conformidad con  lo  previsto  en  el</w:t>
        <w:br/>
        <w:t xml:space="preserve">   artículo 46.1.a)  de  la  Convención  Americana.  Es  decir,  que  dichos</w:t>
        <w:br/>
        <w:t xml:space="preserve">   argumentos fueron realizados como parte de la defensa del Estado ante  la</w:t>
        <w:br/>
        <w:t xml:space="preserve">   Comisión, para evidenciar que las  presuntas  víctimas  de  Petroperú  no</w:t>
        <w:br/>
        <w:t xml:space="preserve">   cumplieron con el agotamiento oportuno de los recursos de la jurisdicción</w:t>
        <w:br/>
        <w:t xml:space="preserve">   interna.</w:t>
        <w:br/>
        <w:br/>
        <w:t>31.  Tal  como  se   mencionó   anteriormente,   de   conformidad   con   la</w:t>
        <w:br/>
        <w:t xml:space="preserve">   jurisprudencia de este Tribunal, los argumentos que dan  contenido  a  la</w:t>
        <w:br/>
        <w:t xml:space="preserve">   excepción preliminar interpuesta por el Estado ante la  Comisión  durante</w:t>
        <w:br/>
        <w:t xml:space="preserve">   la etapa de admisibilidad deben corresponder a aquellos  esgrimidos  ante</w:t>
        <w:br/>
        <w:t xml:space="preserve">   la Corte[37]. La Corte  considera  que  por  medio  de  los  escritos  de</w:t>
        <w:br/>
        <w:t xml:space="preserve">   contestación y de alegatos finales,  el  Estado  realizó  manifestaciones</w:t>
        <w:br/>
        <w:t xml:space="preserve">   coincidentes con lo afirmado en las notas diplomáticas No. 7-5-M/120, No.</w:t>
        <w:br/>
        <w:t xml:space="preserve">   7-5-M/074, y No. 7-5-M/466, respecto  de  la  falta  de  agotamiento  del</w:t>
        <w:br/>
        <w:t xml:space="preserve">   recurso  extraordinario  para  controvertir  la  sentencia   de   segunda</w:t>
        <w:br/>
        <w:t xml:space="preserve">   instancia, emitida por la Corte Suprema. Lo anterior se robustece  de  la</w:t>
        <w:br/>
        <w:t xml:space="preserve">   transcripción de las notas diplomáticas, en los escritos de  contestación</w:t>
        <w:br/>
        <w:t xml:space="preserve">   y de alegatos finales del Estado. Tal interpretación es  consistente  con</w:t>
        <w:br/>
        <w:t xml:space="preserve">   lo decidido por este Tribunal en el caso Castillo Páez Vs. Perú, retomado</w:t>
        <w:br/>
        <w:t xml:space="preserve">   en el caso Tenorio Roca Vs. Perú, al sostener que:  “el  [Estado]  estaba</w:t>
        <w:br/>
        <w:t xml:space="preserve">   obligado  a  invocar  de  manera  expresa  y  oportuna  la  regla  de  no</w:t>
        <w:br/>
        <w:t xml:space="preserve">   agotamiento de los recursos  internos  para  oponerse  válidamente  a  la</w:t>
        <w:br/>
        <w:t xml:space="preserve">   admisibilidad de la denuncia ante la Comisión Interamericana.”[38]</w:t>
        <w:br/>
        <w:br/>
        <w:t xml:space="preserve">      A.2.2. La existencia de recursos idóneos y efectivos  para  agotar  la</w:t>
        <w:br/>
        <w:t>jurisdicción interna</w:t>
        <w:br/>
        <w:br/>
        <w:t>32. El artículo  46.1.a)  de  la  Convención  Americana  dispone  que,  para</w:t>
        <w:br/>
        <w:t xml:space="preserve">   determinar la admisibilidad de una  petición  o  comunicación  presentada</w:t>
        <w:br/>
        <w:t xml:space="preserve">   ante la Comisión Interamericana, de conformidad con los artículos 44 o 45</w:t>
        <w:br/>
        <w:t xml:space="preserve">   de la Convención, es necesario que se hayan  interpuesto  y  agotado  los</w:t>
        <w:br/>
        <w:t xml:space="preserve">   recursos de la jurisdicción interna, según  los  principios  del  Derecho</w:t>
        <w:br/>
        <w:t xml:space="preserve">   Internacional  generalmente  reconocidos[39].  Al  respecto,   la   Corte</w:t>
        <w:br/>
        <w:t xml:space="preserve">   recuerda que la regla del previo agotamiento  de  los  recursos  internos</w:t>
        <w:br/>
        <w:t xml:space="preserve">   está concebida en interés del Estado, pues busca dispensarlo de responder</w:t>
        <w:br/>
        <w:t xml:space="preserve">   ante un órgano internacional por actos que se le imputen, antes de  haber</w:t>
        <w:br/>
        <w:t xml:space="preserve">   tenido la ocasión de remediarlos con  sus  propios  medios[40].  Por  tal</w:t>
        <w:br/>
        <w:t xml:space="preserve">   motivo, no  solamente  deben  existir  formalmente  esos  recursos,  sino</w:t>
        <w:br/>
        <w:t xml:space="preserve">   también deben  ser  adecuados  y  efectivos,  como  se  advierte  de  las</w:t>
        <w:br/>
        <w:t xml:space="preserve">   excepciones contempladas en el artículo 46.2 de la Convención[41].</w:t>
        <w:br/>
        <w:br/>
        <w:t>33. En relación con lo anterior, al haber alegado la  falta  de  agotamiento</w:t>
        <w:br/>
        <w:t xml:space="preserve">   de los recursos internos, la Corte ha establecido que es deber del Estado</w:t>
        <w:br/>
        <w:t xml:space="preserve">   señalar en su debida oportunidad los recursos que  deben  agotarse  y  su</w:t>
        <w:br/>
        <w:t xml:space="preserve">   efectividad. La Corte recuerda que la carga procesal la tiene  el  Estado</w:t>
        <w:br/>
        <w:t xml:space="preserve">   demandado, por lo tanto, cuando este alega  dicha  excepción  preliminar,</w:t>
        <w:br/>
        <w:t xml:space="preserve">   debe señalar los recursos que deben agotarse y proporcionar la prueba  de</w:t>
        <w:br/>
        <w:t xml:space="preserve">   su efectividad. Al respecto, el Tribunal reitera  que  la  interpretación</w:t>
        <w:br/>
        <w:t xml:space="preserve">   que esta Corte ha dado al artículo 46.1.a) no es tarea de la Corte, ni de</w:t>
        <w:br/>
        <w:t xml:space="preserve">   la Comisión, identificar ex officio  cuáles  son  los  recursos  internos</w:t>
        <w:br/>
        <w:t xml:space="preserve">   pendientes de agotamiento. El Tribunal  resalta  que  no  compete  a  los</w:t>
        <w:br/>
        <w:t xml:space="preserve">   órganos internacionales subsanar la falta de precisión  de  los  alegatos</w:t>
        <w:br/>
        <w:t xml:space="preserve">   del Estado[42]. Asimismo, este Tribunal recuerda  que,  desde  su  primer</w:t>
        <w:br/>
        <w:t xml:space="preserve">   caso, estableció que la idoneidad de los recursos:</w:t>
        <w:br/>
        <w:br/>
        <w:br/>
        <w:t xml:space="preserve">      significa que la función de esos  recursos,  dentro  del  sistema  del</w:t>
        <w:br/>
        <w:t xml:space="preserve">      Derecho interno,  sea  idónea  para  proteger  la  situación  jurídica</w:t>
        <w:br/>
        <w:t xml:space="preserve">      infringida. En todos  los  ordenamientos  internos  existen  múltiples</w:t>
        <w:br/>
        <w:t xml:space="preserve">      recursos, pero no todos son aplicables en  todas  las  circunstancias.</w:t>
        <w:br/>
        <w:t xml:space="preserve">      Si, en un caso específico, el recurso no es adecuado, es obvio que  no</w:t>
        <w:br/>
        <w:t xml:space="preserve">      hay que agotarlo. Así lo indica el principio  de  que  la  norma  está</w:t>
        <w:br/>
        <w:t xml:space="preserve">      encaminada a producir un efecto y no puede interpretarse en el sentido</w:t>
        <w:br/>
        <w:t xml:space="preserve">      de que no produzca ninguno o su resultado sea manifiestamente  absurdo</w:t>
        <w:br/>
        <w:t xml:space="preserve">      o  irrazonable.  Por  ejemplo,  un  procedimiento  de   orden   civil,</w:t>
        <w:br/>
        <w:t xml:space="preserve">      expresamente mencionado por el Gobierno, como la presunción de  muerte</w:t>
        <w:br/>
        <w:t xml:space="preserve">      por desaparecimiento cuya función es la de que  los  herederos  puedan</w:t>
        <w:br/>
        <w:t xml:space="preserve">      disponer de los bienes del presunto muerto o su cónyuge pueda volver a</w:t>
        <w:br/>
        <w:t xml:space="preserve">      casarse, no es adecuado para hallar  la  persona  ni  para  lograr  su</w:t>
        <w:br/>
        <w:t xml:space="preserve">      liberación si está detenida[43].</w:t>
        <w:br/>
        <w:br/>
        <w:t>34. Sobre la efectividad de los recursos, la esta Corte ha establecido  que:</w:t>
        <w:br/>
        <w:br/>
        <w:br/>
        <w:br/>
        <w:t xml:space="preserve">      66. Un recurso debe ser, además, eficaz, es decir, capaz  de  producir</w:t>
        <w:br/>
        <w:t xml:space="preserve">      el resultado para el que ha sido concebido. El de exhibición  personal</w:t>
        <w:br/>
        <w:t xml:space="preserve">      puede volverse ineficaz si se le subordina a exigencias procesales que</w:t>
        <w:br/>
        <w:t xml:space="preserve">      lo hagan inaplicable, si, de hecho, carece de virtualidad para obligar</w:t>
        <w:br/>
        <w:t xml:space="preserve">      a las autoridades, resulta peligroso para los interesados intentarlo o</w:t>
        <w:br/>
        <w:t xml:space="preserve">      no se aplica imparcialmente.</w:t>
        <w:br/>
        <w:br/>
        <w:t xml:space="preserve">      67. En cambio, al contrario de lo sostenido por la Comisión,  el  mero</w:t>
        <w:br/>
        <w:t xml:space="preserve">      hecho de que un recurso interno no produzca un resultado favorable  al</w:t>
        <w:br/>
        <w:t xml:space="preserve">      reclamante no demuestra, por sí solo, la inexistencia o el agotamiento</w:t>
        <w:br/>
        <w:t xml:space="preserve">      de todos los recursos internos  eficaces,  pues  podría  ocurrir,  por</w:t>
        <w:br/>
        <w:t xml:space="preserve">      ejemplo,  que  el  reclamante  no  hubiera  acudido  oportunamente  al</w:t>
        <w:br/>
        <w:t xml:space="preserve">      procedimiento apropiado[44].</w:t>
        <w:br/>
        <w:br/>
        <w:t>35. En relación  con  la  idoneidad  del  recurso  no  agotado,  esta  Corte</w:t>
        <w:br/>
        <w:t xml:space="preserve">   advierte que el  Estado  refirió  la  existencia  de  cuatro  sentencias,</w:t>
        <w:br/>
        <w:t xml:space="preserve">   emitidas  por  el  Tribunal  Constitucional,  por  medio  de  las  cuales</w:t>
        <w:br/>
        <w:t xml:space="preserve">   pretendió acreditar que en  la  época  de  los  ceses  de  las  presuntas</w:t>
        <w:br/>
        <w:t xml:space="preserve">   víctimas, el Tribunal Constitucional peruano se pronunció respecto de  la</w:t>
        <w:br/>
        <w:t xml:space="preserve">   constitucionalidad de distintas sentencias de segunda instancia, dictadas</w:t>
        <w:br/>
        <w:t xml:space="preserve">   por diversas Cortes Supremas, en el marco de procesos de amparo similares</w:t>
        <w:br/>
        <w:t xml:space="preserve">   al presente caso, argumentando que el recurso extraordinario  no  agotado</w:t>
        <w:br/>
        <w:t xml:space="preserve">   constituía el recurso idóneo para controvertir la sentencia  emitida  por</w:t>
        <w:br/>
        <w:t xml:space="preserve">   la Segunda Sala Civil de la  Corte  Superior  de  Piura,  que  a  su  vez</w:t>
        <w:br/>
        <w:t xml:space="preserve">   confirmó la sentencia del Juzgado Especializado en lo  Civil  de  Talará,</w:t>
        <w:br/>
        <w:t xml:space="preserve">   por medio de la cual se consideró improcedente el amparo  presentado  por</w:t>
        <w:br/>
        <w:t xml:space="preserve">   las presuntas víctimas, interpuesto para controvertir el cese irregular.</w:t>
        <w:br/>
        <w:br/>
        <w:t>36. Asimismo, el Estado  señaló  que  si  bien  el  recurso  fue  denominado</w:t>
        <w:br/>
        <w:t xml:space="preserve">   “extraordinario”,   este   resultaba   procedente   para   analizar    la</w:t>
        <w:br/>
        <w:t xml:space="preserve">   constitucionalidad de la sentencia de segunda instancia, dictada  por  la</w:t>
        <w:br/>
        <w:t xml:space="preserve">   Corte Suprema correspondiente, en el marco de la  acción  de  amparo,  de</w:t>
        <w:br/>
        <w:t xml:space="preserve">   conformidad con lo previsto en el artículo 41 de la  Ley  Nº  26435.  Ley</w:t>
        <w:br/>
        <w:t xml:space="preserve">   Orgánica del Tribunal Constitucional. En  ese  sentido,  señaló  que  por</w:t>
        <w:br/>
        <w:t xml:space="preserve">   medio del recurso extraordinario, el Tribunal Constitucional realizaba un</w:t>
        <w:br/>
        <w:t xml:space="preserve">   control de constitucionalidad  del  proceso  de  amparo,  inaplicando  en</w:t>
        <w:br/>
        <w:t xml:space="preserve">   ocasiones normas en el caso concreto, y que,  por  tanto,  las  presuntas</w:t>
        <w:br/>
        <w:t xml:space="preserve">   víctimas tuvieron que  agotar  el  recurso  extraordinario  para  que  el</w:t>
        <w:br/>
        <w:t xml:space="preserve">   Tribunal Constitucional tuviera la posibilidad de pronunciarse  sobre  la</w:t>
        <w:br/>
        <w:t xml:space="preserve">   constitucionalidad de la norma que permitió  el  cese  de  las  presuntas</w:t>
        <w:br/>
        <w:t xml:space="preserve">   víctimas.</w:t>
        <w:br/>
        <w:br/>
        <w:br/>
        <w:t>37. En ese sentido, de lo afirmado por el Estado, y de lo  que  obra  en  el</w:t>
        <w:br/>
        <w:t xml:space="preserve">   expediente, este Tribunal constata que al momento de los hechos:</w:t>
        <w:br/>
        <w:br/>
        <w:br/>
        <w:t xml:space="preserve">   a) el inciso 2 del artículo 200 de la Constitución Política del  Perú  de</w:t>
        <w:br/>
        <w:t xml:space="preserve">      1993, establecía que la demanda de amparo procedía contra el  hecho  u</w:t>
        <w:br/>
        <w:t xml:space="preserve">      omisión, por parte de cualquier autoridad, funcionario o persona,  que</w:t>
        <w:br/>
        <w:t xml:space="preserve">      vulnerara o amenazara los derechos reconocidos por la Constitución;</w:t>
        <w:br/>
        <w:br/>
        <w:br/>
        <w:t xml:space="preserve">   b) que el proceso de amparo se encontraba regulado por la Ley  Nº  23506,</w:t>
        <w:br/>
        <w:t xml:space="preserve">      Ley de Hábeas Corpus y Amparo, así como sus  normas  modificatorias  y</w:t>
        <w:br/>
        <w:t xml:space="preserve">      complementarias, además de la Ley Nº 26435, Ley Orgánica del  Tribunal</w:t>
        <w:br/>
        <w:t xml:space="preserve">      Constitucional;</w:t>
        <w:br/>
        <w:br/>
        <w:t xml:space="preserve">   c) que de acuerdo con el artículo 3 de la Ley No. 23506.  Ley  de  Hábeas</w:t>
        <w:br/>
        <w:t xml:space="preserve">      Corpus y de Amparo, la acciones de garantía, entre ellas la de amparo,</w:t>
        <w:br/>
        <w:t xml:space="preserve">      procedían aún en el caso de  que  la  violación  o  amenaza  estuviese</w:t>
        <w:br/>
        <w:t xml:space="preserve">      basada en una  norma  incompatible  con  la  Constitución,  y  en  ese</w:t>
        <w:br/>
        <w:t xml:space="preserve">      supuesto, la inaplicación de la norma se efectuaba al caso concreto;</w:t>
        <w:br/>
        <w:br/>
        <w:br/>
        <w:t xml:space="preserve">   d) que el artículo 24 del mismo ordenamiento establecía que la acción  de</w:t>
        <w:br/>
        <w:t xml:space="preserve">      amparo procedía en defensa del del derecho a la libertad de trabajo  y</w:t>
        <w:br/>
        <w:t xml:space="preserve">      de sindicación, entre otros derechos fundamentales consagrados a nivel</w:t>
        <w:br/>
        <w:t xml:space="preserve">      constitucional;</w:t>
        <w:br/>
        <w:br/>
        <w:br/>
        <w:t xml:space="preserve">   e) que de acuerdo con el artículo 26 de la misma norma, el  afectado,  su</w:t>
        <w:br/>
        <w:t xml:space="preserve">      representante o  el  representante  de  la  entidad  efectuada  tenían</w:t>
        <w:br/>
        <w:t xml:space="preserve">      derecho de ejercer la acción de amparo;</w:t>
        <w:br/>
        <w:br/>
        <w:br/>
        <w:t xml:space="preserve">   f) que de conformidad con el artículo 202 de la Constitución del Perú, el</w:t>
        <w:br/>
        <w:t xml:space="preserve">      Tribunal Constitucional era  competente  para  conocer,  en  última  y</w:t>
        <w:br/>
        <w:t xml:space="preserve">      definitiva instancia, de las resoluciones denegatorias de las acciones</w:t>
        <w:br/>
        <w:t xml:space="preserve">      de amparo;</w:t>
        <w:br/>
        <w:br/>
        <w:br/>
        <w:t xml:space="preserve">   g) que de acuerdo a la Cuarta Disposición Transitoria de la Ley Nº 26435.</w:t>
        <w:br/>
        <w:t xml:space="preserve">      Ley Orgánica del Tribunal Constitucional,  las  acciones  de  garantía</w:t>
        <w:br/>
        <w:t xml:space="preserve">      debían interponerse ante el juzgado competente, que la Corte  Superior</w:t>
        <w:br/>
        <w:t xml:space="preserve">      conocía de los procesos de garantía en segunda y última  instancia  en</w:t>
        <w:br/>
        <w:t xml:space="preserve">      vía de apelación y, que contra  la  resolución  denegatoria  que  ésta</w:t>
        <w:br/>
        <w:t xml:space="preserve">      expidiese, procedía el recurso extraordinario previsto en el  artículo</w:t>
        <w:br/>
        <w:t xml:space="preserve">      41 del mismo ordenamiento;</w:t>
        <w:br/>
        <w:br/>
        <w:br/>
        <w:t xml:space="preserve">   h) que el mismo artículo 41 establecía  que  el  Tribunal  Constitucional</w:t>
        <w:br/>
        <w:t xml:space="preserve">      conocía del recurso extraordinario interpuesto en última y  definitiva</w:t>
        <w:br/>
        <w:t xml:space="preserve">      instancia contra las resoluciones de la Corte Suprema, denegatorias de</w:t>
        <w:br/>
        <w:t xml:space="preserve">      las acciones de garantía, entre ellas, de la acción de amparo;</w:t>
        <w:br/>
        <w:br/>
        <w:br/>
        <w:t xml:space="preserve">   i) que el segundo párrafo del citado artículo determinaba  que  el  plazo</w:t>
        <w:br/>
        <w:t xml:space="preserve">      para interponer el recurso extraordinario era de 15  días  contados  a</w:t>
        <w:br/>
        <w:t xml:space="preserve">      partir de la fecha de notificación de la resolución denegatoria de  la</w:t>
        <w:br/>
        <w:t xml:space="preserve">      instancia judicial correspondiente; y</w:t>
        <w:br/>
        <w:br/>
        <w:br/>
        <w:t xml:space="preserve">   j) que el artículo 45 de la Ley  en  cita,  establecía  que  el  Tribunal</w:t>
        <w:br/>
        <w:t xml:space="preserve">      Constitucional conocía de las acciones de garantía, entre ellas, de la</w:t>
        <w:br/>
        <w:t xml:space="preserve">      acción de amparo, y que el fallo que estimara o denegara la pretensión</w:t>
        <w:br/>
        <w:t xml:space="preserve">      de los actores tenía por agota la jurisdicción interna.</w:t>
        <w:br/>
        <w:br/>
        <w:t>38. En relación con lo anterior, la Corte advierte que, de  conformidad  con</w:t>
        <w:br/>
        <w:t xml:space="preserve">   el marco normativo previsto al  momento  de  los  ceses  irregulares,  la</w:t>
        <w:br/>
        <w:t xml:space="preserve">   acción de  amparo  se  constituía  como  un  recurso  optativo  para  los</w:t>
        <w:br/>
        <w:t xml:space="preserve">   justiciables. Lo anterior tiene sustento de conformidad con el inciso  3,</w:t>
        <w:br/>
        <w:t xml:space="preserve">   del artículo 6º de la Ley Nº 23506, Ley de Hábeas  Corpus  y  Amparo,  el</w:t>
        <w:br/>
        <w:t xml:space="preserve">   cual establecía que las acciones de garantía, entre ellas la  de  amparo,</w:t>
        <w:br/>
        <w:t xml:space="preserve">   resultaban abiertamente improcedentes cuando  el  justiciable,  previo  a</w:t>
        <w:br/>
        <w:t xml:space="preserve">   interponer la acción de garantía, había optado  por  recurrir  a  la  vía</w:t>
        <w:br/>
        <w:t xml:space="preserve">   judicial ordinaria, es decir,  al  mecanismo  previsto  en  la  ley  para</w:t>
        <w:br/>
        <w:t xml:space="preserve">   remediar la supuesta violación alegada, que  en  el  presente  caso  pudo</w:t>
        <w:br/>
        <w:t xml:space="preserve">   haber sido la vía ordinaria de naturaleza  laboral.  Asimismo,  la  Corte</w:t>
        <w:br/>
        <w:t xml:space="preserve">   advierte que el Estado remitió como prueba el fallo 538-97-AA/TC,  en  el</w:t>
        <w:br/>
        <w:t xml:space="preserve">   cual el Tribunal Constitucional manifestó que “la acción de amparo no era</w:t>
        <w:br/>
        <w:t xml:space="preserve">   un recurso de carácter subsidiario al que se pueda acudir en  defensa  de</w:t>
        <w:br/>
        <w:t xml:space="preserve">   los derechos constitucionales en caso de no  existir  una  vía  ordinaria</w:t>
        <w:br/>
        <w:t xml:space="preserve">   adecuada, sino un proceso al que se puede acudir  en  forma  alternativa,</w:t>
        <w:br/>
        <w:t xml:space="preserve">   independientemente de si existe (o no) un proceso ordinario.”[45]</w:t>
        <w:br/>
        <w:br/>
        <w:br/>
        <w:t>39. Por tal motivo, la Corte concluye que el recurso extraordinario, que  no</w:t>
        <w:br/>
        <w:t xml:space="preserve">   fue agotado por  las  presuntas  víctimas  de  Petroperú,  constituía  la</w:t>
        <w:br/>
        <w:t xml:space="preserve">   culminación  del  proceso  de  amparo,  y  no  un  recurso  con  carácter</w:t>
        <w:br/>
        <w:t xml:space="preserve">   “excepcional, inhabitual o inusual”.</w:t>
        <w:br/>
        <w:br/>
        <w:t>40. Por otro lado, respecto del requisito de  efectividad  de  la  excepción</w:t>
        <w:br/>
        <w:t xml:space="preserve">   preliminar de falta agotamiento  de  recursos  internos,  esta  Corte  ha</w:t>
        <w:br/>
        <w:t xml:space="preserve">   establecido que cuando un procedimiento específico cuenta con  etapas  en</w:t>
        <w:br/>
        <w:t xml:space="preserve">   las  que  se  puede  llegar  a  corregir  o  subsanar  cierto   tipo   de</w:t>
        <w:br/>
        <w:t xml:space="preserve">   irregularidades, los  Estados  deben  poder  disponer  de  dichas  etapas</w:t>
        <w:br/>
        <w:t xml:space="preserve">   procesales para  remediar  las  alegadas  irregularidades  en  el  ámbito</w:t>
        <w:br/>
        <w:t xml:space="preserve">   interno,  sin  perjuicio  del  análisis  que  pueda  corresponder  a  las</w:t>
        <w:br/>
        <w:t xml:space="preserve">   excepciones al previo agotamiento de los recursos  internos  establecidas</w:t>
        <w:br/>
        <w:t xml:space="preserve">   en el artículo 46.2  de  la  Convención.  En  ese  sentido,  el  Tribunal</w:t>
        <w:br/>
        <w:t xml:space="preserve">   advierte que el Estado señaló ante esta Corte que el  proceso  de  amparo</w:t>
        <w:br/>
        <w:t xml:space="preserve">   constituía un  recurso  idóneo  para  la  protección  del  derecho  a  la</w:t>
        <w:br/>
        <w:t xml:space="preserve">   estabilidad laboral, pero que los  trabajadores  de  Petroperú  debían  y</w:t>
        <w:br/>
        <w:t xml:space="preserve">   podrían haber recurrido ante el Tribunal Constitucional por medio  de  un</w:t>
        <w:br/>
        <w:t xml:space="preserve">   recurso extraordinario en el marco del proceso de amparo, por  medio  del</w:t>
        <w:br/>
        <w:t xml:space="preserve">   cual se podría haber inaplicado el Decreto Supremo No. 072-95-PCM  en  el</w:t>
        <w:br/>
        <w:t xml:space="preserve">   caso concreto, pero que optaron por no hacerlo.</w:t>
        <w:br/>
        <w:br/>
        <w:br/>
        <w:t>41. Un representante alegó que las presuntas víctimas  optaron  por  iniciar</w:t>
        <w:br/>
        <w:t xml:space="preserve">   otros procedimientos que consideraron idóneos, y por lo tanto  no  acudir</w:t>
        <w:br/>
        <w:t xml:space="preserve">   ante el Tribunal  Constitucional,  en  virtud  de  las  resoluciones  del</w:t>
        <w:br/>
        <w:t xml:space="preserve">   Juzgado Especializado en lo Civil en Talara, y de la Segunda  Sala  Civil</w:t>
        <w:br/>
        <w:t xml:space="preserve">   de la Sala Superior de Piura, así como por la falta de  confianza  en  el</w:t>
        <w:br/>
        <w:t xml:space="preserve">   Tribunal  Constitucional  derivado  del  “contexto  de  intervención  del</w:t>
        <w:br/>
        <w:t xml:space="preserve">   Tribunal Constitucional”. En ese sentido, este Tribunal  ha  establecido,</w:t>
        <w:br/>
        <w:t xml:space="preserve">   desde su primer caso, que “[s]i, en un caso específico, el recurso no  es</w:t>
        <w:br/>
        <w:t xml:space="preserve">   adecuado, es obvio que  no  hay  que  agotarlo”,  y  que  tal  adecuación</w:t>
        <w:br/>
        <w:t xml:space="preserve">   significa que “la función de[l]  recurso  […],  dentro  del  sistema  del</w:t>
        <w:br/>
        <w:t xml:space="preserve">   Derecho  interno,  sea  idónea  para  proteger  la   situación   jurídica</w:t>
        <w:br/>
        <w:t xml:space="preserve">   infringida”[46], de forma tal que no se  puede  exigir  a  las  presuntas</w:t>
        <w:br/>
        <w:t xml:space="preserve">   víctimas que agoten recursos internos cuando existe incertidumbre  acerca</w:t>
        <w:br/>
        <w:t xml:space="preserve">   de su efectividad, y que  el  Estado  debe  demostrar  que  los  recursos</w:t>
        <w:br/>
        <w:t xml:space="preserve">   existentes están, en efecto, disponibles, y si eran adecuados, idóneos  y</w:t>
        <w:br/>
        <w:t xml:space="preserve">   efectivos[47]. Asimismo, este  Tribunal  ha  determinado  que  argumentos</w:t>
        <w:br/>
        <w:t xml:space="preserve">   sobre la vigencia normativa formal de un recurso  resultan  insuficientes</w:t>
        <w:br/>
        <w:t xml:space="preserve">   para considerar su efectividad, pues el  Estado  tiene  la  carga  de  la</w:t>
        <w:br/>
        <w:t xml:space="preserve">   prueba  de  señalar,  de  modo  suficiente,  la  existencia  de  recursos</w:t>
        <w:br/>
        <w:t xml:space="preserve">   efectivos pertinentes para un caso[48].</w:t>
        <w:br/>
        <w:br/>
        <w:t>42. El presente caso se inscribe dentro del contexto que siguió  al  llamado</w:t>
        <w:br/>
        <w:t xml:space="preserve">   “Gobierno de Emergencia y Reconstrucción Nacional”, instituido  a  través</w:t>
        <w:br/>
        <w:t xml:space="preserve">   del Decreto Ley No. 25418, y en virtud del cual se disolvió  el  Congreso</w:t>
        <w:br/>
        <w:t xml:space="preserve">   de la República, y se autorizó al  Presidente  de  la  República  ejercer</w:t>
        <w:br/>
        <w:t xml:space="preserve">   funciones del Poder Legislativo a través de Decretos Leyes, afectando así</w:t>
        <w:br/>
        <w:t xml:space="preserve">   elementos esenciales de la  democracia[49],  así  como  de  la  falta  de</w:t>
        <w:br/>
        <w:t xml:space="preserve">   independencia,  autonomía  e  imparcialidad  que  privó  en  el  Tribunal</w:t>
        <w:br/>
        <w:t xml:space="preserve">   Constitucional peruano después del cese de tres de sus miembros, ocurrido</w:t>
        <w:br/>
        <w:t xml:space="preserve">   el 28 de mayo de 1997, situación que ha sido reconocida por esta Corte en</w:t>
        <w:br/>
        <w:t xml:space="preserve">   diversas  sentencias[50].  En  concreto,  en   el   caso   del   Tribunal</w:t>
        <w:br/>
        <w:t xml:space="preserve">   Constitucional Vs. Perú, este Tribunal dio  por  probados  una  serie  de</w:t>
        <w:br/>
        <w:t xml:space="preserve">   hechos  que  antecedieron  el  cese  de  los  magistrados  del   Tribunal</w:t>
        <w:br/>
        <w:t xml:space="preserve">   Constitucional y que demostraron la injerencia de los poderes Ejecutivo y</w:t>
        <w:br/>
        <w:t xml:space="preserve">   Legislativo en contra del Poder Judicial, en represalia de haber aprobado</w:t>
        <w:br/>
        <w:t xml:space="preserve">   la inaplicación al caso concreto  de  la  Ley  26.657,  que  plasmaba  la</w:t>
        <w:br/>
        <w:t xml:space="preserve">   posibilidad del Poder Ejecutivo de permanecer en el poder a través de  la</w:t>
        <w:br/>
        <w:t xml:space="preserve">   figura de la reelección. En concreto, en el caso antes  mencionado,  este</w:t>
        <w:br/>
        <w:t xml:space="preserve">   Tribunal concluyó lo siguiente:</w:t>
        <w:br/>
        <w:br/>
        <w:br/>
        <w:t xml:space="preserve">    • Como consecuencia de  lo  anterior,  en  los  días  subsecuentes,  fue</w:t>
        <w:br/>
        <w:t xml:space="preserve">      iniciada una campaña de presión  en  contra  de  los  magistrados  que</w:t>
        <w:br/>
        <w:t xml:space="preserve">      suscribieron el sentido del proyecto en la sesión del 27 de  diciembre</w:t>
        <w:br/>
        <w:t xml:space="preserve">      de 1997;</w:t>
        <w:br/>
        <w:br/>
        <w:br/>
        <w:t xml:space="preserve">    • El 14 de enero de 1997, cuarenta congresistas, a través de  una  carta</w:t>
        <w:br/>
        <w:t xml:space="preserve">      dirigida al Tribunal Constitucional, solicitaron que  este  se  ciñera</w:t>
        <w:br/>
        <w:t xml:space="preserve">      únicamente  a   declarar   fundada   o   infundada   la   demanda   de</w:t>
        <w:br/>
        <w:t xml:space="preserve">      inconstitucionalidad.   A   su   juicio,   la   declaración   de    la</w:t>
        <w:br/>
        <w:t xml:space="preserve">      inaplicabilidad de la Ley No. 26.657  constituía  una  amenaza  a  los</w:t>
        <w:br/>
        <w:t xml:space="preserve">      derechos fundamentales y políticos previstos a  nivel  constitucional,</w:t>
        <w:br/>
        <w:t xml:space="preserve">      además de un abuso  de  autoridad.  La  carta  fue  rechazada  por  el</w:t>
        <w:br/>
        <w:t xml:space="preserve">      Tribunal al considerar que esta constituía un acto  de  presión  y  un</w:t>
        <w:br/>
        <w:t xml:space="preserve">      grave atentado en contra de su autonomía;</w:t>
        <w:br/>
        <w:br/>
        <w:br/>
        <w:t xml:space="preserve">    • El 15 de enero de 1997 la magistrada Delia Revoredo  Marsano  denunció</w:t>
        <w:br/>
        <w:t xml:space="preserve">      el robo de diversos documentos jurisdiccionales y  administrativos  de</w:t>
        <w:br/>
        <w:t xml:space="preserve">      su despacho y de las oficinas de otros tres magistrados, entre los que</w:t>
        <w:br/>
        <w:t xml:space="preserve">      encontraba   el   proyecto   de   sentencia   de    la    acción    de</w:t>
        <w:br/>
        <w:t xml:space="preserve">      inconstitucionalidad de la Ley No.  26.657.  Asimismo,  la  magistrada</w:t>
        <w:br/>
        <w:t xml:space="preserve">      señaló la comisión de otro  tipo  de  actos,  los  cuales  constituían</w:t>
        <w:br/>
        <w:t xml:space="preserve">      acciones de intimidación  en  contra  de  los  miembros  del  Tribunal</w:t>
        <w:br/>
        <w:t xml:space="preserve">      Constitucional;</w:t>
        <w:br/>
        <w:br/>
        <w:br/>
        <w:t xml:space="preserve">    • El 27 de febrero de 1997, a partir de las denuncias formuladas por  la</w:t>
        <w:br/>
        <w:t xml:space="preserve">      magistrada Delia Revoredo Marsano, el Congreso aprobó́ la formación  de</w:t>
        <w:br/>
        <w:t xml:space="preserve">      una Comisión compuesta por siete  congresistas,  para  investigar  los</w:t>
        <w:br/>
        <w:t xml:space="preserve">      presuntos  actos  de  hostigamiento  y  presión  contra  el   Tribunal</w:t>
        <w:br/>
        <w:t xml:space="preserve">      Constitucional;</w:t>
        <w:br/>
        <w:br/>
        <w:br/>
        <w:t xml:space="preserve">    • El 5 de mayo de 1997, después de varios interrogatorios y  del  cambio</w:t>
        <w:br/>
        <w:t xml:space="preserve">      de sentido en las investigaciones, la Comisión Investigadora  presentó</w:t>
        <w:br/>
        <w:t xml:space="preserve">      una denuncia constitucional  contra  los  magistrados  Manuel  Aguirre</w:t>
        <w:br/>
        <w:t xml:space="preserve">      Roca,  Guillermo  Rey  Terry  y  Delia  Revoredo  Marsano,  por  haber</w:t>
        <w:br/>
        <w:t xml:space="preserve">      presentado un proyecto como “si fuera una  sentencia  ya  discutida  y</w:t>
        <w:br/>
        <w:t xml:space="preserve">      aprobada por el  Pleno  del  Tribunal  Constitucional”  y,  por  haber</w:t>
        <w:br/>
        <w:t xml:space="preserve">      emitido una resolución de recurso de aclaración en nombre del Tribunal</w:t>
        <w:br/>
        <w:t xml:space="preserve">      Constitucional.  Asimismo,  la  Comisión  sostuvo  que  el  magistrado</w:t>
        <w:br/>
        <w:t xml:space="preserve">      Ricardo Nugent había  actuado  de  manera  ilegal  al  “justificar  la</w:t>
        <w:br/>
        <w:t xml:space="preserve">      infracción  constitucional”  y  no  convocar  al  Pleno  del  Tribunal</w:t>
        <w:br/>
        <w:t xml:space="preserve">      Constitucional para resolver el recurso de aclaración citado;</w:t>
        <w:br/>
        <w:br/>
        <w:br/>
        <w:t xml:space="preserve">    • El 6 de mayo de 1997, la Comisión Permanente del Congreso  nombró  una</w:t>
        <w:br/>
        <w:t xml:space="preserve">      Subcomisión  Evaluadora  “encargada  de  informar  sobre  la  denuncia</w:t>
        <w:br/>
        <w:t xml:space="preserve">      constitucional contra los magistrados  del  Tribunal  Constitucional”.</w:t>
        <w:br/>
        <w:t xml:space="preserve">      Dicha  Subcomisión  Evaluadora   solicitó   a   los   magistrados   la</w:t>
        <w:br/>
        <w:t xml:space="preserve">      presentación de un informe sobre los hechos investigados, otorgándoles</w:t>
        <w:br/>
        <w:t xml:space="preserve">      un plazo de 48 horas;</w:t>
        <w:br/>
        <w:br/>
        <w:br/>
        <w:t xml:space="preserve">    • El 14 de mayo de 1997, como  parte  del  informe  presentado  ante  la</w:t>
        <w:br/>
        <w:t xml:space="preserve">      Comisión Permanente del Congreso, la Subcomisión Evaluadora  recomendó</w:t>
        <w:br/>
        <w:t xml:space="preserve">      proceder en contra de los magistrados del Tribunal Constitucional;</w:t>
        <w:br/>
        <w:br/>
        <w:br/>
        <w:t xml:space="preserve">    • El 23 de mayo de 1997, la Comisión Permanente del  Congreso  determinó</w:t>
        <w:br/>
        <w:t xml:space="preserve">      aprobar  por  mayoría  el  informe  presentado  por   la   Subcomisión</w:t>
        <w:br/>
        <w:t xml:space="preserve">      Evaluadora,  solicitando  la  aplicación  de  una  de  las   sanciones</w:t>
        <w:br/>
        <w:t xml:space="preserve">      previstas en el artículo 100 de la Constitución. Además, requirió ante</w:t>
        <w:br/>
        <w:t xml:space="preserve">      el pleno del Congreso a  tres  congresistas  para  que  integraran  la</w:t>
        <w:br/>
        <w:t xml:space="preserve">      Subcomisión Acusadora; y</w:t>
        <w:br/>
        <w:br/>
        <w:br/>
        <w:t xml:space="preserve">    • El 28 de mayo de 1997, la Comisión Acusadora presentó formalmente ante</w:t>
        <w:br/>
        <w:t xml:space="preserve">      el pleno del Congreso la acusación constitucional y ese mismo  día,  a</w:t>
        <w:br/>
        <w:t xml:space="preserve">      través de las resoluciones legislativas Nos.  002-97-CR,  003-97-CR  y</w:t>
        <w:br/>
        <w:t xml:space="preserve">      004-97-CR, el Pleno del Congreso determinó destituir a los magistrados</w:t>
        <w:br/>
        <w:t xml:space="preserve">      del Tribunal Constitucional Manuel Aguirre Roca, Guillermo Rey Terry y</w:t>
        <w:br/>
        <w:t xml:space="preserve">      Delia Revoredo Marsano.</w:t>
        <w:br/>
        <w:br/>
        <w:t>43. La Corte  recuerda  que  el  agotamiento  material  de  la  jurisdicción</w:t>
        <w:br/>
        <w:t xml:space="preserve">   interna debe evaluarse como posibilidad real y  eficaz  de  una  decisión</w:t>
        <w:br/>
        <w:t xml:space="preserve">   adecuada a derecho por parte de  los  tribunales  nacionales[51].  En  el</w:t>
        <w:br/>
        <w:t xml:space="preserve">   presente caso,  esta  posibilidad  no  era  previsible  respecto  de  los</w:t>
        <w:br/>
        <w:t xml:space="preserve">   reclamantes de Petroperú. Si bien el Tribunal Constitucional aún no había</w:t>
        <w:br/>
        <w:t xml:space="preserve">   sufrido el atropello que tuvo lugar meses después de la fecha en que  los</w:t>
        <w:br/>
        <w:t xml:space="preserve">   reclamantes tuvieron la vía expedita para  intentar  la  revisión  de  la</w:t>
        <w:br/>
        <w:t xml:space="preserve">   sentencia desfavorable, no puede obviarse que ese Tribunal se  encontraba</w:t>
        <w:br/>
        <w:t xml:space="preserve">   en  evidente  conflictividad  con  su  Ejecutivo,  que  no  entendía  los</w:t>
        <w:br/>
        <w:t xml:space="preserve">   principios del Estado de Derecho y, en consecuencia, amenazado por lo que</w:t>
        <w:br/>
        <w:t xml:space="preserve">   habría de suceder días más tarde. En esas circunstancias,  "ex-ante"  era</w:t>
        <w:br/>
        <w:t xml:space="preserve">   nula la posibilidad de que ese  Tribunal  hiciera  lugar  a  un  eventual</w:t>
        <w:br/>
        <w:t xml:space="preserve">   recurso de los peticionarios, en  una  materia  vital  para  el  proyecto</w:t>
        <w:br/>
        <w:t xml:space="preserve">   económico  del  oficialismo,  considerando  que  una  decisión   de   esa</w:t>
        <w:br/>
        <w:t xml:space="preserve">   naturaleza no hubiese hecho más que precipitar lo  sucedido  pocos  meses</w:t>
        <w:br/>
        <w:t xml:space="preserve">   más tarde.</w:t>
        <w:br/>
        <w:br/>
        <w:t>44. Por lo anterior, la Corte declara improcedente la  excepción  preliminar</w:t>
        <w:br/>
        <w:t xml:space="preserve">   de falta  de  agotamiento  de  los  recursos  internos  respecto  de  las</w:t>
        <w:br/>
        <w:t xml:space="preserve">   presuntas víctimas de Petroperú.</w:t>
        <w:br/>
        <w:br/>
        <w:t>B. Excepción por falta de competencia por razón de la materia</w:t>
        <w:br/>
        <w:br/>
        <w:t xml:space="preserve">            B.1. Alegatos del Estado y observaciones de la  Comisión  y  los</w:t>
        <w:br/>
        <w:t>representantes</w:t>
        <w:br/>
        <w:br/>
        <w:t>45. El Estado señaló que  la  Comisión  no  consideró  en  sus  Informes  de</w:t>
        <w:br/>
        <w:t xml:space="preserve">   Admisibilidad y Fondo que la presente controversia verse sobre la posible</w:t>
        <w:br/>
        <w:t xml:space="preserve">   afectación del derecho al trabajo, siendo un alegato  formulado  por  los</w:t>
        <w:br/>
        <w:t xml:space="preserve">   representantes.  Al  respecto,  sostuvo  que  la  Corte  no  cuenta   con</w:t>
        <w:br/>
        <w:t xml:space="preserve">   competencia material para para  conocer  sobre  alegadas  violaciones  al</w:t>
        <w:br/>
        <w:t xml:space="preserve">   derecho al trabajo, ya que, según el artículo 19, inciso 6) del Protocolo</w:t>
        <w:br/>
        <w:t xml:space="preserve">   adicional a la Convención Americana sobre Derechos Humanos en Materia  de</w:t>
        <w:br/>
        <w:t xml:space="preserve">   Derechos  Económicos,   Sociales   y   Culturales   “Protocolo   de   San</w:t>
        <w:br/>
        <w:t xml:space="preserve">   Salvador”[52], la Corte sólo  puede  analizar  controversias  que  versen</w:t>
        <w:br/>
        <w:t xml:space="preserve">   sobre la protección de los derechos a la libertad sindical o el derecho a</w:t>
        <w:br/>
        <w:t xml:space="preserve">   la educación.</w:t>
        <w:br/>
        <w:br/>
        <w:t>46. La Comisión alegó  que  las  presuntas  víctimas  y  sus  representantes</w:t>
        <w:br/>
        <w:t xml:space="preserve">   pueden  invocar  la  violación  de  otros  derechos   distintos   a   los</w:t>
        <w:br/>
        <w:t xml:space="preserve">   comprendidos en el Informe de Fondo, por lo que la Corte  deberá  decidir</w:t>
        <w:br/>
        <w:t xml:space="preserve">   si existe un grado razonable de conexidad entre el marco fáctico del caso</w:t>
        <w:br/>
        <w:t xml:space="preserve">   y la calificación jurídica propuesta por los representantes.</w:t>
        <w:br/>
        <w:br/>
        <w:t>47. Un representante alegó que las víctimas tienen  derecho  a  plantear  la</w:t>
        <w:br/>
        <w:t xml:space="preserve">   violación de derechos distintos a  los  comprendidos  en  el  Informe  de</w:t>
        <w:br/>
        <w:t xml:space="preserve">   Fondo, y que la Corte tiene competencia  para  invocar  la  violación  al</w:t>
        <w:br/>
        <w:t xml:space="preserve">   artículo 26 de la Convención interpretado a la luz  del  artículo  7  del</w:t>
        <w:br/>
        <w:t xml:space="preserve">   Protocolo de  San  Salvador.  Otros  representantes  no  se  pronunciaron</w:t>
        <w:br/>
        <w:t xml:space="preserve">   respecto a esta excepción.</w:t>
        <w:br/>
        <w:br/>
        <w:t xml:space="preserve">            B.2. Consideraciones de la Corte</w:t>
        <w:br/>
        <w:br/>
        <w:t>48. La Corte advierte que, en  el  presente  caso,  no  se  ha  alegado  una</w:t>
        <w:br/>
        <w:t xml:space="preserve">   violación del Protocolo de San Salvador, sino que  la  solicitud  de  los</w:t>
        <w:br/>
        <w:t xml:space="preserve">   representantes está centrada en la  aplicación  del  artículo  26  de  la</w:t>
        <w:br/>
        <w:t xml:space="preserve">   Convención en cuanto al derecho al trabajo, por lo que la Corte considera</w:t>
        <w:br/>
        <w:t xml:space="preserve">   innecesario resolver si puede ejercer competencia  sobre  dicho  Tratado.</w:t>
        <w:br/>
        <w:t xml:space="preserve">   Consecuentemente, el Tribunal desestima la excepción preliminar de  falta</w:t>
        <w:br/>
        <w:t xml:space="preserve">   de competencia de la Corte por razón  de  la  materia  planteada  por  el</w:t>
        <w:br/>
        <w:t xml:space="preserve">   Estado.</w:t>
        <w:br/>
        <w:br/>
        <w:t xml:space="preserve">                                      V</w:t>
        <w:br/>
        <w:t xml:space="preserve">                           COnsideraciones previas</w:t>
        <w:br/>
        <w:br/>
        <w:t>A. Control de legalidad sobre los actos de la Comisión</w:t>
        <w:br/>
        <w:br/>
        <w:t xml:space="preserve">      A.1. Alegatos de la representante, de la Comisión y del Estado</w:t>
        <w:br/>
        <w:br/>
        <w:t>49. Un representante solicitó que la Corte realice un control  de  legalidad</w:t>
        <w:br/>
        <w:t xml:space="preserve">   de los actos de la Comisión al haber excluido  al  peticionario  Federico</w:t>
        <w:br/>
        <w:t xml:space="preserve">   Enrique Mena Cosavalente del Informe de Admisibilidad (2008), incluyendo,</w:t>
        <w:br/>
        <w:t xml:space="preserve">   a su vez, a una tercera persona que no tuvo ni ha tenido intervención  en</w:t>
        <w:br/>
        <w:t xml:space="preserve">   el procedimiento ante ella. La  represente  sostuvo  que  advirtió  a  la</w:t>
        <w:br/>
        <w:t xml:space="preserve">   Comisión sobre este error, sin embargo, que no  obtuvo  respuesta  ni  se</w:t>
        <w:br/>
        <w:t xml:space="preserve">   corrigió esta situación en el Informe de Fondo. Asimismo, señaló  que  la</w:t>
        <w:br/>
        <w:t xml:space="preserve">   Comisión archivó la petición  respecto  al  peticionario  Federico  Antón</w:t>
        <w:br/>
        <w:t xml:space="preserve">   Antón, quién fue obligado a desistirse del procedimiento interamericano a</w:t>
        <w:br/>
        <w:t xml:space="preserve">   fin de acceder a los beneficios dispuestos por el derecho interno como un</w:t>
        <w:br/>
        <w:t xml:space="preserve">   trabajador cesado irregularmente. Alegó que en los años 2008  y  2009  el</w:t>
        <w:br/>
        <w:t xml:space="preserve">   señor Antón puso en conocimiento de la Comisión la situación de  coacción</w:t>
        <w:br/>
        <w:t xml:space="preserve">   de la que  era  víctima,  sin  embargo  fue  ignorado.  En  consecuencia,</w:t>
        <w:br/>
        <w:t xml:space="preserve">   concluyó que se habría violado el derecho a la  defensa  de  los  señores</w:t>
        <w:br/>
        <w:t xml:space="preserve">   Mena y Anton, por lo que debía ser  admitido  el  pedido  de  control  de</w:t>
        <w:br/>
        <w:t xml:space="preserve">   legalidad  solicitado.  Otros  representantes  no  se   pronunciaron   al</w:t>
        <w:br/>
        <w:t xml:space="preserve">   respecto. La Comisión no formuló alegatos relacionados con  la  solicitud</w:t>
        <w:br/>
        <w:t xml:space="preserve">   de los representantes.</w:t>
        <w:br/>
        <w:br/>
        <w:t>50. El Estado alegó que el señor Federico Enrique Mena Cosavalente no  puede</w:t>
        <w:br/>
        <w:t xml:space="preserve">   ser incluido como víctima en el presente caso, en virtud de que no se  le</w:t>
        <w:br/>
        <w:t xml:space="preserve">   refiere como presunta víctima ni en el Informe de Admisibilidad ni en  el</w:t>
        <w:br/>
        <w:t xml:space="preserve">   Informe de Fondo de la Comisión. Respecto del señor Federico Antón Antón,</w:t>
        <w:br/>
        <w:t xml:space="preserve">   el Estado manifestó que la ley no exigía al señor Antón que se desistiera</w:t>
        <w:br/>
        <w:t xml:space="preserve">   de su petición  para  que  fuera  reincorporado,  por  lo  que  cualquier</w:t>
        <w:br/>
        <w:t xml:space="preserve">   referencia al requisito del desistimiento en sede supranacional por parte</w:t>
        <w:br/>
        <w:t xml:space="preserve">   de la empresa habría sido resultado de una incorrecta  interpretación  de</w:t>
        <w:br/>
        <w:t xml:space="preserve">   la ley. Adicionalmente, el Estado alegó que no se  ha  presentado  prueba</w:t>
        <w:br/>
        <w:t xml:space="preserve">   alguna sobre la supuesta coacción a la que el  señor  Antón  habría  sido</w:t>
        <w:br/>
        <w:t xml:space="preserve">   sometido. En consecuencia, el Estado estimó que la Corte debe  desestimar</w:t>
        <w:br/>
        <w:t xml:space="preserve">   la solicitud de la representante, y no incorporar a  las  personas  antes</w:t>
        <w:br/>
        <w:t xml:space="preserve">   mencionadas como presuntas víctimas.</w:t>
        <w:br/>
        <w:br/>
        <w:t xml:space="preserve">            A.2. Consideraciones de la Corte</w:t>
        <w:br/>
        <w:br/>
        <w:t>51. La Corte ha sostenido que la Comisión tiene  autonomía  e  independencia</w:t>
        <w:br/>
        <w:t xml:space="preserve">   en el ejercicio de las funciones que  le  competen  en  el  procedimiento</w:t>
        <w:br/>
        <w:t xml:space="preserve">   relativo al trámite de las  peticiones  individuales  dispuesto  por  los</w:t>
        <w:br/>
        <w:t xml:space="preserve">   artículos 44 a 51 de la Convención. No obstante,  en  asuntos  que  estén</w:t>
        <w:br/>
        <w:t xml:space="preserve">   bajo su conocimiento, la Corte tiene la atribución de efectuar un control</w:t>
        <w:br/>
        <w:t xml:space="preserve">   de legalidad de las  actuaciones  de  la  Comisión[53].  Ello  no  supone</w:t>
        <w:br/>
        <w:t xml:space="preserve">   necesariamente revisar el procedimiento que se llevó a  cabo  ante  ésta,</w:t>
        <w:br/>
        <w:t xml:space="preserve">   salvo en caso de que alguna de las partes alegue fundadamente que  exista</w:t>
        <w:br/>
        <w:t xml:space="preserve">   un error grave que vulnere su derecho de defensa[54]. Asimismo, la  Corte</w:t>
        <w:br/>
        <w:t xml:space="preserve">   debe guardar un justo equilibrio entre  la  protección  de  los  derechos</w:t>
        <w:br/>
        <w:t xml:space="preserve">   humanos, fin último del  Sistema,  y  la  seguridad  jurídica  y  equidad</w:t>
        <w:br/>
        <w:t xml:space="preserve">   procesal que  aseguran  la  estabilidad  y  confiabilidad  de  la  tutela</w:t>
        <w:br/>
        <w:t xml:space="preserve">   internacional[55]. Por consiguiente, tal como ha sido  la  jurisprudencia</w:t>
        <w:br/>
        <w:t xml:space="preserve">   reiterada de este Tribunal, la parte que afirma que una actuación  de  la</w:t>
        <w:br/>
        <w:t xml:space="preserve">   Comisión durante el procedimiento ante la misma ha sido llevada de manera</w:t>
        <w:br/>
        <w:t xml:space="preserve">   irregular afectando su derecho de defensa  debe  demostrar  efectivamente</w:t>
        <w:br/>
        <w:t xml:space="preserve">   tal perjuicio. A  este  respecto,  no  resulta  suficiente  una  queja  o</w:t>
        <w:br/>
        <w:t xml:space="preserve">   discrepancia de criterios en relación con  lo  actuado  por  la  Comisión</w:t>
        <w:br/>
        <w:t xml:space="preserve">   Interamericana[56].</w:t>
        <w:br/>
        <w:br/>
        <w:t>52. En el presente caso, corresponde  considerar  los  fundamentos  aducidos</w:t>
        <w:br/>
        <w:t xml:space="preserve">   por la representante para considerar que la actuación de la  Comisión  le</w:t>
        <w:br/>
        <w:t xml:space="preserve">   habría provocado una violación al  derecho  de  defensa  de  los  señores</w:t>
        <w:br/>
        <w:t xml:space="preserve">   Federico Enrique Mena Cosavalente y Federico Antón Antón.</w:t>
        <w:br/>
        <w:br/>
        <w:t>53. Al  respecto,  en  primer  lugar,  la  Corte  nota  que  el  señor  Mena</w:t>
        <w:br/>
        <w:t xml:space="preserve">   Cosavalente figuró en la lista oficial de trabajadores  incluidos  en  la</w:t>
        <w:br/>
        <w:t xml:space="preserve">   petición original ante la Comisión, pero que éste no habría sido incluido</w:t>
        <w:br/>
        <w:t xml:space="preserve">   en el Informe de Admisibilidad No.56/08  de  24  de  julio  de  2008[57].</w:t>
        <w:br/>
        <w:t xml:space="preserve">   Asimismo,  la  Corte  advierte  que  la  representante  Loayza,  mediante</w:t>
        <w:br/>
        <w:t xml:space="preserve">   comunicación de 19 de julio de 2009, solicitó a la Comisión que informara</w:t>
        <w:br/>
        <w:t xml:space="preserve">   los motivos de la no inclusión del señor Mena Cosavalente en  el  Informe</w:t>
        <w:br/>
        <w:t xml:space="preserve">   de Admisibilidad aun cuando éste “fue despedido por no  aceptar  renuncia</w:t>
        <w:br/>
        <w:t xml:space="preserve">   con  incentivos,  en  idéntica  situación  que  los  demás  peticionarios</w:t>
        <w:br/>
        <w:t xml:space="preserve">   comprendidos en el Informe de Admisibilidad, y  es  representado  por  la</w:t>
        <w:br/>
        <w:t xml:space="preserve">   suscrita”[58]. Esta solicitud fue reiterada  en  fecha  3  de  agosto  de</w:t>
        <w:br/>
        <w:t xml:space="preserve">   2009[59], sin que conste en el expediente que haya existido respuesta por</w:t>
        <w:br/>
        <w:t xml:space="preserve">   parte de la Comisión a la  solicitud  de  la  representante,  ni  que  la</w:t>
        <w:br/>
        <w:t xml:space="preserve">   Comisión se haya pronunciado al respecto en el  procedimiento  ante  este</w:t>
        <w:br/>
        <w:t xml:space="preserve">   Tribunal.</w:t>
        <w:br/>
        <w:br/>
        <w:t>54. En segundo lugar, en  relación  con  el  señor  Antón  Antón,  la  Corte</w:t>
        <w:br/>
        <w:t xml:space="preserve">   advierte que el Ministerio del Trabajo y Promoción del Empleo solicitó  a</w:t>
        <w:br/>
        <w:t xml:space="preserve">   Petroperú que  procediera  a  la  reubicación  directa  del  señor  Antón</w:t>
        <w:br/>
        <w:t xml:space="preserve">   Antón[60]. Asimismo, el Tribunal verificó que el 23  de  junio  de  2008,</w:t>
        <w:br/>
        <w:t xml:space="preserve">   mediante comunicación RRHH-DP-553-2008 del Gerente de Recursos Humanos de</w:t>
        <w:br/>
        <w:t xml:space="preserve">   Petroperú, le fue indicado al señor Antón Antón que debía “desistirse del</w:t>
        <w:br/>
        <w:t xml:space="preserve">   proceso de nulidad seguido en contra del Estado peruano ante la Comisión”</w:t>
        <w:br/>
        <w:t xml:space="preserve">   para  poder  ser  reincorporado  con  motivo  de  la   Ley   No.   27803.</w:t>
        <w:br/>
        <w:t xml:space="preserve">   Posteriormente, mediante comunicaciones del 31 de julio de 2009[61], y de</w:t>
        <w:br/>
        <w:t xml:space="preserve">   30 de marzo de  2010[62],  el  peticionario  manifestó  su  intención  de</w:t>
        <w:br/>
        <w:t xml:space="preserve">   desistir como presunta víctima ante  la  Comisión  dentro  del  caso  No.</w:t>
        <w:br/>
        <w:t xml:space="preserve">   11.602. El 23 de febrero de 2010 la representante  envío  un  escrito  al</w:t>
        <w:br/>
        <w:t xml:space="preserve">   Secretario Ejecutivo de la Comisión,  en  el  que  expresó,  entre  otras</w:t>
        <w:br/>
        <w:t xml:space="preserve">   cuestiones, que el desistimiento  formulado  por  el  Señor  Antón  Antón</w:t>
        <w:br/>
        <w:t xml:space="preserve">   carecía de todo  efecto  al  haber  sido  formulado  en  condiciones  que</w:t>
        <w:br/>
        <w:t xml:space="preserve">   viciaban su voluntad[63]. El 23 de  marzo  de  2011,  en  atención  a  la</w:t>
        <w:br/>
        <w:t xml:space="preserve">   solicitud del señor Antón Antón, y con fundamento  en  sus  artículos  48</w:t>
        <w:br/>
        <w:t xml:space="preserve">   (1)(b) de la Convención Americana,  y  41  y  42  de  su  Reglamento,  la</w:t>
        <w:br/>
        <w:t xml:space="preserve">   Comisión decidió archivar la petición[64].</w:t>
        <w:br/>
        <w:br/>
        <w:t>55.  Respecto  a  lo  anterior,  la  Corte  recuerda  que,  conforme  a   su</w:t>
        <w:br/>
        <w:t xml:space="preserve">   jurisprudencia, y de conformidad con el artículo 50 de la  Convención,  y</w:t>
        <w:br/>
        <w:t xml:space="preserve">   del artículo 35.1 del Reglamento de la Corte, corresponde a la  Comisión,</w:t>
        <w:br/>
        <w:t xml:space="preserve">   y no  a  este  Tribunal,  identificar  con  precisión,  y  en  la  debida</w:t>
        <w:br/>
        <w:t xml:space="preserve">   oportunidad procesal, a las presuntas  víctimas  en  un  caso  ante  esta</w:t>
        <w:br/>
        <w:t xml:space="preserve">   Corte[65]. La seguridad jurídica exige, como regla general, que todas las</w:t>
        <w:br/>
        <w:t xml:space="preserve">   presuntas víctimas estén debidamente identificadas en el Informe de Fondo</w:t>
        <w:br/>
        <w:t xml:space="preserve">   y en la demanda, no siendo posible añadir nuevas  presuntas  víctimas  en</w:t>
        <w:br/>
        <w:t xml:space="preserve">   etapas posteriores, sin que ello conlleve un perjuicio al  derecho  a  la</w:t>
        <w:br/>
        <w:t xml:space="preserve">   defensa del Estado demandado[66]. El propio Reglamento prevé la excepción</w:t>
        <w:br/>
        <w:t xml:space="preserve">   a  esta  regla  en  su  artículo  35.2,  al  establecer  que  “cuando  se</w:t>
        <w:br/>
        <w:t xml:space="preserve">   justificare que no fue posible identificar a  alguna  o  algunas  de  las</w:t>
        <w:br/>
        <w:t xml:space="preserve">   presuntas víctimas de los hechos  del  caso  por  tratarse  de  casos  de</w:t>
        <w:br/>
        <w:t xml:space="preserve">   violaciones masivas o colectivas, el Tribunal decidirá en su  oportunidad</w:t>
        <w:br/>
        <w:t xml:space="preserve">   si las considera víctimas”[67]. La Corte advierte que ni la  Comisión  ni</w:t>
        <w:br/>
        <w:t xml:space="preserve">   los representantes alegaron problemas en la identificación del señor Mena</w:t>
        <w:br/>
        <w:t xml:space="preserve">   Cosavalente, por lo que no resulta aplicable la excepción prevista en  el</w:t>
        <w:br/>
        <w:t xml:space="preserve">   artículo 35.2 del Reglamento de la Corte. Sin perjuicio de  lo  anterior,</w:t>
        <w:br/>
        <w:t xml:space="preserve">   la Corte advierte que la falta de inclusión del señor Mena Cosavalente en</w:t>
        <w:br/>
        <w:t xml:space="preserve">   el Informe de Admisibilidad por parte de la Comisión constituyó un  error</w:t>
        <w:br/>
        <w:t xml:space="preserve">   material que le impidió continuar participando del proceso, afectando así</w:t>
        <w:br/>
        <w:t xml:space="preserve">   su derecho a la defensa.</w:t>
        <w:br/>
        <w:br/>
        <w:t>56. Adicionalmente, en lo que respecta  al  desistimiento  del  señor  Antón</w:t>
        <w:br/>
        <w:t xml:space="preserve">   Antón, la Corte advierte que la  Comisión  actuó  en  aplicación  de  los</w:t>
        <w:br/>
        <w:t xml:space="preserve">   artículos 48 (1)(b)  de  la  Convención  Americana,  y  41  y  42  de  su</w:t>
        <w:br/>
        <w:t xml:space="preserve">   Reglamento, los cuales prevén la facultad de la Comisión de archivar  una</w:t>
        <w:br/>
        <w:t xml:space="preserve">   petición cuando el peticionario se desista de la petición y  la  Comisión</w:t>
        <w:br/>
        <w:t xml:space="preserve">   así lo estime pertinente.  Estos  artículos  brindan  flexibilidad  a  la</w:t>
        <w:br/>
        <w:t xml:space="preserve">   Comisión.  En este sentido, la Corte considera que la Comisión  actuó  en</w:t>
        <w:br/>
        <w:t xml:space="preserve">   ejercicio de sus funciones  reglamentarias  en  virtud  de  la  solicitud</w:t>
        <w:br/>
        <w:t xml:space="preserve">   formulada por el señor Antón Antón en fechas 31 de julio de 2009 y 30  de</w:t>
        <w:br/>
        <w:t xml:space="preserve">   marzo de  2010,  y  que  la  representante  Loayza  no  formuló  alegatos</w:t>
        <w:br/>
        <w:t xml:space="preserve">   concretos ante  este  Tribunal  que  demuestren  cómo  los  hechos  antes</w:t>
        <w:br/>
        <w:t xml:space="preserve">   mencionados constituyeron violaciones al derecho a la defensa  del  señor</w:t>
        <w:br/>
        <w:t xml:space="preserve">   Antón Antón en el  trámite  ante  la  Comisión.  Al  respecto,  la  Corte</w:t>
        <w:br/>
        <w:t xml:space="preserve">   recuerda que, cuando las partes soliciten la realización de un control de</w:t>
        <w:br/>
        <w:t xml:space="preserve">   legalidad sobre los actos de la Comisión, no basta que manifiesten quejas</w:t>
        <w:br/>
        <w:t xml:space="preserve">   respecto a  las  actuaciones  de  la  Comisión,  sino  que  además  deben</w:t>
        <w:br/>
        <w:t xml:space="preserve">   demostrar la existencia de un error grave que vulnerara el derecho  a  la</w:t>
        <w:br/>
        <w:t xml:space="preserve">   defensa, situación que no ocurrió en el presente caso.</w:t>
        <w:br/>
        <w:br/>
        <w:t>57. Por lo  anterior,  la  Corte  declara  procedente  la  solicitud  de  la</w:t>
        <w:br/>
        <w:t xml:space="preserve">   representante en lo que respecta a la alegada violación al derecho  a  la</w:t>
        <w:br/>
        <w:t xml:space="preserve">   defensa del señor  Mena  Cosavalente,  por  lo  que  será  incluido  como</w:t>
        <w:br/>
        <w:t xml:space="preserve">   presunta víctima en el presente caso. Por otro lado, el Tribunal  declara</w:t>
        <w:br/>
        <w:t xml:space="preserve">   improcedente la solicitud de la representante Loayza en lo que respecta a</w:t>
        <w:br/>
        <w:t xml:space="preserve">   la alegada violación al derecho a la defensa del señor Antón Antón.</w:t>
        <w:br/>
        <w:br/>
        <w:br/>
        <w:t>B. Sobre la determinación de las presuntas víctimas en el presente caso</w:t>
        <w:br/>
        <w:br/>
        <w:t xml:space="preserve">            B.1. Alegatos del Estado y observaciones de la  Comisión  y  los</w:t>
        <w:br/>
        <w:t>representantes</w:t>
        <w:br/>
        <w:br/>
        <w:t>58.  El  Estado  alegó  que  no  debe  ser  aceptada  la  pretensión  de  el</w:t>
        <w:br/>
        <w:t xml:space="preserve">   representante a efecto de que los familiares de  las  presuntas  víctimas</w:t>
        <w:br/>
        <w:t xml:space="preserve">   también sean considerados como tales, pues la Comisión  no  identificó  a</w:t>
        <w:br/>
        <w:t xml:space="preserve">   ningún familiar como víctima en el Anexo 1 de su  Informe  de  Fondo.  Al</w:t>
        <w:br/>
        <w:t xml:space="preserve">   respecto, alegó que corresponde a la Comisión determinar a las  presuntas</w:t>
        <w:br/>
        <w:t xml:space="preserve">   víctimas en el Informe de Fondo, por lo que no pueden  existir  “nóminas”</w:t>
        <w:br/>
        <w:t xml:space="preserve">   adicionales como pretenden los representantes.</w:t>
        <w:br/>
        <w:br/>
        <w:t>59. La Comisión señaló que, debido  a  que  los  peticionarios  no  alegaron</w:t>
        <w:br/>
        <w:t xml:space="preserve">   violaciones en perjuicio de los  familiares  de  las  presuntas  víctimas</w:t>
        <w:br/>
        <w:t xml:space="preserve">   durante el trámite ante la Comisión, no analizó una posible afectación  a</w:t>
        <w:br/>
        <w:t xml:space="preserve">   dichos familiares y, en consecuencia, no los consideró como víctimas.</w:t>
        <w:br/>
        <w:br/>
        <w:t>60. Un representante alegó que el  presente  caso  trata  sobre  violaciones</w:t>
        <w:br/>
        <w:t xml:space="preserve">   colectivas de derechos humanos generadas por ceses colectivos durante  la</w:t>
        <w:br/>
        <w:t xml:space="preserve">   época del régimen de Alberto Fujimori, por lo que la Corte  debe  aplicar</w:t>
        <w:br/>
        <w:t xml:space="preserve">   el artículo 35.2 del reglamento. Alegó que los ceses habrían  afectado  a</w:t>
        <w:br/>
        <w:t xml:space="preserve">   los trabajadores, quienes eran jefas y jefes de familia. En consecuencia,</w:t>
        <w:br/>
        <w:t xml:space="preserve">   que se afectó la salud, calidad de vida, educación y alimentación de  sus</w:t>
        <w:br/>
        <w:t xml:space="preserve">   familiares. Al respecto mencionó que lo anterior  demuestra  el  carácter</w:t>
        <w:br/>
        <w:t xml:space="preserve">   colectivo de las violaciones,  y  por  ende  el  deber  de  la  Corte  de</w:t>
        <w:br/>
        <w:t xml:space="preserve">   verificar el impacto más allá del mero acto  del  cese  de  las  personas</w:t>
        <w:br/>
        <w:t xml:space="preserve">   inicialmente identificadas en el Informe  de  Fondo.  Adicionalmente,  el</w:t>
        <w:br/>
        <w:t xml:space="preserve">   representante resaltó que la Corte debe identificar a los  familiares  de</w:t>
        <w:br/>
        <w:t xml:space="preserve">   las víctimas que han fallecido. Otros representantes no  se  pronunciaron</w:t>
        <w:br/>
        <w:t xml:space="preserve">   al respecto.</w:t>
        <w:br/>
        <w:br/>
        <w:t xml:space="preserve">            B.2. Consideraciones de la Corte</w:t>
        <w:br/>
        <w:br/>
        <w:t>61. El artículo 35.1 del Reglamento de la Corte dispone que  el  Informe  de</w:t>
        <w:br/>
        <w:t xml:space="preserve">   Fondo deberá contener la identificación de las presuntas víctimas,  salvo</w:t>
        <w:br/>
        <w:t xml:space="preserve">   en los casos previstos por el 35.2 del  mismo  instrumento  (supra  párr.</w:t>
        <w:br/>
        <w:t xml:space="preserve">   55). La Corte resalta que,  de  conformidad  con  su  jurisprudencia,  la</w:t>
        <w:br/>
        <w:t xml:space="preserve">   excepción prevista en el artículo 35.2 del Reglamento de la  Corte  opera</w:t>
        <w:br/>
        <w:t xml:space="preserve">   en aquellos casos donde exista un impedimento material  o  práctico  para</w:t>
        <w:br/>
        <w:t xml:space="preserve">   identificar a presuntas  víctimas  en  casos  de  violaciones  masivas  o</w:t>
        <w:br/>
        <w:t xml:space="preserve">   colectivas a los derechos humanos. En los demás casos, los representantes</w:t>
        <w:br/>
        <w:t xml:space="preserve">   deberán señalar  a  todas  las  presuntas  víctimas  y  beneficiarios  de</w:t>
        <w:br/>
        <w:t xml:space="preserve">   reparaciones durante el trámite ante la Comisión, y  evitar  hacerlo  con</w:t>
        <w:br/>
        <w:t xml:space="preserve">   posterioridad a la emisión del Informe de Fondo  al  que  se  refiere  el</w:t>
        <w:br/>
        <w:t xml:space="preserve">   artículo 50 de la Convención[68]. Esto, pues la Comisión, al  momento  de</w:t>
        <w:br/>
        <w:t xml:space="preserve">   emitir su Informe de Fondo, debe contar con todos los elementos  para  la</w:t>
        <w:br/>
        <w:t xml:space="preserve">   determinación de cuestiones de hecho y de derecho del caso,  inclusive  a</w:t>
        <w:br/>
        <w:t xml:space="preserve">   quienes debe considerarse como víctimas[69].  En  el  presente  caso,  la</w:t>
        <w:br/>
        <w:t xml:space="preserve">   Comisión no ha alegado dificultades para la determinación oportuna de los</w:t>
        <w:br/>
        <w:t xml:space="preserve">   familiares de las presuntas víctimas mencionadas en el Informe  de  Fondo</w:t>
        <w:br/>
        <w:t xml:space="preserve">   y, por el contrario, manifestó que  no  fueron  alegadas  afectaciones  a</w:t>
        <w:br/>
        <w:t xml:space="preserve">   dichos familiares durante el trámite ante la Comisión.</w:t>
        <w:br/>
        <w:br/>
        <w:br/>
        <w:t>62. En consecuencia, en aplicación del artículo 35.1 de su Reglamento  y  de</w:t>
        <w:br/>
        <w:t xml:space="preserve">   su jurisprudencia constante, la Corte declara  que  no  considerará  como</w:t>
        <w:br/>
        <w:t xml:space="preserve">   presuntas  víctimas,  y  eventuales  beneficiarios  de  reparaciones  que</w:t>
        <w:br/>
        <w:t xml:space="preserve">   correspondan, a los familiares de las presuntas víctimas.</w:t>
        <w:br/>
        <w:br/>
        <w:t>C. Respecto al contexto y a los hechos de la controversia</w:t>
        <w:br/>
        <w:br/>
        <w:t xml:space="preserve">            C.1. Alegatos del Estado y observaciones de la  Comisión  y  los</w:t>
        <w:br/>
        <w:t xml:space="preserve">      representantes</w:t>
        <w:br/>
        <w:br/>
        <w:t>63.  El  Estado  manifestó  que,  para  efectos  de  evaluar   la   presunta</w:t>
        <w:br/>
        <w:t xml:space="preserve">   responsabilidad del Estado en el presente caso, sólo se podrá analizar el</w:t>
        <w:br/>
        <w:t xml:space="preserve">   desarrollo  de  los  procesos  judiciales  iniciados  por  las  presuntas</w:t>
        <w:br/>
        <w:t xml:space="preserve">   víctimas  para  cuestionar  sus   respectivos   ceses,   pues   (i)   los</w:t>
        <w:br/>
        <w:t xml:space="preserve">   procedimientos de cese no han sido establecidos por  la  Comisión  en  su</w:t>
        <w:br/>
        <w:t xml:space="preserve">   Informe de Fondo, (ii) la propia Comisión enfocó el caso en la evaluación</w:t>
        <w:br/>
        <w:t xml:space="preserve">   de la respuesta judicial otorgada a las víctimas frente a  sus  ceses,  y</w:t>
        <w:br/>
        <w:t xml:space="preserve">   (iii) en los casos Aguado Alfaro y otros y Canales  Huapaya  y  otros  la</w:t>
        <w:br/>
        <w:t xml:space="preserve">   Corte determinó que el objeto de la controversia  no  era  determinar  el</w:t>
        <w:br/>
        <w:t xml:space="preserve">   carácter arbitrario de los ceses.  En  ese  sentido,  alegó  que  resulta</w:t>
        <w:br/>
        <w:t xml:space="preserve">   innecesario que la Corte se pronuncie sobre la existencia de un  presunto</w:t>
        <w:br/>
        <w:t xml:space="preserve">   “contexto de ceses”. El Estado también alegó, en el mismo sentido, que no</w:t>
        <w:br/>
        <w:t xml:space="preserve">   corresponde a la Corte pronunciarse sobre  los  alegatos  relacionados  a</w:t>
        <w:br/>
        <w:t xml:space="preserve">   otros derechos no considerados por la Comisión en su Informe de Fondo,  o</w:t>
        <w:br/>
        <w:t xml:space="preserve">   que no se encuentran basados en hechos descritos por la Comisión en dicho</w:t>
        <w:br/>
        <w:t xml:space="preserve">   informe. En  consecuencia,  el  Estado  alegó  que  los  cuestionamientos</w:t>
        <w:br/>
        <w:t xml:space="preserve">   realizados a los procedimientos de cese, así como  aquellos  relacionados</w:t>
        <w:br/>
        <w:t xml:space="preserve">   con violaciones al derecho a la vida, a la vida digna,  a  la  integridad</w:t>
        <w:br/>
        <w:t xml:space="preserve">   personal, a la legalidad y retroactividad, a la protección de la honra  y</w:t>
        <w:br/>
        <w:t xml:space="preserve">   la dignidad, a la protección de la familia, y al derecho a la  propiedad,</w:t>
        <w:br/>
        <w:t xml:space="preserve">   no forman parte de la controversia del presente caso.</w:t>
        <w:br/>
        <w:br/>
        <w:t>64. Un representante alegó que el contexto es fundamental para  entender  el</w:t>
        <w:br/>
        <w:t xml:space="preserve">   caso concreto y las violaciones que han sido señaladas por la Comisión en</w:t>
        <w:br/>
        <w:t xml:space="preserve">   su  Informe  de  Fondo,  así  como  las  violaciones  alegadas  por   los</w:t>
        <w:br/>
        <w:t xml:space="preserve">   representantes, pues permite establecer el alcance de dichas  violaciones</w:t>
        <w:br/>
        <w:t xml:space="preserve">   y sus consecuencias jurídicas, así como para establecer  las  medidas  de</w:t>
        <w:br/>
        <w:t xml:space="preserve">   reparación. Adicionalmente, alegó que el contexto es  aplicable  respecto</w:t>
        <w:br/>
        <w:t xml:space="preserve">   de todos los casos acumulados, en tanto los trabajadores  fueron  cesados</w:t>
        <w:br/>
        <w:t xml:space="preserve">   en el mismo marco legislativo, en la misma  época,  y  se  sometieron  al</w:t>
        <w:br/>
        <w:t xml:space="preserve">   mismo sistema de justicia existente en el Estado. La Comisión,  ni  otros</w:t>
        <w:br/>
        <w:t xml:space="preserve">   representantes, se pronunciaron respecto a las objeciones del Estado.</w:t>
        <w:br/>
        <w:br/>
        <w:t xml:space="preserve">            C.2. Consideraciones de la Corte</w:t>
        <w:br/>
        <w:br/>
        <w:t>65. La Corte recuerda  que  el  marco  fáctico  del  proceso  ante  ella  se</w:t>
        <w:br/>
        <w:t xml:space="preserve">   encuentra constituido por los hechos contenidos en el Informe  de  Fondo.</w:t>
        <w:br/>
        <w:t xml:space="preserve">   En consecuencia, no es admisible que las  partes  aleguen  nuevos  hechos</w:t>
        <w:br/>
        <w:t xml:space="preserve">   distintos a los contenidos en dicho Informe,  sin  perjuicio  de  exponer</w:t>
        <w:br/>
        <w:t xml:space="preserve">   aquellos que permitan explicar, aclarar o desestimar los que  hayan  sido</w:t>
        <w:br/>
        <w:t xml:space="preserve">   sometidos a la consideración de la Corte. La excepción a  este  principio</w:t>
        <w:br/>
        <w:t xml:space="preserve">   son los hechos que se califican como supervinientes  o  cuando  se  tenga</w:t>
        <w:br/>
        <w:t xml:space="preserve">   conocimiento de hechos o acceso  a  las  pruebas  sobre  los  mismos  con</w:t>
        <w:br/>
        <w:t xml:space="preserve">   posterioridad, siempre  que  se  encuentren  ligados  a  los  hechos  del</w:t>
        <w:br/>
        <w:t xml:space="preserve">   proceso[70]. Estas consideraciones incluyen el contexto presentado por la</w:t>
        <w:br/>
        <w:t xml:space="preserve">   Comisión en su Informe de Fondo, el cual forma parte del marco fáctico de</w:t>
        <w:br/>
        <w:t xml:space="preserve">   un caso ante este Tribunal[71]. En definitiva,  corresponde  a  la  Corte</w:t>
        <w:br/>
        <w:t xml:space="preserve">   decidir en cada caso acerca de la procedencia de  alegatos  relativos  al</w:t>
        <w:br/>
        <w:t xml:space="preserve">   marco fáctico, en resguardo del equilibrio procesal de las partes[72].</w:t>
        <w:br/>
        <w:br/>
        <w:t>66. En el presente caso, la Corte nota que la Comisión,  en  su  Informe  de</w:t>
        <w:br/>
        <w:t xml:space="preserve">   Fondo, estableció que los casos materia de dicho Informe se  relacionaron</w:t>
        <w:br/>
        <w:t xml:space="preserve">   “con la problemática de ceses colectivos en los años  noventa  en  Perú”,</w:t>
        <w:br/>
        <w:t xml:space="preserve">   que “tuvo su origen en un grupo de normas generales que  dieron  lugar  a</w:t>
        <w:br/>
        <w:t xml:space="preserve">   normas y  procedimientos  especiales  de  racionalización  en  diferentes</w:t>
        <w:br/>
        <w:t xml:space="preserve">   entidades estatales”. De igual forma, estableció  que  “es  común  a  los</w:t>
        <w:br/>
        <w:t xml:space="preserve">   cuatro casos la presentación de  acciones  de  amparo  contra  los  ceses</w:t>
        <w:br/>
        <w:t xml:space="preserve">   derivados de dichos procedimientos y la respuesta desfavorable por  parte</w:t>
        <w:br/>
        <w:t xml:space="preserve">   del Poder Judicial”. En ese  sentido,  determinó  que  el  objeto  de  la</w:t>
        <w:br/>
        <w:t xml:space="preserve">   controversia del presente caso es determinar si las  presuntas  víctimas,</w:t>
        <w:br/>
        <w:t xml:space="preserve">   luego de ser  cesadas,  contaron  con  un  recurso  judicial  adecuado  y</w:t>
        <w:br/>
        <w:t xml:space="preserve">   efectivo para cuestionar sus despidos conforme a los estándares previstos</w:t>
        <w:br/>
        <w:t xml:space="preserve">   en la Convención Americana.</w:t>
        <w:br/>
        <w:br/>
        <w:t>67.  Los hechos contenidos en el Informe de Fondo relativos al origen de  la</w:t>
        <w:br/>
        <w:t xml:space="preserve">   problemática de ceses colectivos en Perú en los años  noventa,  a  saber,</w:t>
        <w:br/>
        <w:t xml:space="preserve">   aquellos relacionados con (i) la situación política en Perú en la  década</w:t>
        <w:br/>
        <w:t xml:space="preserve">   de 1990, (ii) las medidas legislativas adoptadas como base para  realizar</w:t>
        <w:br/>
        <w:t xml:space="preserve">   los  ceses  colectivos,  y  (iii)  los   procedimientos   especiales   de</w:t>
        <w:br/>
        <w:t xml:space="preserve">   racionalización  en  Petroperú  y  Enapu,  así  como  los  procedimientos</w:t>
        <w:br/>
        <w:t xml:space="preserve">   especiales  de  evaluación  del  MEF  y  Minedu,  tienen  una  naturaleza</w:t>
        <w:br/>
        <w:t xml:space="preserve">   contextual para efectos del presente caso. Es  decir,  estos  hechos  son</w:t>
        <w:br/>
        <w:t xml:space="preserve">   relevantes “para situar los hechos alegados como violatorios de [derechos</w:t>
        <w:br/>
        <w:t xml:space="preserve">   humanos]  en  el  marco  de  las  circunstancias   específicas   en   que</w:t>
        <w:br/>
        <w:t xml:space="preserve">   ocurrieron”[73]. De este modo, los hechos  mencionados  por  la  Comisión</w:t>
        <w:br/>
        <w:t xml:space="preserve">   como constituyentes de la problemática relativa a  los  ceses  colectivos</w:t>
        <w:br/>
        <w:t xml:space="preserve">   serán considerados, en lo pertinente, para precisar  el  alcance  de  las</w:t>
        <w:br/>
        <w:t xml:space="preserve">   obligaciones estatales de garantizar  el  acceso  a  recursos  judiciales</w:t>
        <w:br/>
        <w:t xml:space="preserve">   efectivos a las presuntas víctimas del presente caso.</w:t>
        <w:br/>
        <w:br/>
        <w:t>68. Adicionalmente, la Corte advierte que los hechos  relacionados  con  los</w:t>
        <w:br/>
        <w:t xml:space="preserve">   efectos del cese colectivo de las presuntas víctimas, es decir,  aquellos</w:t>
        <w:br/>
        <w:t xml:space="preserve">   descritos por un representante en su escrito de solicitudes y  argumentos</w:t>
        <w:br/>
        <w:t xml:space="preserve">   como afectaciones a la vida profesional  y  la  estabilidad  laboral,  la</w:t>
        <w:br/>
        <w:t xml:space="preserve">   pérdida de ingresos económicos y de bienes, la pérdida  de  acceso  a  la</w:t>
        <w:br/>
        <w:t xml:space="preserve">   salud y a la asistencia médica, la pérdida  de  beneficios  sociales,  la</w:t>
        <w:br/>
        <w:t xml:space="preserve">   imposibilidad para acceder a una nueva actividad laboral, la afectación a</w:t>
        <w:br/>
        <w:t xml:space="preserve">   derechos sindicales, la afectación a la calidad de vida, el deterioro  de</w:t>
        <w:br/>
        <w:t xml:space="preserve">   la salud física y mental de las presuntas víctimas y sus familiares,  así</w:t>
        <w:br/>
        <w:t xml:space="preserve">   como la afectación a los procesos educativos de ellos y de sus familiares</w:t>
        <w:br/>
        <w:t xml:space="preserve">   directos,  y  la  hostilización  y  hostigamiento  de  los   trabajadores</w:t>
        <w:br/>
        <w:t xml:space="preserve">   reincorporados por parte de Enapu, no  se  encuentran  dentro  del  marco</w:t>
        <w:br/>
        <w:t xml:space="preserve">   fáctico  establecido  en  el  Informe  de  Fondo  de  la   Comisión.   En</w:t>
        <w:br/>
        <w:t xml:space="preserve">   consecuencia, la  Corte  concluye  que  no  es  procedente  analizar  los</w:t>
        <w:br/>
        <w:t xml:space="preserve">   alegatos del representante relacionados con la violación a los derechos a</w:t>
        <w:br/>
        <w:t xml:space="preserve">   la vida, a la  integridad  personal,  al  principio  de  legalidad  y  no</w:t>
        <w:br/>
        <w:t xml:space="preserve">   retroactividad, a la honra y a la  dignidad,  a  la  propiedad,  y  a  la</w:t>
        <w:br/>
        <w:t xml:space="preserve">   igualdad y no discriminación, los cuales se sustentan en  los  hechos  no</w:t>
        <w:br/>
        <w:t xml:space="preserve">   contemplados por la Comisión.</w:t>
        <w:br/>
        <w:br/>
        <w:t>69. En razón de lo anterior, y tal como este Tribunal concluyó en los  casos</w:t>
        <w:br/>
        <w:t xml:space="preserve">   Aguado Alfaro y otros, y  Canales  Huapaya  y  otros,  el  objeto  de  la</w:t>
        <w:br/>
        <w:t xml:space="preserve">   controversia en el presente caso no es determinar  el  supuesto  carácter</w:t>
        <w:br/>
        <w:t xml:space="preserve">   arbitrario de los ceses de las presuntas víctimas, ni  las  consecuencias</w:t>
        <w:br/>
        <w:t xml:space="preserve">   que éstos  pudieron  haber  tenido  en  la  afectación  de  otros  bienes</w:t>
        <w:br/>
        <w:t xml:space="preserve">   jurídicos, sino en el análisis de la respuesta judicial del  Estado  ante</w:t>
        <w:br/>
        <w:t xml:space="preserve">   estos ceses y en las consecuencias jurídicas  que  se  deriven  de  dicha</w:t>
        <w:br/>
        <w:t xml:space="preserve">   respuesta[74].</w:t>
        <w:br/>
        <w:br/>
        <w:t>70. En consecuencia, la Corte rechaza parcialmente la solicitud  del  Estado</w:t>
        <w:br/>
        <w:t xml:space="preserve">   en  lo  que  respecta  a  que  no  sean  tomados  en  cuenta  los  hechos</w:t>
        <w:br/>
        <w:t xml:space="preserve">   relacionados con el “contexto de ceses”, y la admite en lo que respecta a</w:t>
        <w:br/>
        <w:t xml:space="preserve">   la delimitación de la controversia en el presente caso.</w:t>
        <w:br/>
        <w:br/>
        <w:br/>
        <w:t>D. Respecto a las actuaciones  y  pruebas  remitidas  por  la  representante</w:t>
        <w:br/>
        <w:t>Roxana Palomino Mayta</w:t>
        <w:br/>
        <w:br/>
        <w:t>71. La Corte advierte que la señora Roxana Palomino Mayta,  acreditada  como</w:t>
        <w:br/>
        <w:t xml:space="preserve">   representante, presentó su escrito de solicitudes y argumentos de  manera</w:t>
        <w:br/>
        <w:t xml:space="preserve">   extemporánea (supra párr. 9), por lo que no sería tomado  en  cuenta  por</w:t>
        <w:br/>
        <w:t xml:space="preserve">   este Tribunal en el  presente  caso.  Al  respecto,  tal  y  como  lo  ha</w:t>
        <w:br/>
        <w:t xml:space="preserve">   establecido en otros casos[75], en aplicación del artículo 29.2, la Corte</w:t>
        <w:br/>
        <w:t xml:space="preserve">   no valorará ningún alegato o prueba de los representantes  que  adicionen</w:t>
        <w:br/>
        <w:t xml:space="preserve">   hechos, otros derechos que se aleguen violados o  presuntas  víctimas  al</w:t>
        <w:br/>
        <w:t xml:space="preserve">   caso, o pretensiones de reparaciones y costas distintas a las solicitadas</w:t>
        <w:br/>
        <w:t xml:space="preserve">   por la Comisión en su Informe de Fondo, por no haber sido presentadas  en</w:t>
        <w:br/>
        <w:t xml:space="preserve">   el momento procesal oportuno (artículo 40.1  del  Reglamento).  Sobre  la</w:t>
        <w:br/>
        <w:t xml:space="preserve">   misma base, la Corte recuerda que los alegatos finales son  esencialmente</w:t>
        <w:br/>
        <w:t xml:space="preserve">   una oportunidad para sistematizar los argumentos de hecho  y  de  derecho</w:t>
        <w:br/>
        <w:t xml:space="preserve">   presentados oportunamente. En consecuencia, en virtud de  los  principios</w:t>
        <w:br/>
        <w:t xml:space="preserve">   de contradicción y preclusión procesal, aplicables al procedimiento  ante</w:t>
        <w:br/>
        <w:t xml:space="preserve">   la Corte, las solicitudes y argumentos  de  dicha  representante  en  sus</w:t>
        <w:br/>
        <w:t xml:space="preserve">   alegatos finales no serán tomadas en cuenta, salvo si tienen relación con</w:t>
        <w:br/>
        <w:t xml:space="preserve">   lo planteado por la Comisión.</w:t>
        <w:br/>
        <w:br/>
        <w:t xml:space="preserve">                                     VI</w:t>
        <w:br/>
        <w:t xml:space="preserve">                                   PRUEBA</w:t>
        <w:br/>
        <w:br/>
        <w:br/>
        <w:t>72. Con base en lo establecido en los artículos 50, 57 y 58 del  Reglamento,</w:t>
        <w:br/>
        <w:t xml:space="preserve">   la  Corte  determinará  la  admisión   de   los   elementos   probatorios</w:t>
        <w:br/>
        <w:t xml:space="preserve">   documentales  remitidos  por  las  partes   en   diversas   oportunidades</w:t>
        <w:br/>
        <w:t xml:space="preserve">   procesales, las declaraciones y testimonios rendidos mediante declaración</w:t>
        <w:br/>
        <w:t xml:space="preserve">   jurada (affidávit) y en la audiencia pública, así como las  pruebas  para</w:t>
        <w:br/>
        <w:t xml:space="preserve">   mejor  resolver  solicitadas  por  la  Corte.  También   determinará   la</w:t>
        <w:br/>
        <w:t xml:space="preserve">   incorporación de prueba de oficio.</w:t>
        <w:br/>
        <w:br/>
        <w:t>A. Prueba documental, testimonial y pericial</w:t>
        <w:br/>
        <w:br/>
        <w:t>73. La Corte recibió diversos documentos  presentados  como  prueba  por  el</w:t>
        <w:br/>
        <w:t xml:space="preserve">   Estado, los intervinientes comunes y la Comisión Interamericana, adjuntos</w:t>
        <w:br/>
        <w:t xml:space="preserve">   a sus escritos principales y  de  alegatos  finales  escritos.  Asimismo,</w:t>
        <w:br/>
        <w:t xml:space="preserve">   recibió las declaraciones rendidas ante fedatario público (affidavit)  de</w:t>
        <w:br/>
        <w:t xml:space="preserve">   las presuntas víctimas Gloria Nila Amabelia Moreno  Cueva,  Gerber  Acedo</w:t>
        <w:br/>
        <w:t xml:space="preserve">   Martínez, Eduardo Chávarry Vélez, María Esther Medina Crisanto de  Zapata</w:t>
        <w:br/>
        <w:t xml:space="preserve">   y Maritza Amaya Cobeñas, y los dictámenes de los  peritos  Jorge  Eusebio</w:t>
        <w:br/>
        <w:t xml:space="preserve">   Manco Zaconetti  y  Jorge  Guido  Bernedo  Alvarado,  propuestos  por  un</w:t>
        <w:br/>
        <w:t xml:space="preserve">   representante. De igual forma, recibió la declaración del testigo Ricardo</w:t>
        <w:br/>
        <w:t xml:space="preserve">   Gabriel Herbozo Colque y el dictamen del perito Luis Raúl Sáenz  Dávalos,</w:t>
        <w:br/>
        <w:t xml:space="preserve">   ofrecidos por el Estado. En cuanto  a  la  prueba  rendida  en  audiencia</w:t>
        <w:br/>
        <w:t xml:space="preserve">   pública, la Corte recibió la  declaración  de  la  presunta  víctima  Isi</w:t>
        <w:br/>
        <w:t xml:space="preserve">   Antonia Rosas Meléndez  y  el  dictamen  del  perito  Christian  Courtis,</w:t>
        <w:br/>
        <w:t xml:space="preserve">   propuestos ambos por un representante.</w:t>
        <w:br/>
        <w:br/>
        <w:t>B. Admisión de la prueba</w:t>
        <w:br/>
        <w:br/>
        <w:t xml:space="preserve">      B.1. Admisión de la prueba documental</w:t>
        <w:br/>
        <w:br/>
        <w:t>74. En el presente caso, al igual que en otros,  la  Corte  admite  aquellos</w:t>
        <w:br/>
        <w:t xml:space="preserve">   documentos presentados  por  las  partes  y  la  Comisión  en  la  debida</w:t>
        <w:br/>
        <w:t xml:space="preserve">   oportunidad  procesal  (artículo  57  del  Reglamento)  que   no   fueron</w:t>
        <w:br/>
        <w:t xml:space="preserve">   controvertidos ni objetados, ni cuya autenticidad fue puesta en duda[76],</w:t>
        <w:br/>
        <w:t xml:space="preserve">   sin perjuicio de lo cual a continuación se  resuelven  las  controversias</w:t>
        <w:br/>
        <w:t xml:space="preserve">   planteadas sobre la admisibilidad de determinados documentos.</w:t>
        <w:br/>
        <w:br/>
        <w:t>75. Anexos presentados junto con los alegatos finales  escritos.-  La  Corte</w:t>
        <w:br/>
        <w:t xml:space="preserve">   recuerda que no es admisible la prueba  remitida  fuera  de  las  debidas</w:t>
        <w:br/>
        <w:t xml:space="preserve">   oportunidades procesales, salvo en las  excepciones  establecidas  en  el</w:t>
        <w:br/>
        <w:t xml:space="preserve">   referido artículo 57.2 del Reglamento, a saber, en casos de fuerza  mayor</w:t>
        <w:br/>
        <w:t xml:space="preserve">   o  impedimento  grave,  o  si  se  tratare  de  un  hecho  ocurrido   con</w:t>
        <w:br/>
        <w:t xml:space="preserve">   posterioridad a los citados momentos procesales[77]. En consecuencia,  la</w:t>
        <w:br/>
        <w:t xml:space="preserve">   Corte considera lo siguiente:</w:t>
        <w:br/>
        <w:br/>
        <w:t xml:space="preserve"> a) Respecto de los anexos 2, 3, 4 y 5[78] a los alegatos finales remitidos</w:t>
        <w:br/>
        <w:t xml:space="preserve">    por otros representantes el 14 de  noviembre  de  2016[79],  y  de  los</w:t>
        <w:br/>
        <w:t xml:space="preserve">    anexos 8, 10 y 15[80] a los alegatos finales de un  representante,  los</w:t>
        <w:br/>
        <w:t xml:space="preserve">    cuales fueron objetados por el Estado[81], así como los anexos 1, 2, 3,</w:t>
        <w:br/>
        <w:t xml:space="preserve">    4, 5, 6, 7, 9, 11, 13 y 14[82] de  la  misma  representante,  la  Corte</w:t>
        <w:br/>
        <w:t xml:space="preserve">    constata  que  los  anexos  referidos  fueron   aportados   de   manera</w:t>
        <w:br/>
        <w:t xml:space="preserve">    extemporánea, por lo que son inadmisibles.</w:t>
        <w:br/>
        <w:br/>
        <w:br/>
        <w:t xml:space="preserve"> b) Respecto del anexo 12 a los alegatos finales de la representante Loayza</w:t>
        <w:br/>
        <w:t xml:space="preserve">    Tamayo, correspondiente a la Ley N° 30484 publicada el 6  de  julio  de</w:t>
        <w:br/>
        <w:t xml:space="preserve">    2016, esta Corte constata que  la  Ley  No.  30484  fue  publicada  con</w:t>
        <w:br/>
        <w:t xml:space="preserve">    posterioridad a la presentación del escrito de solicitudes,  argumentos</w:t>
        <w:br/>
        <w:t xml:space="preserve">    y pruebas de la representante, por lo que resulta admisible[83].</w:t>
        <w:br/>
        <w:br/>
        <w:t xml:space="preserve"> c) Respecto de  los  anexos  1  y  6  de  los  señores  Paredes  y  Paiba,</w:t>
        <w:br/>
        <w:t xml:space="preserve">    correspondientes  al  cuadro  de  cronología  de  del   caso   de   los</w:t>
        <w:br/>
        <w:t xml:space="preserve">    trabajadores cesados  del  Ministerio  de  Educación  y  al  cuadro  de</w:t>
        <w:br/>
        <w:t xml:space="preserve">    presuntas víctimas de Minedu que han recibido algún tipo  de  beneficio</w:t>
        <w:br/>
        <w:t xml:space="preserve">    según la Ley 27803 respectivamente, esta Corte  hace  notar  que  estos</w:t>
        <w:br/>
        <w:t xml:space="preserve">    corresponden a información ya incorporada en el expediente, por lo  que</w:t>
        <w:br/>
        <w:t xml:space="preserve">    resultan admisibles.</w:t>
        <w:br/>
        <w:br/>
        <w:t xml:space="preserve"> d) Respecto a la prueba  presentada  por  la  interviniente  común  Roxana</w:t>
        <w:br/>
        <w:t xml:space="preserve">    Palomino en sus alegatos finales escritos, la cual fue objetada por  el</w:t>
        <w:br/>
        <w:t xml:space="preserve">    Estado[84], la Corte constata que los anexos referidos fueron aportados</w:t>
        <w:br/>
        <w:t xml:space="preserve">    de manera extemporánea, por lo que son inadmisibles[85].</w:t>
        <w:br/>
        <w:br/>
        <w:t xml:space="preserve"> e) Respecto a la prueba presentada por el Estado de  Perú  junto  con  sus</w:t>
        <w:br/>
        <w:t xml:space="preserve">    alegatos finales escritos, esta Corte constata que los anexos 5, 6, 7 y</w:t>
        <w:br/>
        <w:t xml:space="preserve">    8[86] se tratan de documentos que ya constaban en el  expediente  antes</w:t>
        <w:br/>
        <w:t xml:space="preserve">    de ser presentados en la audiencia. Por lo tanto, los  mismos  quedaron</w:t>
        <w:br/>
        <w:t xml:space="preserve">    incorporados al trámite y resultan pertinentes para la  resolución  del</w:t>
        <w:br/>
        <w:t xml:space="preserve">    presente caso. Por otra parte, respecto de los anexos  1,  2,  3,  4  y</w:t>
        <w:br/>
        <w:t xml:space="preserve">    9[87],  que  para  el  momento  de  la  presentación  del  escrito   de</w:t>
        <w:br/>
        <w:t xml:space="preserve">    contestación no fueron presentados pese  a  su  existencia,  y  tampoco</w:t>
        <w:br/>
        <w:t xml:space="preserve">    fueron solicitados por la Corte, su presentación es extemporánea y  por</w:t>
        <w:br/>
        <w:t xml:space="preserve">    lo tanto son inadmisibles.</w:t>
        <w:br/>
        <w:br/>
        <w:t>76. Prueba para mejor resolver.- El 27 de julio de 2017 se  solicitó  a  los</w:t>
        <w:br/>
        <w:t xml:space="preserve">   representantes un listado de las presuntas víctimas que  representaban  y</w:t>
        <w:br/>
        <w:t xml:space="preserve">   una copia de algún documento oficial que permitiera acreditar  el  nombre</w:t>
        <w:br/>
        <w:t xml:space="preserve">   completo de las mismas, como prueba para mejor  resolver  de  conformidad</w:t>
        <w:br/>
        <w:t xml:space="preserve">   con el artículo 58.b) del Reglamento, la cual fue presentada el 3 y 4  de</w:t>
        <w:br/>
        <w:t xml:space="preserve">   agosto de 2017 y transmitida a la Comisión y al Estado el 9 de agosto  de</w:t>
        <w:br/>
        <w:t xml:space="preserve">   2017.</w:t>
        <w:br/>
        <w:br/>
        <w:t>77. Incorporación de prueba de  oficio.-  De  conformidad  con  el  artículo</w:t>
        <w:br/>
        <w:t xml:space="preserve">   58.a) de su Reglamento, “[e]n cualquier  estado  de  la  causa  la  Corte</w:t>
        <w:br/>
        <w:t xml:space="preserve">   podrá: Procurar de oficio toda prueba que considere  útil  y  necesaria”.</w:t>
        <w:br/>
        <w:t xml:space="preserve">   Este Tribunal nota que durante  el  proceso  ante  la  Corte  las  partes</w:t>
        <w:br/>
        <w:t xml:space="preserve">   mencionaron una quinta lista[88], elaborada por la Comisión  Ejecutiva  y</w:t>
        <w:br/>
        <w:t xml:space="preserve">   el Ministerio de Trabajo y Promoción del Empleo, donde se publicaron  los</w:t>
        <w:br/>
        <w:t xml:space="preserve">   nombres  de  trabajadores  comprendidos  en  los   supuestos   de   ceses</w:t>
        <w:br/>
        <w:t xml:space="preserve">   irregulares y de renuncias bajo coacción.  La  mencionada  lista  no  fue</w:t>
        <w:br/>
        <w:t xml:space="preserve">   remitida como anexo, ni se indicó un vínculo de internet a  la  misma  en</w:t>
        <w:br/>
        <w:t xml:space="preserve">   escrito alguno, pues esta fue publicada el  17  de  agosto  de  2017.  No</w:t>
        <w:br/>
        <w:t xml:space="preserve">   obstante, la Corte estima que esta lista es  útil  y  necesaria  para  el</w:t>
        <w:br/>
        <w:t xml:space="preserve">   análisis del presente caso, por lo cual la incorpora de oficio al  acervo</w:t>
        <w:br/>
        <w:t xml:space="preserve">   probatorio, advirtiendo que la lista corresponde a un documento oficial y</w:t>
        <w:br/>
        <w:t xml:space="preserve">   público del Estado de Perú.</w:t>
        <w:br/>
        <w:br/>
        <w:t xml:space="preserve">      B.2. Admisión de las declaraciones y de los dictámenes periciales</w:t>
        <w:br/>
        <w:br/>
        <w:t>78. La  Corte  estima  pertinente  admitir  las  declaraciones  rendidas  en</w:t>
        <w:br/>
        <w:t xml:space="preserve">   audiencia pública y ante fedatario público, referenciados en  el  párrafo</w:t>
        <w:br/>
        <w:t xml:space="preserve">   73 de la presente sentencia,  en  cuanto  resultan  ajustados  al  objeto</w:t>
        <w:br/>
        <w:t xml:space="preserve">   definido por la Resolución que ordenó recibirlos y al objeto del presente</w:t>
        <w:br/>
        <w:t xml:space="preserve">   caso. Respecto de las observaciones del Estado sobre las declaraciones de</w:t>
        <w:br/>
        <w:t xml:space="preserve">   las presuntas víctimas, la testigo,  y  los  dictámenes  de  peritos,  el</w:t>
        <w:br/>
        <w:t xml:space="preserve">   Tribunal nota que versan sobre el contenido de los mismos  y,  por  ende,</w:t>
        <w:br/>
        <w:t xml:space="preserve">   pueden impactar en la valoración de  su  peso  probatorio,  pero  que  no</w:t>
        <w:br/>
        <w:t xml:space="preserve">   afectan su admisibilidad[89].</w:t>
        <w:br/>
        <w:br/>
        <w:br/>
        <w:t>C. Valoración de la prueba</w:t>
        <w:br/>
        <w:br/>
        <w:t>79. Con base en lo establecido en los artículos 46, 47, 48, 50, 51, 57 y  58</w:t>
        <w:br/>
        <w:t xml:space="preserve">   del Reglamento, así como en su jurisprudencia constante  respecto  de  la</w:t>
        <w:br/>
        <w:t xml:space="preserve">   prueba y su apreciación, la Corte  examinará  y  valorará  los  elementos</w:t>
        <w:br/>
        <w:t xml:space="preserve">   probatorios documentales remitidos por las  partes  y  la  Comisión,  las</w:t>
        <w:br/>
        <w:t xml:space="preserve">   declaraciones, testimonios y dictámenes  periciales,  al  establecer  los</w:t>
        <w:br/>
        <w:t xml:space="preserve">   hechos del caso y pronunciarse sobre el fondo. Para ello se sujeta a  los</w:t>
        <w:br/>
        <w:t xml:space="preserve">   principios   de   la   sana   crítica,   dentro   del   marco   normativo</w:t>
        <w:br/>
        <w:t xml:space="preserve">   correspondiente, teniendo en cuenta el conjunto del acervo  probatorio  y</w:t>
        <w:br/>
        <w:t xml:space="preserve">   lo alegado en la causa[90].</w:t>
        <w:br/>
        <w:br/>
        <w:t xml:space="preserve">                                     VII</w:t>
        <w:br/>
        <w:t xml:space="preserve">                                   Hechos</w:t>
        <w:br/>
        <w:br/>
        <w:t>80. En el presente capítulo la Corte examinará: a) el  contexto  en  que  se</w:t>
        <w:br/>
        <w:t xml:space="preserve">   dieron los ceses colectivos; b) el cese de las presuntas víctimas  y  las</w:t>
        <w:br/>
        <w:t xml:space="preserve">   gestiones  administrativas  intentadas;  c)  las   acciones   de   amparo</w:t>
        <w:br/>
        <w:t xml:space="preserve">   interpuestas por las presuntas víctimas; d) el marco normativo  a  partir</w:t>
        <w:br/>
        <w:t xml:space="preserve">   de 2001 con el propósito de revisar y reparar los ceses; e) la creación y</w:t>
        <w:br/>
        <w:t xml:space="preserve">   funcionamiento de la Comisión Ejecutiva y del Programa Extraordinario  de</w:t>
        <w:br/>
        <w:t xml:space="preserve">   Acceso a Beneficios a favor  de  ex  trabajadores  y  f)  los  beneficios</w:t>
        <w:br/>
        <w:t xml:space="preserve">   otorgados a favor de las presuntas víctimas.</w:t>
        <w:br/>
        <w:br/>
        <w:t>A. Antecedentes de los ceses colectivos</w:t>
        <w:br/>
        <w:br/>
        <w:t>81. La Corte resalta que el presente caso  guarda  relación  con  los  ceses</w:t>
        <w:br/>
        <w:t xml:space="preserve">   colectivos del sector público que fueron  detallados  en  las  sentencias</w:t>
        <w:br/>
        <w:t xml:space="preserve">   Aguado Alfaro y otros y Canales Huapaya y otros, y  con  el  ambiente  de</w:t>
        <w:br/>
        <w:t xml:space="preserve">   evidente conflictividad entre  el  Tribunal  Constitucional  y  el  Poder</w:t>
        <w:br/>
        <w:t xml:space="preserve">   Ejecutivo en la época de los hechos que fueron descritos en la  sentencia</w:t>
        <w:br/>
        <w:t xml:space="preserve">   del Tribunal Constitucional (supra párr. 42). En  dichas  sentencias,  el</w:t>
        <w:br/>
        <w:t xml:space="preserve">   Tribunal dio por establecido una serie de hechos que antecedieron al cese</w:t>
        <w:br/>
        <w:t xml:space="preserve">   de funcionarios del sector público, la adopción de leyes  y  resoluciones</w:t>
        <w:br/>
        <w:t xml:space="preserve">   administrativas dirigidas a reparar los  ceses  irregulares  durante  los</w:t>
        <w:br/>
        <w:t xml:space="preserve">   procesos de reorganización de entidades públicas llevados  a  cabo  a  lo</w:t>
        <w:br/>
        <w:t xml:space="preserve">   largo de la década de los noventa en Perú, y los hechos relacionados  con</w:t>
        <w:br/>
        <w:t xml:space="preserve">   la destitución de los magistrados del Tribunal Constitucional ocurrida el</w:t>
        <w:br/>
        <w:t xml:space="preserve">   28 de mayo de 1997. Sin perjuicio de la  controversia  entre  las  partes</w:t>
        <w:br/>
        <w:t xml:space="preserve">   respecto a presuntas diferencias que tendrían dichos casos  con  el  caso</w:t>
        <w:br/>
        <w:t xml:space="preserve">   sub judice (infra, párr. 160), a continuación la Corte considerará, en lo</w:t>
        <w:br/>
        <w:t xml:space="preserve">   pertinente, los hechos probados a  la  luz  de  lo  ya  decidido  en  los</w:t>
        <w:br/>
        <w:t xml:space="preserve">   mencionados casos Aguado Alfaro y  otros,  Canales  Huapaya  y  otros,  y</w:t>
        <w:br/>
        <w:t xml:space="preserve">   Tribunal Constitucional.</w:t>
        <w:br/>
        <w:br/>
        <w:t>82. El 28 de julio de 1990, el señor Alberto  Fujimori  Fujimori  asumió  la</w:t>
        <w:br/>
        <w:t xml:space="preserve">   Presidencia de Perú  de  conformidad  con  la  Constitución  Política  de</w:t>
        <w:br/>
        <w:t xml:space="preserve">   1979[91]. El 14 de junio de 1991 se promulgó la Ley No. 25327,  a  través</w:t>
        <w:br/>
        <w:t xml:space="preserve">   de la cual el  Congreso  de  la  República  del  Perú  delegó  facultades</w:t>
        <w:br/>
        <w:t xml:space="preserve">   legislativas al Poder Ejecutivo “a fin de que, dentro del término de  150</w:t>
        <w:br/>
        <w:t xml:space="preserve">   días y  mediante  Decretos  Legislativos”,  normara  sobre  “pacificación</w:t>
        <w:br/>
        <w:t xml:space="preserve">   nacional”,  “fomento  del  empleo”  y  “crecimiento   de   la   inversión</w:t>
        <w:br/>
        <w:t xml:space="preserve">   privada”[92]. Específicamente, el artículo primero, numeral 3, inciso  a)</w:t>
        <w:br/>
        <w:t xml:space="preserve">   de esta Ley, relacionada con  el  crecimiento  a  la  inversión  privada,</w:t>
        <w:br/>
        <w:t xml:space="preserve">   establecía la creación de “las condiciones necesarias para el  desarrollo</w:t>
        <w:br/>
        <w:t xml:space="preserve">   de la inversión privada en los diversos  sectores  productivos  (agrario,</w:t>
        <w:br/>
        <w:t xml:space="preserve">   minero, pesquero, industrial, infraestructural), con especial atención  a</w:t>
        <w:br/>
        <w:t xml:space="preserve">   la actividad exportadora”[93].</w:t>
        <w:br/>
        <w:br/>
        <w:t>83. El 27 de septiembre de 1991 se publicó el Decreto  Legislativo  No.  674</w:t>
        <w:br/>
        <w:t xml:space="preserve">   (en adelante también “D.L. 674”), mediante  el  cual   fue  declarada  de</w:t>
        <w:br/>
        <w:t xml:space="preserve">   interés nacional la promoción de la inversión privada en el ámbito de las</w:t>
        <w:br/>
        <w:t xml:space="preserve">   empresas que conformaban la actividad empresarial del estado, y  se  creó</w:t>
        <w:br/>
        <w:t xml:space="preserve">   la Comisión de Promoción de la Inversión  Privada  (COPRI),  la  cual  se</w:t>
        <w:br/>
        <w:t xml:space="preserve">   encargaría de aprobar “el Plan  de  Promoción  de  la  inversión  privada</w:t>
        <w:br/>
        <w:t xml:space="preserve">   relativa a cada una de las empresas respectivas”[94]. El 30 de  diciembre</w:t>
        <w:br/>
        <w:t xml:space="preserve">   de 1992 se publicó el Decreto Ley No. 26120 (en  adelante  también  “D.L.</w:t>
        <w:br/>
        <w:t xml:space="preserve">   26120”), que estableció, en su artículo 7, lo siguiente:</w:t>
        <w:br/>
        <w:br/>
        <w:t xml:space="preserve">      Artículo 7.- Previo acuerdo de la COPRI, mediante Decreto  Supremo  se</w:t>
        <w:br/>
        <w:t xml:space="preserve">      adoptarán todas las medidas destinadas a  lograr  la  reestructuración</w:t>
        <w:br/>
        <w:t xml:space="preserve">      económica,  financiera,  legal   y   administrativa,   así   como   la</w:t>
        <w:br/>
        <w:t xml:space="preserve">      racionalización de personal, de las empresas incluidas en  el  proceso</w:t>
        <w:br/>
        <w:t xml:space="preserve">      de promoción de la inversión privada  a  que  se  refiere  el  Decreto</w:t>
        <w:br/>
        <w:t xml:space="preserve">      Legislativo Nº 674, tales como:</w:t>
        <w:br/>
        <w:br/>
        <w:br/>
        <w:t xml:space="preserve">      a) Racionalización de personal: aprobar y poner en ejecución programas</w:t>
        <w:br/>
        <w:t xml:space="preserve">      de cese voluntario de personal, con o sin incentivos. Vencido el plazo</w:t>
        <w:br/>
        <w:t xml:space="preserve">      para acogerse al programa de cese voluntario, la empresa presentará  a</w:t>
        <w:br/>
        <w:t xml:space="preserve">      la Autoridad Administrativa de Trabajo una solicitud de  reducción  de</w:t>
        <w:br/>
        <w:t xml:space="preserve">      personal  excedente,  adjuntando  la  nómina   de   los   trabajadores</w:t>
        <w:br/>
        <w:t xml:space="preserve">      comprendidos en tal medida. Los trabajadores que cesen por efecto  del</w:t>
        <w:br/>
        <w:t xml:space="preserve">      proceso de reducción, solo tendrán derecho a percibir  los  beneficios</w:t>
        <w:br/>
        <w:t xml:space="preserve">      sociales correspondientes de acuerdo a ley, sin que sea procedente  el</w:t>
        <w:br/>
        <w:t xml:space="preserve">      otorgamiento de beneficios adicionales.</w:t>
        <w:br/>
        <w:br/>
        <w:br/>
        <w:t xml:space="preserve">      La  Autoridad  Administrativa  de  Trabajo  aprobará  el  Programa  de</w:t>
        <w:br/>
        <w:t xml:space="preserve">      Reducción propuesto dentro de los cinco (05)  días  de  presentada  la</w:t>
        <w:br/>
        <w:t xml:space="preserve">      solicitud, sin que sea aplicable  el  procedimiento  previsto  por  el</w:t>
        <w:br/>
        <w:t xml:space="preserve">      Decreto Legislativo Nº 728. En el caso que la Autoridad Administrativa</w:t>
        <w:br/>
        <w:t xml:space="preserve">      de Trabajo no  se  pronunciara  en  el  plazo  fijado  en  el  párrafo</w:t>
        <w:br/>
        <w:t xml:space="preserve">      precedente, se tendrá por  aprobado  el  referido  Programa  en  forma</w:t>
        <w:br/>
        <w:t xml:space="preserve">      automática y de pleno derecho.</w:t>
        <w:br/>
        <w:br/>
        <w:br/>
        <w:t xml:space="preserve">      Con el pronunciamiento expreso o ficto  a  que  hacen  referencia  los</w:t>
        <w:br/>
        <w:t xml:space="preserve">      párrafos precedentes, quedará concluida la vía administrativa[95].</w:t>
        <w:br/>
        <w:br/>
        <w:t>84. El 28 de diciembre de 1992 se publicó  el  Decreto  Ley  No.  26093  (en</w:t>
        <w:br/>
        <w:t xml:space="preserve">   adelante también “D.L.  26093”)[96],  mediante  el  cual  se  dispuso  lo</w:t>
        <w:br/>
        <w:t xml:space="preserve">   siguiente:</w:t>
        <w:br/>
        <w:br/>
        <w:t xml:space="preserve">      Artículo 1.- Los titulares  de  los distintos  Ministerios  y  de  las</w:t>
        <w:br/>
        <w:t xml:space="preserve">      Instituciones Públicas Descentralizadas, deberán cumplir con  efectuar</w:t>
        <w:br/>
        <w:t xml:space="preserve">      semestralmente programas de evaluación de personal de  acuerdo  a  las</w:t>
        <w:br/>
        <w:t xml:space="preserve">      normas que para tal efecto se establezcan.</w:t>
        <w:br/>
        <w:br/>
        <w:br/>
        <w:t xml:space="preserve">      Autorízase a los referidos titulares a dictar  las  normas  necesarias</w:t>
        <w:br/>
        <w:t xml:space="preserve">      para  la  correcta  aplicación  del  presente  dispositivo,   mediante</w:t>
        <w:br/>
        <w:t xml:space="preserve">      Resolución.</w:t>
        <w:br/>
        <w:br/>
        <w:br/>
        <w:t xml:space="preserve">      Artículo 2.- El personal que de acuerdo a lo dispuesto en el  artículo</w:t>
        <w:br/>
        <w:t xml:space="preserve">      anterior no califique, podrá ser cesado por causal de excedencia.</w:t>
        <w:br/>
        <w:br/>
        <w:br/>
        <w:t>B. El cese de las presuntas víctimas</w:t>
        <w:br/>
        <w:br/>
        <w:t xml:space="preserve">      B.1. Los ceses llevados a cabo por Enapu</w:t>
        <w:br/>
        <w:br/>
        <w:t>85. El 18 de noviembre de 1992, con motivo de  la  publicación  del  Decreto</w:t>
        <w:br/>
        <w:t xml:space="preserve">   Ley No. 25882 (en adelante también “D.L. 25882”), se incluyó a  la  Enapu</w:t>
        <w:br/>
        <w:t xml:space="preserve">   en el proceso de promoción de la inversión  privada  creado  mediante  el</w:t>
        <w:br/>
        <w:t xml:space="preserve">   D.L. 674[97]. El 11 de enero de  1996,  por  Acuerdo  N°  03/01/96/D,  el</w:t>
        <w:br/>
        <w:t xml:space="preserve">   Directorio de Enapu autorizó la ejecución del plan de racionalización del</w:t>
        <w:br/>
        <w:t xml:space="preserve">   personal,  cuyos  propósitos  incluían  “otorgar  una  bonificación   por</w:t>
        <w:br/>
        <w:t xml:space="preserve">   incentivo al personal que renunci[ase]  voluntariamente”[98].  El  12  de</w:t>
        <w:br/>
        <w:t xml:space="preserve">   enero de 1996, mediante  Decreto  Supremo  No.  003-96-PCM  (en  adelante</w:t>
        <w:br/>
        <w:t xml:space="preserve">   también “D.S. 003-96-PCM”), se autorizó al Directorio de Enapu a ejecutar</w:t>
        <w:br/>
        <w:t xml:space="preserve">   el programa aprobado por la COPRI.</w:t>
        <w:br/>
        <w:br/>
        <w:t>86.  Mediante  las  Directivas  No.  001-96  ENAPUSA/GRRHH  y   No.   002-96</w:t>
        <w:br/>
        <w:t xml:space="preserve">   ENAPUSA/GRRHH se precisó y ejecutó el Programa de Renuncia Voluntaria con</w:t>
        <w:br/>
        <w:t xml:space="preserve">   Incentivos (en adelante también  “programa  de  renuncia  voluntaria  con</w:t>
        <w:br/>
        <w:t xml:space="preserve">   incentivos”)[99]. En ambas Directivas se estableció  que  “el  trabajador</w:t>
        <w:br/>
        <w:t xml:space="preserve">   invitado que decida no acogerse al [“programa de renuncia voluntaria  con</w:t>
        <w:br/>
        <w:t xml:space="preserve">   incentivos”], vencido el plazo establecido en la presente  Directiva  […]</w:t>
        <w:br/>
        <w:t xml:space="preserve">   será cesado por Enapu de  acuerdo  al  procedimiento  establecido  en  el</w:t>
        <w:br/>
        <w:t xml:space="preserve">   inciso a) del Art. 7 del D.L. 26120, y sólo tendrá derecho a percibir los</w:t>
        <w:br/>
        <w:t xml:space="preserve">   beneficios sociales correspondientes de acuerdo a la  Ley,  sin  que  sea</w:t>
        <w:br/>
        <w:t xml:space="preserve">   procedente el otorgamiento de beneficios adicionales (incentivos)”[100].</w:t>
        <w:br/>
        <w:br/>
        <w:t>87.  Con motivo del “programa de renuncia  voluntaria  con  incentivos”,  se</w:t>
        <w:br/>
        <w:t xml:space="preserve">   comunicó a los trabajadores de  la  Enapu,  a  través  de  una  carta  de</w:t>
        <w:br/>
        <w:t xml:space="preserve">   invitación[101], de un  comunicado  distribuido  al  personal,  y  de  un</w:t>
        <w:br/>
        <w:t xml:space="preserve">   comunicado publicado en el Diario “La República”, sobre la posibilidad de</w:t>
        <w:br/>
        <w:t xml:space="preserve">   renunciar voluntariamente con el  incentivo  del  pago  de  una  suma  de</w:t>
        <w:br/>
        <w:t xml:space="preserve">   dinero[102]. Los trabajadores tenían cinco días para acogerse al referido</w:t>
        <w:br/>
        <w:t xml:space="preserve">   programa.</w:t>
        <w:br/>
        <w:br/>
        <w:t>88. De conformidad con el D.L. 26120, para el caso de los  trabajadores  que</w:t>
        <w:br/>
        <w:t xml:space="preserve">   no accedían al programa de renuncia voluntaria con incentivos, la empresa</w:t>
        <w:br/>
        <w:t xml:space="preserve">   se encontraba obligada a presentar ante la Autoridad  Administrativa  del</w:t>
        <w:br/>
        <w:t xml:space="preserve">   Trabajo (en  adelante  también  “ATT”)  una  solicitud  de  reducción  de</w:t>
        <w:br/>
        <w:t xml:space="preserve">   personal excedente. La ATT tenía un plazo de cinco días para  evaluar  la</w:t>
        <w:br/>
        <w:t xml:space="preserve">   solicitud de reducción de personal, y en caso de no pronunciarse  en  ese</w:t>
        <w:br/>
        <w:t xml:space="preserve">   plazo,  el programa de reducción propuesto  se  tenía  por  aprobado  “en</w:t>
        <w:br/>
        <w:t xml:space="preserve">   forma automática y de pleno derecho”.[103]. El pronunciamiento expreso  o</w:t>
        <w:br/>
        <w:t xml:space="preserve">   ficto de la ATT daba por concluida la vía administrativa.  Desde  finales</w:t>
        <w:br/>
        <w:t xml:space="preserve">   de enero de 1996 las presuntas víctimas comenzaron a recibir  las  cartas</w:t>
        <w:br/>
        <w:t xml:space="preserve">   de invitación a la disolución del vínculo laboral[104].</w:t>
        <w:br/>
        <w:br/>
        <w:t>89.  Al  no  aceptar  acogerse  al   programa  de  renuncia  voluntaria  con</w:t>
        <w:br/>
        <w:t xml:space="preserve">   incentivos,  ni  existir  pronunciamiento  por  parte  de  la  ATT,   los</w:t>
        <w:br/>
        <w:t xml:space="preserve">   trabajadores fueron cesados en febrero de 1996[105]. El Estado realizó  a</w:t>
        <w:br/>
        <w:t xml:space="preserve">   los trabajadores cesados los depósitos correspondientes a sus  beneficios</w:t>
        <w:br/>
        <w:t xml:space="preserve">   sociales,  sin  incentivos[106].  Los  trabajadores   no   agotaron   vía</w:t>
        <w:br/>
        <w:t xml:space="preserve">   administrativa alguna, acudiendo directamente al amparo.</w:t>
        <w:br/>
        <w:br/>
        <w:t xml:space="preserve">      B.2. Los ceses llevados a cabo por MEF</w:t>
        <w:br/>
        <w:br/>
        <w:t>90. El 3 de julio de 1997, con base en el D.L. 26093 (supra, párr.  84),  se</w:t>
        <w:br/>
        <w:t xml:space="preserve">   emitió la Resolución Ministerial No. 123-97-EF/10  (en  adelante  también</w:t>
        <w:br/>
        <w:t xml:space="preserve">   “R.M. 123-97-EF/10”), en virtud de  la  cual  se  aprobó  el  Sistema  de</w:t>
        <w:br/>
        <w:t xml:space="preserve">   Evaluación de Desempeño de Personal del MEF[107]. Esta  evaluación  debía</w:t>
        <w:br/>
        <w:t xml:space="preserve">   aplicarse a todo  el  personal  nombrado,  contratado,  o  destacado  que</w:t>
        <w:br/>
        <w:t xml:space="preserve">   prestara sus servicios por más de tres meses en el MEF[108]. La R.M. 123-</w:t>
        <w:br/>
        <w:t xml:space="preserve">   97-EF/10 estableció que el personal que en la  evaluación  obtuviera  una</w:t>
        <w:br/>
        <w:t xml:space="preserve">   nota menor  a  sesenta  y  cinco  puntos  sobre  cien  o  su  equivalente</w:t>
        <w:br/>
        <w:t xml:space="preserve">   vigesimal, se consideraría desaprobado, lo que le sería informado por  la</w:t>
        <w:br/>
        <w:t xml:space="preserve">   Dirección de Personal[109]. El jefe inmediato, a solicitud del trabajador</w:t>
        <w:br/>
        <w:t xml:space="preserve">   desaprobado, podía solicitar que  se  le  incluyera  en  un  programa  de</w:t>
        <w:br/>
        <w:t xml:space="preserve">   capacitación hasta por seis meses[110].  Concluida  la  capacitación,  el</w:t>
        <w:br/>
        <w:t xml:space="preserve">   trabajador era sometido a una nueva evaluación[111].</w:t>
        <w:br/>
        <w:br/>
        <w:t>91. En el año 1997 el MEF  inició  las  evaluaciones  de  sus  trabajadores.</w:t>
        <w:br/>
        <w:t xml:space="preserve">   Llevada a cabo la evaluación, las presuntas víctimas  fueron  notificadas</w:t>
        <w:br/>
        <w:t xml:space="preserve">   que no habían alcanzado la nota aprobatoria[112]. En el segundo  semestre</w:t>
        <w:br/>
        <w:t xml:space="preserve">   del año  1997,  con  base  en  la  R.M.  123-97-EF/10,  los  trabajadores</w:t>
        <w:br/>
        <w:t xml:space="preserve">   solicitaron y asistieron al programa de capacitación que el MEF encomendó</w:t>
        <w:br/>
        <w:t xml:space="preserve">   al Instituto Peruano de Administración de Empresas –  IPAE  (en  adelante</w:t>
        <w:br/>
        <w:t xml:space="preserve">   también  IPAE)  y  fueron  evaluados  de  acuerdo  con  la   capacitación</w:t>
        <w:br/>
        <w:t xml:space="preserve">   impartida, obteniendo notas aprobatorias[113].</w:t>
        <w:br/>
        <w:br/>
        <w:t>92. El 22 de diciembre de 1997, después de que ya había  sida  realizada  la</w:t>
        <w:br/>
        <w:t xml:space="preserve">   prueba por el IPAE, se detalló, a través de la Resolución Viceministerial</w:t>
        <w:br/>
        <w:t xml:space="preserve">   No.  037-97-EF/13  (en  adelante   también   “R.V.   037-97-EF/13”),   el</w:t>
        <w:br/>
        <w:t xml:space="preserve">   procedimiento a seguir posterior al programa  de  capacitación,  lo  cual</w:t>
        <w:br/>
        <w:t xml:space="preserve">   incluía la aplicación de una evaluación Psicotécnica[114].  En  ejecución</w:t>
        <w:br/>
        <w:t xml:space="preserve">   de la R.V.  037-97-EF/13,  el  23  de  diciembre  de  1997,  mediante  el</w:t>
        <w:br/>
        <w:t xml:space="preserve">   Memorando Circular No. 023-97-EF/43.01[115] (en  adelante  también  “M.C.</w:t>
        <w:br/>
        <w:t xml:space="preserve">   No. 023-97-EF/43.01”),  se  notificó  a  cada  uno  de  los  trabajadores</w:t>
        <w:br/>
        <w:t xml:space="preserve">   comprendidos en el curso de capacitación que debían rendir la  evaluación</w:t>
        <w:br/>
        <w:t xml:space="preserve">   psicotécnica. El 26 de diciembre de 1997, se sometió a los trabajadores a</w:t>
        <w:br/>
        <w:t xml:space="preserve">   dicha evaluación psicotécnica[116].</w:t>
        <w:br/>
        <w:br/>
        <w:t>93. Mediante el Oficio Circular No. 065-97-EF/43.40 de 31  de  diciembre  de</w:t>
        <w:br/>
        <w:t xml:space="preserve">   1997, el MEF notificó a los trabajadores que “al no  haber  alcanzado  el</w:t>
        <w:br/>
        <w:t xml:space="preserve">   puntaje mínimo aprobatorio”, se procedería a aplicar lo dispuesto  en  el</w:t>
        <w:br/>
        <w:t xml:space="preserve">   D.L. 26093[117]. El 31 de diciembre de 1997, a través  de  la  Resolución</w:t>
        <w:br/>
        <w:t xml:space="preserve">   Ministerial No. 234-97-EF/10 (en adelante también  “R.M.  234-97-EF/10”),</w:t>
        <w:br/>
        <w:t xml:space="preserve">   notificada el 8 de enero de 1998, los  trabajadores  fueron  cesados  por</w:t>
        <w:br/>
        <w:t xml:space="preserve">   causal de excedencia, al no haber alcanzado la  calificación  aprobatoria</w:t>
        <w:br/>
        <w:t xml:space="preserve">   en el proceso de evaluación  semestral  realizado  en  aplicación  de  lo</w:t>
        <w:br/>
        <w:t xml:space="preserve">   dispuesto en el D.L. 26093[118].</w:t>
        <w:br/>
        <w:br/>
        <w:t xml:space="preserve">      B.3. Los ceses llevados a cabo por Petroperú</w:t>
        <w:br/>
        <w:br/>
        <w:t>94. En virtud de la Resolución Suprema No.  290-92-PCM  (en  adelante  “R.S.</w:t>
        <w:br/>
        <w:t xml:space="preserve">   No. 290-92-PCM”), se incluyó a Petroperú en el proceso de promoción a  la</w:t>
        <w:br/>
        <w:t xml:space="preserve">   inversión privada creado mediante el D.L. 674[119]. El 29 de diciembre de</w:t>
        <w:br/>
        <w:t xml:space="preserve">   1995, mediante Decreto Supremo 72-95-PCM (en adelante también “D.S. 72-95-</w:t>
        <w:br/>
        <w:t xml:space="preserve">   PCM”), se autorizó a Petroperú a ejecutar el  programa  de  reducción  de</w:t>
        <w:br/>
        <w:t xml:space="preserve">   personal aprobado por la COPRI, mismo que se amparó en lo  dispuesto  por</w:t>
        <w:br/>
        <w:t xml:space="preserve">   el D.L. 26120[120]. El 11 de enero de 1996  se  informó  al  personal  el</w:t>
        <w:br/>
        <w:t xml:space="preserve">   desarrollo del  programa  de  retiro  voluntario  con  incentivos,  y  la</w:t>
        <w:br/>
        <w:t xml:space="preserve">   posibilidad de acogerse al mismo[121].</w:t>
        <w:br/>
        <w:br/>
        <w:t>95. El 30 de enero de 1996 el Sindicato Único de Trabajadores  de  Petróleos</w:t>
        <w:br/>
        <w:t xml:space="preserve">   del  Perú  (de  aquí  en  adelante  también  “Sutpedarg”)  presentó   una</w:t>
        <w:br/>
        <w:t xml:space="preserve">   comunicación ante el jefe de la Oficina Regional de  Trabajo  de  Talara,</w:t>
        <w:br/>
        <w:t xml:space="preserve">   informando de la presunta  irregularidad  del  proceso  de  reducción  de</w:t>
        <w:br/>
        <w:t xml:space="preserve">   personal que se estaría llevando a cabo con base  en  el  D.L.26120[122].</w:t>
        <w:br/>
        <w:t xml:space="preserve">   Los peticionarios alegaron no haber recibido respuesta[123].</w:t>
        <w:br/>
        <w:br/>
        <w:t>96. Vencido el plazo de  los  trabajadores  para  acogerse  al  programa  de</w:t>
        <w:br/>
        <w:t xml:space="preserve">   retiro voluntario con incentivos, el 29 de enero de 1996, el  Gerente  de</w:t>
        <w:br/>
        <w:t xml:space="preserve">   División de Refinación de Petroperú, solicitó al Jefe Zonal de Trabajo de</w:t>
        <w:br/>
        <w:t xml:space="preserve">   Talara que “aprobar[a] la solicitud  de  reducción  de  personal  de  los</w:t>
        <w:br/>
        <w:t xml:space="preserve">   trabajadores que se indica[ban] en los anexos adjuntos,  en  el  plazo  y</w:t>
        <w:br/>
        <w:t xml:space="preserve">   forma prevista por Ley[124]”.</w:t>
        <w:br/>
        <w:br/>
        <w:t>97.  El  29  de  enero  de  1996  la  empresa  presentó  ante  la  Autoridad</w:t>
        <w:br/>
        <w:t xml:space="preserve">   Administrativa de Trabajo la solicitud de reducción de personal[125].  La</w:t>
        <w:br/>
        <w:t xml:space="preserve">   ATT no se pronunció sobre tal solicitud en el plazo de Ley,  por  lo  que</w:t>
        <w:br/>
        <w:t xml:space="preserve">   operó  el  silencio  administrativo   positivo[126].   En   consecuencia,</w:t>
        <w:br/>
        <w:t xml:space="preserve">   Petroperú dio por aprobada la reducción de personal solicitada,  mediante</w:t>
        <w:br/>
        <w:t xml:space="preserve">   resolución ficta de 6  de  febrero  de  1996.  Los  trabajadores,  al  no</w:t>
        <w:br/>
        <w:t xml:space="preserve">   acogerse al programa de cese voluntario, ni existir  pronunciamiento  por</w:t>
        <w:br/>
        <w:t xml:space="preserve">   parte de la ATT, recibieron cartas notariales de la empresa Petroperú  en</w:t>
        <w:br/>
        <w:t xml:space="preserve">   las que se les  informó  que  “su  vínculo  con  la  empresa  ha  quedado</w:t>
        <w:br/>
        <w:t xml:space="preserve">   disuelto, siendo su fecha de cese el 7 de febrero de 1996”[127].</w:t>
        <w:br/>
        <w:br/>
        <w:t>98. El 6 de febrero de 1996 el Sutpedarg presentó un  recurso  de  apelación</w:t>
        <w:br/>
        <w:t xml:space="preserve">   ante la autoridad del trabajo acerca de la “resolución  ficta”  sobre  la</w:t>
        <w:br/>
        <w:t xml:space="preserve">   aprobación de reducción de personal solicitada por  Petroperú[128].  Este</w:t>
        <w:br/>
        <w:t xml:space="preserve">   recurso señaló que el proceso adolecía de causales de nulidad[129]. El  7</w:t>
        <w:br/>
        <w:t xml:space="preserve">   de febrero de 1996, el Sutpedarg amplió la fundamentación del recurso  de</w:t>
        <w:br/>
        <w:t xml:space="preserve">   apelación. No consta en el expediente que  haya  existido  respuesta  por</w:t>
        <w:br/>
        <w:t xml:space="preserve">   parte del Estado[130].</w:t>
        <w:br/>
        <w:br/>
        <w:t xml:space="preserve">      B.4. Los ceses llevados a cabo por Minedu</w:t>
        <w:br/>
        <w:br/>
        <w:t>99. El 13 de septiembre de 1996, con base en  el  D.L.  26093  (supra  párr.</w:t>
        <w:br/>
        <w:t xml:space="preserve">   84), se emitió la  Resolución  Ministerial  No.  218-96-ED  (en  adelante</w:t>
        <w:br/>
        <w:t xml:space="preserve">   también “R.M. No.  218-96-ED”),  en  virtud  de  la  cual  se  aprobó  el</w:t>
        <w:br/>
        <w:t xml:space="preserve">   “Reglamento que norma el programa de evaluación del  rendimiento  laboral</w:t>
        <w:br/>
        <w:t xml:space="preserve">   de los trabajadores del Ministerio de  Educación”  (en  adelante  también</w:t>
        <w:br/>
        <w:t xml:space="preserve">   “Reglamento de evaluación del Minedu”)[131]. El  programa  de  evaluación</w:t>
        <w:br/>
        <w:t xml:space="preserve">   del rendimiento laboral era elaborado  por  la  Unidad  de  Personal  del</w:t>
        <w:br/>
        <w:t xml:space="preserve">   Ministerio, y era ejecutado mediante una Comisión de Evaluación designada</w:t>
        <w:br/>
        <w:t xml:space="preserve">   mediante Resolución Ministerial[132].</w:t>
        <w:br/>
        <w:br/>
        <w:t>100. El Reglamento de evaluación del Minedu estableció que la evaluación  de</w:t>
        <w:br/>
        <w:t xml:space="preserve">   los  trabajadores  sería  realizada  semestralmente[133].  Asimismo,   se</w:t>
        <w:br/>
        <w:t xml:space="preserve">   estableció que la evaluación tendría una ponderación de cien puntos  como</w:t>
        <w:br/>
        <w:t xml:space="preserve">   máximo y sesenta como mínimo[134], y  que  el  “[p]ersonal  que  no  haya</w:t>
        <w:br/>
        <w:t xml:space="preserve">   aprobado la evaluación, así como aquel que no se presente  en  alguna  de</w:t>
        <w:br/>
        <w:t xml:space="preserve">   sus etapas, será cesado”[135].</w:t>
        <w:br/>
        <w:br/>
        <w:t>101. El Minedu, a través de la Directiva No.  001-96-CE-ED,  estableció  las</w:t>
        <w:br/>
        <w:t xml:space="preserve">   normas y procedimientos para la ejecución del programa de evaluación  del</w:t>
        <w:br/>
        <w:t xml:space="preserve">   personal[136]. En este documento se dispuso  que  la  evaluación  estaría</w:t>
        <w:br/>
        <w:t xml:space="preserve">   compuesta por una prueba de conocimiento con valor del  30%;  una  prueba</w:t>
        <w:br/>
        <w:t xml:space="preserve">   psicotécnica con valor del 30% y un concepto  de  desempeño  laboral  que</w:t>
        <w:br/>
        <w:t xml:space="preserve">   tendría un valor del 40%[137]. Asimismo, fijó una ponderación  máxima  de</w:t>
        <w:br/>
        <w:t xml:space="preserve">   cien (100) puntos, y un el puntaje aprobatorio mínimo de 60  puntos[138].</w:t>
        <w:br/>
        <w:t xml:space="preserve">   En la Directiva también se dispuso que los resultados  de  la  evaluación</w:t>
        <w:br/>
        <w:t xml:space="preserve">   serían inapelables[139].</w:t>
        <w:br/>
        <w:br/>
        <w:t>102. Las 39 presuntas víctimas rindieron la evaluación, y el 10  de  octubre</w:t>
        <w:br/>
        <w:t xml:space="preserve">   de 1996 se publicaron los resultados en listados pegados en  las  paredes</w:t>
        <w:br/>
        <w:t xml:space="preserve">   del  centro  de  trabajo,  en  los  cuales  se  indicó  que   no   habían</w:t>
        <w:br/>
        <w:t xml:space="preserve">   aprobado[140].  El  10  de  octubre  de  1996,  las  presuntas   víctimas</w:t>
        <w:br/>
        <w:t xml:space="preserve">   solicitaron de manera individual y por escrito  a  la  Presidenta  de  la</w:t>
        <w:br/>
        <w:t xml:space="preserve">   Comisión de Evaluación, la información oficial y  desagregada  sobre  los</w:t>
        <w:br/>
        <w:t xml:space="preserve">   puntajes  que  habían  obtenido  en  cada   aspecto   o   rubro   de   la</w:t>
        <w:br/>
        <w:t xml:space="preserve">   evaluación[141].  El  15  de  octubre  de  1996  las  presuntas  víctimas</w:t>
        <w:br/>
        <w:t xml:space="preserve">   remitieron un oficio al entonces  Ministro  de  Educación,  solicitándole</w:t>
        <w:br/>
        <w:t xml:space="preserve">   igualmente  la  publicación  desagregada  de  los   resultados   de   las</w:t>
        <w:br/>
        <w:t xml:space="preserve">   evaluaciones[142]. Los  representantes  alegaron  que  ninguna  de  estas</w:t>
        <w:br/>
        <w:t xml:space="preserve">   peticiones fue respondida.</w:t>
        <w:br/>
        <w:br/>
        <w:t>103. El 19 de octubre de  1996  fue  publicada  en  el  Diario  Oficial  “El</w:t>
        <w:br/>
        <w:t xml:space="preserve">   Peruano” la Resolución Ministerial No. 245-96-ED. En su artículo primero,</w:t>
        <w:br/>
        <w:t xml:space="preserve">   la resolución ordenó “cesar, a partir del 1 de  noviembre  de  1996,  por</w:t>
        <w:br/>
        <w:t xml:space="preserve">   causal de excedencia” a varios trabajadores del Ministerio, incluyendo  a</w:t>
        <w:br/>
        <w:t xml:space="preserve">   las presuntas víctimas[143].</w:t>
        <w:br/>
        <w:br/>
        <w:t>104.  Las  presuntas  víctimas  presentaron  recursos   administrativos   de</w:t>
        <w:br/>
        <w:t xml:space="preserve">   apelación en contra de las resoluciones que dispusieron  sus  ceses[144].</w:t>
        <w:br/>
        <w:t xml:space="preserve">   El 14 de febrero de 1997, mediante la Resolución Suprema No 003-97-ED, el</w:t>
        <w:br/>
        <w:t xml:space="preserve">   Minedu determinó que el proceso de evaluación se ejecutó con  sujeción  a</w:t>
        <w:br/>
        <w:t xml:space="preserve">   las normas  legales  vigentes,  y  declaró  infundados  los  recursos  de</w:t>
        <w:br/>
        <w:t xml:space="preserve">   apelación interpuestos  contra  la  Resolución  Ministerial  No.  245-96-</w:t>
        <w:br/>
        <w:t xml:space="preserve">   ED[145].</w:t>
        <w:br/>
        <w:br/>
        <w:t>C. Las acciones  de  amparo  y  los  procesos  contenciosos  administrativos</w:t>
        <w:br/>
        <w:t>interpuestos por las presuntas víctimas</w:t>
        <w:br/>
        <w:br/>
        <w:t xml:space="preserve">      C.1. Las acciones de amparo interpuestas por los trabajadores de Enapu</w:t>
        <w:br/>
        <w:br/>
        <w:t>105. El 31 de enero de 1996,  la  Federación  Nacional  de  Trabajadores  de</w:t>
        <w:br/>
        <w:t xml:space="preserve">   Enapu (en adelante también “Fentenapu”), de  la  cual  las  25  presuntas</w:t>
        <w:br/>
        <w:t xml:space="preserve">   víctimas eran miembros, interpuso una acción de amparo contra Enapu  ante</w:t>
        <w:br/>
        <w:t xml:space="preserve">   el Juzgado Civil de Callao[146]. Los trabajadores solicitaron  la  tutela</w:t>
        <w:br/>
        <w:t xml:space="preserve">   jurisdiccional  ante  la   amenaza   de   violación   de   sus   derechos</w:t>
        <w:br/>
        <w:t xml:space="preserve">   constitucionales al trabajo y la protección contra el despido  arbitrario</w:t>
        <w:br/>
        <w:t xml:space="preserve">   (artículos 22 y 27 de la Constitución), a la defensa y al debido  proceso</w:t>
        <w:br/>
        <w:t xml:space="preserve">   (incisos 2 y 14 del artículo 139 de la Constitución), a la igualdad  ante</w:t>
        <w:br/>
        <w:t xml:space="preserve">   la ley y a la igualdad de oportunidades sin discriminación (artículos  2°</w:t>
        <w:br/>
        <w:t xml:space="preserve">   inciso 2, y 26 inciso 1 de la Constitución), y a la negociación colectiva</w:t>
        <w:br/>
        <w:t xml:space="preserve">   (artículo 28 inciso  2  de  la  Constitución).  Asimismo,  demandaron  la</w:t>
        <w:br/>
        <w:t xml:space="preserve">   inaplicación del artículo 7 del D.L.  26120 (supra párr. 83) y  del  D.S.</w:t>
        <w:br/>
        <w:t xml:space="preserve">   No.  003-96-PCM  en  tanto  constituían  una  amenaza  a   los   derechos</w:t>
        <w:br/>
        <w:t xml:space="preserve">   fundamentales de los trabajadores, y caso de materializarse la  violación</w:t>
        <w:br/>
        <w:t xml:space="preserve">   a los derechos alegados, solicitaron  la  reposición  de  quienes  fueren</w:t>
        <w:br/>
        <w:t xml:space="preserve">   cesados[147].</w:t>
        <w:br/>
        <w:br/>
        <w:t>106. El 6 de diciembre de 1996 el Primer  Juzgado  Civil  de  Callao  emitió</w:t>
        <w:br/>
        <w:t xml:space="preserve">   sentencia declarando infundado el recurso de amparo[148].  Dicho  juzgado</w:t>
        <w:br/>
        <w:t xml:space="preserve">   consideró: (i) que la Constitución prevé que el derecho de las personas a</w:t>
        <w:br/>
        <w:t xml:space="preserve">   trabajar libremente se debe ejercer “con sujeción a la ley”,  y  que  las</w:t>
        <w:br/>
        <w:t xml:space="preserve">   acciones reclamadas fueron consecuencia de la aplicación  de  la  ley;  y</w:t>
        <w:br/>
        <w:t xml:space="preserve">   (ii) que la autoridad demandada no incurrió en  violación  o  amenaza  de</w:t>
        <w:br/>
        <w:t xml:space="preserve">   violación del derecho constitucional al poner en ejecución el proceso  de</w:t>
        <w:br/>
        <w:t xml:space="preserve">   racionalización del personal, el cual estaba previsto en la ley[149].  El</w:t>
        <w:br/>
        <w:t xml:space="preserve">   19 de diciembre de 1996 la Fentenapu apeló la decisión del Primer Juzgado</w:t>
        <w:br/>
        <w:t xml:space="preserve">   Civil[150].</w:t>
        <w:br/>
        <w:br/>
        <w:br/>
        <w:t>107. El 18 de marzo de 1997 la Sala Civil de la Corte Superior  de  Justicia</w:t>
        <w:br/>
        <w:t xml:space="preserve">   del Callao confirmó la sentencia dictada en primera instancia[151],  “por</w:t>
        <w:br/>
        <w:t xml:space="preserve">   los fundamentos de la resolución recurrida […] y de  conformidad  con  lo</w:t>
        <w:br/>
        <w:t xml:space="preserve">   dictaminado por el señor  Fiscal  Superior  Civil”[152].  Adicionalmente,</w:t>
        <w:br/>
        <w:t xml:space="preserve">   consideró que la demora en la expedición de la sentencia se debió  a  que</w:t>
        <w:br/>
        <w:t xml:space="preserve">   el  trámite  del  asunto  quedó  suspendido  en  aplicación  del  Decreto</w:t>
        <w:br/>
        <w:t xml:space="preserve">   Legislativo   No.   817[153].   La   Fentenapu   interpuso   un   recurso</w:t>
        <w:br/>
        <w:t xml:space="preserve">   extraordinario ante el Tribunal Constitucional contra la resolución de la</w:t>
        <w:br/>
        <w:t xml:space="preserve">   Sala Civil[154].</w:t>
        <w:br/>
        <w:br/>
        <w:br/>
        <w:t>108.  El  3  de  marzo  de  1998  el  Tribunal  Constitucional  confirmó  la</w:t>
        <w:br/>
        <w:t xml:space="preserve">   resolución de la Sala  Civil   Primer  Juzgado  Especializado  y  declaró</w:t>
        <w:br/>
        <w:t xml:space="preserve">   infundada la acción de amparo[155]. El Tribunal  Constitucional  tomó  en</w:t>
        <w:br/>
        <w:t xml:space="preserve">   consideración que el D.S. No. 003-96-PCM autorizó al Directorio de  Enapu</w:t>
        <w:br/>
        <w:t xml:space="preserve">   a ejecutar el programa aprobado  por  la  COPRI  (supra  párr.  85),  que</w:t>
        <w:br/>
        <w:t xml:space="preserve">   amparaba lo dispuesto por el inciso a) del artículo  7  del  D.L.  26120.</w:t>
        <w:br/>
        <w:t xml:space="preserve">   Adicionalmente, consideró:</w:t>
        <w:br/>
        <w:br/>
        <w:br/>
        <w:t xml:space="preserve">      Que, examinados los autos, se advierte que la demandada,  en  estricto</w:t>
        <w:br/>
        <w:t xml:space="preserve">      cumplimiento del procedimiento establecido por las  precitadas  normas</w:t>
        <w:br/>
        <w:t xml:space="preserve">      legales,  emitió  la  Directiva  No.  001-96-ENAPUSA/GRRHH  denominado</w:t>
        <w:br/>
        <w:t xml:space="preserve">      “Programa de Racionalización de Personal” […] en la cual estipuló  los</w:t>
        <w:br/>
        <w:t xml:space="preserve">      lineamientos a seguir para la  aplicación  del  referido  programa  de</w:t>
        <w:br/>
        <w:t xml:space="preserve">      retiro voluntario, sin que  pueda  inferirse  de  estos  una  presunta</w:t>
        <w:br/>
        <w:t xml:space="preserve">      intensión conminatoria o amenazante a los derechos constitucionales de</w:t>
        <w:br/>
        <w:t xml:space="preserve">      los representados por la demandante; en  consecuencia,  no  habiéndose</w:t>
        <w:br/>
        <w:t xml:space="preserve">      acreditado dicha contingencia, resulta infundada la presente acción de</w:t>
        <w:br/>
        <w:t xml:space="preserve">      garantía[156].</w:t>
        <w:br/>
        <w:br/>
        <w:t xml:space="preserve">      C.2. Las acciones de amparo interpuestas por los trabajadores de MEF</w:t>
        <w:br/>
        <w:br/>
        <w:t>109. El 23 de marzo de 1998 las 15 presuntas víctimas  del  MEF  presentaron</w:t>
        <w:br/>
        <w:t xml:space="preserve">   ante el Primer Juzgado Corporativo Especializado de  Derecho  Público  de</w:t>
        <w:br/>
        <w:t xml:space="preserve">   Lima un amparo contra el Ministerio de Economía y  Finanzas[157].  En  el</w:t>
        <w:br/>
        <w:t xml:space="preserve">   escrito presentado los trabajadores solicitaron  el  “cese  del  acto  de</w:t>
        <w:br/>
        <w:t xml:space="preserve">   violación a  los  derechos  constitucionales  y  la  inaplicación  a  los</w:t>
        <w:br/>
        <w:t xml:space="preserve">   accionantes de la Resolución Ministerial No. 234-97-EF/10”, así  como  su</w:t>
        <w:br/>
        <w:t xml:space="preserve">   inmediata reposición en sus puestos de trabajo  y  el  reintegro  de  sus</w:t>
        <w:br/>
        <w:t xml:space="preserve">   “haberes” dejados  de  percibir  desde  el  cese[158].  Los  trabajadores</w:t>
        <w:br/>
        <w:t xml:space="preserve">   alegaron  que  su  cese  no  habría  sido  realizado  en  observancia  al</w:t>
        <w:br/>
        <w:t xml:space="preserve">   procedimiento previsto por la ley, ni existiendo causa  alguna,  lo  cual</w:t>
        <w:br/>
        <w:t xml:space="preserve">   constituyó una violación a los derechos constitucionales al trabajo, a la</w:t>
        <w:br/>
        <w:t xml:space="preserve">   adecuada protección contra el despido arbitrario, y a la  estabilidad  en</w:t>
        <w:br/>
        <w:t xml:space="preserve">   la carrera administrativa[159].</w:t>
        <w:br/>
        <w:br/>
        <w:t>110. El 11 de septiembre de 1998 el  Juez  del  Primer  Juzgado  Corporativo</w:t>
        <w:br/>
        <w:t xml:space="preserve">   Especializado en Derecho Público consideró  que  los  accionantes  habían</w:t>
        <w:br/>
        <w:t xml:space="preserve">   tenido conocimiento de los alcances de las resoluciones R.M. 123-97-EF/10</w:t>
        <w:br/>
        <w:t xml:space="preserve">   (supra párr.90) y  R.V.  No.  037-97-EF/13  (supr,  párr.92),  y  que  se</w:t>
        <w:br/>
        <w:t xml:space="preserve">   sometieron  voluntariamente  a   la   evaluación   de   conocimientos   y</w:t>
        <w:br/>
        <w:t xml:space="preserve">   psicotécnico, no acreditándose que hubiera existido irregularidad  alguna</w:t>
        <w:br/>
        <w:t xml:space="preserve">   que viciara  el  proceso  de  evaluación.  En  consecuencia,  se  declaró</w:t>
        <w:br/>
        <w:t xml:space="preserve">   improcedente la demanda[160]. En relación con esta sentencia,  el  29  de</w:t>
        <w:br/>
        <w:t xml:space="preserve">   enero de 1999, la Sala Corporativa Transitoria Especializada  en  Derecho</w:t>
        <w:br/>
        <w:t xml:space="preserve">   Público declaró nula la sentencia de 11 de septiembre de 1998  y  nulo  e</w:t>
        <w:br/>
        <w:t xml:space="preserve">   insubsistente lo posteriormente actuado[161].</w:t>
        <w:br/>
        <w:br/>
        <w:t>111. El 21 de julio  de  1999  el  Primer  Juzgado  Corporativo  Transitorio</w:t>
        <w:br/>
        <w:t xml:space="preserve">   Especializado en Derecho Público expidió  una  sentencia  en  la  que  se</w:t>
        <w:br/>
        <w:t xml:space="preserve">   declaró improcedente el recurso de amparo[162]. Dicho Juzgado  consideró,</w:t>
        <w:br/>
        <w:t xml:space="preserve">   entre otras cuestiones, que aun cuando el derecho al trabajo se encuentra</w:t>
        <w:br/>
        <w:t xml:space="preserve">   garantizado por los artículos  2  y  22  de  la  Constitución,  el  mismo</w:t>
        <w:br/>
        <w:t xml:space="preserve">   artículo 2 establece que su ejercicio debe sujetarse a la ley, siendo  el</w:t>
        <w:br/>
        <w:t xml:space="preserve">   cese por causal de excedencia realizado en virtud de lo previsto  por  el</w:t>
        <w:br/>
        <w:t xml:space="preserve">   D.L. 26093; adicionalmente, que los demandantes se sometieron al  proceso</w:t>
        <w:br/>
        <w:t xml:space="preserve">   de  evaluación  dispuesto  por  el   MEF   luego   de   haberse   acogido</w:t>
        <w:br/>
        <w:t xml:space="preserve">   voluntariamente al programa de capacitación establecido en la R.M. 123-97-</w:t>
        <w:br/>
        <w:t xml:space="preserve">   EF/10 (supra párr.  90)  después  de  no  haber  aprobado  la  evaluación</w:t>
        <w:br/>
        <w:t xml:space="preserve">   correspondiente. Por lo tanto, que  no  es  posible  considerar  que  los</w:t>
        <w:br/>
        <w:t xml:space="preserve">   “amparistas”  hayan  sido  despedidos   arbitrariamente   por   un   acto</w:t>
        <w:br/>
        <w:t xml:space="preserve">   antijurídico del titular del MEF, ni que se hayan vulnerado los  derechos</w:t>
        <w:br/>
        <w:t xml:space="preserve">   constitucionales que invocaron.  En  razón  de  lo  anterior,  el  Primer</w:t>
        <w:br/>
        <w:t xml:space="preserve">   Juzgado Corporativo Transitorio Especializado en Derechos Público declaró</w:t>
        <w:br/>
        <w:t xml:space="preserve">   “INFUNDADA la excepción de falta de agotamiento de la vía administrativa;</w:t>
        <w:br/>
        <w:t xml:space="preserve">   e IMPROCEDENTE la demanda”[163].</w:t>
        <w:br/>
        <w:br/>
        <w:t>112. El 5 de agosto de  1999,  29  ex  trabajadores,  incluyendo  a  las  15</w:t>
        <w:br/>
        <w:t xml:space="preserve">   presuntas víctimas, interpusieron un recurso de apelación  ante  la  Sala</w:t>
        <w:br/>
        <w:t xml:space="preserve">   Corporativa  Transitoria  Especializada  en  Derecho  Público  contra  la</w:t>
        <w:br/>
        <w:t xml:space="preserve">   sentencia del Primer Juzgado  Corporativo  Transitorio  Especializado  en</w:t>
        <w:br/>
        <w:t xml:space="preserve">   Derecho Público[164]. En el escrito presentado, los trabajadores alegaron</w:t>
        <w:br/>
        <w:t xml:space="preserve">   que el supuesto sometimiento voluntario a  la  evaluación  habría  estado</w:t>
        <w:br/>
        <w:t xml:space="preserve">   viciado por intimidación, toda vez que el Memorando Circular No.  023-97-</w:t>
        <w:br/>
        <w:t xml:space="preserve">   EF/43.01 establecía que también serían desaprobados aquellos trabajadores</w:t>
        <w:br/>
        <w:t xml:space="preserve">   que no se presentaran a las pruebas indicadas. También precisaron que  se</w:t>
        <w:br/>
        <w:t xml:space="preserve">   produjo una modificación  unilateral  y  sorpresiva  de  las  reglas  del</w:t>
        <w:br/>
        <w:t xml:space="preserve">   proceso  de  evaluación,  consistente  en  la  asignación  irrazonable  y</w:t>
        <w:br/>
        <w:t xml:space="preserve">   arbitraria de un valor doble a  la  prueba  psicotécnica  respecto  a  la</w:t>
        <w:br/>
        <w:t xml:space="preserve">   prueba académica, y que se negó  a  los  accionantes  la  posibilidad  de</w:t>
        <w:br/>
        <w:t xml:space="preserve">   impugnar y obtener la revisión de las calificaciones obtenidas  antes  de</w:t>
        <w:br/>
        <w:t xml:space="preserve">   que se produjera el cese[165].</w:t>
        <w:br/>
        <w:br/>
        <w:br/>
        <w:t>113.  El  13  de  diciembre  de  1999  la   Sala   Corporativa   Transitoria</w:t>
        <w:br/>
        <w:t xml:space="preserve">   Especializada en Derecho Público confirmó la sentencia  apelada[166].  La</w:t>
        <w:br/>
        <w:t xml:space="preserve">   decisión estuvo basada en que el proceso evaluatorio de los  trabajadores</w:t>
        <w:br/>
        <w:t xml:space="preserve">   se realizó en virtud de lo  dispuesto  por  el  D.L.  26093,  mismo  “que</w:t>
        <w:br/>
        <w:t xml:space="preserve">   faculta a los titulares de las entidades públicas a evaluar al personal a</w:t>
        <w:br/>
        <w:t xml:space="preserve">   su cargo, dictando los lineamientos para esta evaluación, es así  que  en</w:t>
        <w:br/>
        <w:t xml:space="preserve">   el mencionado Ministerio se emitió la Directiva  001-96-PRES/VMDR,  donde</w:t>
        <w:br/>
        <w:t xml:space="preserve">   se determina los aspectos que comprendía la mencionada  evaluación”,  que</w:t>
        <w:br/>
        <w:t xml:space="preserve">   el artículo 2 del D.L. 26093 prescribía que podía  cesar  por  causal  de</w:t>
        <w:br/>
        <w:t xml:space="preserve">   excedencia al personal que no calificara la evaluación, y que la comisión</w:t>
        <w:br/>
        <w:t xml:space="preserve">   evaluadora llevó a cabo el proceso evaluatorio en  estricto  cumplimiento</w:t>
        <w:br/>
        <w:t xml:space="preserve">   al D.L. 26093, con observancia de  las  directivas  y  procedimientos  de</w:t>
        <w:br/>
        <w:t xml:space="preserve">   evaluación del rendimiento laboral  de  los  trabajadores,  “sin  que  se</w:t>
        <w:br/>
        <w:t xml:space="preserve">   advirtiera en ello violación alguna de derechos constitucionales”[167].</w:t>
        <w:br/>
        <w:br/>
        <w:br/>
        <w:t>114.  Los  trabajadores  presentaron  un  recurso  extraordinario  ante   el</w:t>
        <w:br/>
        <w:t xml:space="preserve">   Tribunal Constitucional en contra de la sentencia de la Sala  Corporativa</w:t>
        <w:br/>
        <w:t xml:space="preserve">   Transitoria de Derecho Público que  declaró  improcedente  la  acción  de</w:t>
        <w:br/>
        <w:t xml:space="preserve">   amparo[168]. El 29 de enero de 2001 el  Tribunal  Constitucional  declaró</w:t>
        <w:br/>
        <w:t xml:space="preserve">   fundada la acción de amparo respecto a Mirtha Jesús Ruiz Domínguez (quien</w:t>
        <w:br/>
        <w:t xml:space="preserve">   no figura como presunta víctima en el presente caso, pero sí forma  parte</w:t>
        <w:br/>
        <w:t xml:space="preserve">   del grupo de trabajadores que presentaron acción  de  amparo  conforme  a</w:t>
        <w:br/>
        <w:t xml:space="preserve">   supra  párr.  109),  ordenando  su  reincorporación,  sin  abono  de  las</w:t>
        <w:br/>
        <w:t xml:space="preserve">   remuneraciones dejadas de percibir durante el periodo no laborado[169]; y</w:t>
        <w:br/>
        <w:t xml:space="preserve">   declaró infundada la acción de amparo respecto de los demás  demandantes.</w:t>
        <w:br/>
        <w:t xml:space="preserve">   El Tribunal fundamentó su decisión en lo siguiente:</w:t>
        <w:br/>
        <w:br/>
        <w:t xml:space="preserve">      El cuestionamiento al proceso de evaluación de personal y  al  puntaje</w:t>
        <w:br/>
        <w:t xml:space="preserve">      obtenido en el referido proceso,  formulado  por  los  demandantes  no</w:t>
        <w:br/>
        <w:t xml:space="preserve">      puede ventilarse a través de la presente acción de garantía,  pues  de</w:t>
        <w:br/>
        <w:t xml:space="preserve">      conformidad con el artículo 13 de la Ley No. 25398, Complementaria  de</w:t>
        <w:br/>
        <w:t xml:space="preserve">      la Ley de Habeas Corpus y Amparo, carece de  estación  probatoria,  no</w:t>
        <w:br/>
        <w:t xml:space="preserve">      resultando idónea para el fin que persiguen los demandantes, dado  que</w:t>
        <w:br/>
        <w:t xml:space="preserve">      para ello resulta imprescindible la actuación  de  medios  probatorios</w:t>
        <w:br/>
        <w:t xml:space="preserve">      que las partes deben aportar según convenga a su derecho en un proceso</w:t>
        <w:br/>
        <w:t xml:space="preserve">      judicial más lato, a fin de crear certeza en el juzgador respecto a la</w:t>
        <w:br/>
        <w:t xml:space="preserve">      reclamación materia de autos. En consecuencia, en  el  caso  de  estos</w:t>
        <w:br/>
        <w:t xml:space="preserve">      demandantes no ha acreditado la vulneración del derecho constitucional</w:t>
        <w:br/>
        <w:t xml:space="preserve">      alguno.[170]</w:t>
        <w:br/>
        <w:br/>
        <w:t>115. El  primero  de  octubre  de  2001  16  de  los  trabajadores  cesados,</w:t>
        <w:br/>
        <w:t xml:space="preserve">   incluyendo algunas de las presuntas víctimas, interpusieron  una  demanda</w:t>
        <w:br/>
        <w:t xml:space="preserve">   de acción contencioso administrativa contra el MEF ante la  Sala  Laboral</w:t>
        <w:br/>
        <w:t xml:space="preserve">   de la Corte Superior de Justicia, solicitando que se  declarara  nula  la</w:t>
        <w:br/>
        <w:t xml:space="preserve">   R.M. 234-97-EF/10, por haberse vulnerado su derecho al debido  proceso  y</w:t>
        <w:br/>
        <w:t xml:space="preserve">   solicitando su reposición al centro de trabajo[171]. El 5 de  octubre  de</w:t>
        <w:br/>
        <w:t xml:space="preserve">   2001, la Sala Laboral declaró improcedente  el  recurso  por  haber  sido</w:t>
        <w:br/>
        <w:t xml:space="preserve">   interpuesto fuera del plazo  previsto  por  el  artículo  81  de  la  Ley</w:t>
        <w:br/>
        <w:t xml:space="preserve">   Procesal del Trabajo[172].</w:t>
        <w:br/>
        <w:br/>
        <w:t xml:space="preserve">      C.3. Las acciones de  amparo  interpuestas  por  los  trabajadores  de</w:t>
        <w:br/>
        <w:t>Petroperú</w:t>
        <w:br/>
        <w:br/>
        <w:t>116. El 17 de enero de 1996 el Sindicato Único de Trabajadores de  Petroperú</w:t>
        <w:br/>
        <w:t xml:space="preserve">   presentó un recurso de  amparo  contra  el  Estado  y  Petroperú  por  la</w:t>
        <w:br/>
        <w:t xml:space="preserve">   ejecución del D.S. No. 72-95-PCM (supra párr. 94)[173].</w:t>
        <w:br/>
        <w:br/>
        <w:t>117. Dentro del procedimiento de amparo, el Sutpedarg  solicitó  una  medida</w:t>
        <w:br/>
        <w:t xml:space="preserve">   cautelar para que se suspendiera la aplicación del D.S. No.  72-95-PCM  y</w:t>
        <w:br/>
        <w:t xml:space="preserve">   la entrega de cartas de invitación al retiro voluntario[174]. El  Juzgado</w:t>
        <w:br/>
        <w:t xml:space="preserve">   Especializado en lo Civil de  Talara  resolvió  declarar  procedente,  en</w:t>
        <w:br/>
        <w:t xml:space="preserve">   parte, la medida precautelatoria solicitada, en  lo  que  respecta  a  la</w:t>
        <w:br/>
        <w:t xml:space="preserve">   suspensión de la entrega de las cartas notariales, e improcedente, en  lo</w:t>
        <w:br/>
        <w:t xml:space="preserve">   que respecta a la inaplicabilidad del D.S. No. 72-95-PCM[175]. El  29  de</w:t>
        <w:br/>
        <w:t xml:space="preserve">   febrero de 1996, la Sala Civil de la Corte Superior de  Piura  revocó  la</w:t>
        <w:br/>
        <w:t xml:space="preserve">   medida cautelar, declarándola  improcedente.  Consideró  que  la  ley  no</w:t>
        <w:br/>
        <w:t xml:space="preserve">   tutela el despido arbitrario mediante la reposición del trabajador,  sino</w:t>
        <w:br/>
        <w:t xml:space="preserve">   más bien con el pago de una indemnización como única reparación del  daño</w:t>
        <w:br/>
        <w:t xml:space="preserve">   sufrido[176].</w:t>
        <w:br/>
        <w:br/>
        <w:t>118.  El 18 de marzo de 1996 el Juzgado Especializado en lo Civil de  Talara</w:t>
        <w:br/>
        <w:t xml:space="preserve">   declaró improcedente el recurso de amparo[177]. Consideró que el D.S. No.</w:t>
        <w:br/>
        <w:t xml:space="preserve">   72-95-PCM contenía una declaración genérica,  para  lo  cual  la  vía  de</w:t>
        <w:br/>
        <w:t xml:space="preserve">   amparo no era la vía idónea[178]. El Sutpedarg apeló la decisión. El 3 de</w:t>
        <w:br/>
        <w:t xml:space="preserve">   julio de 1996, la Segunda Sala  Civil  de  la  Corte  Superior  de  Piura</w:t>
        <w:br/>
        <w:t xml:space="preserve">   confirmó la sentencia apelada, a partir  de  lo  opinado  por  el  Fiscal</w:t>
        <w:br/>
        <w:t xml:space="preserve">   Superior en el Dictamen No.  82-96,  “por  sus  propios  fundamentos  que</w:t>
        <w:br/>
        <w:t xml:space="preserve">   contiene y por encontrarse arreglada a la Ley, pues la Acción  de  Amparo</w:t>
        <w:br/>
        <w:t xml:space="preserve">   no resulta el medio idóneo para declararse la Constitucionalidad del D.S.</w:t>
        <w:br/>
        <w:t xml:space="preserve">   72-95-PCM  (29  de  diciembre-95)  y  disponerse   en   inaplicable   tal</w:t>
        <w:br/>
        <w:t xml:space="preserve">   dispositivo legal; más aún que dicha norma deviene  de  un  procedimiento</w:t>
        <w:br/>
        <w:t xml:space="preserve">   regular”[179].</w:t>
        <w:br/>
        <w:br/>
        <w:t>119. Adicional a la acción  de  amparo,  los  trabajadores  presentaron  una</w:t>
        <w:br/>
        <w:t xml:space="preserve">   acción contenciosa administrativa, solicitando la declaratoria de nulidad</w:t>
        <w:br/>
        <w:t xml:space="preserve">   de  las  resoluciones  de  la  Dirección  de  Prevención  y  Solución  de</w:t>
        <w:br/>
        <w:t xml:space="preserve">   Conflictos Laborales y de la Dirección Regional de Piura[180]. El  26  de</w:t>
        <w:br/>
        <w:t xml:space="preserve">   febrero de 1996, la Segunda Sala de la Corte  Suprema  de  Piura  declaró</w:t>
        <w:br/>
        <w:t xml:space="preserve">   improcedente la acción intentada.[181]” Posteriormente, el 25 de marzo de</w:t>
        <w:br/>
        <w:t xml:space="preserve">   1996  se  declaró   inadmisible   la   apelación   interpuesta   por   el</w:t>
        <w:br/>
        <w:t xml:space="preserve">   Sutpedarg[182].</w:t>
        <w:br/>
        <w:br/>
        <w:t xml:space="preserve">      C.4. Las acciones de  amparo  interpuestas  por  los  trabajadores  de</w:t>
        <w:br/>
        <w:t>Minedu</w:t>
        <w:br/>
        <w:br/>
        <w:t>120. El 13 de mayo de  1997  39  trabajadores  del  Minedu  presentaron  una</w:t>
        <w:br/>
        <w:t xml:space="preserve">   acción de amparo ante el Juez Especializado en Derecho Público de Lima en</w:t>
        <w:br/>
        <w:t xml:space="preserve">   contra del Ministro de Educación, argumentando violaciones a sus derechos</w:t>
        <w:br/>
        <w:t xml:space="preserve">   constitucionales al trabajo, a la adecuada protección contra  el  despido</w:t>
        <w:br/>
        <w:t xml:space="preserve">   arbitrario,  a  la  carrera   administrativa   y   a   la   carrera   del</w:t>
        <w:br/>
        <w:t xml:space="preserve">   profesorado[183].  En  concreto,  solicitaron  que  se  declarara  la  no</w:t>
        <w:br/>
        <w:t xml:space="preserve">   aplicación a los demandantes del D.L. 26093 (supra párr. 84), la R.M. No.</w:t>
        <w:br/>
        <w:t xml:space="preserve">   218-96-ED (supra  párr.  99)  y  la  Directiva  No.  001-96-CE-ED  y,  en</w:t>
        <w:br/>
        <w:t xml:space="preserve">   consecuencia, que se les repusiera en sus puestos de  trabajo  y  se  les</w:t>
        <w:br/>
        <w:t xml:space="preserve">   reintegraran los sueldos dejados de percibir,  incluyendo  los  aumentos,</w:t>
        <w:br/>
        <w:t xml:space="preserve">   mejoras o beneficios remunerativos otorgados por el  demandado  hasta  la</w:t>
        <w:br/>
        <w:t xml:space="preserve">   reposición efectiva de los trabajadores, más el  pago  de  los  intereses</w:t>
        <w:br/>
        <w:t xml:space="preserve">   legales y los gastos y costas del proceso[184].</w:t>
        <w:br/>
        <w:br/>
        <w:t>121. El 30 de septiembre de 1997, el Primer Juzgado Corporativo  Transitorio</w:t>
        <w:br/>
        <w:t xml:space="preserve">   Especializado en Derecho Público de Lima declaró infundada la  acción  de</w:t>
        <w:br/>
        <w:t xml:space="preserve">   amparo, en consideración de lo siguiente: primero, que la  evaluación  se</w:t>
        <w:br/>
        <w:t xml:space="preserve">   efectuó en virtud de lo ordenado en  el  D.L.  26093;  segundo,  que  los</w:t>
        <w:br/>
        <w:t xml:space="preserve">   demandantes se sometieron a  la  evaluación,  lo  cual  indicaba  que  no</w:t>
        <w:br/>
        <w:t xml:space="preserve">   cuestionaron en su oportunidad la normatividad demandada; y tercero,  que</w:t>
        <w:br/>
        <w:t xml:space="preserve">   no correspondía ventilar en la vía  de  amparo  las  características  del</w:t>
        <w:br/>
        <w:t xml:space="preserve">   proceso de evaluación por cuando esta acción no  contaba  con  una  etapa</w:t>
        <w:br/>
        <w:t xml:space="preserve">   probatoria apta para tal fin[185].</w:t>
        <w:br/>
        <w:br/>
        <w:t>122. El 30 de octubre de 1997, los  demandantes  apelaron  la  decisión  del</w:t>
        <w:br/>
        <w:t xml:space="preserve">   Primer Juzgado Corporativo Transitorio Especializado en Derecho  Público.</w:t>
        <w:br/>
        <w:t xml:space="preserve">   El 19 de marzo de 1998, la Sala Corporativa Transitoria Especializada  en</w:t>
        <w:br/>
        <w:t xml:space="preserve">   Derecho Público   confirmó  la  sentencia  de  primera  instancia.  Dicho</w:t>
        <w:br/>
        <w:t xml:space="preserve">   Juzgado consideró que las resoluciones y  actos  administrativos  materia</w:t>
        <w:br/>
        <w:t xml:space="preserve">   del proceso fueron emitidos con base en el D.L. 26093, que  éste  decreto</w:t>
        <w:br/>
        <w:t xml:space="preserve">   tenía rango constitucional y en el artículo 2 establecía una nueva causal</w:t>
        <w:br/>
        <w:t xml:space="preserve">   de rompimiento del vínculo laboral respecto de los  trabajadores  que  no</w:t>
        <w:br/>
        <w:t xml:space="preserve">   aprobaran  el  proceso  evaluatorio,  y  que  en  el  caso  concreto  los</w:t>
        <w:br/>
        <w:t xml:space="preserve">   accionantes se habían sometido al  proceso  evaluatorio  y  aceptaron  la</w:t>
        <w:br/>
        <w:t xml:space="preserve">   normatividad reglamentaria. En consecuencia, declaró infundada la demanda</w:t>
        <w:br/>
        <w:t xml:space="preserve">   de amparo, pues “no se  acredita  la  afectación  de  derechos  de  rango</w:t>
        <w:br/>
        <w:t xml:space="preserve">   constitucional que pueda dar lugar a la aplicación del artículo 2  de  la</w:t>
        <w:br/>
        <w:t xml:space="preserve">   Ley 23506; sin que además resulte esta sede constitucional  la  vía  para</w:t>
        <w:br/>
        <w:t xml:space="preserve">   discutir los aspectos concernientes a la idoneidad de las  calificaciones</w:t>
        <w:br/>
        <w:t xml:space="preserve">   del proceso[186].”</w:t>
        <w:br/>
        <w:br/>
        <w:t>123. El 22 de abril de 1998 las presuntas víctimas interpusieron un  recurso</w:t>
        <w:br/>
        <w:t xml:space="preserve">   extraordinario ante el Tribunal Constitucional[187]. El 19  de  noviembre</w:t>
        <w:br/>
        <w:t xml:space="preserve">   de 1999, el Tribunal Constitucional  confirmó  la  decisión  de  la  Sala</w:t>
        <w:br/>
        <w:t xml:space="preserve">   Corporativa Transitoria Especializada en Derecho  Público  al  considerar</w:t>
        <w:br/>
        <w:t xml:space="preserve">   que las acciones de garantía proceden en los casos en  que  se  violen  o</w:t>
        <w:br/>
        <w:t xml:space="preserve">   amenacen  derechos  fundamentales  por  acción  u  omisión  de  actos  de</w:t>
        <w:br/>
        <w:t xml:space="preserve">   cumplimiento obligatorio, que el artículo primero del D.L. 26093 disponía</w:t>
        <w:br/>
        <w:t xml:space="preserve">   que los titulares de los ministerios  y  de  las  instituciones  públicas</w:t>
        <w:br/>
        <w:t xml:space="preserve">   descentralizadas debían cumplir con efectuar semestralmente programas  de</w:t>
        <w:br/>
        <w:t xml:space="preserve">   evaluación de personal, que la misma norma autorizaba a los titulares  de</w:t>
        <w:br/>
        <w:t xml:space="preserve">   las entidades a dictar las normas necesarias para la correcta  aplicación</w:t>
        <w:br/>
        <w:t xml:space="preserve">   de los programas y que el personal que no calificara podía ser cesado,  y</w:t>
        <w:br/>
        <w:t xml:space="preserve">   que los demandantes se sometieron voluntariamente al proceso  evaluatorio</w:t>
        <w:br/>
        <w:t xml:space="preserve">   y que al no obtener el puntaje necesario fueron cesados. En consideración</w:t>
        <w:br/>
        <w:t xml:space="preserve">   de lo anterior, el Tribunal  Constitucional  no  encontró  acreditada  la</w:t>
        <w:br/>
        <w:t xml:space="preserve">   violación de los derechos constitucionales invocados[188].</w:t>
        <w:br/>
        <w:br/>
        <w:t>D. Marco normativo a partir de 2001 con el propósito de  revisar  y  reparar</w:t>
        <w:br/>
        <w:t>los ceses</w:t>
        <w:br/>
        <w:br/>
        <w:t>124. A partir de la instauración del gobierno de transición en el año  2000,</w:t>
        <w:br/>
        <w:t xml:space="preserve">   el Estado dictó leyes y disposiciones administrativas que dispusieron  la</w:t>
        <w:br/>
        <w:t xml:space="preserve">   revisión de los ceses colectivos a efecto de brindar a  los  trabajadores</w:t>
        <w:br/>
        <w:t xml:space="preserve">   cesados  en  el  sector  público  la  posibilidad  de   reivindicar   sus</w:t>
        <w:br/>
        <w:t xml:space="preserve">   derechos[189]. En este tenor, el Estado expidió normas en  dos  sentidos:</w:t>
        <w:br/>
        <w:t xml:space="preserve">   primero, destinadas  a  la  creación  y  funcionamiento  de  la  Comisión</w:t>
        <w:br/>
        <w:t xml:space="preserve">   Especial encargada de la revisión de los ceses colectivos  efectuados  en</w:t>
        <w:br/>
        <w:t xml:space="preserve">   las empresas del Estado sometidas a procesos de promoción de la inversión</w:t>
        <w:br/>
        <w:t xml:space="preserve">   privada, como fue el caso de Enapu y Petroperú; segundo, destinadas a  la</w:t>
        <w:br/>
        <w:t xml:space="preserve">   creación y funcionamiento de comisiones encargadas de revisar  los  ceses</w:t>
        <w:br/>
        <w:t xml:space="preserve">   de empresas del Estado que no estuvieron sujetas al proceso de  inversión</w:t>
        <w:br/>
        <w:t xml:space="preserve">   privada y de instituciones públicas, como fue el caso de MEF y Minedu.</w:t>
        <w:br/>
        <w:br/>
        <w:t xml:space="preserve">      D.1. Creación y funcionamiento de la Comisión Especial encargada de la</w:t>
        <w:br/>
        <w:t xml:space="preserve">      revisión de los ceses colectivos efectuados en las empresas del Estado</w:t>
        <w:br/>
        <w:t xml:space="preserve">      sometidas a procesos de promoción de la inversión privada</w:t>
        <w:br/>
        <w:br/>
        <w:t>125. El 22 de mayo de 2001 se publicó en el Diario Oficial “El  Peruano”  la</w:t>
        <w:br/>
        <w:t xml:space="preserve">   Ley No. 27452[190], la cual dispuso lo siguiente:</w:t>
        <w:br/>
        <w:br/>
        <w:t xml:space="preserve">      Artículo 1°. Objeto de la ley. Créase una Comisión Especial  encargada</w:t>
        <w:br/>
        <w:t xml:space="preserve">      de revisar  los  procedimientos  de  cese  colectivo  de  trabajadores</w:t>
        <w:br/>
        <w:t xml:space="preserve">      llevados a cabo entre los años 1991 y 2000, en las empresas del Estado</w:t>
        <w:br/>
        <w:t xml:space="preserve">      que fueron sometidas a un proceso de promoción de la inversión privada</w:t>
        <w:br/>
        <w:t xml:space="preserve">      en cualquiera de las modalidades de inversión, comprendidas dentro  de</w:t>
        <w:br/>
        <w:t xml:space="preserve">      los  alcances  del  Decreto  Legislativo  No.   674   y   sus   normas</w:t>
        <w:br/>
        <w:t xml:space="preserve">      reglamentarias o modificatorias.</w:t>
        <w:br/>
        <w:br/>
        <w:br/>
        <w:t>126.  Asimismo, la Ley No. 27452 estableció que la Comisión  Especial  debía</w:t>
        <w:br/>
        <w:t xml:space="preserve">   emitir  un  informe  final  en  el  que,  entre  otras  cuestiones:   (i)</w:t>
        <w:br/>
        <w:t xml:space="preserve">   determinara si los procedimientos de cese colectivo  se  sujetaron  a  la</w:t>
        <w:br/>
        <w:t xml:space="preserve">   Constitución, a las leyes y a la normatividad  especial  aplicable;  (ii)</w:t>
        <w:br/>
        <w:t xml:space="preserve">   determinara e individualizara el  número  de  trabajadores  incluidos  en</w:t>
        <w:br/>
        <w:t xml:space="preserve">   dichos  procedimientos,  si  los  trabajadores  cobraron  sus  beneficios</w:t>
        <w:br/>
        <w:t xml:space="preserve">   sociales, si recibieron el pago de los incentivos previstos y, de ser  el</w:t>
        <w:br/>
        <w:t xml:space="preserve">   caso, si habían accedido a los regímenes provisionales a cargo del Estado</w:t>
        <w:br/>
        <w:t xml:space="preserve">   o privados, especificando  el  número  de  trabajadores  que  gozaban  de</w:t>
        <w:br/>
        <w:t xml:space="preserve">   pensión o que habían iniciado algún procedimiento para  su  obtención;  y</w:t>
        <w:br/>
        <w:t xml:space="preserve">   (iii) precisara recomendaciones y sugerencias. Además, en su artículo 8°,</w:t>
        <w:br/>
        <w:t xml:space="preserve">   la Ley 27452  estableció  que  la  Comisión  Especial  debía  remitir  al</w:t>
        <w:br/>
        <w:t xml:space="preserve">   Presidente de la República de Perú un “Informe Final”, a fin  de  que  se</w:t>
        <w:br/>
        <w:t xml:space="preserve">   adoptaran las medidas pertinentes, en un plazo de cuarenta y  cinco  días</w:t>
        <w:br/>
        <w:t xml:space="preserve">   naturales contados a partir de su instalación.</w:t>
        <w:br/>
        <w:br/>
        <w:t xml:space="preserve">      D.2. Creación y funcionamiento de las Comisiones encargadas de revisar</w:t>
        <w:br/>
        <w:t xml:space="preserve">      los ceses colectivos en el sector público</w:t>
        <w:br/>
        <w:br/>
        <w:t>127. El 21 de junio de 2001, fue emitida la Ley No. 27487, la  cual  dispuso</w:t>
        <w:br/>
        <w:t xml:space="preserve">   lo siguiente:</w:t>
        <w:br/>
        <w:br/>
        <w:t xml:space="preserve">      Artículo 1º  Derógase el  Decreto  Ley  No.  26093  […,]  la  Ley  No.</w:t>
        <w:br/>
        <w:t xml:space="preserve">      25536[,…] y demás normas expresas que autorizaron ceses colectivos  al</w:t>
        <w:br/>
        <w:t xml:space="preserve">      amparo de procesos de reorganización. […]</w:t>
        <w:br/>
        <w:br/>
        <w:br/>
        <w:t xml:space="preserve">      Artículo 3º Las instituciones y organismos públicos […], en  un  plazo</w:t>
        <w:br/>
        <w:t xml:space="preserve">      de 15 (quince) días naturales contados a partir de la vigencia  de  la</w:t>
        <w:br/>
        <w:t xml:space="preserve">      presente  Ley,  conformarán  Comisiones  Especiales   integradas   por</w:t>
        <w:br/>
        <w:t xml:space="preserve">      representantes de éstas y de los trabajadores, encargadas  de  revisar</w:t>
        <w:br/>
        <w:t xml:space="preserve">      los ceses  colectivos  de  personal  amparados  en  procedimientos  de</w:t>
        <w:br/>
        <w:t xml:space="preserve">      evaluación de personal efectuados al amparo del Decreto Ley No.  26093</w:t>
        <w:br/>
        <w:t xml:space="preserve">      o en procesos de reorganización autorizados por norma legal expresa.</w:t>
        <w:br/>
        <w:br/>
        <w:br/>
        <w:t xml:space="preserve">      En un plazo de 45 (cuarenta y cinco) días hábiles a partir de su fecha</w:t>
        <w:br/>
        <w:t xml:space="preserve">      de instalación, las Comisiones Especiales deberán cumplir con elaborar</w:t>
        <w:br/>
        <w:t xml:space="preserve">      un informe que contenga la  relación  de  trabajadores  que  han  sido</w:t>
        <w:br/>
        <w:t xml:space="preserve">      cesados irregularmente, si los hubiera, así como las recomendaciones y</w:t>
        <w:br/>
        <w:t xml:space="preserve">      sugerencias a ser implementadas por el Titular del Sector  o  gobierno</w:t>
        <w:br/>
        <w:t xml:space="preserve">      local[191].</w:t>
        <w:br/>
        <w:br/>
        <w:br/>
        <w:t>128. Los Decretos  Supremos  021-2001-TR  y  022-2001-TR  establecieron  las</w:t>
        <w:br/>
        <w:t xml:space="preserve">   disposiciones para la conformación y  funcionamiento  de  las  Comisiones</w:t>
        <w:br/>
        <w:t xml:space="preserve">   Especiales encargadas de  revisar  los  ceses  colectivos  en  el  sector</w:t>
        <w:br/>
        <w:t xml:space="preserve">   público[192]. El 12 de diciembre de 2001 se publicó  la  Ley  No.  27586,</w:t>
        <w:br/>
        <w:t xml:space="preserve">   “Ley que regula complementariamente la Ley No. 27847”, en  virtud  de  la</w:t>
        <w:br/>
        <w:t xml:space="preserve">   cual se creó una Comisión Multisectorial integrada por los  Ministros  de</w:t>
        <w:br/>
        <w:t xml:space="preserve">   Economía y Finanzas, de Trabajo y Promoción Social, de la Presidencia, de</w:t>
        <w:br/>
        <w:t xml:space="preserve">   Salud  y  de  Educación,  así  como  por  cuatro  representantes  de   la</w:t>
        <w:br/>
        <w:t xml:space="preserve">   Municipalidades  Provinciales  y  por  el  Defensor  del  Pueblo,  o  sus</w:t>
        <w:br/>
        <w:t xml:space="preserve">   respectivos representantes[193]. La Ley también estableció que  la  fecha</w:t>
        <w:br/>
        <w:t xml:space="preserve">   máxima para  que  las  Comisiones  Especiales  concluyeran  sus  informes</w:t>
        <w:br/>
        <w:t xml:space="preserve">   finales sería el 20 de diciembre de 2001[194]. La Comisión Multisectorial</w:t>
        <w:br/>
        <w:t xml:space="preserve">   estaba:</w:t>
        <w:br/>
        <w:br/>
        <w:t xml:space="preserve">      […]  encargada  de  evaluar  la  viabilidad  de  las   sugerencias   y</w:t>
        <w:br/>
        <w:t xml:space="preserve">      recomendaciones contenidas en los informes finales elaborados por  las</w:t>
        <w:br/>
        <w:t xml:space="preserve">      Comisiones  Especiales  de  las  entidades  incluidas  dentro  de  los</w:t>
        <w:br/>
        <w:t xml:space="preserve">      alcances de la Ley No. 27487, así como de  establecer  medidas  a  ser</w:t>
        <w:br/>
        <w:t xml:space="preserve">      implementadas por los titulares de las  entidades  o  la  adopción  de</w:t>
        <w:br/>
        <w:t xml:space="preserve">      decretos supremos o  elaboración  de  proyectos  de  ley  considerando</w:t>
        <w:br/>
        <w:t xml:space="preserve">      criterios de eficacia de la administración,  promoción  del  empleo  y</w:t>
        <w:br/>
        <w:t xml:space="preserve">      reinserción laboral de los sectores afectados;  pudiendo,  de  ser  el</w:t>
        <w:br/>
        <w:t xml:space="preserve">      caso,  plantear  la  reincorporación,  así  como  la  posibilidad   de</w:t>
        <w:br/>
        <w:t xml:space="preserve">      contemplar un régimen especial de jubilación anticipada. […]</w:t>
        <w:br/>
        <w:br/>
        <w:t xml:space="preserve">      La aludida Comisión  Multisectorial  pod[ía],  asimismo,  revisar  las</w:t>
        <w:br/>
        <w:t xml:space="preserve">      razones que motivaron los despidos y determinar los casos  en  que  se</w:t>
        <w:br/>
        <w:t xml:space="preserve">      adeud[aba] el pago de remuneraciones o beneficios sociales  devengados</w:t>
        <w:br/>
        <w:t xml:space="preserve">      o insolutos, siempre que tales aspectos no hubiesen  sido  materia  de</w:t>
        <w:br/>
        <w:t xml:space="preserve">      reclamación judicial”[195].</w:t>
        <w:br/>
        <w:br/>
        <w:t>129.  El 26 de marzo de 2002, la Comisión Multisectorial emitió  su  informe</w:t>
        <w:br/>
        <w:t xml:space="preserve">   final, en el que concluyó que “no cabe cuestionamiento de las normas  que</w:t>
        <w:br/>
        <w:t xml:space="preserve">   regularon los ceses colectivos […], sino tan sólo de los procedimientos a</w:t>
        <w:br/>
        <w:t xml:space="preserve">   través de los cuales se llevaron a cabo”  los  mismos.  Asimismo,  acordó</w:t>
        <w:br/>
        <w:t xml:space="preserve">   “que  toda  recomendación  de  reincorporación  o  reposición  debe   ser</w:t>
        <w:br/>
        <w:t xml:space="preserve">   entendida  como  un  nuevo  vínculo  laboral,  pudiendo  ser  una   nueva</w:t>
        <w:br/>
        <w:t xml:space="preserve">   contratación o nuevo nombramiento, en la medida que existan o se  generen</w:t>
        <w:br/>
        <w:t xml:space="preserve">   plazas presupuestadas vacantes en las  entidades,  que  los  trabajadores</w:t>
        <w:br/>
        <w:t xml:space="preserve">   cumplan con los requisitos exigidos para esas plazas, que se  cuente  con</w:t>
        <w:br/>
        <w:t xml:space="preserve">   habilitación legal para  contratar  y  que  exista  la  norma  legal  que</w:t>
        <w:br/>
        <w:t xml:space="preserve">   autorice los nombramientos”[196].</w:t>
        <w:br/>
        <w:br/>
        <w:t xml:space="preserve">      D.3. Creación y funcionamiento de la Comisión Ejecutiva y del Programa</w:t>
        <w:br/>
        <w:t xml:space="preserve">      Extraordinario de Acceso a Beneficios a favor de ex trabajadores</w:t>
        <w:br/>
        <w:br/>
        <w:t>130. El 29 de julio de 2002, el  Congreso  emitió  la  Ley  No.  27803  para</w:t>
        <w:br/>
        <w:t xml:space="preserve">   implementar las recomendaciones derivadas de  las  Comisiones  Especiales</w:t>
        <w:br/>
        <w:t xml:space="preserve">   creadas por las leyes No. 27452 y No. 27586, encargadas  de  revisar  los</w:t>
        <w:br/>
        <w:t xml:space="preserve">   ceses colectivos efectuados en las empresas del Estado sujetas a procesos</w:t>
        <w:br/>
        <w:t xml:space="preserve">   de promoción de la inversión privada,  y  en  las  entidades  del  sector</w:t>
        <w:br/>
        <w:t xml:space="preserve">   público y gobiernos locales[197]. Dicha Ley dispuso lo siguiente:</w:t>
        <w:br/>
        <w:br/>
        <w:t xml:space="preserve">      Artículo 1.- Ámbito de Aplicación</w:t>
        <w:br/>
        <w:t xml:space="preserve">      La presente Ley es de aplicación  únicamente  a  los  ex  trabajadores</w:t>
        <w:br/>
        <w:t xml:space="preserve">      cesados mediante procedimientos de ceses colectivos  llevados  a  cabo</w:t>
        <w:br/>
        <w:t xml:space="preserve">      ante la Autoridad Administrativa de Trabajo en el marco del proceso de</w:t>
        <w:br/>
        <w:t xml:space="preserve">      promoción de la inversión privada, y que conforme a lo establecido por</w:t>
        <w:br/>
        <w:t xml:space="preserve">      la Comisión Especial creada por Ley Nº  27452  han  sido  considerados</w:t>
        <w:br/>
        <w:t xml:space="preserve">      irregulares, y a los ex trabajadores  cuyos  ceses  colectivos  en  el</w:t>
        <w:br/>
        <w:t xml:space="preserve">      Sector Público y Gobiernos Locales han  sido  considerados  igualmente</w:t>
        <w:br/>
        <w:t xml:space="preserve">      irregulares en función a los parámetros determinados por  la  Comisión</w:t>
        <w:br/>
        <w:t xml:space="preserve">      Multisectorial creada por la Ley Nº 27586.</w:t>
        <w:br/>
        <w:br/>
        <w:br/>
        <w:t xml:space="preserve">      De igual forma  es  aplicable  a  los  ex  trabajadores  que  mediante</w:t>
        <w:br/>
        <w:t xml:space="preserve">      coacción fueron obligados a renunciar en el marco del referido proceso</w:t>
        <w:br/>
        <w:t xml:space="preserve">      de promoción de la inversión privada o dentro del marco de  los  ceses</w:t>
        <w:br/>
        <w:t xml:space="preserve">      colectivos de personal al amparo del Decreto Ley Nº 26093  o  procesos</w:t>
        <w:br/>
        <w:t xml:space="preserve">      de reorganización a que se refiere el Artículo 3 de la Ley  Nº  27487,</w:t>
        <w:br/>
        <w:t xml:space="preserve">      según  lo  determinado  por  la  Comisión  Ejecutiva  a  que  se  hace</w:t>
        <w:br/>
        <w:t xml:space="preserve">      referencia en el Artículo 5 de la presente Ley.</w:t>
        <w:br/>
        <w:br/>
        <w:br/>
        <w:t xml:space="preserve">      Artículo 2.- Objeto de la Ley</w:t>
        <w:br/>
        <w:t xml:space="preserve">      Institúyase un Programa Extraordinario de Acceso a  Beneficios,  cuyos</w:t>
        <w:br/>
        <w:t xml:space="preserve">      destinatarios serán los ex trabajadores comprendidos dentro del ámbito</w:t>
        <w:br/>
        <w:t xml:space="preserve">      de aplicación de la presente Ley.</w:t>
        <w:br/>
        <w:br/>
        <w:br/>
        <w:t xml:space="preserve">      El Programa Extraordinario de Acceso a Beneficios incluye al  Registro</w:t>
        <w:br/>
        <w:t xml:space="preserve">      Nacional de Trabajadores Cesados Irregularmente creado en el  Artículo</w:t>
        <w:br/>
        <w:t xml:space="preserve">      4 de la presente Ley, y tendrá por función primordial  administrar  el</w:t>
        <w:br/>
        <w:t xml:space="preserve">      acceso a los beneficios a que se refiere el artículo siguiente.</w:t>
        <w:br/>
        <w:br/>
        <w:br/>
        <w:t xml:space="preserve">      Artículo 3.- Beneficios del Programa Extraordinario</w:t>
        <w:br/>
        <w:t xml:space="preserve">      Los ex trabajadores comprendidos en el  ámbito  de  aplicación  de  la</w:t>
        <w:br/>
        <w:t xml:space="preserve">      presente Ley, y que se encuentren debidamente inscritos en el Registro</w:t>
        <w:br/>
        <w:t xml:space="preserve">      Nacional de Trabajadores Cesados Irregularmente creado en el  Artículo</w:t>
        <w:br/>
        <w:t xml:space="preserve">      4  de  la  presente  Ley,  tendrán  derecho  a  optar  alternativa   y</w:t>
        <w:br/>
        <w:t xml:space="preserve">      excluyentemente entre los siguientes beneficios:</w:t>
        <w:br/>
        <w:br/>
        <w:br/>
        <w:t xml:space="preserve">           1. Reincorporación o reubicación laboral[198].</w:t>
        <w:br/>
        <w:t xml:space="preserve">           2. Jubilación Adelantada[199].</w:t>
        <w:br/>
        <w:t xml:space="preserve">           3. Compensación Económica.</w:t>
        <w:br/>
        <w:t xml:space="preserve">           4. Capacitación y Reconversión Laboral[200].</w:t>
        <w:br/>
        <w:br/>
        <w:br/>
        <w:t xml:space="preserve">      Artículo 4.- Creación del Registro Nacional  de  Trabajadores  Cesados</w:t>
        <w:br/>
        <w:t xml:space="preserve">      Irregularmente</w:t>
        <w:br/>
        <w:t xml:space="preserve">      Como parte del Programa Extraordinario de Acceso a Beneficios a que se</w:t>
        <w:br/>
        <w:t xml:space="preserve">      refiere el Artículo 2, créase el Registro Nacional de Ex  Trabajadores</w:t>
        <w:br/>
        <w:t xml:space="preserve">      Cesados Irregularmente, en adelante el Registro Nacional, en donde  se</w:t>
        <w:br/>
        <w:t xml:space="preserve">      consignará a los ex trabajadores comprendidos dentro de  los  alcances</w:t>
        <w:br/>
        <w:t xml:space="preserve">      del Artículo 1 de la presente Ley, con  la  finalidad  de  que  puedan</w:t>
        <w:br/>
        <w:t xml:space="preserve">      acceder a los beneficios regulados en el artículo anterior.</w:t>
        <w:br/>
        <w:br/>
        <w:br/>
        <w:t xml:space="preserve">      La inscripción en este  Registro  constituye  requisito  indispensable</w:t>
        <w:br/>
        <w:t xml:space="preserve">      para acceder, de manera voluntaria, alternativa y  excluyente,  a  los</w:t>
        <w:br/>
        <w:t xml:space="preserve">      beneficios que prevé la presente Ley.</w:t>
        <w:br/>
        <w:br/>
        <w:t xml:space="preserve">      […] Disposición complementaria CUARTA.- Se encuentran comprendidos  en</w:t>
        <w:br/>
        <w:t xml:space="preserve">      la presente ley los ceses irregulares de aquellos ex trabajadores  que</w:t>
        <w:br/>
        <w:t xml:space="preserve">      tuvieran procesos judiciales en trámite, siempre que se desistan de la</w:t>
        <w:br/>
        <w:t xml:space="preserve">      pretensión ante el Órgano Jurisdiccional[201].</w:t>
        <w:br/>
        <w:br/>
        <w:t>131. En virtud de esta ley se creó el Programa Extraordinario  de  Acceso  a</w:t>
        <w:br/>
        <w:t xml:space="preserve">   Beneficios y como parte de éste se  instituyó  el  Registro  Nacional  de</w:t>
        <w:br/>
        <w:t xml:space="preserve">   Trabajadores Cesados Irregularmente (en  adelante  también,  RNTCI)[202].</w:t>
        <w:br/>
        <w:t xml:space="preserve">   Adicionalmente, se creó una Comisión Ejecutiva encargada de analizar  los</w:t>
        <w:br/>
        <w:t xml:space="preserve">   documentos probatorios presentados por los ex trabajadores cuya  renuncia</w:t>
        <w:br/>
        <w:t xml:space="preserve">   fue coaccionada,[203] y estableció un programa extraordinario de acceso a</w:t>
        <w:br/>
        <w:t xml:space="preserve">   beneficios para los ex trabajadores cuyos ceses  colectivos  habían  sido</w:t>
        <w:br/>
        <w:t xml:space="preserve">   considerados como irregulares por  las  respectivas  comisiones[204].  La</w:t>
        <w:br/>
        <w:t xml:space="preserve">   Comisión Ejecutiva y el Ministerio de Trabajo y Promoción del Empleo  han</w:t>
        <w:br/>
        <w:t xml:space="preserve">   publicado  listados  que  contienen  los  nombres  de  los   trabajadores</w:t>
        <w:br/>
        <w:t xml:space="preserve">   comprendidos en los supuestos de ceses irregulares y  de  renuncias  bajo</w:t>
        <w:br/>
        <w:t xml:space="preserve">   coacción. En este sentido, se expidieron cinco listados[205]:</w:t>
        <w:br/>
        <w:br/>
        <w:t>|Primer listado        |R.M. No. 347-2002-TR  |22/12/2002            |</w:t>
        <w:br/>
        <w:t>|Segundo listado[206]  |R.M. No. 059-2003-TR  |27/12/2003            |</w:t>
        <w:br/>
        <w:t>|Tercer listado[207]   |R.S. No. 034-2004-TR  |02/10/2004            |</w:t>
        <w:br/>
        <w:t>|Cuarto listado        |R.S. No. 028-2009-TR  |05/08/2009            |</w:t>
        <w:br/>
        <w:t>|Quinto listado[208]   |R.M. No. 142-2017-TR  |17/08/2017            |</w:t>
        <w:br/>
        <w:br/>
        <w:t>132. El 6 de julio de 2016, se emitió la Ley No. 30484[209], a través de  la</w:t>
        <w:br/>
        <w:t xml:space="preserve">   cual se reactivó la Comisión Ejecutiva de la  Ley  No.  27803.  Esta  Ley</w:t>
        <w:br/>
        <w:t xml:space="preserve">   dispone que se  incorporará  a  los  beneficiarios  que  optaron  por  la</w:t>
        <w:br/>
        <w:t xml:space="preserve">   reincorporación o reubicación laboral y que hasta la fecha no han  gozado</w:t>
        <w:br/>
        <w:t xml:space="preserve">   de tal beneficio. Esta norma también contempla la posibilidad de que  los</w:t>
        <w:br/>
        <w:t xml:space="preserve">   beneficiarios puedan cambiar de opción por la compensación económica o la</w:t>
        <w:br/>
        <w:t xml:space="preserve">   jubilación anticipada.</w:t>
        <w:br/>
        <w:br/>
        <w:t>E. Beneficios otorgados a favor de las presuntas víctimas</w:t>
        <w:br/>
        <w:br/>
        <w:t xml:space="preserve">      E.1. Enapu</w:t>
        <w:br/>
        <w:br/>
        <w:t>133.  El  15  de  octubre  de  2002,  el  Vice  Ministro  de  Transportes  y</w:t>
        <w:br/>
        <w:t xml:space="preserve">   Comunicaciones reconoció que las  25  presuntas  víctimas  de  Enapu  que</w:t>
        <w:br/>
        <w:t xml:space="preserve">   figuran en el Informe de Fondo de la Comisión fueron despedidas de manera</w:t>
        <w:br/>
        <w:t xml:space="preserve">   irregular[210]. Al respecto, la Corte constata lo siguiente: (i)  las  25</w:t>
        <w:br/>
        <w:t xml:space="preserve">   presuntas víctimas de Enapu fueron incluidas en el RNTCI, y en el segundo</w:t>
        <w:br/>
        <w:t xml:space="preserve">   listado de cesados irregularmente[211];  (ii)  veinte  de  las  presuntas</w:t>
        <w:br/>
        <w:t xml:space="preserve">   víctimas fueron reincorporadas a la empresa a través de nuevos  contratos</w:t>
        <w:br/>
        <w:t xml:space="preserve">   laborales[212]; (iii)  diez  de  las  presuntas  víctimas  reincorporadas</w:t>
        <w:br/>
        <w:t xml:space="preserve">   continúan laborando para la empresa[213];  (iv)  ocho  de  las  presuntas</w:t>
        <w:br/>
        <w:t xml:space="preserve">   víctimas reincorporadas, cesaron su relación laboral con la  empresa,  al</w:t>
        <w:br/>
        <w:t xml:space="preserve">   haberse sometido al Programa de Retiro con Incentivos - PRI[214]  en  los</w:t>
        <w:br/>
        <w:t xml:space="preserve">   años siguientes a su reincorporación; y (v) las cinco presuntas  víctimas</w:t>
        <w:br/>
        <w:t xml:space="preserve">   restantes, no obstante que optaron por el beneficio de la reincorporación</w:t>
        <w:br/>
        <w:t xml:space="preserve">   laboral, no fueron reincorporadas debido a diversas circunstancias[215].</w:t>
        <w:br/>
        <w:br/>
        <w:t xml:space="preserve">      E.2. MEF</w:t>
        <w:br/>
        <w:br/>
        <w:t>134. El 2 de octubre de 2004 se publicó la  tercera  lista  de  trabajadores</w:t>
        <w:br/>
        <w:t xml:space="preserve">   cesados irregularmente, en la cual figuran  dos  presuntas  víctimas  del</w:t>
        <w:br/>
        <w:t xml:space="preserve">   MEF, Segundo Gilberto León Barturén y Lucio Juan Chávez Quiñones, quienes</w:t>
        <w:br/>
        <w:t xml:space="preserve">   además se encuentran inscritos  en  el  RNTCI[216].  La  Corte  constata,</w:t>
        <w:br/>
        <w:t xml:space="preserve">   asimismo, que Eduardo Bernardo Colán Vargas fue incluido en el RNTCI y ha</w:t>
        <w:br/>
        <w:t xml:space="preserve">   sido  reincorporado.  Las  doce  presuntas  víctimas  restantes[217]  “no</w:t>
        <w:br/>
        <w:t xml:space="preserve">   calificaron positivamente para ser incluidos en el RNTCI en mérito  a  lo</w:t>
        <w:br/>
        <w:t xml:space="preserve">   que establecía la Ley No. 27803”[218], por lo que no han  sido  incluidas</w:t>
        <w:br/>
        <w:t xml:space="preserve">   en ninguna de las listas de ex trabajadores cesados en forma irregular, y</w:t>
        <w:br/>
        <w:t xml:space="preserve">   en ese sentido, no existe en autos documento alguno que acredite que  han</w:t>
        <w:br/>
        <w:t xml:space="preserve">   percibido algún tipo de reparación.</w:t>
        <w:br/>
        <w:br/>
        <w:t xml:space="preserve">      E.3. Petroperú</w:t>
        <w:br/>
        <w:br/>
        <w:t>135. Respecto de las presuntas víctimas de Petroperú, este  Tribunal  cuenta</w:t>
        <w:br/>
        <w:t xml:space="preserve">   con información que indica que (i) por medio del  tercer  listado  de  ex</w:t>
        <w:br/>
        <w:t xml:space="preserve">   trabajadores cesados irregularmente, el Estado ha reconocido  el  despido</w:t>
        <w:br/>
        <w:t xml:space="preserve">   irregular de 34 de las 85 presuntas  víctimas[219];  (ii)  de  ellas,  31</w:t>
        <w:br/>
        <w:t xml:space="preserve">   presentaron una solicitud para acceder a los  beneficios  de  la  Ley  N°</w:t>
        <w:br/>
        <w:t xml:space="preserve">   27803, y optaron por el beneficio de la  reincorporación[220];  (iii)  de</w:t>
        <w:br/>
        <w:t xml:space="preserve">   ellas, el señor José Torres Namuche presentó el formato de postulación  a</w:t>
        <w:br/>
        <w:t xml:space="preserve">   la empresa, para  el  proceso  de  reubicación  laboral[221];  (iv)  tres</w:t>
        <w:br/>
        <w:t xml:space="preserve">   personas habrían sido reincorporadas por  medio  de  medidas  cautelares,</w:t>
        <w:br/>
        <w:t xml:space="preserve">   encontrándose laborando en Petroperú, al 10 de junio de 2016; y (v)  doce</w:t>
        <w:br/>
        <w:t xml:space="preserve">   personas se habrían jubilado[222]. Por último, las restantes 50 presuntas</w:t>
        <w:br/>
        <w:t xml:space="preserve">   víctimas no fueron incluidas en ningún listado, por lo que el  Estado  no</w:t>
        <w:br/>
        <w:t xml:space="preserve">   ha reconocido su cese irregular,  y  en  consecuencia,  no  han  recibido</w:t>
        <w:br/>
        <w:t xml:space="preserve">   ningún tipo de beneficio o reparación.</w:t>
        <w:br/>
        <w:br/>
        <w:t xml:space="preserve">      E.4. Minedu</w:t>
        <w:br/>
        <w:br/>
        <w:t>136. En relación a las presuntas víctimas del Minedu, (i) las  39  presuntas</w:t>
        <w:br/>
        <w:t xml:space="preserve">   víctimas fueron incluidas en los listados segundo[223] y tercero[224]  de</w:t>
        <w:br/>
        <w:t xml:space="preserve">   ceses irregulares;  (ii)  26  de  las  presuntas  víctimas  se  acogieron</w:t>
        <w:br/>
        <w:t xml:space="preserve">   provisionalmente a los beneficios señalados en la Ley N°  27803,  optando</w:t>
        <w:br/>
        <w:t xml:space="preserve">   por  reincorporarse  a  su  centro  laboral  mediante  un  nuevo  vínculo</w:t>
        <w:br/>
        <w:t xml:space="preserve">   laboral[225];  (iii)  5[226]  recibieron   una   compensación   económica</w:t>
        <w:br/>
        <w:t xml:space="preserve">   consistente en $3,727 dólares  de  la  época;  (iv)  el  representante  y</w:t>
        <w:br/>
        <w:t xml:space="preserve">   presunta víctima Manuel Eugenio Paiba Cossíos, obtuvo en el año  2014  un</w:t>
        <w:br/>
        <w:t xml:space="preserve">   contrato con el Minedu, al margen de los alcances de la  Ley  27803[227];</w:t>
        <w:br/>
        <w:t xml:space="preserve">   (v) 7 reciben una pensión en su carácter de cesantes del  Minedu[228];  y</w:t>
        <w:br/>
        <w:t xml:space="preserve">   (vi) 8 no han recibido beneficio alguno por parte del Estado[229].</w:t>
        <w:br/>
        <w:br/>
        <w:t xml:space="preserve">                                    VIII</w:t>
        <w:br/>
        <w:t xml:space="preserve">                                    FONDO</w:t>
        <w:br/>
        <w:br/>
        <w:t>137. A continuación, el Tribunal considerará y  resolverá  el  fondo  de  la</w:t>
        <w:br/>
        <w:t xml:space="preserve">   controversia. Para ello, la Corte recuerda que el presente  caso  (i)  se</w:t>
        <w:br/>
        <w:t xml:space="preserve">   enmarca en la problemática de ceses de funcionarios  del  sector  público</w:t>
        <w:br/>
        <w:t xml:space="preserve">   llevados a cabo en la década de los  noventa  en  el  Perú.  Estos  ceses</w:t>
        <w:br/>
        <w:t xml:space="preserve">   implicaron  la  existencia  y  ejecución  de  programas   especiales   de</w:t>
        <w:br/>
        <w:t xml:space="preserve">   racionalización de personal  de  empresas  incluidas  en  el  proceso  de</w:t>
        <w:br/>
        <w:t xml:space="preserve">   promoción de la inversión privada llevado  a  cabo  conforme  al  Decreto</w:t>
        <w:br/>
        <w:t xml:space="preserve">   Legislativo No. 674, como fue el caso de aquellos  llevados  a  cabo  por</w:t>
        <w:br/>
        <w:t xml:space="preserve">   Petroperú y Enapu, y de programas de evaluación de personal que derivaron</w:t>
        <w:br/>
        <w:t xml:space="preserve">   en el  cese  por  “causal  de  excedencia”  de  algunos  trabajadores  de</w:t>
        <w:br/>
        <w:t xml:space="preserve">   entidades estatales, como es el caso de las presuntas víctimas de  MEF  y</w:t>
        <w:br/>
        <w:t xml:space="preserve">   Minedu; (ii) guarda relación con lo ya decidido por este Tribunal en  los</w:t>
        <w:br/>
        <w:t xml:space="preserve">   casos  Aguado  Alfaro  y  otros,  Canales  Huapaya  y  otros  y  Tribunal</w:t>
        <w:br/>
        <w:t xml:space="preserve">   Constitucional (supra  párr.  81);  y  (iii)  tiene  como  objeto  de  la</w:t>
        <w:br/>
        <w:t xml:space="preserve">   controversia el analizar la respuesta judicial del Estado ante los  ceses</w:t>
        <w:br/>
        <w:t xml:space="preserve">   colectivos de las entidades públicas antes mencionadas, y determinar  las</w:t>
        <w:br/>
        <w:t xml:space="preserve">   consecuencias jurídicas que se deriven de dicha  respuesta  (supra  párr.</w:t>
        <w:br/>
        <w:t xml:space="preserve">   69).</w:t>
        <w:br/>
        <w:br/>
        <w:t xml:space="preserve">                                   VIII-1</w:t>
        <w:br/>
        <w:t xml:space="preserve">  DERECHO A LAS GARANTÍAS JUDICIALES y a la protección judicial en relación</w:t>
        <w:br/>
        <w:t xml:space="preserve">  con las obligaciones de respetar y garantizar los derechos, y el deber de</w:t>
        <w:br/>
        <w:t xml:space="preserve">                  adoptar disposiciones de derecho interno</w:t>
        <w:br/>
        <w:t xml:space="preserve">               (ARTICULOS 8[230], 25[231], 1.1[232] Y 2[233])</w:t>
        <w:br/>
        <w:br/>
        <w:t>A. Alegatos de la Comisión y de las partes</w:t>
        <w:br/>
        <w:br/>
        <w:br/>
        <w:t>138. La Comisión resaltó que el aspecto sustancial de su análisis radica  en</w:t>
        <w:br/>
        <w:t xml:space="preserve">   determinar si las presuntas víctimas, luego de ser cesadas,  tuvieron  la</w:t>
        <w:br/>
        <w:t xml:space="preserve">   posibilidad de contar con un recurso judicial adecuado  y  efectivo  para</w:t>
        <w:br/>
        <w:t xml:space="preserve">   cuestionar sus  despidos  conforme  a  los  estándares  previstos  en  la</w:t>
        <w:br/>
        <w:t xml:space="preserve">   Convención Americana. En ese sentido, la Comisión encontró que los cuatro</w:t>
        <w:br/>
        <w:t xml:space="preserve">   asuntos materia de su Informe de Fondo ocurrieron en el mismo contexto de</w:t>
        <w:br/>
        <w:t xml:space="preserve">   ceses colectivos en Perú en la década de los noventa y, por lo tanto, que</w:t>
        <w:br/>
        <w:t xml:space="preserve">   presentan características similares a las de los casos  Aguado  Alfaro  y</w:t>
        <w:br/>
        <w:t xml:space="preserve">   otros y Canales Huapaya y otros, en los cuales la  Comisión  y  la  Corte</w:t>
        <w:br/>
        <w:t xml:space="preserve">   “efectuaron pronunciamientos de alcance  general  sobre  el  contexto  de</w:t>
        <w:br/>
        <w:t xml:space="preserve">   ceses colectivos y de falta de  garantías  de  debido  proceso  frente  a</w:t>
        <w:br/>
        <w:t xml:space="preserve">   dichos ceses, sin que sus hallazgos estuvieran limitados a  la  situación</w:t>
        <w:br/>
        <w:t xml:space="preserve">   particular de los trabajadores cesados del Congreso”, y  donde  la  Corte</w:t>
        <w:br/>
        <w:t xml:space="preserve">   calificó que existió un  “contexto  generalizado  de  ineficacia  de  las</w:t>
        <w:br/>
        <w:t xml:space="preserve">   instituciones  judiciales”   y   una   “ausencia   de   independencia   e</w:t>
        <w:br/>
        <w:t xml:space="preserve">   imparcialidad del Tribunal Constitucional”.</w:t>
        <w:br/>
        <w:br/>
        <w:t>139. Como complemento de lo anterior, y  en  atención  a  los  alegatos  del</w:t>
        <w:br/>
        <w:t xml:space="preserve">   Estado (infra, párr. 145),  la  Comisión  alegó  la  existencia  de  seis</w:t>
        <w:br/>
        <w:t xml:space="preserve">   similitudes sustanciales entre los  dos  casos  antes  mencionados  y  el</w:t>
        <w:br/>
        <w:t xml:space="preserve">   presente caso: (i) los trabajadores cesados eran trabajadores públicos en</w:t>
        <w:br/>
        <w:t xml:space="preserve">   la década de 1990, tras la ruptura del orden democrático  constitucional;</w:t>
        <w:br/>
        <w:t xml:space="preserve">   (ii) los trabajadores fueron cesados bajo el marco normativo del plan  de</w:t>
        <w:br/>
        <w:t xml:space="preserve">   racionalización de personal de entidades estatales  establecidas  por  el</w:t>
        <w:br/>
        <w:t xml:space="preserve">   señor Alberto Fujimori Fujimori; (iii) los trabajadores del presente caso</w:t>
        <w:br/>
        <w:t xml:space="preserve">   presentaron  recursos  de  amparo  con  el   objetivo   de   obtener   un</w:t>
        <w:br/>
        <w:t xml:space="preserve">   pronunciamiento de fondo sobre la arbitrariedad de sus ceses, sin que las</w:t>
        <w:br/>
        <w:t xml:space="preserve">   sentencias a dichos recursos contaran con una motivación suficiente sobre</w:t>
        <w:br/>
        <w:t xml:space="preserve">   dicho análisis; (iv) la presentación de los recursos de amparo ocurrieron</w:t>
        <w:br/>
        <w:t xml:space="preserve">   cuando  el  Poder  Judicial  estaba  siendo  intervenido  por  el   Poder</w:t>
        <w:br/>
        <w:t xml:space="preserve">   Ejecutivo; (v) a la fecha de las presentaciones de las peticiones en  los</w:t>
        <w:br/>
        <w:t xml:space="preserve">   cuatro casos acumulados (1996, 1998, 2000 y 2002), el Estado  peruano  no</w:t>
        <w:br/>
        <w:t xml:space="preserve">   había dado una respuesta efectiva a la problemática de los ceses; y  (vi)</w:t>
        <w:br/>
        <w:t xml:space="preserve">   en el año 2001 el gobierno de transición del Estado peruano emitió la Ley</w:t>
        <w:br/>
        <w:t xml:space="preserve">   No. 27487, en la cual se derogaron los decretos que autorizaron los ceses</w:t>
        <w:br/>
        <w:t xml:space="preserve">   colectivos, y se ordenó la creación  de  comisiones  especiales  en  cada</w:t>
        <w:br/>
        <w:t xml:space="preserve">   organismo público a efectos de revisar los ceses colectivos y  determinar</w:t>
        <w:br/>
        <w:t xml:space="preserve">   su eventual arbitrariedad.</w:t>
        <w:br/>
        <w:br/>
        <w:t>140. En razón de lo anterior, la Comisión alegó que los recursos  intentados</w:t>
        <w:br/>
        <w:t xml:space="preserve">   por las presuntas víctimas tuvieron lugar en  un  contexto  de  falta  de</w:t>
        <w:br/>
        <w:t xml:space="preserve">   independencia e imparcialidad del Tribunal Constitucional, y en un  clima</w:t>
        <w:br/>
        <w:t xml:space="preserve">   generalizado de ineficacia del poder judicial, lo cual se confirmó con la</w:t>
        <w:br/>
        <w:t xml:space="preserve">   inefectividad de los recursos de amparo interpuestos  por  las  presuntas</w:t>
        <w:br/>
        <w:t xml:space="preserve">   víctimas, cuya  resolución  además  careció  de  una  debida  motivación.</w:t>
        <w:br/>
        <w:t xml:space="preserve">   Respecto a esto último,  la  Comisión  alegó  que  la  motivación  de  la</w:t>
        <w:br/>
        <w:t xml:space="preserve">   resolución de los amparos no incluyó un análisis que permitiera saber  si</w:t>
        <w:br/>
        <w:t xml:space="preserve">   la autoridad judicial evaluó la arbitrariedad de los ceses, o si  analizó</w:t>
        <w:br/>
        <w:t xml:space="preserve">   los ceses a  la  luz  de  los  derechos  constitucionales  invocados.  En</w:t>
        <w:br/>
        <w:t xml:space="preserve">   consecuencia, la Comisión concluyó que el Estado es  responsable  por  la</w:t>
        <w:br/>
        <w:t xml:space="preserve">   violación a los artículos 8.1 y 25 de la Convención en relación  con  los</w:t>
        <w:br/>
        <w:t xml:space="preserve">   artículos 1.1 y 2 del mismo instrumento en  perjuicio  de  las  presuntas</w:t>
        <w:br/>
        <w:t xml:space="preserve">   víctimas.</w:t>
        <w:br/>
        <w:br/>
        <w:t>141. Un representante compartió los argumentos expresados por  la  Comisión,</w:t>
        <w:br/>
        <w:t xml:space="preserve">   agregando, en relación con el  “contexto  de  intervención  del  Tribunal</w:t>
        <w:br/>
        <w:t xml:space="preserve">   Constitucional”, que tal situación  formaba  parte  de  un  contexto  más</w:t>
        <w:br/>
        <w:t xml:space="preserve">   general de inexistencia  de  un  estado  de  derecho  que  posibilitó  la</w:t>
        <w:br/>
        <w:t xml:space="preserve">   expedición de un conjunto de normas para la racionalización  de  personal</w:t>
        <w:br/>
        <w:t xml:space="preserve">   en las entidades y empresas del Estado. Alegó que dichas  normas  habrían</w:t>
        <w:br/>
        <w:t xml:space="preserve">   suprimido derechos laborales y negado las garantías judiciales conforme a</w:t>
        <w:br/>
        <w:t xml:space="preserve">   los parámetros de  la  Convención  Americana.  En  ese  sentido,  formuló</w:t>
        <w:br/>
        <w:t xml:space="preserve">   alegatos específicos respecto a  las  violaciones  que  habrían  ocurrido</w:t>
        <w:br/>
        <w:t xml:space="preserve">   durante los procesos judiciales intentados por los trabajadores de Enapu,</w:t>
        <w:br/>
        <w:t xml:space="preserve">   el MEF y Petroperú. De manera genérica, alegó que  durante  los  procesos</w:t>
        <w:br/>
        <w:t xml:space="preserve">   ante el Poder Judicial intentados por sus representados no  se  garantizó</w:t>
        <w:br/>
        <w:t xml:space="preserve">   la vigencia de recursos adecuados y efectivos en un plazo  razonable.  De</w:t>
        <w:br/>
        <w:t xml:space="preserve">   manera específica, alegó violaciones al derecho  a  ser  oido,  al  plazo</w:t>
        <w:br/>
        <w:t xml:space="preserve">   razonable, al deber de notificación, a la igualdad de armas y a la  falta</w:t>
        <w:br/>
        <w:t xml:space="preserve">   de motivación.</w:t>
        <w:br/>
        <w:br/>
        <w:br/>
        <w:t>142. Adicionalmente, un  representante  alegó  que  el  Estado  violentó  la</w:t>
        <w:br/>
        <w:t xml:space="preserve">   obligación de adoptar medidas internas para hacer efectivos y  garantizar</w:t>
        <w:br/>
        <w:t xml:space="preserve">   el pleno ejercicio de los  derechos  reconocidos  en  la  Convención.  Al</w:t>
        <w:br/>
        <w:t xml:space="preserve">   respecto, alegó  que  el  Estado  dictó  medidas  legislativas  y  adoptó</w:t>
        <w:br/>
        <w:t xml:space="preserve">   políticas públicas de racionalización de personal, las cuales violentaron</w:t>
        <w:br/>
        <w:t xml:space="preserve">   las garantías mínimas a ser observadas en un proceso de cese colectivo  y</w:t>
        <w:br/>
        <w:t xml:space="preserve">   los derechos de los trabajadores, así como el  derecho  a  la  protección</w:t>
        <w:br/>
        <w:t xml:space="preserve">   judicial.</w:t>
        <w:br/>
        <w:br/>
        <w:t>143. Otros representantes solicitaron que  se  establezca  la  violación  al</w:t>
        <w:br/>
        <w:t xml:space="preserve">   derecho a las garantías judiciales y a  la  protección  judicial  de  los</w:t>
        <w:br/>
        <w:t xml:space="preserve">   trabajadores de Minedu sobre la base del Informe de Fondo de la Comisión.</w:t>
        <w:br/>
        <w:br/>
        <w:t>144. El Estado alegó que el pronunciamiento de la Corte en los casos  Aguado</w:t>
        <w:br/>
        <w:t xml:space="preserve">   Alfaro y otros y Canales Huapaya y otros, en relación con  la  existencia</w:t>
        <w:br/>
        <w:t xml:space="preserve">   de un contexto de falta de independencia e imparcialidad por parte de los</w:t>
        <w:br/>
        <w:t xml:space="preserve">   miembros del Tribunal Constitucional, no es aplicable en los casos de los</w:t>
        <w:br/>
        <w:t xml:space="preserve">   trabajadores cesados de Petroperú y MEF. En  relación  con  lo  anterior,</w:t>
        <w:br/>
        <w:t xml:space="preserve">   respecto de los trabajadores cesados de Petroperú, alegó que no se habría</w:t>
        <w:br/>
        <w:t xml:space="preserve">   acreditado que éstos hubieran recurrido al  Tribunal  Constitucional  por</w:t>
        <w:br/>
        <w:t xml:space="preserve">   medio del recurso extraordinario, el cual era el  recurso  a  través  del</w:t>
        <w:br/>
        <w:t xml:space="preserve">   cual se podía realizar el control de constitucionalidad respecto  de  los</w:t>
        <w:br/>
        <w:t xml:space="preserve">   actos del Estado. Respecto a los trabajadores de MEF, alegó que se  había</w:t>
        <w:br/>
        <w:t xml:space="preserve">   evidenciado  que  la  controversia   fue   evaluada   por   el   Tribunal</w:t>
        <w:br/>
        <w:t xml:space="preserve">   Constitucional fuera del espacio  temporal  del  alegado  contexto,  pues</w:t>
        <w:br/>
        <w:t xml:space="preserve">   dicho Tribunal ya contaba con siete magistrados. Adicionalmente, respecto</w:t>
        <w:br/>
        <w:t xml:space="preserve">   a este punto, el Estado alegó que el contexto abordado por la  Corte,  en</w:t>
        <w:br/>
        <w:t xml:space="preserve">   los casos antes mencionados,  entre  los  años  1997  y  1999,  no  puede</w:t>
        <w:br/>
        <w:t xml:space="preserve">   trasladarse respecto a los casos en que  tuvo  conocimiento  el  Tribunal</w:t>
        <w:br/>
        <w:t xml:space="preserve">   Constitucional respecto de Enapu y Minedu, puesto que dicho Tribunal  (i)</w:t>
        <w:br/>
        <w:t xml:space="preserve">   expidió sentencias favorables a los derechos fundamentales en esos  años,</w:t>
        <w:br/>
        <w:t xml:space="preserve">   y (ii) en algunas de esas sentencias falló en contra de los intereses  de</w:t>
        <w:br/>
        <w:t xml:space="preserve">   Enapu y Minedu.</w:t>
        <w:br/>
        <w:br/>
        <w:t>145. En relación  con  lo  anterior,  y  en  consideración  a  los  alegatos</w:t>
        <w:br/>
        <w:t xml:space="preserve">   presentados  por  la  Comisión  respecto  a  la  aplicabilidad   de   los</w:t>
        <w:br/>
        <w:t xml:space="preserve">   precedentes de Aguado Alfaro  y  otros  y  Canales  Huapaya  y  otros  al</w:t>
        <w:br/>
        <w:t xml:space="preserve">   presente caso (supra párr. 138), el Estado alegó lo siguiente: respecto a</w:t>
        <w:br/>
        <w:t xml:space="preserve">   las similitudes (i) y (ii), señaló que en efecto  los  trabajadores  eran</w:t>
        <w:br/>
        <w:t xml:space="preserve">   trabajadores públicos, pero que los ceses fueron realizados con  estricta</w:t>
        <w:br/>
        <w:t xml:space="preserve">   observancia de  los  dispositivos  legales  y  administrativos  vigentes;</w:t>
        <w:br/>
        <w:t xml:space="preserve">   respecto a las  similitudes  (iii)  y  (iv),  el  Estado  señaló  que,  a</w:t>
        <w:br/>
        <w:t xml:space="preserve">   diferencia de  los  casos  antes  señalados,  en  el  presente  caso  los</w:t>
        <w:br/>
        <w:t xml:space="preserve">   trabajadores tuvieron oportunidad de interponer demandas de amparo en las</w:t>
        <w:br/>
        <w:t xml:space="preserve">   que existió un pronunciamiento sobre  el  fondo,  y  negó  que  el  Poder</w:t>
        <w:br/>
        <w:t xml:space="preserve">   Judicial y el Tribunal Constitucional actuaran arbitrariamente;  respecto</w:t>
        <w:br/>
        <w:t xml:space="preserve">   de las similitudes (v) y (vi), el Estado  señaló  que  los  decretos  que</w:t>
        <w:br/>
        <w:t xml:space="preserve">   autorizaron los ceses habían sido  derogados,  lo  cual  dio  paso  a  la</w:t>
        <w:br/>
        <w:t xml:space="preserve">   conformación de Comisiones Especiales en cada institución pública, lo que</w:t>
        <w:br/>
        <w:t xml:space="preserve">   eventualmente derivó en el planteamiento de medidas para  solucionar  los</w:t>
        <w:br/>
        <w:t xml:space="preserve">   casos de los trabajadores cesados irregularmente.  Sin  perjuicio  de  lo</w:t>
        <w:br/>
        <w:t xml:space="preserve">   anterior, el Estado alegó que,  aún  en  caso  de  que  se  considere  la</w:t>
        <w:br/>
        <w:t xml:space="preserve">   existencia de una similitud entre los precedentes antes mencionados y  el</w:t>
        <w:br/>
        <w:t xml:space="preserve">   presente  caso,  existen  elementos  para  considerar  que  el   Tribunal</w:t>
        <w:br/>
        <w:t xml:space="preserve">   Constitucional,  aún  conformado   por   cuatro   miembros,   actuó   con</w:t>
        <w:br/>
        <w:t xml:space="preserve">   independencia e imparcialidad.</w:t>
        <w:br/>
        <w:br/>
        <w:t>146. En lo que respecta a la autonomía e independencia  de  los  jueces  del</w:t>
        <w:br/>
        <w:t xml:space="preserve">   Poder Judicial, el Estado alegó que  la  única  prueba  referida  por  la</w:t>
        <w:br/>
        <w:t xml:space="preserve">   Comisión es el “Segundo  Informe  sobre  la  Situación  de  los  Derechos</w:t>
        <w:br/>
        <w:t xml:space="preserve">   Humanos en el Perú” de 2 de junio de 2000, el cual fue  expedido  por  la</w:t>
        <w:br/>
        <w:t xml:space="preserve">   propia Comisión. En este sentido, el Estado alegó que este documento sólo</w:t>
        <w:br/>
        <w:t xml:space="preserve">   puede ser considerado como un informe de parte que no contiene  elementos</w:t>
        <w:br/>
        <w:t xml:space="preserve">   que permitan determinar un contexto de falta de imparcialidad y autonomía</w:t>
        <w:br/>
        <w:t xml:space="preserve">   del  Poder  Judicial.  Adicionalmente,   el   Estado   sostuvo   que   la</w:t>
        <w:br/>
        <w:t xml:space="preserve">   determinación de la Corte en los casos Aguado Alfaro y  otros  y  Canales</w:t>
        <w:br/>
        <w:t xml:space="preserve">   Huapaya y otros, en relación con el contexto de falta de independencia  e</w:t>
        <w:br/>
        <w:t xml:space="preserve">   imparcialidad del Tribunal Constitucional, no se extiende a la  actuación</w:t>
        <w:br/>
        <w:t xml:space="preserve">   de todos los órganos del Poder Judicial, por lo que no es posible afirmar</w:t>
        <w:br/>
        <w:t xml:space="preserve">   que en el tiempo en el que se conocieron los  procesos  relacionados  con</w:t>
        <w:br/>
        <w:t xml:space="preserve">   las presuntas víctimas haya existido un  contexto  caracterizado  por  la</w:t>
        <w:br/>
        <w:t xml:space="preserve">   falta de imparcialidad y autonomía por parte  de  todos  los  jueces  del</w:t>
        <w:br/>
        <w:t xml:space="preserve">   Poder Judicial.</w:t>
        <w:br/>
        <w:br/>
        <w:br/>
        <w:t>147. Respecto de las alegadas violaciones  ocurridas  durante  los  procesos</w:t>
        <w:br/>
        <w:t xml:space="preserve">   judiciales intentados por las presuntas  víctimas  de  Enapu,  el  Estado</w:t>
        <w:br/>
        <w:t xml:space="preserve">   alegó (i) que no se ha expuesto el  motivo  por  el  cual  el  plazo  que</w:t>
        <w:br/>
        <w:t xml:space="preserve">   transcurrió entre el inicio del proceso (1996) hasta  la  emisión  de  la</w:t>
        <w:br/>
        <w:t xml:space="preserve">   sentencia del  Tribunal  Constitucional  (1998)  habría  constituido  una</w:t>
        <w:br/>
        <w:t xml:space="preserve">   afectación a las garantías judiciales de las presuntas víctimas; (ii) que</w:t>
        <w:br/>
        <w:t xml:space="preserve">   ha acreditado que tanto el Poder Judicial como el Tribunal Constitucional</w:t>
        <w:br/>
        <w:t xml:space="preserve">   actuaron de  forma  imparcial  y  autónoma  en  el  presente  caso,  pues</w:t>
        <w:br/>
        <w:t xml:space="preserve">   emitieron diversas sentencias contrarias al  Poder  Ejecutivo  entre  los</w:t>
        <w:br/>
        <w:t xml:space="preserve">   años 1997 y 1999; (iii)  que  el  Tribunal  Constitucional  efectivamente</w:t>
        <w:br/>
        <w:t xml:space="preserve">   realizó un análisis de constitucionalidad de las normas. Respecto de  las</w:t>
        <w:br/>
        <w:t xml:space="preserve">   presuntas víctimas del MEF, el Estado alegó que durante la tramitación de</w:t>
        <w:br/>
        <w:t xml:space="preserve">   los procesos en sede interna los peticionarios  contaron  con  acceso  al</w:t>
        <w:br/>
        <w:t xml:space="preserve">   sistema judicial y a todas las garantías  previstas  en  el  ordenamiento</w:t>
        <w:br/>
        <w:t xml:space="preserve">   nacional para hacer valer  su  derecho,  por  lo  que  el  Estado  no  es</w:t>
        <w:br/>
        <w:t xml:space="preserve">   responsable por la violación a los artículos 8 y 25 de la Convención.  En</w:t>
        <w:br/>
        <w:t xml:space="preserve">   relación con los procesos contencioso administrativo, el Estado alegó que</w:t>
        <w:br/>
        <w:t xml:space="preserve">   las  demandas  presentadas  por  los  peticionarios   fueron   declaradas</w:t>
        <w:br/>
        <w:t xml:space="preserve">   improcedentes en razón de haber  sido  presentadas  fuera  de  plazo  por</w:t>
        <w:br/>
        <w:t xml:space="preserve">   negligencia de los representantes, lo cual no es una  conducta  imputable</w:t>
        <w:br/>
        <w:t xml:space="preserve">   al Estado.</w:t>
        <w:br/>
        <w:br/>
        <w:t>148.  En  relación  con  lo  anterior,  respecto  a  los  alegatos  de   los</w:t>
        <w:br/>
        <w:t xml:space="preserve">   trabajadores de Petroperú, el Estado alegó que el hecho de que el Juzgado</w:t>
        <w:br/>
        <w:t xml:space="preserve">   Especializado en lo Civil de Talara haya resuelto una medida  precautelar</w:t>
        <w:br/>
        <w:t xml:space="preserve">   a favor de los intereses  de  las  presuntas  víctimas  hace  carente  de</w:t>
        <w:br/>
        <w:t xml:space="preserve">   sentido cuestionar la autonomía e imparcialidad de  todo  el  actuar  del</w:t>
        <w:br/>
        <w:t xml:space="preserve">   Poder Judicial. En relación con la resolución del 29 de febrero de  1996,</w:t>
        <w:br/>
        <w:t xml:space="preserve">   en la cual se revocó la resolución de primera instancia  en  uno  de  sus</w:t>
        <w:br/>
        <w:t xml:space="preserve">   extremos, alegó que ésta estuvo debidamente motivada,  y  que  no  existe</w:t>
        <w:br/>
        <w:t xml:space="preserve">   evidencia de que el juez actuara de  manera  parcializada,  sino  que  su</w:t>
        <w:br/>
        <w:t xml:space="preserve">   resolución fue resultado  de  una  falta  de  debida  diligencia  de  los</w:t>
        <w:br/>
        <w:t xml:space="preserve">   representantes.  Adicionalmente,  el  Estado  alegó  que  las   presuntas</w:t>
        <w:br/>
        <w:t xml:space="preserve">   víctimas tuvieron la oportunidad  de  recurrir  la  decisión  de  segunda</w:t>
        <w:br/>
        <w:t xml:space="preserve">   instancia  a  través  de  un  recurso  extraordinario  ante  el  Tribunal</w:t>
        <w:br/>
        <w:t xml:space="preserve">   Constitucional, el cual era el órgano encargado de realizar un control de</w:t>
        <w:br/>
        <w:t xml:space="preserve">   constitucionalidad sobre la regularidad  de  la  norma  que  habilitó  la</w:t>
        <w:br/>
        <w:t xml:space="preserve">   ejecución de los ceses, lo cual no fue  realizado.  En  consecuencia,  el</w:t>
        <w:br/>
        <w:t xml:space="preserve">   Estado alegó que no se produjo una violación a la protección judicial  ni</w:t>
        <w:br/>
        <w:t xml:space="preserve">   a las garantías judiciales. Asimismo, y sin  perjuicio  de  lo  anterior,</w:t>
        <w:br/>
        <w:t xml:space="preserve">   alegó que transcurrió casi un año entre la última  resolución  de  amparo</w:t>
        <w:br/>
        <w:t xml:space="preserve">   intentada por las  presuntas  víctimas  y  la  destitución  de  los  tres</w:t>
        <w:br/>
        <w:t xml:space="preserve">   magistrados   del   Tribunal   Constitucional,   por   lo   que   resulta</w:t>
        <w:br/>
        <w:t xml:space="preserve">   injustificable que  los  trabajadores  no  hayan  presentado  el  recurso</w:t>
        <w:br/>
        <w:t xml:space="preserve">   extraordinario alegando que este no era un recurso efectivo.</w:t>
        <w:br/>
        <w:br/>
        <w:t>149. En relación con la demanda contencioso administrativa, resuelta  el  26</w:t>
        <w:br/>
        <w:t xml:space="preserve">   de febrero de 1996, el Estado alegó que las  presuntas  víctimas  no  han</w:t>
        <w:br/>
        <w:t xml:space="preserve">   acreditado que la mencionada demanda fue presentada a favor de todas  las</w:t>
        <w:br/>
        <w:t xml:space="preserve">   presuntas víctimas de Petroperú, por lo que la Corte debe  tener  por  no</w:t>
        <w:br/>
        <w:t xml:space="preserve">   presentada dicha demanda. Adicionalmente,  el  Estado  alegó  que  ni  la</w:t>
        <w:br/>
        <w:t xml:space="preserve">   Comisión ni los representantes han acreditado que  el  actuar  del  Poder</w:t>
        <w:br/>
        <w:t xml:space="preserve">   Judicial careciera de independencia e imparcialidad. En lo  que  respecta</w:t>
        <w:br/>
        <w:t xml:space="preserve">   al fondo de la resolución, el Estado alegó que la inadmisibilidad  de  la</w:t>
        <w:br/>
        <w:t xml:space="preserve">   demanda contenciosa administrativa se debió a una serie de omisiones  por</w:t>
        <w:br/>
        <w:t xml:space="preserve">   parte de la defensa de las presuntas víctimas, pues la demanda  no  había</w:t>
        <w:br/>
        <w:t xml:space="preserve">   precisado a los presuntos agraviados, ni  había  identificado  plenamente</w:t>
        <w:br/>
        <w:t xml:space="preserve">   los actos lesivos.  En  lo  que  respecta  a  la  apelación  del  recurso</w:t>
        <w:br/>
        <w:t xml:space="preserve">   administrativo, el Estado señaló que su inadmisibilidad fue resultado  de</w:t>
        <w:br/>
        <w:t xml:space="preserve">   haber sido interpuesta de manera extemporánea.</w:t>
        <w:br/>
        <w:br/>
        <w:t>150. Respecto a los trabajadores de Minedu, el Estado alegó que el hecho  de</w:t>
        <w:br/>
        <w:t xml:space="preserve">   que las sentencias de amparo no hayan sido favorables a los  trabajadores</w:t>
        <w:br/>
        <w:t xml:space="preserve">   no necesariamente implica una irregularidad procesal o la  existencia  de</w:t>
        <w:br/>
        <w:t xml:space="preserve">   un proceso viciado, sobre todo cuando el proceso se  dio  con  la  debida</w:t>
        <w:br/>
        <w:t xml:space="preserve">   observancia de las garantías del  debido  proceso,  como  ocurrió  en  el</w:t>
        <w:br/>
        <w:t xml:space="preserve">   presente caso. En este sentido, el Estado alegó  que  en  el  proceso  de</w:t>
        <w:br/>
        <w:t xml:space="preserve">   amparo se recibió la demanda, se tramitó, analizó y resolvió dentro de un</w:t>
        <w:br/>
        <w:t xml:space="preserve">   debido proceso, y que las sentencias fueron debidamente motivadas, por lo</w:t>
        <w:br/>
        <w:t xml:space="preserve">   que no existió vulneración a los  artículos  8  y  25  de  la  Convención</w:t>
        <w:br/>
        <w:t xml:space="preserve">   Americana. Adicionalmente, el Estado  manifestó  que  la  obligación  del</w:t>
        <w:br/>
        <w:t xml:space="preserve">   Estado de administrar justicia  es  una  obligación  de  medio  y  no  de</w:t>
        <w:br/>
        <w:t xml:space="preserve">   resultado, de ahí que no se incumple porque no se produzca  un  resultado</w:t>
        <w:br/>
        <w:t xml:space="preserve">   satisfactorio a las pretensiones de las partes.</w:t>
        <w:br/>
        <w:br/>
        <w:br/>
        <w:t>151. En relación con la alegada violación al artículo  2,  el  Estado  alegó</w:t>
        <w:br/>
        <w:t xml:space="preserve">   que, con el objetivo de atender la problemática de los ceses  colectivos,</w:t>
        <w:br/>
        <w:t xml:space="preserve">   aprobó leyes  y  diversas  disposiciones  administrativas,  a  efecto  de</w:t>
        <w:br/>
        <w:t xml:space="preserve">   brindar a los trabajadores que consideraban que habían  sido  cesados  en</w:t>
        <w:br/>
        <w:t xml:space="preserve">   forma irregular la posibilidad de  reivindicar  sus  derechos.  Asimismo,</w:t>
        <w:br/>
        <w:t xml:space="preserve">   manifestó que dichas medidas fueron reconocidas por  la  Comisión  en  el</w:t>
        <w:br/>
        <w:t xml:space="preserve">   Informe de Fondo en la sección de hechos probados “Iniciativas del Estado</w:t>
        <w:br/>
        <w:t xml:space="preserve">   peruano  para  reparar  los  ceses  colectivos”,  y   que   las   medidas</w:t>
        <w:br/>
        <w:t xml:space="preserve">   implementadas permitieron que  muchos  trabajadores  formaran  parte  del</w:t>
        <w:br/>
        <w:t xml:space="preserve">   Registro Nacional de Trabajadores Cesados  Irregularmente,  así  como  su</w:t>
        <w:br/>
        <w:t xml:space="preserve">   acceso a los beneficios de la Ley No. 27803.</w:t>
        <w:br/>
        <w:br/>
        <w:t>B. Consideraciones de la Corte</w:t>
        <w:br/>
        <w:br/>
        <w:t>152.  Para  resolver   la   presente   controversia,   la   Corte   iniciará</w:t>
        <w:br/>
        <w:t xml:space="preserve">   estableciendo los alcances de los artículos 8  y  25  de  la  Convención.</w:t>
        <w:br/>
        <w:t xml:space="preserve">   Luego determinará si existen suficientes similitudes  entre  el  presente</w:t>
        <w:br/>
        <w:t xml:space="preserve">   caso y los casos Aguado Alfaro y otros y  Canales  Huapaya  y  otros  que</w:t>
        <w:br/>
        <w:t xml:space="preserve">   justifiquen arribar a conclusiones similares.  Posteriormente,  realizará</w:t>
        <w:br/>
        <w:t xml:space="preserve">   las consideraciones relativas a las alegadas violaciones a los derechos a</w:t>
        <w:br/>
        <w:t xml:space="preserve">   las garantías judiciales y a la protección judicial en  los  procesos  de</w:t>
        <w:br/>
        <w:t xml:space="preserve">   amparo  interpuestos  por  los  85  trabajadores  de  Petroperú,  los  25</w:t>
        <w:br/>
        <w:t xml:space="preserve">   trabajadores  de  Enapu,  los  39  trabajadores  de  Minedu,  y  los   15</w:t>
        <w:br/>
        <w:t xml:space="preserve">   trabajadores de MEF, a través de los cuales  se  habrían  cuestionado  la</w:t>
        <w:br/>
        <w:t xml:space="preserve">   regularidad  de  sus  ceses.  Adicionalmente,  la  Corte  realizará   las</w:t>
        <w:br/>
        <w:t xml:space="preserve">   conclusiones pertinentes.</w:t>
        <w:br/>
        <w:br/>
        <w:br/>
        <w:t xml:space="preserve">    B.1. Los artículos 8 y 25 de la Convención Americana</w:t>
        <w:br/>
        <w:br/>
        <w:t>153. La Corte ha señalado que, a la luz del artículo 8.1 de  la  Convención,</w:t>
        <w:br/>
        <w:t xml:space="preserve">   toda persona tiene el derecho a  ser  oída  por  un  órgano  imparcial  y</w:t>
        <w:br/>
        <w:t xml:space="preserve">   competente, con las debidas garantías procesales,  las  que  incluyen  la</w:t>
        <w:br/>
        <w:t xml:space="preserve">   posibilidad de presentar alegatos y aportar  pruebas.  Este  Tribunal  ha</w:t>
        <w:br/>
        <w:t xml:space="preserve">   indicado que esa disposición convencional implica que el Estado garantice</w:t>
        <w:br/>
        <w:t xml:space="preserve">   que la decisión que se produzca a través del procedimiento  satisfaga  el</w:t>
        <w:br/>
        <w:t xml:space="preserve">   fin para el cual fue concebido. Esto último no significa que siempre deba</w:t>
        <w:br/>
        <w:t xml:space="preserve">   ser acogido sino que se debe garantizar su  capacidad  para  producir  el</w:t>
        <w:br/>
        <w:t xml:space="preserve">   resultado para el que fue concebido[234].</w:t>
        <w:br/>
        <w:br/>
        <w:t>154. Con relación al artículo  25.1  de  la  Convención,  este  Tribunal  ha</w:t>
        <w:br/>
        <w:t xml:space="preserve">   señalado que dicha norma</w:t>
        <w:br/>
        <w:br/>
        <w:t xml:space="preserve">      contempla la obligación de los Estados Parte de  garantizar,  a  todas</w:t>
        <w:br/>
        <w:t xml:space="preserve">      las personas bajo su jurisdicción, un recurso judicial efectivo contra</w:t>
        <w:br/>
        <w:t xml:space="preserve">      actos violatorios de sus  derechos  fundamentales.  Dicha  efectividad</w:t>
        <w:br/>
        <w:t xml:space="preserve">      supone que, además de la existencia formal de los recursos, éstos  den</w:t>
        <w:br/>
        <w:t xml:space="preserve">      resultados o respuestas a las violaciones de derechos contemplados  ya</w:t>
        <w:br/>
        <w:t xml:space="preserve">      sea en la Convención, en la  Constitución  o  en  las  leyes.  En  ese</w:t>
        <w:br/>
        <w:t xml:space="preserve">      sentido, no pueden considerarse efectivos aquellos recursos  que,  por</w:t>
        <w:br/>
        <w:t xml:space="preserve">      las condiciones generales del país o incluso  por  las  circunstancias</w:t>
        <w:br/>
        <w:t xml:space="preserve">      particulares de un caso dado, resulten ilusorios. Ello puede  ocurrir,</w:t>
        <w:br/>
        <w:t xml:space="preserve">      por ejemplo, cuando su  inutilidad  haya  quedado  demostrada  por  la</w:t>
        <w:br/>
        <w:t xml:space="preserve">      práctica, porque falten los medios para ejecutar sus decisiones o  por</w:t>
        <w:br/>
        <w:t xml:space="preserve">      cualquier otra situación que configure  un  cuadro  de  denegación  de</w:t>
        <w:br/>
        <w:t xml:space="preserve">      justicia. Así, el proceso debe  tender  a  la  materialización  de  la</w:t>
        <w:br/>
        <w:t xml:space="preserve">      protección del  derecho  reconocido  en  el  pronunciamiento  judicial</w:t>
        <w:br/>
        <w:t xml:space="preserve">      mediante la aplicación idónea de dicho pronunciamiento[235].</w:t>
        <w:br/>
        <w:br/>
        <w:t>155. La Corte ha establecido que para que  exista  un  recurso  efectivo  no</w:t>
        <w:br/>
        <w:t xml:space="preserve">   basta con que éste exista formalmente[236]. Esto implica que  el  recurso</w:t>
        <w:br/>
        <w:t xml:space="preserve">   debe ser idóneo  para  combatir  la  violación  y  que  sea  efectiva  su</w:t>
        <w:br/>
        <w:t xml:space="preserve">   aplicación por la autoridad competente[237]. De igual forma,  esta  Corte</w:t>
        <w:br/>
        <w:t xml:space="preserve">   ha establecido que un recurso judicial efectivo implica que  el  análisis</w:t>
        <w:br/>
        <w:t xml:space="preserve">   por la autoridad competente de un recurso judicial no puede  reducirse  a</w:t>
        <w:br/>
        <w:t xml:space="preserve">   una mera formalidad, sino que debe examinar las razones invocadas por  el</w:t>
        <w:br/>
        <w:t xml:space="preserve">   demandante y manifestarse expresamente sobre ellas[238]. Lo  anterior  no</w:t>
        <w:br/>
        <w:t xml:space="preserve">   implica que se evalúe la efectividad de un recurso en función de que éste</w:t>
        <w:br/>
        <w:t xml:space="preserve">   produzca un resultado favorable para el demandante[239].</w:t>
        <w:br/>
        <w:br/>
        <w:t>156. En cuanto a los requisitos de procedibilidad de  un  reclamo  judicial,</w:t>
        <w:br/>
        <w:t xml:space="preserve">   este mismo Tribunal ha señalado que</w:t>
        <w:br/>
        <w:br/>
        <w:t xml:space="preserve">      [p]or razones de seguridad jurídica,  para  la  correcta  y  funcional</w:t>
        <w:br/>
        <w:t xml:space="preserve">      administración de justicia y la efectiva protección de los derechos de</w:t>
        <w:br/>
        <w:t xml:space="preserve">      las personas, los Estados pueden y  deben  establecer  presupuestos  y</w:t>
        <w:br/>
        <w:t xml:space="preserve">      criterios de admisibilidad  de  los  recursos  internos,  de  carácter</w:t>
        <w:br/>
        <w:t xml:space="preserve">      judicial o de cualquier otra índole.  De  tal  manera,  si  bien  esos</w:t>
        <w:br/>
        <w:t xml:space="preserve">      recursos  internos  deben  estar  disponibles  para  el  interesado  y</w:t>
        <w:br/>
        <w:t xml:space="preserve">      resolver  efectiva  y  fundadamente  el  asunto  planteado,  así  como</w:t>
        <w:br/>
        <w:t xml:space="preserve">      eventualmente proveer la reparación adecuada, no cabría considerar que</w:t>
        <w:br/>
        <w:t xml:space="preserve">      siempre y en cualquier caso los órganos y  tribunales  internos  deban</w:t>
        <w:br/>
        <w:t xml:space="preserve">      resolver el fondo del asunto que les es planteado, sin que importe  la</w:t>
        <w:br/>
        <w:t xml:space="preserve">      verificación  de  los  presupuestos  formales   de   admisibilidad   y</w:t>
        <w:br/>
        <w:t xml:space="preserve">      procedencia del particular recurso intentado[240].</w:t>
        <w:br/>
        <w:br/>
        <w:t xml:space="preserve">      B.2.  La aplicación al presente caso de  las  consideraciones  de  los</w:t>
        <w:br/>
        <w:t xml:space="preserve">      casos Aguado Alfaro y otros y Canales Huapaya y otros</w:t>
        <w:br/>
        <w:br/>
        <w:t>157. La Corte constata que los trabajadores cesados  de  Petroperú,  Minedu,</w:t>
        <w:br/>
        <w:t xml:space="preserve">   MEF y Enapu, al igual que las tres víctimas del caso  Canales  Huapaya  y</w:t>
        <w:br/>
        <w:t xml:space="preserve">   otros, y las 257 víctimas del  caso  Aguado  Alfaro  y  otros:  (i)  eran</w:t>
        <w:br/>
        <w:t xml:space="preserve">   trabajadores públicos en la época en que tuvo lugar  la  institución  del</w:t>
        <w:br/>
        <w:t xml:space="preserve">   llamado “Gobierno de Emergencia y Reconstrucción Nacional” a  través  del</w:t>
        <w:br/>
        <w:t xml:space="preserve">   Decreto Ley No. 25418; (ii) fueron cesados  colectivamente  en  el  marco</w:t>
        <w:br/>
        <w:t xml:space="preserve">   normativo del proceso de racionalización de personal, el cual fue llevado</w:t>
        <w:br/>
        <w:t xml:space="preserve">   a cabo mediante Decretos y Resoluciones específicas para cada institución</w:t>
        <w:br/>
        <w:t xml:space="preserve">   pública; (iii) interpusieron acciones de amparo ante el  Poder  Judicial,</w:t>
        <w:br/>
        <w:t xml:space="preserve">   las cuales fueron declaradas improcedentes en la última instancia agotada</w:t>
        <w:br/>
        <w:t xml:space="preserve">   por los trabajadores o sus representantes; y (iv) al  momento  de  acudir</w:t>
        <w:br/>
        <w:t xml:space="preserve">   ante el  Sistema  Interamericano,  el  Estado  no  había  dado  respuesta</w:t>
        <w:br/>
        <w:t xml:space="preserve">   reparatoria alguna a los ceses colectivos. Estos hechos permiten concluir</w:t>
        <w:br/>
        <w:t xml:space="preserve">   que  los  trabajadores  cesados  Petroperú,  Minedu,  MEF,  y  Enapu   se</w:t>
        <w:br/>
        <w:t xml:space="preserve">   encontraban en situación similar a la de las víctimas de los casos Aguado</w:t>
        <w:br/>
        <w:t xml:space="preserve">   Alfaro y otros y Canales Huapaya y otros.</w:t>
        <w:br/>
        <w:br/>
        <w:br/>
        <w:t>158. Lo anterior no significa que las conclusiones establecidas en  los  dos</w:t>
        <w:br/>
        <w:t xml:space="preserve">   casos antes mencionados sean aplicables de manera análoga a  la  presente</w:t>
        <w:br/>
        <w:t xml:space="preserve">   controversia,  pues  en  efecto  existen  diferencias  que   pueden   ser</w:t>
        <w:br/>
        <w:t xml:space="preserve">   relevantes   en   los   extremos   de   cada   grupo   de   trabajadores.</w:t>
        <w:br/>
        <w:t xml:space="preserve">   Específicamente, la Corte advierte (i) que la controversia de Petroperú y</w:t>
        <w:br/>
        <w:t xml:space="preserve">   MEF fue  evaluada  por  el  Tribunal  Constitucional  fuera  del  espacio</w:t>
        <w:br/>
        <w:t xml:space="preserve">   temporal en que  dicho  Tribunal  se  encontraba  conformado  por  cuatro</w:t>
        <w:br/>
        <w:t xml:space="preserve">   magistrados; y (ii) que los trabajadores  de  Petroperú,  Minedu,  MEF  y</w:t>
        <w:br/>
        <w:t xml:space="preserve">   Enapu tuvieron la oportunidad de interponer una demanda  de  amparo  para</w:t>
        <w:br/>
        <w:t xml:space="preserve">   cuestionar sus ceses, al no existir una prohibición legal  para  hacerlo.</w:t>
        <w:br/>
        <w:t xml:space="preserve">   En atención a lo anterior, la Corte considerará,  en  lo  pertinente,  la</w:t>
        <w:br/>
        <w:t xml:space="preserve">   situación específica en que ocurrieron los hechos del  presente  caso,  a</w:t>
        <w:br/>
        <w:t xml:space="preserve">   fin de analizar sus efectos y enfocar sus  consecuencias  jurídicas  para</w:t>
        <w:br/>
        <w:t xml:space="preserve">   cada grupo de trabajadores, tomando en consideración los aspectos de  los</w:t>
        <w:br/>
        <w:t xml:space="preserve">   precedentes antes mencionados que se sean aplicables  en  cada  situación</w:t>
        <w:br/>
        <w:t xml:space="preserve">   concreta.</w:t>
        <w:br/>
        <w:br/>
        <w:t xml:space="preserve">    B.3. Derecho a las garantías judiciales y a la protección  judicial  de</w:t>
        <w:br/>
        <w:t xml:space="preserve">    los trabajadores de Enapu y Minedu</w:t>
        <w:br/>
        <w:br/>
        <w:t>159. La Corte constata  que  las  acciones  de  amparo  intentadas  por  los</w:t>
        <w:br/>
        <w:t xml:space="preserve">   trabajadores  de  Enapu  y  Minedu  fueron  conocidas  por  el   Tribunal</w:t>
        <w:br/>
        <w:t xml:space="preserve">   Constitucional mientras se encontraba conformado por  cuatro  magistrados</w:t>
        <w:br/>
        <w:t xml:space="preserve">   (supra párrs. 108 y 123), debido a que el Congreso destituyó a los  otros</w:t>
        <w:br/>
        <w:t xml:space="preserve">   tres titulares de la más alta instancia de la jurisdicción de Perú el  28</w:t>
        <w:br/>
        <w:t xml:space="preserve">   de mayo de 1997[241], y no fueron reincorporados  sino  hasta  el  17  de</w:t>
        <w:br/>
        <w:t xml:space="preserve">   noviembre de 2000[242]. En este sentido, cabe destacar que este Tribunal,</w:t>
        <w:br/>
        <w:t xml:space="preserve">   al pronunciarse sobre los efectos de la injerencia en la composición  del</w:t>
        <w:br/>
        <w:t xml:space="preserve">   Tribunal Constitucional para las víctimas de los casos de Canales Huapaya</w:t>
        <w:br/>
        <w:t xml:space="preserve">   y otros y Aguado Alfaro y otros, y sobre otros  elementos  del  contexto,</w:t>
        <w:br/>
        <w:t xml:space="preserve">   estableció lo siguiente:</w:t>
        <w:br/>
        <w:br/>
        <w:t xml:space="preserve">    108.    [E]l presente caso se enmarca en un contexto histórico en el que</w:t>
        <w:br/>
        <w:t xml:space="preserve">    se dieron numerosos ceses  irregulares  del  sector  público.  Esto  fue</w:t>
        <w:br/>
        <w:t xml:space="preserve">    reconocido por el Estado a partir  del  año  2001  al  dictar  “leyes  y</w:t>
        <w:br/>
        <w:t xml:space="preserve">    disposiciones administrativas que dispusieron la revisión de  los  ceses</w:t>
        <w:br/>
        <w:t xml:space="preserve">    colectivos  a   efecto   de   brindar   a   los   trabajadores   cesados</w:t>
        <w:br/>
        <w:t xml:space="preserve">    irregularmente, la posibilidad de reivindicar sus derechos”  […].  Entre</w:t>
        <w:br/>
        <w:t xml:space="preserve">    esas medidas destacan la Ley No. 27487 de  21  de  junio  de  2001,  que</w:t>
        <w:br/>
        <w:t xml:space="preserve">    dispuso la conformación de Comisiones Especiales para revisar los  ceses</w:t>
        <w:br/>
        <w:t xml:space="preserve">    colectivos realizados en el marco de  procedimientos  de  evaluación  de</w:t>
        <w:br/>
        <w:t xml:space="preserve">    personal […]. Además,  fue  creada  una  “Comisión  Multisectorial”  que</w:t>
        <w:br/>
        <w:t xml:space="preserve">    estaría  encargada,  inter  alia,  de  evaluar  la  viabilidad  de   las</w:t>
        <w:br/>
        <w:t xml:space="preserve">    sugerencias  y  recomendaciones  contenidas  en  los  informes   finales</w:t>
        <w:br/>
        <w:t xml:space="preserve">    elaborados por las Comisiones Especiales, y fue promulgada  la  Ley  No.</w:t>
        <w:br/>
        <w:t xml:space="preserve">    27586 para implementar sus recomendaciones  […].  De  hecho,  el  Estado</w:t>
        <w:br/>
        <w:t xml:space="preserve">    solicitó a la Corte que, en caso de que declarara alguna violación a  la</w:t>
        <w:br/>
        <w:t xml:space="preserve">    Convención, eventualmente aceptara su “compromiso […] de  conformar  una</w:t>
        <w:br/>
        <w:t xml:space="preserve">    comisión multisectorial que revise […] los respectivos ceses  y  que  se</w:t>
        <w:br/>
        <w:t xml:space="preserve">    otorguen los beneficios […] de los Trabajadores considerados [presuntas]</w:t>
        <w:br/>
        <w:t xml:space="preserve">    víctimas en la demanda de  la  Comisión  Interamericana,  siguiendo  los</w:t>
        <w:br/>
        <w:t xml:space="preserve">    lineamientos establecidos en  las  normas  legales  que  establecían  la</w:t>
        <w:br/>
        <w:t xml:space="preserve">    revisión de los ceses colectivos” […]. Dichas acciones reflejan  que  el</w:t>
        <w:br/>
        <w:t xml:space="preserve">    Estado ha reconocido ese contexto y ha manifestado su voluntad de  abrir</w:t>
        <w:br/>
        <w:t xml:space="preserve">    la posibilidad de que personas afectadas por esa situación  pudieran  de</w:t>
        <w:br/>
        <w:t xml:space="preserve">    alguna  manera  reivindicar   o   reparar   determinadas   consecuencias</w:t>
        <w:br/>
        <w:t xml:space="preserve">    perjudiciales de la misma.</w:t>
        <w:br/>
        <w:br/>
        <w:br/>
        <w:t xml:space="preserve">    [...] El 28 de mayo de 1997  el  pleno  del  Congreso  destituyó  a  los</w:t>
        <w:br/>
        <w:t xml:space="preserve">    magistrados del Tribunal Constitucional Manuel Aguirre  Roca,  Guillermo</w:t>
        <w:br/>
        <w:t xml:space="preserve">    Rey Terry y Delia Revoredo Marsano.  El  17  de  noviembre  de  2000  el</w:t>
        <w:br/>
        <w:t xml:space="preserve">    Congreso anuló las resoluciones de destitución y los  reinstaló  en  sus</w:t>
        <w:br/>
        <w:t xml:space="preserve">    puestos. En otro caso esta  Corte  constató  que,  mientras  duró  dicha</w:t>
        <w:br/>
        <w:t xml:space="preserve">    destitución,  el  Tribunal   Constitucional   “quedó   desarticulado   e</w:t>
        <w:br/>
        <w:t xml:space="preserve">    incapacitado para ejercer adecuadamente su jurisdicción, sobre  todo  en</w:t>
        <w:br/>
        <w:t xml:space="preserve">    cuanto se refiere al control de constitucionalidad […] y el  consecuente</w:t>
        <w:br/>
        <w:t xml:space="preserve">    examen de la adecuación de la conducta del Estado a la Constitución”.</w:t>
        <w:br/>
        <w:br/>
        <w:br/>
        <w:t xml:space="preserve">    109.    [H]a quedado demostrado […] que la independencia e imparcialidad</w:t>
        <w:br/>
        <w:t xml:space="preserve">    del Tribunal Constitucional, como una de las instituciones  democráticas</w:t>
        <w:br/>
        <w:t xml:space="preserve">    que garantizan  el  estado  de  derecho,  se  vieron  coartadas  con  la</w:t>
        <w:br/>
        <w:t xml:space="preserve">    destitución de algunos de sus magistrados, lo que “conculcó  erga  omnes</w:t>
        <w:br/>
        <w:t xml:space="preserve">    la  posibilidad  de  ejercer  el  control  de  constitucionalidad  y  el</w:t>
        <w:br/>
        <w:t xml:space="preserve">    consecuente examen de la adecuación de  la  conducta  del  Estado  a  la</w:t>
        <w:br/>
        <w:t xml:space="preserve">    Constitución”. Todo ello generó una situación generalizada  de  ausencia</w:t>
        <w:br/>
        <w:t xml:space="preserve">    de garantías e ineficacia de las instituciones judiciales para  afrontar</w:t>
        <w:br/>
        <w:t xml:space="preserve">    hechos como los del  presente  caso,  con  la  consecuente  desconfianza</w:t>
        <w:br/>
        <w:t xml:space="preserve">    generada hacia dichas instituciones en esa época.</w:t>
        <w:br/>
        <w:br/>
        <w:br/>
        <w:t xml:space="preserve">    110.    Asimismo, la Corte […] considera  que  ciertamente  los  Estados</w:t>
        <w:br/>
        <w:t xml:space="preserve">    disponen de facultades discrecionales para reorganizar sus instituciones</w:t>
        <w:br/>
        <w:t xml:space="preserve">    y, eventualmente, para remover personal en función  de  las  necesidades</w:t>
        <w:br/>
        <w:t xml:space="preserve">    del servicio público y la gestión de intereses de orden público  en  una</w:t>
        <w:br/>
        <w:t xml:space="preserve">    sociedad democrática, si bien el ejercicio de esas facultades  no  puede</w:t>
        <w:br/>
        <w:t xml:space="preserve">    ser sustraído del pleno respeto a las garantías  del  debido  proceso  y</w:t>
        <w:br/>
        <w:t xml:space="preserve">    protección judicial, pues lo contrario podría someter a los afectados  a</w:t>
        <w:br/>
        <w:t xml:space="preserve">    una actuación arbitraria. No  obstante,  el  Tribunal  ha  señalado  los</w:t>
        <w:br/>
        <w:t xml:space="preserve">    términos en que analizará la controversia existente en este  caso  a  la</w:t>
        <w:br/>
        <w:t xml:space="preserve">    luz de las obligaciones estatales derivadas de los artículos 8 y  25  de</w:t>
        <w:br/>
        <w:t xml:space="preserve">    la Convención Americana, en relación con los artículos 1.1  y  2  de  la</w:t>
        <w:br/>
        <w:t xml:space="preserve">    misma […]. Por ende, la Corte no entrará a determinar  los  alcances  de</w:t>
        <w:br/>
        <w:t xml:space="preserve">    ese “proceso de racionalización”  como  tal,  sino  si  en  el  contexto</w:t>
        <w:br/>
        <w:t xml:space="preserve">    histórico señalado y bajo la normativa bajo la cual fueron cesadas,  las</w:t>
        <w:br/>
        <w:t xml:space="preserve">    presuntas víctimas pudieron determinar con certeza jurídica la vía a  la</w:t>
        <w:br/>
        <w:t xml:space="preserve">    cual se  podía  o  se  debía  acudir  para  reclamar  los  derechos  que</w:t>
        <w:br/>
        <w:t xml:space="preserve">    consideraran vulnerados y si les fue  garantizado  un  real  y  efectivo</w:t>
        <w:br/>
        <w:t xml:space="preserve">    acceso a la justicia[243].</w:t>
        <w:br/>
        <w:br/>
        <w:t>160. La Corte reitera que el derecho a ser juzgado por un  juez  o  tribunal</w:t>
        <w:br/>
        <w:t xml:space="preserve">   imparcial es una garantía  fundamental  del  debido  proceso,  debiéndose</w:t>
        <w:br/>
        <w:t xml:space="preserve">   garantizar que el juez o tribunal en el  ejercicio  de  su  función  como</w:t>
        <w:br/>
        <w:t xml:space="preserve">   juzgador cuente con la mayor objetividad para enfrentar  el  juicio[244].</w:t>
        <w:br/>
        <w:t xml:space="preserve">   Este Tribunal ha establecido que la imparcialidad exige que el  juez  que</w:t>
        <w:br/>
        <w:t xml:space="preserve">   interviene en una contienda particular se aproxime a  los  hechos  de  la</w:t>
        <w:br/>
        <w:t xml:space="preserve">   causa careciendo, de manera subjetiva, de  todo  prejuicio  y,  asimismo,</w:t>
        <w:br/>
        <w:t xml:space="preserve">   ofreciendo garantías suficientes  de  índole  objetiva  que  inspiren  la</w:t>
        <w:br/>
        <w:t xml:space="preserve">   confianza necesaria a las partes en el caso, así como a los ciudadanos en</w:t>
        <w:br/>
        <w:t xml:space="preserve">   una sociedad democrática[245]. La imparcialidad del tribunal implica  que</w:t>
        <w:br/>
        <w:t xml:space="preserve">   sus integrantes no tengan un interés directo, una  posición  tomada,  una</w:t>
        <w:br/>
        <w:t xml:space="preserve">   preferencia por alguna de las partes y que no se encuentren  involucrados</w:t>
        <w:br/>
        <w:t xml:space="preserve">   en la controversia[246]. Ello puesto que el juez debe  actuar  sin  estar</w:t>
        <w:br/>
        <w:t xml:space="preserve">   sujeto a influencia, aliciente, presión, amenaza o intromisión, directa o</w:t>
        <w:br/>
        <w:t xml:space="preserve">   indirecta, sino única y exclusivamente  conforme  a  -y  movido  por-  el</w:t>
        <w:br/>
        <w:t xml:space="preserve">   Derecho[247].</w:t>
        <w:br/>
        <w:br/>
        <w:t>161. Tomando lo anteriormente mencionado en consideración, a juicio de  este</w:t>
        <w:br/>
        <w:t xml:space="preserve">   Tribunal, los hechos relacionados con los recursos de  amparo  intentados</w:t>
        <w:br/>
        <w:t xml:space="preserve">   por los trabajadores de Enapu y Minedu se  enmarcan  en  el  contexto  de</w:t>
        <w:br/>
        <w:t xml:space="preserve">   falta de independencia e imparcialidad del Tribunal Constitucional (supra</w:t>
        <w:br/>
        <w:t xml:space="preserve">   párr. 159), y por lo tanto el recurso intentado por los  trabajadores  de</w:t>
        <w:br/>
        <w:t xml:space="preserve">   Enapu y Minedu ante dicho Tribunal  no  constituyó  un  recurso  judicial</w:t>
        <w:br/>
        <w:t xml:space="preserve">   efectivo conforme a los términos de la Convención. Al respecto, la  Corte</w:t>
        <w:br/>
        <w:t xml:space="preserve">   recuerda que para que un recurso judicial efectivo exista, no  basta  con</w:t>
        <w:br/>
        <w:t xml:space="preserve">   que esté previsto en la Constitución o en la ley o  que  sea  formalmente</w:t>
        <w:br/>
        <w:t xml:space="preserve">   admisible, sino que se requiere que sea realmente idóneo para  amparar  a</w:t>
        <w:br/>
        <w:t xml:space="preserve">   toda persona contra actos que violen sus derechos humanos reconocidos  en</w:t>
        <w:br/>
        <w:t xml:space="preserve">   la Constitución, la ley o la Convención,  y  proveer  lo  necesario  para</w:t>
        <w:br/>
        <w:t xml:space="preserve">   remediarlo. En ese sentido, no  pueden  considerarse  efectivos  aquellos</w:t>
        <w:br/>
        <w:t xml:space="preserve">   recursos que, por las condiciones generales del país o  incluso  por  las</w:t>
        <w:br/>
        <w:t xml:space="preserve">   circunstancias particulares de un caso dado, resulten ilusorios[248].</w:t>
        <w:br/>
        <w:br/>
        <w:t>162. En  consecuencia,  el  Tribunal  concluye  que  el  Estado  peruano  es</w:t>
        <w:br/>
        <w:t xml:space="preserve">   responsable por la violación de los derechos protegidos en los  artículos</w:t>
        <w:br/>
        <w:t xml:space="preserve">   8.1 y 25 de la Convención Americana, en  relación  con  las  obligaciones</w:t>
        <w:br/>
        <w:t xml:space="preserve">   previstas en el artículo 1.1 del mismo instrumento, en perjuicio  de  los</w:t>
        <w:br/>
        <w:t xml:space="preserve">   25 trabajadores de Enapu y los 39 trabajadores del Minedu, listados en la</w:t>
        <w:br/>
        <w:t xml:space="preserve">   tabla de víctimas adjuntada como anexo a la presente Sentencia.</w:t>
        <w:br/>
        <w:br/>
        <w:br/>
        <w:t xml:space="preserve">    B.4. Derecho a las garantías judiciales y a la protección  judicial  de</w:t>
        <w:br/>
        <w:t xml:space="preserve">    los trabajadores de Petroperú</w:t>
        <w:br/>
        <w:br/>
        <w:t>163. En relación con los trabajadores de Petroperú, la  Corte  recuerda  que</w:t>
        <w:br/>
        <w:t xml:space="preserve">   el 17 de enero de 1996 el Sutpedarg presentó  un  recurso  de  amparo  en</w:t>
        <w:br/>
        <w:t xml:space="preserve">   contra de Petroperú por la ejecución del Decreto Supremo  No.  072-95-PCM</w:t>
        <w:br/>
        <w:t xml:space="preserve">   (supra párr. 116), por medio del cual se habría  autorizado  a  Petroperú</w:t>
        <w:br/>
        <w:t xml:space="preserve">   ejecutar el programa de reducción de personal aprobado por la COPRI, y la</w:t>
        <w:br/>
        <w:t xml:space="preserve">   subsecuente disolución del vínculo laboral entre los  trabajadores  y  la</w:t>
        <w:br/>
        <w:t xml:space="preserve">   empresa (supra párrs. 94 a 97). Asimismo,  dentro  del  procedimiento  de</w:t>
        <w:br/>
        <w:t xml:space="preserve">   amparo, el Suptedarg solicitó una medida cautelar para que se suspendiera</w:t>
        <w:br/>
        <w:t xml:space="preserve">   la aplicación del Decreto Ley 25433, así como para que se suspendiera  la</w:t>
        <w:br/>
        <w:t xml:space="preserve">   entrega de las cartas de invitación al  retiro  voluntario  (supra  párr.</w:t>
        <w:br/>
        <w:t xml:space="preserve">   117). El 9 de febrero de 1996, el Juzgado Especializado en  lo  Civil  de</w:t>
        <w:br/>
        <w:t xml:space="preserve">   Talara declaró procedente, en parte, la  medida  cautelar,  y  el  29  de</w:t>
        <w:br/>
        <w:t xml:space="preserve">   febrero de 1996 la Sala Superior  de  Piura  revocó  la  medida  cautelar</w:t>
        <w:br/>
        <w:t xml:space="preserve">   (supra párr. 117).</w:t>
        <w:br/>
        <w:br/>
        <w:t>164. Posteriormente, el 18 de marzo de 1996, el Juzgado Especializado en  lo</w:t>
        <w:br/>
        <w:t xml:space="preserve">   Civil en Talara declaró improcedente el recurso de amparo, puesto que “es</w:t>
        <w:br/>
        <w:t xml:space="preserve">   evidente pues que  el  Decreto  Supremo  que  se  cuestiona  importa  una</w:t>
        <w:br/>
        <w:t xml:space="preserve">   declaración Genérica, para lo cual no es el Amparo la Vía Idónea”  (supra</w:t>
        <w:br/>
        <w:t xml:space="preserve">   párr. 118). Esta resolución fue impugnada por el Sutpedarg  y  confirmada</w:t>
        <w:br/>
        <w:t xml:space="preserve">   el 3 de julio de 1996 por la Segunda Sala Civil de la Corte  Superior  de</w:t>
        <w:br/>
        <w:t xml:space="preserve">   Piura “por  sus  propios  fundamentos  que  contiene  y  por  encontrarse</w:t>
        <w:br/>
        <w:t xml:space="preserve">   arreglada a la Ley, pues la Acción de Amparo no resulta el  medio  idóneo</w:t>
        <w:br/>
        <w:t xml:space="preserve">   para declararse la Constitucionalidad del D.S. 72-95-PCM (29 de diciembre-</w:t>
        <w:br/>
        <w:t xml:space="preserve">   95) y disponerse en inaplicable tal dispositivo legal; más aún que  dicha</w:t>
        <w:br/>
        <w:t xml:space="preserve">   norma deviene de un procedimiento regular” (supra párr. 118).</w:t>
        <w:br/>
        <w:br/>
        <w:t>165. En relación con lo anterior, en primer lugar, la  Corte  advierte  que,</w:t>
        <w:br/>
        <w:t xml:space="preserve">   al resolver la  solicitud  del  Sutpedarg,  las  resoluciones  de  amparo</w:t>
        <w:br/>
        <w:t xml:space="preserve">   establecieron expresamente que, de acuerdo con el ordenamiento  legal  de</w:t>
        <w:br/>
        <w:t xml:space="preserve">   la época, la acción de amparo no resultaba la vía idónea para estudiar la</w:t>
        <w:br/>
        <w:t xml:space="preserve">   constitucionalidad del Decreto Supremo No.  072-95-PCM  y  disponerse  su</w:t>
        <w:br/>
        <w:t xml:space="preserve">   inaplicabilidad en el caso concreto. Al respecto, el Estado  señaló  ante</w:t>
        <w:br/>
        <w:t xml:space="preserve">   esta Corte que el proceso  de  amparo  constituía  un  recurso  idóneo  y</w:t>
        <w:br/>
        <w:t xml:space="preserve">   efectivo para la protección de sus derechos, pero que los trabajadores de</w:t>
        <w:br/>
        <w:t xml:space="preserve">   Petroperú  debían  y   podrían   haber   recurrido   ante   el   Tribunal</w:t>
        <w:br/>
        <w:t xml:space="preserve">   Constitucional por medio de un recurso extraordinario  en  el  marco  del</w:t>
        <w:br/>
        <w:t xml:space="preserve">   proceso de amparo, por medio  del  cual  se  podría  haber  realizado  un</w:t>
        <w:br/>
        <w:t xml:space="preserve">   control de constitucionalidad respecto de los actos del Estado en el caso</w:t>
        <w:br/>
        <w:t xml:space="preserve">   concreto, pero que optaron por no hacerlo.</w:t>
        <w:br/>
        <w:br/>
        <w:t>166. Un representante alegó que las presuntas víctimas optaron  por  iniciar</w:t>
        <w:br/>
        <w:t xml:space="preserve">   otros procedimientos que consideraron idóneos, y por lo tanto  no  acudir</w:t>
        <w:br/>
        <w:t xml:space="preserve">   ante el Tribunal  Constitucional,  en  virtud  de  las  resoluciones  del</w:t>
        <w:br/>
        <w:t xml:space="preserve">   Juzgado Especializado en lo Civil en Talara, y de la Segunda  Sala  Civil</w:t>
        <w:br/>
        <w:t xml:space="preserve">   de la Sala Superior de Piura “resolvieron que la demanda de amparo no era</w:t>
        <w:br/>
        <w:t xml:space="preserve">   el recurso adecuado”, así como por la falta de confianza en  el  Tribunal</w:t>
        <w:br/>
        <w:t xml:space="preserve">   Constitucional derivada de “la intervención política  en  el  sistema  de</w:t>
        <w:br/>
        <w:t xml:space="preserve">   justicia peruano”. Al respecto, este Tribunal encuentra que,  en  efecto,</w:t>
        <w:br/>
        <w:t xml:space="preserve">   tal y como fue mencionado anteriormente (supra  párr.  43),  la  evidente</w:t>
        <w:br/>
        <w:t xml:space="preserve">   conflictividad entre el Tribunal Constitucional y el Poder  Ejecutivo  en</w:t>
        <w:br/>
        <w:t xml:space="preserve">   los meses previos a la destitución de los magistrados ocurrida el  28  de</w:t>
        <w:br/>
        <w:t xml:space="preserve">   mayo de 1997, y la materia sobre la cual giraba el asunto, derivó en  que</w:t>
        <w:br/>
        <w:t xml:space="preserve">   fuera nula la posibilidad de  que  dicho  Tribunal  hiciera  lugar  a  un</w:t>
        <w:br/>
        <w:t xml:space="preserve">   eventual recurso, y por lo tanto no era necesario  agotar  dicho  recurso</w:t>
        <w:br/>
        <w:t xml:space="preserve">   extraordinario.</w:t>
        <w:br/>
        <w:br/>
        <w:br/>
        <w:t>167. Por otro lado, la Corte considera  que  el  hecho  de  que  el  Juzgado</w:t>
        <w:br/>
        <w:t xml:space="preserve">   Especializado en lo Civil en Talara, y la Segunda Sala Civil de la  Corte</w:t>
        <w:br/>
        <w:t xml:space="preserve">   Superior de Piura, no arribaran a la conclusión jurídica que deseaban los</w:t>
        <w:br/>
        <w:t xml:space="preserve">   demandantes, no constituye per se una violación al derecho de acceso a la</w:t>
        <w:br/>
        <w:t xml:space="preserve">   justicia. Al respecto, la Corte recuerda que la obligación del Estado  de</w:t>
        <w:br/>
        <w:t xml:space="preserve">   conducir los procesos con apego a  la  garantía  de  protección  judicial</w:t>
        <w:br/>
        <w:t xml:space="preserve">   consiste en una obligación que es de medios o comportamiento y que no  es</w:t>
        <w:br/>
        <w:t xml:space="preserve">   incumplida por el solo hecho de que el proceso no produzca  un  resultado</w:t>
        <w:br/>
        <w:t xml:space="preserve">   satisfactorio, o  no  se  arribe  a  la  conclusión  pretendida  por  las</w:t>
        <w:br/>
        <w:t xml:space="preserve">   presuntas víctimas[249]. Sin  perjuicio  de  lo  anterior,  la  Corte  ha</w:t>
        <w:br/>
        <w:t xml:space="preserve">   sostenido que todo juez tiene la obligación de asegurar que los  procesos</w:t>
        <w:br/>
        <w:t xml:space="preserve">   se lleven a cabo con el debido respeto de  aquellas  garantías  que  sean</w:t>
        <w:br/>
        <w:t xml:space="preserve">   necesarias para asegurar un juicio justo, lo cual  incluye  el  deber  de</w:t>
        <w:br/>
        <w:t xml:space="preserve">   motivar las sentencias[250].</w:t>
        <w:br/>
        <w:br/>
        <w:br/>
        <w:t>168. En relación con lo anterior, este Tribunal ha sostenido  que  el  deber</w:t>
        <w:br/>
        <w:t xml:space="preserve">   de motivación es una de las debidas garantías incluidas  en  el  artículo</w:t>
        <w:br/>
        <w:t xml:space="preserve">   8.1 para salvaguardar el derecho al debido proceso[251]. La motivación es</w:t>
        <w:br/>
        <w:t xml:space="preserve">   la exteriorización de la justificación razonada que permite llegar a  una</w:t>
        <w:br/>
        <w:t xml:space="preserve">   conclusión[252]. El deber de motivar las  resoluciones  es  una  garantía</w:t>
        <w:br/>
        <w:t xml:space="preserve">   vinculada a la recta administración de justicia, que le garantiza  a  los</w:t>
        <w:br/>
        <w:t xml:space="preserve">   ciudadanos el derecho a ser juzgados  por  las  razones  que  el  derecho</w:t>
        <w:br/>
        <w:t xml:space="preserve">   otorga, a la vez que brinda credibilidad a las decisiones  judiciales  en</w:t>
        <w:br/>
        <w:t xml:space="preserve">   una sociedad democrática[253]. En virtud de lo anterior,  las  decisiones</w:t>
        <w:br/>
        <w:t xml:space="preserve">   que adopten los órganos  internos  de  los  Estados  que  puedan  afectar</w:t>
        <w:br/>
        <w:t xml:space="preserve">   derechos humanos  deben  de  estar  motivadas,  de  lo  contrario  serían</w:t>
        <w:br/>
        <w:t xml:space="preserve">   decisiones arbitrarias[254]. La motivación  de  un  fallo  debe  permitir</w:t>
        <w:br/>
        <w:t xml:space="preserve">   conocer cuáles son los hechos, motivos y normas en las  que  se  basó  el</w:t>
        <w:br/>
        <w:t xml:space="preserve">   órgano que lo dictó para tomar su decisión de modo que se pueda  desechar</w:t>
        <w:br/>
        <w:t xml:space="preserve">   cualquier indicio de arbitrariedad, a la vez  que  les  demuestra  a  las</w:t>
        <w:br/>
        <w:t xml:space="preserve">   partes que estas han sido oídas en el  marco  del  proceso[255].  Además,</w:t>
        <w:br/>
        <w:t xml:space="preserve">   debe mostrar que han sido debidamente tomados en cuenta los  alegatos  de</w:t>
        <w:br/>
        <w:t xml:space="preserve">   las partes y que el conjunto de pruebas ha sido analizado[256].</w:t>
        <w:br/>
        <w:br/>
        <w:t>169. La Comisión alegó la existencia de una inadecuada motivación por  parte</w:t>
        <w:br/>
        <w:t xml:space="preserve">   de  las  autoridades  judiciales  que  resolvieron  el  amparo,   y   una</w:t>
        <w:br/>
        <w:t xml:space="preserve">   representante alegó que la autoridad judicial no  habría  considerado  la</w:t>
        <w:br/>
        <w:t xml:space="preserve">   irreparabilidad del daño  que  tendrían  los  ceses  para  las  presuntas</w:t>
        <w:br/>
        <w:t xml:space="preserve">   víctimas.</w:t>
        <w:br/>
        <w:br/>
        <w:t>170. En el presente caso, la Corte constata que la resolución de la  Segunda</w:t>
        <w:br/>
        <w:t xml:space="preserve">   Sala Civil de la Corte Superior de Piura, el cual fue el  último  recurso</w:t>
        <w:br/>
        <w:t xml:space="preserve">   intentado por los trabajadores de Petroperú en el marco  del  proceso  de</w:t>
        <w:br/>
        <w:t xml:space="preserve">   amparo, careció de una debida motivación. La resolución del 3 de julio de</w:t>
        <w:br/>
        <w:t xml:space="preserve">   1996 (supra párr. 118) se limitó a aludir los fundamentos de la sentencia</w:t>
        <w:br/>
        <w:t xml:space="preserve">   recurrida y el dictamen del Fiscal, sin haberse realizado un análisis  de</w:t>
        <w:br/>
        <w:t xml:space="preserve">   los argumentos presentados  por  la  parte  recurrente  respecto  de  los</w:t>
        <w:br/>
        <w:t xml:space="preserve">   derechos constitucionales que pudieron verse afectados, ni el impacto que</w:t>
        <w:br/>
        <w:t xml:space="preserve">   su vulneración podría  haber  tenido  en  los  trabajadores  cesados.  En</w:t>
        <w:br/>
        <w:t xml:space="preserve">   efecto, la decisión de la Segunda Sala Civil  de  la  Corte  Superior  de</w:t>
        <w:br/>
        <w:t xml:space="preserve">   Piura se limitó a establecer lo siguiente:</w:t>
        <w:br/>
        <w:br/>
        <w:br/>
        <w:t xml:space="preserve">      "VISTOS; de conformidad con lo opinado por el señor  Fiscal  Superior;</w:t>
        <w:br/>
        <w:t xml:space="preserve">      por los fundamentos de la recurrida, CONFIRMARON la sentencia  apelada</w:t>
        <w:br/>
        <w:t xml:space="preserve">      de fojas  trescientos  veintiocho-trescientos  treintitres,  su  fecha</w:t>
        <w:br/>
        <w:t xml:space="preserve">      dieciocho de Marzo del año  en  curso,  que  declara  improcedente  la</w:t>
        <w:br/>
        <w:t xml:space="preserve">      demanda de fojas veinte a veintidos, ampliada a  fojas  treintitrés  a</w:t>
        <w:br/>
        <w:t xml:space="preserve">      treintiséis, formulada por  el  Sindicato  Único  de  Trabajadores  de</w:t>
        <w:br/>
        <w:t xml:space="preserve">      Petróleos del Perú-Zona Noroeste contra el Estado y otro, sobre Acción</w:t>
        <w:br/>
        <w:t xml:space="preserve">      de Amparo; confirmaron en lo demás que contiene; y  los  devolvieron.-</w:t>
        <w:br/>
        <w:t xml:space="preserve">      Vocal ponente señor Becerra Rojas[257].</w:t>
        <w:br/>
        <w:br/>
        <w:t>171. En este sentido, la Corte ha  afirmado  que  el  requisito  de  que  la</w:t>
        <w:br/>
        <w:t xml:space="preserve">   decisión sea razonada no es equivalente a que haya un análisis  sobre  el</w:t>
        <w:br/>
        <w:t xml:space="preserve">   fondo del asunto, estudio que no es  imprescindible  para  determinar  la</w:t>
        <w:br/>
        <w:t xml:space="preserve">   efectividad  del  recurso[258].  Sin  embargo,  tal  como   se   mencionó</w:t>
        <w:br/>
        <w:t xml:space="preserve">   anteriormente, la argumentación de un fallo debe permitir conocer  cuáles</w:t>
        <w:br/>
        <w:t xml:space="preserve">   fueron los hechos, motivos y normas en que  se  basó  la  autoridad  para</w:t>
        <w:br/>
        <w:t xml:space="preserve">   tomar su decisión,  de  manera  clara  y  expresa,  a  fin  de  descartar</w:t>
        <w:br/>
        <w:t xml:space="preserve">   cualquier indicio de  arbitrariedad,  situación  que  no  ocurrió  en  el</w:t>
        <w:br/>
        <w:t xml:space="preserve">   presente caso. El Tribunal Europeo ha  considerado  que  un  recurso  “es</w:t>
        <w:br/>
        <w:t xml:space="preserve">   efectivo por contar con una revisión judicial suficiente [,]  aun  cuando</w:t>
        <w:br/>
        <w:t xml:space="preserve">   el órgano  judicial  no  estuviere  facultado  para  analizar  todos  los</w:t>
        <w:br/>
        <w:t xml:space="preserve">   aspectos de una decisión administrativa, si  aquél  es  capaz  de  anular</w:t>
        <w:br/>
        <w:t xml:space="preserve">   dicha decisión bajo  distintos  supuestos,  entre  ellos  una  incorrecta</w:t>
        <w:br/>
        <w:t xml:space="preserve">   interpretación de los hechos o de la ley”[259].</w:t>
        <w:br/>
        <w:br/>
        <w:t>172.  En razón de lo  anterior,  el  Tribunal  concluye  que  el  Estado  es</w:t>
        <w:br/>
        <w:t xml:space="preserve">   responsable por la violación a los artículos 8.1 y 25  de  la  Convención</w:t>
        <w:br/>
        <w:t xml:space="preserve">   Americana, en relación con las obligaciones previstas en el artículo  1.1</w:t>
        <w:br/>
        <w:t xml:space="preserve">   del mismo instrumento, en perjuicio de los 85 trabajadores de  Petroperú,</w:t>
        <w:br/>
        <w:t xml:space="preserve">   listados en la tabla de víctimas  adjuntada  como  anexo  a  la  presente</w:t>
        <w:br/>
        <w:t xml:space="preserve">   Sentencia.</w:t>
        <w:br/>
        <w:br/>
        <w:t xml:space="preserve">      B.5.  Derecho a las garantías judiciales y a la protección judicial de</w:t>
        <w:br/>
        <w:t xml:space="preserve">      los trabajadores del MEF</w:t>
        <w:br/>
        <w:br/>
        <w:t>173. En relación con los trabajadores del MEF, la Corte recuerda que  el  23</w:t>
        <w:br/>
        <w:t xml:space="preserve">   de marzo de 1998  las  presuntas  víctimas  presentaron  ante  el  Primer</w:t>
        <w:br/>
        <w:t xml:space="preserve">   Juzgado Especializado de Derecho Público de Lima un amparo contra el  MEF</w:t>
        <w:br/>
        <w:t xml:space="preserve">   (supra párr. 109). Posteriormente, el 21 de  julio  de  1999,  el  Primer</w:t>
        <w:br/>
        <w:t xml:space="preserve">   Juzgado Corporativo Transitorio Especializado en Derecho Público  declaró</w:t>
        <w:br/>
        <w:t xml:space="preserve">   improcedente la demanda de amparo, y resolvió que el ejercicio al derecho</w:t>
        <w:br/>
        <w:t xml:space="preserve">   constitucional al trabajo debe ajustarse a lo que establece la ley (supra</w:t>
        <w:br/>
        <w:t xml:space="preserve">   párr.  111).  Adicionalmente,  el  13  de  diciembre  de  1999,  la  Sala</w:t>
        <w:br/>
        <w:t xml:space="preserve">   Corporativa Transitoria Especializada  en  Derecho  Público  confirmó  la</w:t>
        <w:br/>
        <w:t xml:space="preserve">   sentencia del Primer Juzgado  Corporativo  Transitorio  Especializado  en</w:t>
        <w:br/>
        <w:t xml:space="preserve">   Derecho  Público.  Finalmente,  el  29  de  enero  de  2001  el  Tribunal</w:t>
        <w:br/>
        <w:t xml:space="preserve">   Constitucional declaró fundada la acción de amparo en lo que  respecta  a</w:t>
        <w:br/>
        <w:t xml:space="preserve">   una trabajadora cesada, y declaró infundada la acción de amparo  respecto</w:t>
        <w:br/>
        <w:t xml:space="preserve">   a los demás demandantes (supra párr. 114).</w:t>
        <w:br/>
        <w:br/>
        <w:t>174. En primer lugar, la Corte advierte que los hechos relacionados  con  el</w:t>
        <w:br/>
        <w:t xml:space="preserve">   recurso de amparo intentado por los trabajadores del  MEF,  el  cual  fue</w:t>
        <w:br/>
        <w:t xml:space="preserve">   resuelto en última instancia por el  Tribunal  Constitucional  el  29  de</w:t>
        <w:br/>
        <w:t xml:space="preserve">   enero de 2001,  no  se  enmarca  en  el  espacio  temporal  de  falta  de</w:t>
        <w:br/>
        <w:t xml:space="preserve">   independencia e imparcialidad que habría existido entre el 28 de mayo  de</w:t>
        <w:br/>
        <w:t xml:space="preserve">   1997, fecha en que el pleno del Congreso destituyó a tres  de  los  siete</w:t>
        <w:br/>
        <w:t xml:space="preserve">   magistrados del Tribunal Constitucional, y el 17 de  noviembre  de  2000,</w:t>
        <w:br/>
        <w:t xml:space="preserve">   fecha en que fueron reinstalados (supra párr. 159). En  efecto,  para  la</w:t>
        <w:br/>
        <w:t xml:space="preserve">   fecha en que fue resuelto el recurso intentado por los  trabajadores  del</w:t>
        <w:br/>
        <w:t xml:space="preserve">   MEF en última instancia, el Tribunal Constitucional ya contaba con  siete</w:t>
        <w:br/>
        <w:t xml:space="preserve">   magistrados, por  lo  que  este  Tribunal  no  encuentra  elementos  para</w:t>
        <w:br/>
        <w:t xml:space="preserve">   concluir que la sentencia del 29  de  enero  de  2001  haya  ocurrido  en</w:t>
        <w:br/>
        <w:t xml:space="preserve">   circunstancias tales que, por razón de la situación en que fue  adoptada,</w:t>
        <w:br/>
        <w:t xml:space="preserve">   hicieran ilusoria la efectividad de dicho recurso.</w:t>
        <w:br/>
        <w:br/>
        <w:t>175. En segundo lugar, la Corte tiene presente que la decisión del  Tribunal</w:t>
        <w:br/>
        <w:t xml:space="preserve">   Constitucional del 29 de enero de 2001, en virtud de la cual  se  declaró</w:t>
        <w:br/>
        <w:t xml:space="preserve">   infundada la acción de amparo respecto  de  las  presuntas  víctimas,  se</w:t>
        <w:br/>
        <w:t xml:space="preserve">   basó, en lo pertinente, en las siguientes consideraciones:</w:t>
        <w:br/>
        <w:br/>
        <w:br/>
        <w:t xml:space="preserve">      3. El cuestionamiento al  proceso  de  evaluación  de  personal  y  al</w:t>
        <w:br/>
        <w:t xml:space="preserve">      puntaje obtenido en el referido proceso, formulado por los demandantes</w:t>
        <w:br/>
        <w:t xml:space="preserve">      no puede ventilarse a través de la presente acción de  garantía,  pues</w:t>
        <w:br/>
        <w:t xml:space="preserve">      de conformidad con el artículo 13° de la Ley N° 25398,  Complementaria</w:t>
        <w:br/>
        <w:t xml:space="preserve">      de la Ley de Hábeas Corpus y Amparo, carece de estación probatoria, no</w:t>
        <w:br/>
        <w:t xml:space="preserve">      resultando idónea para el fin que persiguen los demandantes, dado  que</w:t>
        <w:br/>
        <w:t xml:space="preserve">      para ello resulta imprescindible la actuación  de  medios  probatorios</w:t>
        <w:br/>
        <w:t xml:space="preserve">      que las partes deben aportar según convenga a su derecho en un proceso</w:t>
        <w:br/>
        <w:t xml:space="preserve">      judicial más lato, a fin de crear certeza en el juzgador respecto a la</w:t>
        <w:br/>
        <w:t xml:space="preserve">      reclamación materia de autos. En consecuencia, en  el  caso  de  estos</w:t>
        <w:br/>
        <w:t xml:space="preserve">      demandantes  no  se  ha   acreditado   la   vulneración   de   derecho</w:t>
        <w:br/>
        <w:t xml:space="preserve">      constitucional alguno.</w:t>
        <w:br/>
        <w:br/>
        <w:br/>
        <w:t>176. Al respecto, esta Corte advierte  que  el  Tribunal  Constitucional  no</w:t>
        <w:br/>
        <w:t xml:space="preserve">   realizó un análisis de las alegadas violaciones  al  derecho  al  trabajo</w:t>
        <w:br/>
        <w:t xml:space="preserve">   como resultado de los ceses por excedencia, ni realizó un  examen  de  la</w:t>
        <w:br/>
        <w:t xml:space="preserve">   inaplicabilidad de la Resolución Ministerial No. 234-97-EF/10, en  virtud</w:t>
        <w:br/>
        <w:t xml:space="preserve">   de que consideró que el recurso extraordinario no era la vía idónea  para</w:t>
        <w:br/>
        <w:t xml:space="preserve">   estos efectos por carecer de etapa probatoria.</w:t>
        <w:br/>
        <w:br/>
        <w:t>177. En relación con lo anterior, la Corte reitera que  los  Estados  tienen</w:t>
        <w:br/>
        <w:t xml:space="preserve">   el deber de garantizar, a todas las personas  bajo  su  jurisdicción,  un</w:t>
        <w:br/>
        <w:t xml:space="preserve">   recurso judicial  efectivo  contra  actos  violatorios  de  sus  derechos</w:t>
        <w:br/>
        <w:t xml:space="preserve">   fundamentales. Esto implica que el recurso judicial debe ser idóneo  para</w:t>
        <w:br/>
        <w:t xml:space="preserve">   combatir la violación, por lo que la autoridad competente  debe  examinar</w:t>
        <w:br/>
        <w:t xml:space="preserve">   las razones invocadas por el demandante y pronunciarse en torno a  ellas.</w:t>
        <w:br/>
        <w:t xml:space="preserve">   En ese sentido, este Tribunal ha establecido  que  “el  análisis  por  la</w:t>
        <w:br/>
        <w:t xml:space="preserve">   autoridad competente de un recurso judicial --que  controvierte  derechos</w:t>
        <w:br/>
        <w:t xml:space="preserve">   constitucionales como la estabilidad  laboral  y  el  derecho  al  debido</w:t>
        <w:br/>
        <w:t xml:space="preserve">   proceso--, no puede reducirse a una mera formalidad y  omitir  argumentos</w:t>
        <w:br/>
        <w:t xml:space="preserve">   de las partes, ya que debe examinar  sus  razones  y  manifestarse  sobre</w:t>
        <w:br/>
        <w:t xml:space="preserve">   ellas  conforme  a  los  parámetros  establecidos   por   la   Convención</w:t>
        <w:br/>
        <w:t xml:space="preserve">   Americana”[260]. En el presente caso, esta Corte advierte que el Tribunal</w:t>
        <w:br/>
        <w:t xml:space="preserve">   Constitucional no realizó un análisis  de  las  alegadas  violaciones  al</w:t>
        <w:br/>
        <w:t xml:space="preserve">   derecho al trabajo como resultado de los ceses por excedencia, ni realizó</w:t>
        <w:br/>
        <w:t xml:space="preserve">   un examen de la inaplicabilidad de la Resolución Ministerial No.  234-97-</w:t>
        <w:br/>
        <w:t xml:space="preserve">   EF/10, en virtud de que consideró que el recurso extraordinario no era la</w:t>
        <w:br/>
        <w:t xml:space="preserve">   vía idónea para estos efectos por carecer de etapa probatoria.</w:t>
        <w:br/>
        <w:br/>
        <w:t>178. La  Corte  considera  que  el  Tribunal  Constitucional  se  encontraba</w:t>
        <w:br/>
        <w:t xml:space="preserve">   obligado a realizar una adecuada revisión  judicial  del  acto  reclamado</w:t>
        <w:br/>
        <w:t xml:space="preserve">   como violatorio por las presuntas víctimas, lo  cual  implicaba  examinar</w:t>
        <w:br/>
        <w:t xml:space="preserve">   los alegatos y argumentos sometidos a su conocimiento sobre  la  decisión</w:t>
        <w:br/>
        <w:t xml:space="preserve">   del MEF respecto al cese  por  causal  de  excedencia,  sin  declinar  su</w:t>
        <w:br/>
        <w:t xml:space="preserve">   competencia para conocer de ellos o al  determinar  los  hechos[261].  En</w:t>
        <w:br/>
        <w:t xml:space="preserve">   este sentido, este Tribunal encuentra que, en su sentencia de 29 de enero</w:t>
        <w:br/>
        <w:t xml:space="preserve">   de 2001, al no realizar un análisis sobre si en el proceso de cese de los</w:t>
        <w:br/>
        <w:t xml:space="preserve">   accionantes se vulneraron los derechos constitucionales y  convencionales</w:t>
        <w:br/>
        <w:t xml:space="preserve">   en juego, el Tribunal Constitucional desasoció el derecho sustancial  del</w:t>
        <w:br/>
        <w:t xml:space="preserve">   derecho procesal, impidiendo así  analizar  el  objeto  principal  de  la</w:t>
        <w:br/>
        <w:t xml:space="preserve">   controversia. En este sentido, este Tribunal concluye  que  la  falta  de</w:t>
        <w:br/>
        <w:t xml:space="preserve">   revisión judicial suficiente sobre la actuación del  MEF  por  parte  del</w:t>
        <w:br/>
        <w:t xml:space="preserve">   Tribunal Constitucional trajo como consecuencia la falta  de  efectividad</w:t>
        <w:br/>
        <w:t xml:space="preserve">   del recurso extraordinario intentado por los Trabajadores del MEF.</w:t>
        <w:br/>
        <w:br/>
        <w:t>179. La Corte advierte que la propia Ley No. 25398 reconoce la facultad  del</w:t>
        <w:br/>
        <w:t xml:space="preserve">   juzgador de aceptar pruebas incidentales o de  realizar  las  diligencias</w:t>
        <w:br/>
        <w:t xml:space="preserve">   que considere necesarias, situación que no ocurrió en el  presente  caso,</w:t>
        <w:br/>
        <w:t xml:space="preserve">   aun cuando el Tribunal Constitucional pudo haber realizado  las  acciones</w:t>
        <w:br/>
        <w:t xml:space="preserve">   pertinentes  y  analizar  el   proceso   de   evaluación   de   personal.</w:t>
        <w:br/>
        <w:t xml:space="preserve">   Adicionalmente, este Tribunal advierte que en  su  resolución  de  29  de</w:t>
        <w:br/>
        <w:t xml:space="preserve">   enero de 2001 el Tribunal Constitucional no estableció cuál  habría  sido</w:t>
        <w:br/>
        <w:t xml:space="preserve">   la vía idónea para cuestionar dicho proceso de evaluación, limitándose  a</w:t>
        <w:br/>
        <w:t xml:space="preserve">   establecer que debía realizarse “en un proceso judicial más  lato”,  pero</w:t>
        <w:br/>
        <w:t xml:space="preserve">   sin motivar su decisión al respecto.</w:t>
        <w:br/>
        <w:br/>
        <w:t>180. En relación con lo anterior, la Corte recuerda que,  en  virtud  de  la</w:t>
        <w:br/>
        <w:t xml:space="preserve">   naturaleza   coadyuvante    o    complementaria    de    la    protección</w:t>
        <w:br/>
        <w:t xml:space="preserve">   internacional[262], el Estado es el principal  garante  de  los  derechos</w:t>
        <w:br/>
        <w:t xml:space="preserve">   humanos de las personas, por lo que, si se produce un acto violatorio  de</w:t>
        <w:br/>
        <w:t xml:space="preserve">   dichos derechos, es él quien debe de resolver el asunto a  nivel  interno</w:t>
        <w:br/>
        <w:t xml:space="preserve">   y, de ser el caso, reparar, antes de tener que responder ante  instancias</w:t>
        <w:br/>
        <w:t xml:space="preserve">   internacionales[263]. En lo que respecta a este caso, y en lo referente a</w:t>
        <w:br/>
        <w:t xml:space="preserve">   las  respectivas  competencias  del  Tribunal  Constitucional,  la  Corte</w:t>
        <w:br/>
        <w:t xml:space="preserve">   observa que la legislación interna facultaba al juzgador para aceptar las</w:t>
        <w:br/>
        <w:t xml:space="preserve">   pruebas necesarias para resolver si existieron violaciones a los derechos</w:t>
        <w:br/>
        <w:t xml:space="preserve">   de los trabajadores durante el proceso de evaluación de personal.</w:t>
        <w:br/>
        <w:br/>
        <w:t>181. En consecuencia, el Tribunal concluye que el Estado es responsable  por</w:t>
        <w:br/>
        <w:t xml:space="preserve">   la violación a los artículos 8.1 y 25  de  la  Convención  Americana,  en</w:t>
        <w:br/>
        <w:t xml:space="preserve">   relación con las obligaciones previstas en  el  artículo  1.1  del  mismo</w:t>
        <w:br/>
        <w:t xml:space="preserve">   instrumento, respecto de los 15 trabajadores de MEF listados en la  tabla</w:t>
        <w:br/>
        <w:t xml:space="preserve">   de víctimas adjuntada como anexo a la presente sentencia.</w:t>
        <w:br/>
        <w:br/>
        <w:t>182. Adicionalmente, la Corte advierte que un  representante  alegó  que  el</w:t>
        <w:br/>
        <w:t xml:space="preserve">   Estado habría violado el plazo razonable establecido en el artículo  8.1.</w:t>
        <w:br/>
        <w:t xml:space="preserve">   Al respecto, este Tribunal ha  reiterado  que  la  evaluación  del  plazo</w:t>
        <w:br/>
        <w:t xml:space="preserve">   razonable se debe analizar en cada caso  concreto,  en  relación  con  la</w:t>
        <w:br/>
        <w:t xml:space="preserve">   duración total del proceso, desde el primer acto procesal  hasta  que  se</w:t>
        <w:br/>
        <w:t xml:space="preserve">   dicta sentencia definitiva[264]. De esta manera,  ha  considerado  cuatro</w:t>
        <w:br/>
        <w:t xml:space="preserve">   elementos  para  analizar  si  se  cumplió  con  la  garantía  del  plazo</w:t>
        <w:br/>
        <w:t xml:space="preserve">   razonable, a saber:  a)  la  complejidad  del  asunto;  b)  la  actividad</w:t>
        <w:br/>
        <w:t xml:space="preserve">   procesal del interesado; c) la conducta de las autoridades judiciales;  y</w:t>
        <w:br/>
        <w:t xml:space="preserve">   d) la  afectación  generada  en  la  situación  jurídica  de  la  persona</w:t>
        <w:br/>
        <w:t xml:space="preserve">   involucrada en el proceso. La Corte recuerda que  corresponde  al  Estado</w:t>
        <w:br/>
        <w:t xml:space="preserve">   justificar, con fundamento en los criterios señalados, la  razón  por  la</w:t>
        <w:br/>
        <w:t xml:space="preserve">   cual ha requerido del tiempo transcurrido para tratar los casos y, en  la</w:t>
        <w:br/>
        <w:t xml:space="preserve">   eventualidad de  que  éste  no  lo  demuestre,  la  Corte  tiene  amplias</w:t>
        <w:br/>
        <w:t xml:space="preserve">   atribuciones para hacer su propia estimación al respecto[265].</w:t>
        <w:br/>
        <w:br/>
        <w:t>183.  En  relación  con  los  recursos   judiciales   intentados   por   los</w:t>
        <w:br/>
        <w:t xml:space="preserve">   trabajadores del MEF, la Corte confirma que la duración total del proceso</w:t>
        <w:br/>
        <w:t xml:space="preserve">   de amparo, contado desde la interposición  del  recurso  ante  el  Primer</w:t>
        <w:br/>
        <w:t xml:space="preserve">   Juzgado Corporativo Transitorio Especializado en Derecho Público de Lima,</w:t>
        <w:br/>
        <w:t xml:space="preserve">   hasta  la  última  resolución  del  Tribunal   Constitucional,   fue   de</w:t>
        <w:br/>
        <w:t xml:space="preserve">   aproximadamente dos años y 10 meses (supra párrs. 109 a 114).</w:t>
        <w:br/>
        <w:br/>
        <w:br/>
        <w:t>184. Al respecto, y en consideración a los cuatro  elementos  que  han  sido</w:t>
        <w:br/>
        <w:t xml:space="preserve">   definidos por este Tribunal para la evaluación del  plazo  razonable,  la</w:t>
        <w:br/>
        <w:t xml:space="preserve">   Corte considera lo siguiente: (i) que aun cuando los recursos  intentados</w:t>
        <w:br/>
        <w:t xml:space="preserve">   por los trabajadores del MEF se referían a una pluralidad de sujetos,  no</w:t>
        <w:br/>
        <w:t xml:space="preserve">   es posible concluir que  se  trataba  de  un  asunto  complejo,  pues  el</w:t>
        <w:br/>
        <w:t xml:space="preserve">   análisis en el juicio de amparo no implicó un análisis  de  fondo  acerca</w:t>
        <w:br/>
        <w:t xml:space="preserve">   del proceso de evaluación de personal y el puntaje obtenido; (ii) que  la</w:t>
        <w:br/>
        <w:t xml:space="preserve">   actividad procesal de  los  interesados  y  de  las  autoridades  fue  la</w:t>
        <w:br/>
        <w:t xml:space="preserve">   razonablemente esperada, pues no existen elementos que permitan  concluir</w:t>
        <w:br/>
        <w:t xml:space="preserve">   que dicha actividad estuvo  dirigida  a  dilatar  injustificadamente  del</w:t>
        <w:br/>
        <w:t xml:space="preserve">   proceso; y (iii) la Corte no advierte que la duración del proceso per  se</w:t>
        <w:br/>
        <w:t xml:space="preserve">   haya generado una afectación de los derechos de los trabajadores pues, en</w:t>
        <w:br/>
        <w:t xml:space="preserve">   las circunstancias específicas del presente caso, la  posible  afectación</w:t>
        <w:br/>
        <w:t xml:space="preserve">   de  otros  derechos  alegados  por  la  representante  no  se  encuentran</w:t>
        <w:br/>
        <w:t xml:space="preserve">   directamente relacionados con la duración de los procesos judiciales.</w:t>
        <w:br/>
        <w:br/>
        <w:t>185. En consecuencia, en atención a la duración y  las  características  del</w:t>
        <w:br/>
        <w:t xml:space="preserve">   proceso, así como de la actuación de las  presuntas  víctimas  y  de  las</w:t>
        <w:br/>
        <w:t xml:space="preserve">   autoridades, la Corte concluye que el trascurso  de  aproximadamente  dos</w:t>
        <w:br/>
        <w:t xml:space="preserve">   años y 10 meses en la sustanciación de los procesos de amparo  intentados</w:t>
        <w:br/>
        <w:t xml:space="preserve">   por las 15 presuntas víctimas del MEF, listadas en la tabla  de  víctimas</w:t>
        <w:br/>
        <w:t xml:space="preserve">   adjuntada a la presente sentencia, no constituye una violación  al  plazo</w:t>
        <w:br/>
        <w:t xml:space="preserve">   razonable que plantea el artículo 8.1 de la Convención Americana.</w:t>
        <w:br/>
        <w:br/>
        <w:br/>
        <w:t xml:space="preserve">      B.6.  Deber de adoptar disposiciones de derecho interno</w:t>
        <w:br/>
        <w:br/>
        <w:t>186. La Corte ha establecido que, en virtud del artículo 2 de la  Convención</w:t>
        <w:br/>
        <w:t xml:space="preserve">   Americana, los Estados no sólo tienen la obligación positiva  de  adoptar</w:t>
        <w:br/>
        <w:t xml:space="preserve">   las medidas necesarias para garantizar el ejercicio de  los  derechos  en</w:t>
        <w:br/>
        <w:t xml:space="preserve">   ella establecidos, sino  que  también  deben  evitar  promulgar  aquellas</w:t>
        <w:br/>
        <w:t xml:space="preserve">   normas que impidan el libre ejercicio de estos derechos, y evitar que  se</w:t>
        <w:br/>
        <w:t xml:space="preserve">   supriman o modifiquen las normas que los  protegen[266].  Asimismo,  esta</w:t>
        <w:br/>
        <w:t xml:space="preserve">   Corte ha determinado que es competente para ordenar a un Estado que  deje</w:t>
        <w:br/>
        <w:t xml:space="preserve">   sin efecto una ley interna cuando sus términos sean  violatorios  de  los</w:t>
        <w:br/>
        <w:t xml:space="preserve">   derechos  previstos  en  la  Convención   y   cuando   esto   haya   sido</w:t>
        <w:br/>
        <w:t xml:space="preserve">   demostrado[267]. No obstante, el Tribunal  ha  rechazado  solicitudes  de</w:t>
        <w:br/>
        <w:t xml:space="preserve">   esta naturaleza cuando las partes no han argumentado, ni  demostrado,  la</w:t>
        <w:br/>
        <w:t xml:space="preserve">   existencia de una norma en concreto incompatible con la  Convención[268].</w:t>
        <w:br/>
        <w:t xml:space="preserve">   Al  respecto,  la  Corte  considera,  además,  que  no   le   corresponde</w:t>
        <w:br/>
        <w:t xml:space="preserve">   pronunciarse sobre las características específicas que ha  de  asumir  el</w:t>
        <w:br/>
        <w:t xml:space="preserve">   acto estatal que debe ser llevado a cabo  para  dar  cumplimiento  a  las</w:t>
        <w:br/>
        <w:t xml:space="preserve">   obligaciones derivadas del artículo 2 de  la  Convención  y  que,  en  el</w:t>
        <w:br/>
        <w:t xml:space="preserve">   evento de que se trate de la dictación de leyes, el Estado debe, en  todo</w:t>
        <w:br/>
        <w:t xml:space="preserve">   caso, procurar que ellas correspondan a su naturaleza general,  abstracta</w:t>
        <w:br/>
        <w:t xml:space="preserve">   e impersonal.</w:t>
        <w:br/>
        <w:br/>
        <w:t>187. En el presente caso,  la  Corte  advierte  que  los  representantes  no</w:t>
        <w:br/>
        <w:t xml:space="preserve">   realizaron argumentos claros respecto a los aspectos específicos  de  las</w:t>
        <w:br/>
        <w:t xml:space="preserve">   normas aplicadas como base para realizar los ceses colectivos que habrían</w:t>
        <w:br/>
        <w:t xml:space="preserve">   constituido  una  violación  al  deber  de   los   Estados   de   adoptar</w:t>
        <w:br/>
        <w:t xml:space="preserve">   disposiciones de derecho interno, por lo que  considera  que  no  existen</w:t>
        <w:br/>
        <w:t xml:space="preserve">   elementos para determinar si estas normas constituyeron una violación  al</w:t>
        <w:br/>
        <w:t xml:space="preserve">   artículo 2 de la Convención. Adicionalmente, la  Corte  advierte  que  la</w:t>
        <w:br/>
        <w:t xml:space="preserve">   evolución normativa  en  Perú  ha  dejado  sin  efectos  las  normas  que</w:t>
        <w:br/>
        <w:t xml:space="preserve">   sirvieron como base para realizar dichos ceses colectivos.  Al  respecto,</w:t>
        <w:br/>
        <w:t xml:space="preserve">   esta Corte recuerda que “[l]a competencia  contenciosa  de  la  Corte  no</w:t>
        <w:br/>
        <w:t xml:space="preserve">   tiene  por  objeto  la  revisión  de  las  legislaciones  nacionales   en</w:t>
        <w:br/>
        <w:t xml:space="preserve">   abstracto, sino que es ejercida para resolver casos concretos en  que  se</w:t>
        <w:br/>
        <w:t xml:space="preserve">   alegue que un acto [u omisión]  del  Estado,  ejecutado  contra  personas</w:t>
        <w:br/>
        <w:t xml:space="preserve">   determinadas, es contrario a la  Convención”[269].  En  consecuencia,  el</w:t>
        <w:br/>
        <w:t xml:space="preserve">   Estado no es responsable por la violación al artículo 2.</w:t>
        <w:br/>
        <w:br/>
        <w:t>C. Conclusión</w:t>
        <w:br/>
        <w:br/>
        <w:t>188. En consideración a lo anterior, la Corte  concluye  que  el  Estado  es</w:t>
        <w:br/>
        <w:t xml:space="preserve">   responsable por la violación a los artículos 8.1 y 25,  en  relación  con</w:t>
        <w:br/>
        <w:t xml:space="preserve">   los  artículos  1.1  del  mismo  instrumento,  en  perjuicio  de  los  85</w:t>
        <w:br/>
        <w:t xml:space="preserve">   trabajadores  de  Petroperú,  los  25  trabajadores  de  Enapu,  los   39</w:t>
        <w:br/>
        <w:t xml:space="preserve">   trabajadores de Minedu, y los 15 trabajadores  de  MEF,  listados  en  la</w:t>
        <w:br/>
        <w:t xml:space="preserve">   tabla de víctimas adjunta a la presente sentencia. Asimismo,  que  no  es</w:t>
        <w:br/>
        <w:t xml:space="preserve">   responsable por la violación al artículo 2 de la Convención.</w:t>
        <w:br/>
        <w:br/>
        <w:t xml:space="preserve">                                   VIII-2</w:t>
        <w:br/>
        <w:t xml:space="preserve">      DERECHO AL TRABAJO en relación con las obligaciones de respetar y</w:t>
        <w:br/>
        <w:t xml:space="preserve">                           garantizar los derechos</w:t>
        <w:br/>
        <w:t xml:space="preserve">                          (ARTICULOS 26[270] y 1.1)</w:t>
        <w:br/>
        <w:br/>
        <w:t>A. Alegatos de la Comisión y de las partes</w:t>
        <w:br/>
        <w:br/>
        <w:t>189. En relación con la posible aplicación del artículo 26 de la  Convención</w:t>
        <w:br/>
        <w:t xml:space="preserve">   a los hechos del presente caso, un representante solicitó  que  la  Corte</w:t>
        <w:br/>
        <w:t xml:space="preserve">   haga un examen del contenido  de  las  obligaciones  internacionales  del</w:t>
        <w:br/>
        <w:t xml:space="preserve">   Estado respecto al derecho al  trabajo  y  su  desarrollo  progresivo  en</w:t>
        <w:br/>
        <w:t xml:space="preserve">   términos del artículo 26. En  este  sentido,  solicitó  a  la  Corte  que</w:t>
        <w:br/>
        <w:t xml:space="preserve">   realizara un examen respecto  al  derecho  al  trabajo  y  su  desarrollo</w:t>
        <w:br/>
        <w:t xml:space="preserve">   progresivo, así como sobre la justiciabilidad  de  dicho  derecho  en  el</w:t>
        <w:br/>
        <w:t xml:space="preserve">   Sistema Interamericano. Asimismo, alegó que el derecho al trabajo incluye</w:t>
        <w:br/>
        <w:t xml:space="preserve">   el acceso a un sistema de protección que garantice a cada  trabajador  su</w:t>
        <w:br/>
        <w:t xml:space="preserve">   acceso al empleo y a  no  ser  privado  injustamente  de  su  empleo.  En</w:t>
        <w:br/>
        <w:t xml:space="preserve">   consecuencia, alegó que  como  consecuencia  de  la  vulneración  de  las</w:t>
        <w:br/>
        <w:t xml:space="preserve">   garantías al debido proceso y a la  protección  judicial,  a  la  que  se</w:t>
        <w:br/>
        <w:t xml:space="preserve">   refieren los artículos 8 y 25 de la  Convención,  en  los  procedimientos</w:t>
        <w:br/>
        <w:t xml:space="preserve">   administrativos y judiciales destinados  a  garantizar  los  derechos  de</w:t>
        <w:br/>
        <w:t xml:space="preserve">   orden laboral de las presuntas víctimas, se habría violado el derecho  al</w:t>
        <w:br/>
        <w:t xml:space="preserve">   trabajo consagrado en el artículo 26 de la Convención,  en  conexión  con</w:t>
        <w:br/>
        <w:t xml:space="preserve">   los artículos 33, 34 y 45 de la Carta de la  OEA,  en  perjuicio  de  las</w:t>
        <w:br/>
        <w:t xml:space="preserve">   presuntas víctimas de Petroperú, Enapu y el MEF. Los demás representantes</w:t>
        <w:br/>
        <w:t xml:space="preserve">   no formularon alegatos al respecto.</w:t>
        <w:br/>
        <w:br/>
        <w:t>190. Al respecto, la Comisión manifestó  lo  siguiente:  (i)  que  tanto  la</w:t>
        <w:br/>
        <w:t xml:space="preserve">   Comisión  como  la  Corte  tienen  competencia  para  pronunciarse  sobre</w:t>
        <w:br/>
        <w:t xml:space="preserve">   posibles violaciones  al  artículo  26;  (ii)  que  para  determinar  una</w:t>
        <w:br/>
        <w:t xml:space="preserve">   violación al artículo 26, corresponde analizar, en primer  lugar,  si  el</w:t>
        <w:br/>
        <w:t xml:space="preserve">   derecho constituye uno de aquellos derivados de  las  normas  económicas,</w:t>
        <w:br/>
        <w:t xml:space="preserve">   sociales y culturales y sobre educación, ciencia y  cultura  de  la  OEA;</w:t>
        <w:br/>
        <w:t xml:space="preserve">   (iii)  que,  en  segundo  lugar,  corresponde  analizar  cuáles  son  las</w:t>
        <w:br/>
        <w:t xml:space="preserve">   obligaciones derivadas de dicha  norma  y  si  las  mismas  fueron  o  no</w:t>
        <w:br/>
        <w:t xml:space="preserve">   cumplidas en un caso concreto; (iv) que el artículo 45 de la Carta de  la</w:t>
        <w:br/>
        <w:t xml:space="preserve">   OEA reconoce la existencia del derecho al trabajo, y que el artículo  XVI</w:t>
        <w:br/>
        <w:t xml:space="preserve">   de la Declaración Americana contempla el derecho al trabajo y a una justa</w:t>
        <w:br/>
        <w:t xml:space="preserve">   remuneración,  por  lo  que  corresponde  a  los  Estados  garantizar  su</w:t>
        <w:br/>
        <w:t xml:space="preserve">   efectividad en los términos del artículo 26.</w:t>
        <w:br/>
        <w:br/>
        <w:t>191. El Estado hizo suyos los argumentos del ex juez Alberto Pérez Pérez  en</w:t>
        <w:br/>
        <w:t xml:space="preserve">   su voto concurrente en el caso Canales Huapaya y otros en lo que respecta</w:t>
        <w:br/>
        <w:t xml:space="preserve">   a la justiciabilidad del derecho al trabajo.  Adicionalmente,  el  Estado</w:t>
        <w:br/>
        <w:t xml:space="preserve">   manifestó que lo relativo a una  posible  vulneración  al  principio  del</w:t>
        <w:br/>
        <w:t xml:space="preserve">   desarrollo progresivo no ha sido alegado en los Informes de Admisibilidad</w:t>
        <w:br/>
        <w:t xml:space="preserve">   ni en el Informe de Fondo. Asimismo, alegó que el inciso 6) del  artículo</w:t>
        <w:br/>
        <w:t xml:space="preserve">   19 del Protocolo de San Salvador no permite que el derecho al trabajo sea</w:t>
        <w:br/>
        <w:t xml:space="preserve">   objeto de análisis por medio del mecanismo de peticiones ante el  Sistema</w:t>
        <w:br/>
        <w:t xml:space="preserve">   Interamericano. En el mismo sentido, alegó que la invocación del artículo</w:t>
        <w:br/>
        <w:t xml:space="preserve">   26 puede vaciar de contenido lo establecido por el inciso 6) del artículo</w:t>
        <w:br/>
        <w:t xml:space="preserve">   19 del Protocolo de  San  Salvador,  que  es  una  norma  de  competencia</w:t>
        <w:br/>
        <w:t xml:space="preserve">   vinculante para los órganos del Sistema Interamericano. En  consecuencia,</w:t>
        <w:br/>
        <w:t xml:space="preserve">   el Estado alegó que no resulta pertinente realizar un análisis  sobre  la</w:t>
        <w:br/>
        <w:t xml:space="preserve">   afectación de los  Derechos  Económicos,  Sociales  y  Culturales  en  el</w:t>
        <w:br/>
        <w:t xml:space="preserve">   presente caso, por lo que la pretensión de los  representantes  debe  ser</w:t>
        <w:br/>
        <w:t xml:space="preserve">   desestimada por la Corte. Finalmente, el Estado le solicitó  a  la  Corte</w:t>
        <w:br/>
        <w:t xml:space="preserve">   que siguiera sus precedentes  en  casos  relacionados  con  Perú,  en  lo</w:t>
        <w:br/>
        <w:t xml:space="preserve">   relativo al análisis  de  alegadas  violaciones  al  artículo  26  de  la</w:t>
        <w:br/>
        <w:t xml:space="preserve">   Convención.</w:t>
        <w:br/>
        <w:br/>
        <w:t>B. Consideraciones de la Corte</w:t>
        <w:br/>
        <w:br/>
        <w:t>192. La Corte reitera lo ya establecido en  el  caso  Lagos  del  Campo  Vs.</w:t>
        <w:br/>
        <w:t xml:space="preserve">   Perú, donde reconoció lo siguiente:</w:t>
        <w:br/>
        <w:br/>
        <w:t xml:space="preserve">      141. Esta Corte ha reiterado  la  interdependencia  e  indivisibilidad</w:t>
        <w:br/>
        <w:t xml:space="preserve">      existente entre los derechos civiles y políticos,  y  los  económicos,</w:t>
        <w:br/>
        <w:t xml:space="preserve">      sociales y culturales, puesto que deben ser entendidos integralmente y</w:t>
        <w:br/>
        <w:t xml:space="preserve">      de forma conglobada como derechos humanos, sin jerarquía  entre  sí  y</w:t>
        <w:br/>
        <w:t xml:space="preserve">      exigibles en todos los casos ante aquellas  autoridades  que  resulten</w:t>
        <w:br/>
        <w:t xml:space="preserve">      competentes para ello.</w:t>
        <w:br/>
        <w:br/>
        <w:br/>
        <w:t xml:space="preserve">      142. Tal como fue señalado en el Caso  Acevedo  Buendía  y  otros  Vs.</w:t>
        <w:br/>
        <w:t xml:space="preserve">      Perú, este Tribunal tiene el derecho a resolver cualquier controversia</w:t>
        <w:br/>
        <w:t xml:space="preserve">      relativa a su jurisdicción. En este  mismo  sentido,  el  Tribunal  ha</w:t>
        <w:br/>
        <w:t xml:space="preserve">      señalado anteriormente que los términos amplios en que está  redactada</w:t>
        <w:br/>
        <w:t xml:space="preserve">      la Convención indican que la Corte ejerce una jurisdicción plena sobre</w:t>
        <w:br/>
        <w:t xml:space="preserve">      todos sus artículos  y  disposiciones.  Asimismo,  resulta  pertinente</w:t>
        <w:br/>
        <w:t xml:space="preserve">      notar que si bien el artículo 26 se encuentra en el capítulo III de la</w:t>
        <w:br/>
        <w:t xml:space="preserve">      Convención, titulado “Derechos Económicos, Sociales y Culturales”,  se</w:t>
        <w:br/>
        <w:t xml:space="preserve">      ubica también, en la Parte I de dicho instrumento,  titulado  “Deberes</w:t>
        <w:br/>
        <w:t xml:space="preserve">      de los Estados y Derechos Protegidos” y, por ende, está sujeto  a  las</w:t>
        <w:br/>
        <w:t xml:space="preserve">      obligaciones generales contenidas en los artículos 1.1 y  2  señalados</w:t>
        <w:br/>
        <w:t xml:space="preserve">      en el capítulo I (titulado “Enumeración  de  Deberes”),  así  como  lo</w:t>
        <w:br/>
        <w:t xml:space="preserve">      están los artículos 3 al 25 señalados  en  el  capítulo  II  (titulado</w:t>
        <w:br/>
        <w:t xml:space="preserve">      “Derechos Civiles y Políticos”).</w:t>
        <w:br/>
        <w:br/>
        <w:br/>
        <w:t xml:space="preserve">      143. Respecto a los derechos laborales específicos protegidos  por  el</w:t>
        <w:br/>
        <w:t xml:space="preserve">      artículo 26 de la Convención  Americana,  la  Corte  observa  que  los</w:t>
        <w:br/>
        <w:t xml:space="preserve">      términos del mismo indican que son aquellos derechos que se derivan de</w:t>
        <w:br/>
        <w:t xml:space="preserve">      las normas económicas, sociales y sobre educación, ciencia  y  cultura</w:t>
        <w:br/>
        <w:t xml:space="preserve">      contenidas en la Carta de la OEA. Ahora bien, los artículos 45.b y  c,</w:t>
        <w:br/>
        <w:t xml:space="preserve">      46 y 34.g de la Carta establecen que “[e]l trabajo es un derecho y  un</w:t>
        <w:br/>
        <w:t xml:space="preserve">      deber  social”  y  que  ese  debe  prestarse  con  “salarios   justos,</w:t>
        <w:br/>
        <w:t xml:space="preserve">      oportunidades de empleo  y  condiciones  de  trabajo  aceptables  para</w:t>
        <w:br/>
        <w:t xml:space="preserve">      todos”. Asimismo,  señalan  que  el  derecho  de  los  trabajadores  y</w:t>
        <w:br/>
        <w:t xml:space="preserve">      trabajadoras a “asociarse libremente para la defensa  y  promoción  de</w:t>
        <w:br/>
        <w:t xml:space="preserve">      sus intereses”. Además, indican que los Estados  deben  “armonizar  la</w:t>
        <w:br/>
        <w:t xml:space="preserve">      legislación social” para la protección de  tales  derechos.  Desde  su</w:t>
        <w:br/>
        <w:t xml:space="preserve">      Opinión Consultiva OC-10/89, la Corte señaló que:</w:t>
        <w:br/>
        <w:br/>
        <w:br/>
        <w:t xml:space="preserve">           […] Los  Estados  Miembros  han  entendido  que  la  Declaración</w:t>
        <w:br/>
        <w:t xml:space="preserve">           contiene y define aquellos derechos humanos esenciales a los que</w:t>
        <w:br/>
        <w:t xml:space="preserve">           la Carta se refiere, de manera que no  se  puede  interpretar  y</w:t>
        <w:br/>
        <w:t xml:space="preserve">           aplicar la Carta de  la  Organización  en  materia  de  derechos</w:t>
        <w:br/>
        <w:t xml:space="preserve">           humanos, sin integrar las normas pertinentes  de  ella  con  las</w:t>
        <w:br/>
        <w:t xml:space="preserve">           correspondientes disposiciones de la Declaración,  como  resulta</w:t>
        <w:br/>
        <w:t xml:space="preserve">           de la práctica seguida por los órganos de la OEA.</w:t>
        <w:br/>
        <w:br/>
        <w:br/>
        <w:t xml:space="preserve">      144. En este sentido, el artículo  XIV  de  la  Declaración  Americana</w:t>
        <w:br/>
        <w:t xml:space="preserve">      dispone que “[t]oda persona tiene derecho al  trabajo  en  condiciones</w:t>
        <w:br/>
        <w:t xml:space="preserve">      dignas y a seguir libremente su vocación […]”. Tal disposición resulta</w:t>
        <w:br/>
        <w:t xml:space="preserve">      relevante para definir el  alcance  del  artículo  26,  dado  que  “la</w:t>
        <w:br/>
        <w:t xml:space="preserve">      Declaración Americana, constituye, en lo pertinente y en relación  con</w:t>
        <w:br/>
        <w:t xml:space="preserve">      la  Carta   de   la   Organización,   una   fuente   de   obligaciones</w:t>
        <w:br/>
        <w:t xml:space="preserve">      internacionales”.  Asimismo,  el  artículo  29.d  de   la   Convención</w:t>
        <w:br/>
        <w:t xml:space="preserve">      Americana  dispone  expresamente  que  “[n]inguna  disposición  de  la</w:t>
        <w:br/>
        <w:t xml:space="preserve">      presente Convención puede ser interpretada en el sentido  de:  […]  d)</w:t>
        <w:br/>
        <w:t xml:space="preserve">      excluir o  limitar  el  efecto  que  puedan  producir  la  Declaración</w:t>
        <w:br/>
        <w:t xml:space="preserve">      Americana  de  Derechos  y  Deberes   del   Hombre   y   otros   actos</w:t>
        <w:br/>
        <w:t xml:space="preserve">      internacionales de la misma naturaleza”.</w:t>
        <w:br/>
        <w:br/>
        <w:br/>
        <w:t xml:space="preserve">      145. Además de la derivación del derecho al trabajo a  partir  de  una</w:t>
        <w:br/>
        <w:t xml:space="preserve">      interpretación del artículo 26 en relación con la  Carta  de  la  OEA,</w:t>
        <w:br/>
        <w:t xml:space="preserve">      junto con  la  Declaración  Americana,  el  derecho  al  trabajo  está</w:t>
        <w:br/>
        <w:t xml:space="preserve">      reconocido explícitamente en diversas leyes internas de los Estados de</w:t>
        <w:br/>
        <w:t xml:space="preserve">      la región, así como un vasto corpus iuris internacional;  inter  alia:</w:t>
        <w:br/>
        <w:t xml:space="preserve">      el artículo 6 del Pacto Internacional de Derechos Económicos, Sociales</w:t>
        <w:br/>
        <w:t xml:space="preserve">      y Culturales, el artículo 23 de la Declaración Universal  de  Derechos</w:t>
        <w:br/>
        <w:t xml:space="preserve">      Humanos, los artículos 7 y 8 de la Carta Social de las  Américas,  los</w:t>
        <w:br/>
        <w:t xml:space="preserve">      artículos 6 y 7 del Protocolo  Adicional  a  la  Convención  Americana</w:t>
        <w:br/>
        <w:t xml:space="preserve">      sobre Derechos Económicos, Sociales y Culturales, el artículo 11 de la</w:t>
        <w:br/>
        <w:t xml:space="preserve">      Convención sobre la Eliminación de Todas las Formas de  Discriminación</w:t>
        <w:br/>
        <w:t xml:space="preserve">      contra la Mujer, el artículo 32.1 de la Convención sobre los  Derechos</w:t>
        <w:br/>
        <w:t xml:space="preserve">      del Niño, así como el artículo 1 de  la  Carta  Social  Europea  y  el</w:t>
        <w:br/>
        <w:t xml:space="preserve">      artículo 15 de la Carta Africana sobre los Derechos Humanos y  de  los</w:t>
        <w:br/>
        <w:t xml:space="preserve">      Pueblos.</w:t>
        <w:br/>
        <w:br/>
        <w:br/>
        <w:t xml:space="preserve">      146. Por tanto, al analizar el contenido y alcance del artículo 26  de</w:t>
        <w:br/>
        <w:t xml:space="preserve">      la Convención en el presente caso, la Corte tomará en cuenta, a la luz</w:t>
        <w:br/>
        <w:t xml:space="preserve">      de las reglas generales de interpretación establecidas en el  artículo</w:t>
        <w:br/>
        <w:t xml:space="preserve">      29 b, c, y d de la misma,  la  aludida  protección  a  la  estabilidad</w:t>
        <w:br/>
        <w:t xml:space="preserve">      laboral aplicable al caso concreto.</w:t>
        <w:br/>
        <w:br/>
        <w:br/>
        <w:t xml:space="preserve">      147. En este sentido, el Comité de  Derechos  Económicos,  Sociales  y</w:t>
        <w:br/>
        <w:t xml:space="preserve">      Culturales, en su Observación General  No.  18  sobre  el  derecho  al</w:t>
        <w:br/>
        <w:t xml:space="preserve">      trabajo, expresó que este mismo “implica el derecho a no  ser  privado</w:t>
        <w:br/>
        <w:t xml:space="preserve">      injustamente del empleo”. Asimismo, ha señalado que el “incumplimiento</w:t>
        <w:br/>
        <w:t xml:space="preserve">      de la obligación de proteger se produce cuando los Estados  Partes  se</w:t>
        <w:br/>
        <w:t xml:space="preserve">      abstienen de adoptar todas las medidas adecuadas para proteger  a  las</w:t>
        <w:br/>
        <w:t xml:space="preserve">      personas sometidas a su  jurisdicción  contra  las  vulneraciones  del</w:t>
        <w:br/>
        <w:t xml:space="preserve">      derecho al trabajo imputables a terceros”, lo cual incluye  “el  hecho</w:t>
        <w:br/>
        <w:t xml:space="preserve">      de no proteger a los trabajadores frente al despido improcedente”.</w:t>
        <w:br/>
        <w:br/>
        <w:br/>
        <w:t xml:space="preserve">      148.  A  manera  ilustrativa,  el  Convenio  158  de  la  Organización</w:t>
        <w:br/>
        <w:t xml:space="preserve">      International del Trabajo (en adelante OIT), sobre la  terminación  de</w:t>
        <w:br/>
        <w:t xml:space="preserve">      la relación de trabajo (1982),  dispone  que  el  derecho  al  trabajo</w:t>
        <w:br/>
        <w:t xml:space="preserve">      incluye la legalidad del  despido  en  su  artículo  4  e  impone,  en</w:t>
        <w:br/>
        <w:t xml:space="preserve">      particular, la necesidad de ofrecer motivos válidos para  el  despido,</w:t>
        <w:br/>
        <w:t xml:space="preserve">      así como el derecho a recursos jurídicos efectivos en caso de  despido</w:t>
        <w:br/>
        <w:t xml:space="preserve">      improcedente. En similar sentido  se  encuentra  lo  dispuesto  en  la</w:t>
        <w:br/>
        <w:t xml:space="preserve">      Recomendación  No.  143  de  la  OIT  sobre  representantes   de   los</w:t>
        <w:br/>
        <w:t xml:space="preserve">      trabajadores que requiere de adoptar  medidas  apropiadas  y  recursos</w:t>
        <w:br/>
        <w:t xml:space="preserve">      accesibles para la tutela de los representantes  de  los  trabajadores</w:t>
        <w:br/>
        <w:t xml:space="preserve">      […].</w:t>
        <w:br/>
        <w:br/>
        <w:br/>
        <w:t xml:space="preserve">      149. Como correlato de lo anterior, se deprende que  las  obligaciones</w:t>
        <w:br/>
        <w:t xml:space="preserve">      del Estado en cuanto a la protección  del  derecho  a  la  estabilidad</w:t>
        <w:br/>
        <w:t xml:space="preserve">      laboral, en  el  ámbito  privado,  se  traduce  en  principio  en  los</w:t>
        <w:br/>
        <w:t xml:space="preserve">      siguientes deberes: a) adoptar las medidas adecuadas  para  la  debida</w:t>
        <w:br/>
        <w:t xml:space="preserve">      regulación y fiscalización de dicho derecho; b) proteger al trabajador</w:t>
        <w:br/>
        <w:t xml:space="preserve">      y trabajadora, a través de sus órganos competentes, contra el  despido</w:t>
        <w:br/>
        <w:t xml:space="preserve">      injustificado; c)  en  caso  de  despido  injustificado,  remediar  la</w:t>
        <w:br/>
        <w:t xml:space="preserve">      situación (ya sea, a  través  de  la  reinstalación  o,  en  su  caso,</w:t>
        <w:br/>
        <w:t xml:space="preserve">      mediante  la  indemnización  y  otras  prestaciones  previstas  en  la</w:t>
        <w:br/>
        <w:t xml:space="preserve">      legislación nacional).  Por  ende,  d)  el  Estado  debe  disponer  de</w:t>
        <w:br/>
        <w:t xml:space="preserve">      mecanismos efectivos de reclamo frente  a  una  situación  de  despido</w:t>
        <w:br/>
        <w:t xml:space="preserve">      injustificado, a fin de garantizar el acceso a la justicia y la tutela</w:t>
        <w:br/>
        <w:t xml:space="preserve">      judicial efectiva de tales derechos […].</w:t>
        <w:br/>
        <w:br/>
        <w:br/>
        <w:t xml:space="preserve">      150. Cabe precisar que la  estabilidad  laboral  no  consiste  en  una</w:t>
        <w:br/>
        <w:t xml:space="preserve">      permanencia irrestricta en el puesto de trabajo, sino de respetar este</w:t>
        <w:br/>
        <w:t xml:space="preserve">      derecho,  entre  otras  medidas,  otorgando   debidas   garantías   de</w:t>
        <w:br/>
        <w:t xml:space="preserve">      protección al trabajador a fin de que, en caso de despido  se  realice</w:t>
        <w:br/>
        <w:t xml:space="preserve">      éste bajo causas  justificadas,  lo  cual  implica  que  el  empleador</w:t>
        <w:br/>
        <w:t xml:space="preserve">      acredite las razones suficientes para imponer dicha  sanción  con  las</w:t>
        <w:br/>
        <w:t xml:space="preserve">      debidas garantías, y frente a ello el trabajador  pueda  recurrir  tal</w:t>
        <w:br/>
        <w:t xml:space="preserve">      decisión ante las autoridades internas,  quienes  verifiquen  que  las</w:t>
        <w:br/>
        <w:t xml:space="preserve">      causales imputadas no sean arbitrarias o contrarias a derecho.</w:t>
        <w:br/>
        <w:br/>
        <w:br/>
        <w:t xml:space="preserve">      […]</w:t>
        <w:br/>
        <w:br/>
        <w:br/>
        <w:t xml:space="preserve">      154. Finalmente, cabe señalar que la Corte ha establecido  previamente</w:t>
        <w:br/>
        <w:t xml:space="preserve">      su competencia para conocer  y  resolver  controversias  relativas  al</w:t>
        <w:br/>
        <w:t xml:space="preserve">      artículo 26 de la Convención Americana, como parte integrante  de  los</w:t>
        <w:br/>
        <w:t xml:space="preserve">      derechos enumerados en la misma, respecto de los  cuales  el  artículo</w:t>
        <w:br/>
        <w:t xml:space="preserve">      1.1 confiere obligaciones  generales  de  respeto  y  garantía  a  los</w:t>
        <w:br/>
        <w:t xml:space="preserve">      Estados […]. Asimismo, la Corte ha dispuesto  importantes  desarrollos</w:t>
        <w:br/>
        <w:t xml:space="preserve">      jurisprudenciales en la  materia,  a  la  luz  de  diversos  artículos</w:t>
        <w:br/>
        <w:t xml:space="preserve">      convencionales. En atención a estos precedentes, con esta Sentencia se</w:t>
        <w:br/>
        <w:t xml:space="preserve">      desarrolla y concreta una condena  específica  por  la  violación  del</w:t>
        <w:br/>
        <w:t xml:space="preserve">      artículo  26  de  la  Convención  Americana  sobre  Derechos  Humanos,</w:t>
        <w:br/>
        <w:t xml:space="preserve">      dispuesto en el Capítulo III, titulado Derechos Económicos, Sociales y</w:t>
        <w:br/>
        <w:t xml:space="preserve">      Culturales de este tratado.</w:t>
        <w:br/>
        <w:br/>
        <w:t>193. En el presente caso, en relación con los alegatos relacionados  con  la</w:t>
        <w:br/>
        <w:t xml:space="preserve">   violación al derecho al trabajo, este Tribunal considera que, tal y  como</w:t>
        <w:br/>
        <w:t xml:space="preserve">   fue establecido en el precedente de Lagos del Campo Vs. Perú, el  derecho</w:t>
        <w:br/>
        <w:t xml:space="preserve">   al trabajo incluye el derecho a garantizar el  derecho  de  acceso  a  la</w:t>
        <w:br/>
        <w:t xml:space="preserve">   justicia y a la tutela judicial efectiva, tanto en el ámbito público como</w:t>
        <w:br/>
        <w:t xml:space="preserve">   en el ámbito privado de las relaciones laborales. En  consecuencia,  dado</w:t>
        <w:br/>
        <w:t xml:space="preserve">   que los trabajadores cesados de Petroperú, Enapu, Minedu y MEF no gozaron</w:t>
        <w:br/>
        <w:t xml:space="preserve">   de acceso a un recurso judicial efectivo, lo cual conllevó una  violación</w:t>
        <w:br/>
        <w:t xml:space="preserve">   a los artículos 8.1 y 25 de la Convención, en relación  con  el  artículo</w:t>
        <w:br/>
        <w:t xml:space="preserve">   1.1 del mismo instrumento, la Corte concluye que el Estado es responsable</w:t>
        <w:br/>
        <w:t xml:space="preserve">   de la violación del artículo 26 de la  Convención,  en  relación  con  el</w:t>
        <w:br/>
        <w:t xml:space="preserve">   artículo 1.1 del mismo instrumento, en relación con los  85  trabajadores</w:t>
        <w:br/>
        <w:t xml:space="preserve">   de Petroperú, los 25  trabajadores  de  Enapu,  los  39  trabajadores  de</w:t>
        <w:br/>
        <w:t xml:space="preserve">   Minedu, los 15 trabajadores del MEF, listados en  la  tabla  de  víctimas</w:t>
        <w:br/>
        <w:t xml:space="preserve">   adjunta a la presente sentencia.</w:t>
        <w:br/>
        <w:br/>
        <w:t xml:space="preserve">                                     IX</w:t>
        <w:br/>
        <w:t xml:space="preserve">                                REPARACIONES</w:t>
        <w:br/>
        <w:t xml:space="preserve">   (Aplicación del artículo 63.1 de la Convención Americana sobre Derechos</w:t>
        <w:br/>
        <w:t xml:space="preserve">                                  Humanos)</w:t>
        <w:br/>
        <w:br/>
        <w:t>194. Sobre la base de lo dispuesto en el artículo  63.1  de  la  Convención</w:t>
        <w:br/>
        <w:t xml:space="preserve">   Americana[271],  la  Corte  ha  indicado  que  toda  violación  de   una</w:t>
        <w:br/>
        <w:t xml:space="preserve">   obligación internacional que haya producido daño comporta  el  deber  de</w:t>
        <w:br/>
        <w:t xml:space="preserve">   repararlo  adecuadamente,  y  que  esa  disposición  recoge  una   norma</w:t>
        <w:br/>
        <w:t xml:space="preserve">   consuetudinaria que constituye uno de los principios  fundamentales  del</w:t>
        <w:br/>
        <w:t xml:space="preserve">   Derecho  Internacional  contemporáneo  sobre   responsabilidad   de   un</w:t>
        <w:br/>
        <w:t xml:space="preserve">   Estado[272].</w:t>
        <w:br/>
        <w:br/>
        <w:t>195. La reparación del daño ocasionado por la infracción de una  obligación</w:t>
        <w:br/>
        <w:t xml:space="preserve">   internacional requiere, siempre que sea posible,  la  plena  restitución</w:t>
        <w:br/>
        <w:t xml:space="preserve">   (restitutio in integrum), que consiste  en  el  restablecimiento  de  la</w:t>
        <w:br/>
        <w:t xml:space="preserve">   situación anterior. De no ser esto factible, como ocurre en  la  mayoría</w:t>
        <w:br/>
        <w:t xml:space="preserve">   de los casos de violaciones a derechos humanos, el Tribunal  determinará</w:t>
        <w:br/>
        <w:t xml:space="preserve">   medidas  para  garantizar  los  derechos  conculcados  y   reparar   las</w:t>
        <w:br/>
        <w:t xml:space="preserve">   consecuencias que las infracciones produjeron[273].  Por  lo  tanto,  la</w:t>
        <w:br/>
        <w:t xml:space="preserve">   Corte ha  considerado  la  necesidad  de  otorgar  diversas  medidas  de</w:t>
        <w:br/>
        <w:t xml:space="preserve">   reparación, a fin de resarcir los daños de manera integral por  lo  que,</w:t>
        <w:br/>
        <w:t xml:space="preserve">   además de las compensaciones pecuniarias, las  medidas  de  restitución,</w:t>
        <w:br/>
        <w:t xml:space="preserve">   rehabilitación,  satisfacción  y  garantías  de  no  repetición   tienen</w:t>
        <w:br/>
        <w:t xml:space="preserve">   especial relevancia por los daños ocasionados[274].</w:t>
        <w:br/>
        <w:br/>
        <w:t>196. La Corte ha establecido que  las  reparaciones  deben  tener  un  nexo</w:t>
        <w:br/>
        <w:t xml:space="preserve">   causal con los hechos del caso, las violaciones  declaradas,  los  daños</w:t>
        <w:br/>
        <w:t xml:space="preserve">   acreditados, así como las medidas solicitadas  para  reparar  los  daños</w:t>
        <w:br/>
        <w:t xml:space="preserve">   respectivos[275].  Por  lo  tanto,  la  Corte  deberá   observar   dicha</w:t>
        <w:br/>
        <w:t xml:space="preserve">   concurrencia para pronunciarse debidamente y conforme a derecho[276].</w:t>
        <w:br/>
        <w:br/>
        <w:t>197. En consideración de las violaciones a la Convención declaradas en  los</w:t>
        <w:br/>
        <w:t xml:space="preserve">   capítulos anteriores, la  Corte  procede  a  analizar  las  pretensiones</w:t>
        <w:br/>
        <w:t xml:space="preserve">   presentadas  por  la  Comisión  y  los  representantes,  así  como   los</w:t>
        <w:br/>
        <w:t xml:space="preserve">   argumentos del  Estado,  a  la  luz  de  los  criterios  fijados  en  su</w:t>
        <w:br/>
        <w:t xml:space="preserve">   jurisprudencia en relación con la naturaleza y alcance de la  obligación</w:t>
        <w:br/>
        <w:t xml:space="preserve">   de reparar, con el objeto de disponer las medidas  dirigidas  a  reparar</w:t>
        <w:br/>
        <w:t xml:space="preserve">   los daños ocasionados a las víctimas[277].</w:t>
        <w:br/>
        <w:br/>
        <w:t>198.  La  jurisprudencia  internacional  y  en  particular  la  Corte,   ha</w:t>
        <w:br/>
        <w:t xml:space="preserve">   establecido reiteradamente que la sentencia constituye por sí misma  una</w:t>
        <w:br/>
        <w:t xml:space="preserve">   forma de reparación[278]. No obstante, considerando  las  circunstancias</w:t>
        <w:br/>
        <w:t xml:space="preserve">   del presente caso y  los  sufrimientos  que  las  violaciones  cometidas</w:t>
        <w:br/>
        <w:t xml:space="preserve">   causaron a las víctimas, la Corte estima pertinente fijar otras medidas.</w:t>
        <w:br/>
        <w:br/>
        <w:t>A. Parte Lesionada</w:t>
        <w:br/>
        <w:br/>
        <w:t>199. Este Tribunal reitera que considera parte lesionada,  en  los  términos</w:t>
        <w:br/>
        <w:t xml:space="preserve">   del artículo 63.1  de  la  Convención,  a  quienes  han  sido  declaradas</w:t>
        <w:br/>
        <w:t xml:space="preserve">   víctimas de la violación de algún derecho reconocido en la misma. Por  lo</w:t>
        <w:br/>
        <w:t xml:space="preserve">   tanto, esta  Corte  considera  como  “parte  lesionada”  a  las  personas</w:t>
        <w:br/>
        <w:t xml:space="preserve">   identificadas en la tabla de víctimas adjuntada como anexo a la  presente</w:t>
        <w:br/>
        <w:t xml:space="preserve">   Sentencia, quienes en su carácter de víctimas, serán acreedores de lo que</w:t>
        <w:br/>
        <w:t xml:space="preserve">   la Corte ordene a continuación. Adicionalmente, la  Corte  recuerda  que,</w:t>
        <w:br/>
        <w:t xml:space="preserve">   tal como se estableció con anterioridad (supra párr. 62)  los  familiares</w:t>
        <w:br/>
        <w:t xml:space="preserve">   de las víctimas no son víctimas del presente caso, razón por la cual este</w:t>
        <w:br/>
        <w:t xml:space="preserve">   Tribunal no entrará a analizar las solicitudes de medidas  de  reparación</w:t>
        <w:br/>
        <w:t xml:space="preserve">   solicitadas por los representantes a favor de las mencionadas personas.</w:t>
        <w:br/>
        <w:br/>
        <w:t>B. Consideración previa en materia de reparaciones</w:t>
        <w:br/>
        <w:br/>
        <w:t xml:space="preserve">      B.1. Alegatos de las partes y de la Comisión</w:t>
        <w:br/>
        <w:br/>
        <w:t>200. La Comisión  tomó  nota  de  la  información  aportada  por  el  Estado</w:t>
        <w:br/>
        <w:t xml:space="preserve">   respecto a las iniciativas emprendidas a partir del  año  2001  para  dar</w:t>
        <w:br/>
        <w:t xml:space="preserve">   respuesta a la problemática de los ceses. Específicamente, la Comisión se</w:t>
        <w:br/>
        <w:t xml:space="preserve">   refirió a las iniciativas  respecto  a  los  trabajadores  de  Petroperú,</w:t>
        <w:br/>
        <w:t xml:space="preserve">   Enapu, del MEF y de  Minedu.  En  razón  de  ese  análisis,  la  Comisión</w:t>
        <w:br/>
        <w:t xml:space="preserve">   encontró que los trabajadores cesados se encontraban en tres situaciones:</w:t>
        <w:br/>
        <w:t xml:space="preserve">   (i) la de personas que no  se  encuentran  en  ninguno  de  los  listados</w:t>
        <w:br/>
        <w:t xml:space="preserve">   publicados por el Ministerio del Trabajo y Promoción del Empleo y, por lo</w:t>
        <w:br/>
        <w:t xml:space="preserve">   tanto, la irregularidad de su cese no ha sido reconocida a nivel interno;</w:t>
        <w:br/>
        <w:t xml:space="preserve">   (ii) la de las personas que se encuentran en algún listado o que  cuentan</w:t>
        <w:br/>
        <w:t xml:space="preserve">   con algún reconocimiento estatal sobre la irregularidad de su cese y  que</w:t>
        <w:br/>
        <w:t xml:space="preserve">   optaron por alguno de los beneficios del Decreto 27803; y (iii) la de las</w:t>
        <w:br/>
        <w:t xml:space="preserve">   personas que se encuentran en algún  listado  o  que  cuentan  con  algún</w:t>
        <w:br/>
        <w:t xml:space="preserve">   reconocimiento estatal sobre la irregularidad de su  cese,  pero  que  no</w:t>
        <w:br/>
        <w:t xml:space="preserve">   optaron por ninguno de los beneficios del Decreto 27803.</w:t>
        <w:br/>
        <w:br/>
        <w:t>201. En razón de lo anterior, la Comisión recomendó  al  Estado  peruano  lo</w:t>
        <w:br/>
        <w:t xml:space="preserve">   siguiente: (i) respecto a las personas que no se encuentran en ninguno de</w:t>
        <w:br/>
        <w:t xml:space="preserve">   los listados y, por tanto,  la  irregularidad  de  su  cese  no  ha  sido</w:t>
        <w:br/>
        <w:t xml:space="preserve">   reconocida a nivel interno, crear un mecanismo expedito para que  efectúe</w:t>
        <w:br/>
        <w:t xml:space="preserve">   una evaluación individualizada sobre sus ceses, determine si  los  mismos</w:t>
        <w:br/>
        <w:t xml:space="preserve">   fueron arbitrarios, y disponga las reparaciones  que  correspondan;  (ii)</w:t>
        <w:br/>
        <w:t xml:space="preserve">   respecto de las personas que  se  encuentran  en  algún  listado,  o  que</w:t>
        <w:br/>
        <w:t xml:space="preserve">   cuentan con un reconocimiento estatal sobre la irregularidad de su  cese,</w:t>
        <w:br/>
        <w:t xml:space="preserve">   y que optaron por alguno de los beneficios del Decreto  27803,  crear  un</w:t>
        <w:br/>
        <w:t xml:space="preserve">   mecanismo  expedito  que  directamente  disponga   el   otorgamiento   de</w:t>
        <w:br/>
        <w:t xml:space="preserve">   reparaciones que complementen las ya percibidas  por  cada  víctima  como</w:t>
        <w:br/>
        <w:t xml:space="preserve">   consecuencia del mencionado decreto; (iii) finalmente,  respecto  de  las</w:t>
        <w:br/>
        <w:t xml:space="preserve">   personas que se encuentran en algún  listado  o  que  cuentan  con  algún</w:t>
        <w:br/>
        <w:t xml:space="preserve">   reconocimiento estatal sobre la irregularidad de su  cese,  pero  que  no</w:t>
        <w:br/>
        <w:t xml:space="preserve">   optaron por ninguno  de  los  beneficios  del  Decreto  27803,  crear  un</w:t>
        <w:br/>
        <w:t xml:space="preserve">   mecanismo expedito que directamente  efectúe  una  determinación  de  las</w:t>
        <w:br/>
        <w:t xml:space="preserve">   reparaciones que correspondan,  incluyendo  componentes  mínimos  de  una</w:t>
        <w:br/>
        <w:t xml:space="preserve">   reparación por despido arbitrario.</w:t>
        <w:br/>
        <w:br/>
        <w:t>202. Por otro lado, la Comisión, en su  escrito  de  observaciones  finales,</w:t>
        <w:br/>
        <w:t xml:space="preserve">   resaltó dos aspectos que han resultado problemáticos en relación  con  el</w:t>
        <w:br/>
        <w:t xml:space="preserve">   Decreto 27803: (i) el registro  de  los  trabajadores  cesados  para  ser</w:t>
        <w:br/>
        <w:t xml:space="preserve">   considerados en  las  listas;  y  (ii)  el  carácter  excluyente  de  los</w:t>
        <w:br/>
        <w:t xml:space="preserve">   beneficios para las personas que se encuentran en  esas  listas.  En  ese</w:t>
        <w:br/>
        <w:t xml:space="preserve">   sentido, señaló que el hecho de que la norma requiriera que,  para  poder</w:t>
        <w:br/>
        <w:t xml:space="preserve">   ser considerados dentro de las listas, se debían  desistir  de  cualquier</w:t>
        <w:br/>
        <w:t xml:space="preserve">   procedimiento judicial, generó  un  desincentivo  para  muchas  personas;</w:t>
        <w:br/>
        <w:t xml:space="preserve">   asimismo, que la  norma  limitaba  los  beneficios  sólo  a  uno  de  los</w:t>
        <w:br/>
        <w:t xml:space="preserve">   siguientes: (i) reincorporación o reubicación  laboral,  (ii)  jubilación</w:t>
        <w:br/>
        <w:t xml:space="preserve">   anticipada,  (iii)  compensación  económica,  o   (iv)   capacitación   y</w:t>
        <w:br/>
        <w:t xml:space="preserve">   reconversión laboral, lo que impide considerar que el Estado ha  otorgado</w:t>
        <w:br/>
        <w:t xml:space="preserve">   una reparación integral. En razón de lo anterior, la Comisión solicitó  a</w:t>
        <w:br/>
        <w:t xml:space="preserve">   la Corte que siga el precedente  del  caso  Canales  Huapaya  y  otros  a</w:t>
        <w:br/>
        <w:t xml:space="preserve">   efectos de fijar montos indemnizatorios a  las  víctimas  de  este  caso.</w:t>
        <w:br/>
        <w:t xml:space="preserve">   Asimismo, en el caso de las víctimas que han recibido algún beneficio  de</w:t>
        <w:br/>
        <w:t xml:space="preserve">   conformidad a la ley anteriormente referida, que la Corte  descuente  los</w:t>
        <w:br/>
        <w:t xml:space="preserve">   montos ya otorgados.</w:t>
        <w:br/>
        <w:br/>
        <w:t>203. Un representante, en su escrito de solicitudes y argumentos solicitó  a</w:t>
        <w:br/>
        <w:t xml:space="preserve">   esta Corte que tome una decisión definitiva respecto al  otorgamiento  de</w:t>
        <w:br/>
        <w:t xml:space="preserve">   las reparaciones, tal como  lo  estableció  precedentemente  en  el  Caso</w:t>
        <w:br/>
        <w:t xml:space="preserve">   Canales Huapaya y otros, en tanto reconoció la  necesidad  de  establecer</w:t>
        <w:br/>
        <w:t xml:space="preserve">   reparaciones a las víctimas sin hacer una  remisión  al  ámbito  interno,</w:t>
        <w:br/>
        <w:t xml:space="preserve">   dirigida a la conformación de una Comisión, Grupo de Trabajo o  mecanismo</w:t>
        <w:br/>
        <w:t xml:space="preserve">   análogo. Otros representantes solicitaron de igual forma que se tome  una</w:t>
        <w:br/>
        <w:t xml:space="preserve">   decisión definitiva sin hacer una remisión al ámbito interno.</w:t>
        <w:br/>
        <w:br/>
        <w:t>204. El  Estado  consideró  que  el  mecanismo  creado  para  canalizar  las</w:t>
        <w:br/>
        <w:t xml:space="preserve">   inconformidades de los trabajadores cesados es conforme al inciso d)  del</w:t>
        <w:br/>
        <w:t xml:space="preserve">   artículo 7° del Protocolo de San Salvador, el cual permite que en caso de</w:t>
        <w:br/>
        <w:t xml:space="preserve">   despido  injustificado  el  trabajador  pueda  acceder  ya   sea   a   la</w:t>
        <w:br/>
        <w:t xml:space="preserve">   indemnización o a la readmisión en el empleo o cualquier otra  prestación</w:t>
        <w:br/>
        <w:t xml:space="preserve">   prevista por la legislación nacional, por lo que es válida la  existencia</w:t>
        <w:br/>
        <w:t xml:space="preserve">   de un mecanismo que permita el otorgamiento de  al  menos  uno  de  estos</w:t>
        <w:br/>
        <w:t xml:space="preserve">   beneficios para que  se  tenga  adecuadamente  protegido  el  derecho  al</w:t>
        <w:br/>
        <w:t xml:space="preserve">   trabajo, en casos de ceses cuya regularidad se  cuestione.  Asimismo,  el</w:t>
        <w:br/>
        <w:t xml:space="preserve">   Estado  solicitó  que  la  Corte,  al  analizar  la  suficiencia  de  los</w:t>
        <w:br/>
        <w:t xml:space="preserve">   beneficios otorgados a favor de las presuntas víctimas,  analice  que  el</w:t>
        <w:br/>
        <w:t xml:space="preserve">   mecanismo de otorgamiento de beneficios se aplicó de forma adecuada,  por</w:t>
        <w:br/>
        <w:t xml:space="preserve">   lo que aquellas personas que no accedieron a él fue porque no  cumplieron</w:t>
        <w:br/>
        <w:t xml:space="preserve">   con las condiciones establecidas en la normatividad nacional. En el mismo</w:t>
        <w:br/>
        <w:t xml:space="preserve">   sentido, alegó que los  beneficios  frente  a  ceses  irregulares  fueron</w:t>
        <w:br/>
        <w:t xml:space="preserve">   suficientes.</w:t>
        <w:br/>
        <w:br/>
        <w:t>205. Adicionalmente, el Estado alegó que existen diferencias notables  entre</w:t>
        <w:br/>
        <w:t xml:space="preserve">   los supuestos del presente caso y los  casos  Aguado  Alfaro  y  otros  y</w:t>
        <w:br/>
        <w:t xml:space="preserve">   Canales Huapaya y otros, específicamente en que 97 de las  163  presuntas</w:t>
        <w:br/>
        <w:t xml:space="preserve">   víctimas acudieron al mecanismo creado por el Estado peruano para atender</w:t>
        <w:br/>
        <w:t xml:space="preserve">   al grupo de trabajadores que consideraron que su cese fue  irregular.  Al</w:t>
        <w:br/>
        <w:t xml:space="preserve">   respecto, el Estado alegó que, a diferencia del caso  Canales  Huapaya  y</w:t>
        <w:br/>
        <w:t xml:space="preserve">   otros, en este caso no son aplicables las mismas razones que  llevaron  a</w:t>
        <w:br/>
        <w:t xml:space="preserve">   la Corte a apartarse del precedente Aguado Alfaro y otros, a  saber:  (i)</w:t>
        <w:br/>
        <w:t xml:space="preserve">   que las presuntas víctimas han contado con la oportunidad de atender  sus</w:t>
        <w:br/>
        <w:t xml:space="preserve">   pretensiones a través del Programa Extraordinario de Acceso a  beneficios</w:t>
        <w:br/>
        <w:t xml:space="preserve">   para ex trabajadores, y (ii) que  no  se  trata  de  un  caso  con  pocas</w:t>
        <w:br/>
        <w:t xml:space="preserve">   víctimas. En sus alegatos finales, el Estado solicitó a la Corte que tome</w:t>
        <w:br/>
        <w:t xml:space="preserve">   en cuenta el esfuerzo que el Estado ha desplegado, el cual ha incluido la</w:t>
        <w:br/>
        <w:t xml:space="preserve">   expedición de normas técnicas y el desembolso  de  recursos  que  habrían</w:t>
        <w:br/>
        <w:t xml:space="preserve">   implicado una suma de ciento setenta y dos millones, trescientos  ochenta</w:t>
        <w:br/>
        <w:t xml:space="preserve">   y dos mil ochocientos  treinta  y  ocho  con  100/14  dólares  americanos</w:t>
        <w:br/>
        <w:t xml:space="preserve">   ($172’382,838.14).</w:t>
        <w:br/>
        <w:br/>
        <w:t>206. Finalmente, el Estado solicitó a la Corte que considere la actitud  del</w:t>
        <w:br/>
        <w:t xml:space="preserve">   Estado peruano de haber aplicado un mecanismo cuya única finalidad fue la</w:t>
        <w:br/>
        <w:t xml:space="preserve">   de  atender  todas  aquellas  situaciones  en  las  que   un   trabajador</w:t>
        <w:br/>
        <w:t xml:space="preserve">   consideraba que su cese era irregular, así como  los  beneficios  que  el</w:t>
        <w:br/>
        <w:t xml:space="preserve">   Estado ofreció a los que habían sido considerados cesados irregularmente.</w:t>
        <w:br/>
        <w:t xml:space="preserve">   En este sentido, afirmó que fue el propio Estado quien tomó la iniciativa</w:t>
        <w:br/>
        <w:t xml:space="preserve">   de resolver el asunto a nivel interno y, en su  caso,  reparar  antes  de</w:t>
        <w:br/>
        <w:t xml:space="preserve">   tener que responder ante instancias internacionales, lo cual  deriva  del</w:t>
        <w:br/>
        <w:t xml:space="preserve">   carácter subsidiario que reviste el proceso internacional  frente  a  los</w:t>
        <w:br/>
        <w:t xml:space="preserve">   sistemas  nacionales  de  garantías   de   los   derechos   humanos.   En</w:t>
        <w:br/>
        <w:t xml:space="preserve">   consecuencia,  solicitó  a  la  Corte  que  valore   y   considere   esos</w:t>
        <w:br/>
        <w:t xml:space="preserve">   procedimientos y resultados.</w:t>
        <w:br/>
        <w:br/>
        <w:t xml:space="preserve">      B.2. Consideraciones de la Corte</w:t>
        <w:br/>
        <w:br/>
        <w:t>207. En relación con el  alegato  del  Estado,  la  Corte  recuerda  que  el</w:t>
        <w:br/>
        <w:t xml:space="preserve">   carácter complementario (subsidiario) de  la  jurisdicción  internacional</w:t>
        <w:br/>
        <w:t xml:space="preserve">   significa que el sistema  de  protección  instaurado  por  la  Convención</w:t>
        <w:br/>
        <w:t xml:space="preserve">   Americana sobre  Derechos  Humanos  no  sustituye  a  las  jurisdicciones</w:t>
        <w:br/>
        <w:t xml:space="preserve">   nacionales, sino que las complementa[279]. De tal manera, el Estado es el</w:t>
        <w:br/>
        <w:t xml:space="preserve">   principal garante de los derechos humanos de la personas, por lo que,  si</w:t>
        <w:br/>
        <w:t xml:space="preserve">   se produce un acto violatorio de dichos derechos, es él el  que  debe  de</w:t>
        <w:br/>
        <w:t xml:space="preserve">   resolver el asunto a nivel interno y de ser el  caso  reparar,  antes  de</w:t>
        <w:br/>
        <w:t xml:space="preserve">   tener que responder ante instancias internacionales[280]. De lo  anterior</w:t>
        <w:br/>
        <w:t xml:space="preserve">   se desprende  que,  en  el  Sistema  Interamericano,  existe  un  control</w:t>
        <w:br/>
        <w:t xml:space="preserve">   dinámico y complementario  de  las  obligaciones  convencionales  de  los</w:t>
        <w:br/>
        <w:t xml:space="preserve">   Estados de respetar y garantizar derechos  humanos,  conjuntamente  entre</w:t>
        <w:br/>
        <w:t xml:space="preserve">   las autoridades  internas  (primariamente  obligadas)  y  las  instancias</w:t>
        <w:br/>
        <w:t xml:space="preserve">   internacionales (en forma complementaria), de modo que los  criterios  de</w:t>
        <w:br/>
        <w:t xml:space="preserve">   decisión,  y  los  mecanismos  de  protección  y  reparación,  tanto  los</w:t>
        <w:br/>
        <w:t xml:space="preserve">   nacionales como los internacionales, puedan ser conformados  y  adecuados</w:t>
        <w:br/>
        <w:t xml:space="preserve">   entre sí[281].</w:t>
        <w:br/>
        <w:br/>
        <w:t>208. Así, en atención al principio de complementariedad (o  subsidiariedad),</w:t>
        <w:br/>
        <w:t xml:space="preserve">   este Tribunal ha señalado que, para que  no  resulte  procedente  ordenar</w:t>
        <w:br/>
        <w:t xml:space="preserve">   reparaciones adicionales a las ya otorgadas  en  el  ámbito  interno,  es</w:t>
        <w:br/>
        <w:t xml:space="preserve">   insuficiente que el Estado reconozca que éstas ya han sido  otorgadas,  o</w:t>
        <w:br/>
        <w:t xml:space="preserve">   que pueden ser otorgadas, a través  de  los  recursos  administrativos  o</w:t>
        <w:br/>
        <w:t xml:space="preserve">   judiciales disponibles a nivel interno, sino  que,  adicionalmente,  debe</w:t>
        <w:br/>
        <w:t xml:space="preserve">   evaluarse si el Estado  efectivamente  reparó  las  consecuencias  de  la</w:t>
        <w:br/>
        <w:t xml:space="preserve">   medida o situación que configuró la vulneración de derechos humanos en un</w:t>
        <w:br/>
        <w:t xml:space="preserve">   caso  concreto,  si  estas  reparaciones  son  adecuadas,  o  si  existen</w:t>
        <w:br/>
        <w:t xml:space="preserve">   garantías   de   que   los   mecanismos   de   reparación   interna   son</w:t>
        <w:br/>
        <w:t xml:space="preserve">   suficientes[282]. En consecuencia, en el  presente  caso,  no  basta  con</w:t>
        <w:br/>
        <w:t xml:space="preserve">   argumentar que la Ley No. 27803 dio acceso a las presuntas víctimas a  un</w:t>
        <w:br/>
        <w:t xml:space="preserve">   mecanismo para reparar las violaciones a los derechos  humanos  derivadas</w:t>
        <w:br/>
        <w:t xml:space="preserve">   de sus ceses irregulares, o que  dicho  mecanismo  está  disponible  para</w:t>
        <w:br/>
        <w:t xml:space="preserve">   atender futuros reclamos, sino que es necesario que  el  Estado  presente</w:t>
        <w:br/>
        <w:t xml:space="preserve">   información clara sobre cómo, en caso de ser condenado,  dicho  mecanismo</w:t>
        <w:br/>
        <w:t xml:space="preserve">   interno de  reparación  sería  un  medio  efectivo  para  reparar  a  las</w:t>
        <w:br/>
        <w:t xml:space="preserve">   presuntas víctimas del presente caso, con el fin  de  determinar  si,  en</w:t>
        <w:br/>
        <w:t xml:space="preserve">   virtud del principio de complementariedad,  cabría  una  remisión  a  los</w:t>
        <w:br/>
        <w:t xml:space="preserve">   mecanismos previstos internamente[283].</w:t>
        <w:br/>
        <w:br/>
        <w:t>209. Sin perjuicio de lo anterior, la Corte reconoce y valora los  esfuerzos</w:t>
        <w:br/>
        <w:t xml:space="preserve">   desarrollados por el Estado en materia de reparación de los  trabajadores</w:t>
        <w:br/>
        <w:t xml:space="preserve">   que fueron considerados  cesados  irregularmente  en  la  década  de  los</w:t>
        <w:br/>
        <w:t xml:space="preserve">   noventa.  En  ese  sentido,  la  Corte  considera  que  el  mecanismo  de</w:t>
        <w:br/>
        <w:t xml:space="preserve">   reparación interno, así como los beneficios que ya han sido otorgados, en</w:t>
        <w:br/>
        <w:t xml:space="preserve">   virtud de la ley No. 27803, pueden  ser  tomados  en  cuenta  en  lo  que</w:t>
        <w:br/>
        <w:t xml:space="preserve">   concierne a la obligación  de  reparar  integralmente  una  violación  de</w:t>
        <w:br/>
        <w:t xml:space="preserve">   derechos[284]. Por ello, este Tribunal, en el presente caso, al fijar las</w:t>
        <w:br/>
        <w:t xml:space="preserve">   reparaciones correspondientes, en el marco de sus atribuciones y  deberes</w:t>
        <w:br/>
        <w:t xml:space="preserve">   establecidos por el artículo 63 de la Convención, tomará en cuenta, en lo</w:t>
        <w:br/>
        <w:t xml:space="preserve">   pertinente, los alcances y  resultados  del  Programa  Extraordinario  de</w:t>
        <w:br/>
        <w:t xml:space="preserve">   Acceso a Beneficios a favor de ex trabajadores, en lo que  corresponde  a</w:t>
        <w:br/>
        <w:t xml:space="preserve">   la  fijación  de  una  reparación  integral  a  favor  de  las  presuntas</w:t>
        <w:br/>
        <w:t xml:space="preserve">   víctimas[285].</w:t>
        <w:br/>
        <w:br/>
        <w:t>C. Medida de satisfacción</w:t>
        <w:br/>
        <w:br/>
        <w:t xml:space="preserve">      C.1. Publicación de la sentencia</w:t>
        <w:br/>
        <w:br/>
        <w:t xml:space="preserve">           C.1.a. Alegatos de las partes y de la Comisión</w:t>
        <w:br/>
        <w:br/>
        <w:t>210. Un representante solicitó la publicación en un plazo de 6 meses de  las</w:t>
        <w:br/>
        <w:t xml:space="preserve">   secciones de contexto, hechos probados,  y  la  parte  resolutiva  de  la</w:t>
        <w:br/>
        <w:t xml:space="preserve">   presente sentencia en el Diario Oficial,  en  un  diario  de  circulación</w:t>
        <w:br/>
        <w:t xml:space="preserve">   nacional y en la página web del Ministerio de Justicia. En  relación  con</w:t>
        <w:br/>
        <w:t xml:space="preserve">   esta última solicitud, solicitó que no existan más de tres enlaces  desde</w:t>
        <w:br/>
        <w:t xml:space="preserve">   la página principal y que dicho enlace sea mantenido hasta el momento  en</w:t>
        <w:br/>
        <w:t xml:space="preserve">   que se cumpla integralmente la presente sentencia. Ni la Comisión, ni los</w:t>
        <w:br/>
        <w:t xml:space="preserve">   demás representantes formularon alegatos al respecto.  El  Estado  afirmó</w:t>
        <w:br/>
        <w:t xml:space="preserve">   que, en el eventual escenario que la Corte se pronuncie sobre esta medida</w:t>
        <w:br/>
        <w:t xml:space="preserve">   de satisfacción en su sentencia, el Estado peruano  haría  la  respectiva</w:t>
        <w:br/>
        <w:t xml:space="preserve">   publicación; sin embargo, consideró  que  sería  suficiente  publicar  el</w:t>
        <w:br/>
        <w:t xml:space="preserve">   íntegro de la sentencia en un  portal  web  de  alguna  entidad  estatal.</w:t>
        <w:br/>
        <w:t xml:space="preserve">   Asimismo, considera que  bastaría  publicar  el  resumen  oficial  de  la</w:t>
        <w:br/>
        <w:t xml:space="preserve">   sentencia en el Diario Oficial, como lo ha ordenado la Corte en recientes</w:t>
        <w:br/>
        <w:t xml:space="preserve">   casos relativos a Perú.</w:t>
        <w:br/>
        <w:br/>
        <w:br/>
        <w:t xml:space="preserve">           C.1.b. Consideraciones de la Corte</w:t>
        <w:br/>
        <w:br/>
        <w:t>211. La Corte dispone, como lo ha hecho en otros casos[286], que  el  Estado</w:t>
        <w:br/>
        <w:t xml:space="preserve">   publique en el plazo de seis meses contado a partir de la notificación de</w:t>
        <w:br/>
        <w:t xml:space="preserve">   la presente Sentencia: a) el resumen oficial  de  la  presente  Sentencia</w:t>
        <w:br/>
        <w:t xml:space="preserve">   elaborado por la Corte, por una sola vez, en  el  Diario  Oficial  en  un</w:t>
        <w:br/>
        <w:t xml:space="preserve">   tamaño de letra legible y adecuado; b) el resumen oficial de la  presente</w:t>
        <w:br/>
        <w:t xml:space="preserve">   Sentencia elaborado por la Corte, por una  sola  vez,  en  un  diario  de</w:t>
        <w:br/>
        <w:t xml:space="preserve">   amplia circulación a nivel nacional, en un  tamaño  de  letra  legible  y</w:t>
        <w:br/>
        <w:t xml:space="preserve">   adecuado; y c) la presente Sentencia  en  su  integridad,  disponible  al</w:t>
        <w:br/>
        <w:t xml:space="preserve">   menos por un periodo de un año, en un sitio web oficial del Ministerio de</w:t>
        <w:br/>
        <w:t xml:space="preserve">   Justicia, de manera accesible al público. El Estado  deberá́  informar  de</w:t>
        <w:br/>
        <w:t xml:space="preserve">   forma inmediata a esta Corte una vez que proceda a realizar cada  una  de</w:t>
        <w:br/>
        <w:t xml:space="preserve">   las publicaciones dispuestas, independientemente del plazo de un año para</w:t>
        <w:br/>
        <w:t xml:space="preserve">   presentar su primer informe dispuesto en el punto resolutivo 10  de  esta</w:t>
        <w:br/>
        <w:t xml:space="preserve">   Sentencia[287].</w:t>
        <w:br/>
        <w:br/>
        <w:t xml:space="preserve"> D. Indemnizaciones compensatorias</w:t>
        <w:br/>
        <w:br/>
        <w:t xml:space="preserve">      D.1. Daño material</w:t>
        <w:br/>
        <w:br/>
        <w:t xml:space="preserve">            D.1.a. Daño emergente</w:t>
        <w:br/>
        <w:br/>
        <w:t xml:space="preserve">                 (i) Alegatos de las partes y de la Comisión</w:t>
        <w:br/>
        <w:br/>
        <w:t>212. Un representante  alegó  que  algunas  de  las  presuntas  víctimas  de</w:t>
        <w:br/>
        <w:t xml:space="preserve">   Petroperú, Enapu y MEF contrajeron enfermedades o tuvieron  padecimientos</w:t>
        <w:br/>
        <w:t xml:space="preserve">   corporales como consecuencia de sus despidos. Asimismo, alegó que algunas</w:t>
        <w:br/>
        <w:t xml:space="preserve">   de las presuntas  víctimas  sufrieron  de  enfermedades  o  padecimientos</w:t>
        <w:br/>
        <w:t xml:space="preserve">   corporales como consecuencia  del  trabajo  que  realizaron  mientras  se</w:t>
        <w:br/>
        <w:t xml:space="preserve">   encontraban cesados. En ese sentido, alegó que algunas  de  ellas  tienen</w:t>
        <w:br/>
        <w:t xml:space="preserve">   serias dificultades para tratar sus enfermedades porque no  contaban  con</w:t>
        <w:br/>
        <w:t xml:space="preserve">   recursos económicos y  que  hubieron  casos  en  los  que  las  presuntas</w:t>
        <w:br/>
        <w:t xml:space="preserve">   víctimas sufrían de una enfermedad y llevaban un tratamiento médico antes</w:t>
        <w:br/>
        <w:t xml:space="preserve">   de ser despedidos. Además, alegó que algunas de  las  víctimas  sufrieron</w:t>
        <w:br/>
        <w:t xml:space="preserve">   enfermedades físicas y psicológicas a causa de la  depresión  o  ansiedad</w:t>
        <w:br/>
        <w:t xml:space="preserve">   constante que les causó el hecho de su despido y que  estos  sentimientos</w:t>
        <w:br/>
        <w:t xml:space="preserve">   se  incrementaron  debido  al  sentimiento  de  indefensión  en  que   se</w:t>
        <w:br/>
        <w:t xml:space="preserve">   encontraban. En consecuencia, solicitó una compensación  por  gastos  por</w:t>
        <w:br/>
        <w:t xml:space="preserve">   tratamientos médicos recibidos por las afectaciones que sufrieron  y  por</w:t>
        <w:br/>
        <w:t xml:space="preserve">   los gastos futuros que podrían generarse.</w:t>
        <w:br/>
        <w:br/>
        <w:t>213. Otros representantes solicitaron el  pago  de  un  monto  que  compense</w:t>
        <w:br/>
        <w:t xml:space="preserve">   adecuadamente  el  daño  material  e  inmaterial  causado  por  el   cese</w:t>
        <w:br/>
        <w:t xml:space="preserve">   arbitrario, hecho que sumió a sus familias durante años en una  situación</w:t>
        <w:br/>
        <w:t xml:space="preserve">   que afectó la vida,  la  salud,  la  alimentación  familiar,  truncó  los</w:t>
        <w:br/>
        <w:t xml:space="preserve">   estudios de los hijos, afectó el equilibrio emocional  y  psicológico,  y</w:t>
        <w:br/>
        <w:t xml:space="preserve">   generó sufrimiento y endeudamiento, trastocando así la vida familiar.  La</w:t>
        <w:br/>
        <w:t xml:space="preserve">   Comisión no formuló alegatos específicos al respecto.</w:t>
        <w:br/>
        <w:br/>
        <w:t>214. El Estado alegó que los representantes no  precisaron  fechas,  lugares</w:t>
        <w:br/>
        <w:t xml:space="preserve">   de ocurrencias de ciertos hechos y que no se delimitan las circunstancias</w:t>
        <w:br/>
        <w:t xml:space="preserve">   y  nexos  causales  entre  los  presuntos  actos   lesivos   del   Estado</w:t>
        <w:br/>
        <w:t xml:space="preserve">   consistentes en la falta de garantías judiciales y  protección  judicial,</w:t>
        <w:br/>
        <w:t xml:space="preserve">   con los eventos de impacto en contra de la salud  de  los  peticionarios.</w:t>
        <w:br/>
        <w:t xml:space="preserve">   Agregó  que  las  declaraciones  de  las  presuntas  víctimas  deben  ser</w:t>
        <w:br/>
        <w:t xml:space="preserve">   corroboradas con medios probatorios idóneos, con los cuales no se  cuenta</w:t>
        <w:br/>
        <w:t xml:space="preserve">   en el presente caso. En ese sentido, alegó que resulta necesario  que  se</w:t>
        <w:br/>
        <w:t xml:space="preserve">   precise los extremos de las  declaraciones  y  se  adjunten  certificados</w:t>
        <w:br/>
        <w:t xml:space="preserve">   médicos correspondientes que prueben las condiciones alegadas.  Asimismo,</w:t>
        <w:br/>
        <w:t xml:space="preserve">   alegó que los representantes no han podido demostrar la existencia de  un</w:t>
        <w:br/>
        <w:t xml:space="preserve">   nexo causal entre los ceses y el hecho  de  que  las  presuntas  víctimas</w:t>
        <w:br/>
        <w:t xml:space="preserve">   hayan contraído posteriormente determinadas enfermedades,  padecimientos,</w:t>
        <w:br/>
        <w:t xml:space="preserve">   ansiedad o depresión. Por lo anterior, solicitó que se declare  infundado</w:t>
        <w:br/>
        <w:t xml:space="preserve">   el supuesto daño emergente derivado de los gastos médicos y  psicológicos</w:t>
        <w:br/>
        <w:t xml:space="preserve">   de las víctimas.</w:t>
        <w:br/>
        <w:br/>
        <w:t xml:space="preserve">                 (ii) Consideraciones de la Corte</w:t>
        <w:br/>
        <w:br/>
        <w:t>215. La Corte ha desarrollado en  su  jurisprudencia  el  concepto  de  daño</w:t>
        <w:br/>
        <w:t xml:space="preserve">   material y ha establecido que éste supone la pérdida o detrimento de  los</w:t>
        <w:br/>
        <w:t xml:space="preserve">   ingresos de las víctimas, los gastos efectuados con motivo de los  hechos</w:t>
        <w:br/>
        <w:t xml:space="preserve">   y las consecuencias de carácter pecuniario que tengan un nexo causal  con</w:t>
        <w:br/>
        <w:t xml:space="preserve">   los hechos del caso. En el presente caso, al no existir  un  nexo  causal</w:t>
        <w:br/>
        <w:t xml:space="preserve">   entre la responsabilidad del Estado y  las  alegadas  afectaciones  a  la</w:t>
        <w:br/>
        <w:t xml:space="preserve">   salud de las víctimas, y al no existir elementos probatorios que permitan</w:t>
        <w:br/>
        <w:t xml:space="preserve">   determinar el daño patrimonial que las alegadas afectaciones a  la  salud</w:t>
        <w:br/>
        <w:t xml:space="preserve">   habrían generado, la Corte  no  cuenta  con  elementos  suficientes  para</w:t>
        <w:br/>
        <w:t xml:space="preserve">   ordenar  una  indemnización  por   concepto   de   daño   emergente.   En</w:t>
        <w:br/>
        <w:t xml:space="preserve">   consecuencia, la Corte desestima  la  solicitud  de  los  representantes.</w:t>
        <w:br/>
        <w:t xml:space="preserve">   Asimismo, la Corte advierte que un representante alegó una afectación  al</w:t>
        <w:br/>
        <w:t xml:space="preserve">   patrimonio familiar de las víctimas. No obstante, lo  alegado  por  dicho</w:t>
        <w:br/>
        <w:t xml:space="preserve">   representante respecto al daño al patrimonio familiar es un elemento  que</w:t>
        <w:br/>
        <w:t xml:space="preserve">   se contempla dentro del  concepto  de  daño  emergente,  por  lo  que  no</w:t>
        <w:br/>
        <w:t xml:space="preserve">   corresponde ordenar una reparación por este concepto en el presente caso.</w:t>
        <w:br/>
        <w:br/>
        <w:t xml:space="preserve">      D.2. Pago de aportaciones al sistema de pensiones</w:t>
        <w:br/>
        <w:br/>
        <w:t xml:space="preserve">            D.2.a. Alegatos de las partes y de la Comisión</w:t>
        <w:br/>
        <w:br/>
        <w:t>216.  Un  representante  solicitó  una  suma  pecuniaria  por  los   aportes</w:t>
        <w:br/>
        <w:t xml:space="preserve">   pensionales  que  no  ingresaron  al  patrimonio  de  las  víctimas  como</w:t>
        <w:br/>
        <w:t xml:space="preserve">   consecuencia del cese, debido que no tuvieron la posibilidad de acceder a</w:t>
        <w:br/>
        <w:t xml:space="preserve">   dicho aporte. Señaló que esta obligación fue reconocida en el  precedente</w:t>
        <w:br/>
        <w:t xml:space="preserve">   caso Canales Huapaya y otros.  El  representante  solicitó  que  el  pago</w:t>
        <w:br/>
        <w:t xml:space="preserve">   contemple las aportaciones pensionarias desde la fecha del despido  hasta</w:t>
        <w:br/>
        <w:t xml:space="preserve">   la actualidad. Al respecto, otros representantes solicitaron que,  en  el</w:t>
        <w:br/>
        <w:t xml:space="preserve">   marco de la reincorporación laboral, se ordene  la  incorporación  en  el</w:t>
        <w:br/>
        <w:t xml:space="preserve">   mismo régimen pensionario al que aportaba y/o pertenecía cada  trabajador</w:t>
        <w:br/>
        <w:t xml:space="preserve">   al momento del cese,  así  como  el  pago  de  los  aportes  pensionarios</w:t>
        <w:br/>
        <w:t xml:space="preserve">   pendientes al Régimen, a efectos de cautelar la seguridad  social  y  las</w:t>
        <w:br/>
        <w:t xml:space="preserve">   futuras pensiones de las víctimas recurrentes.  La  Comisión  no  formuló</w:t>
        <w:br/>
        <w:t xml:space="preserve">   alegatos específicos al respecto.</w:t>
        <w:br/>
        <w:br/>
        <w:t>217. El Estado alegó que la materia pensionaria  escapa  de  la  competencia</w:t>
        <w:br/>
        <w:t xml:space="preserve">   contenciosa de Corte. Indicó que el sistema de pensiones del Decreto  Ley</w:t>
        <w:br/>
        <w:t xml:space="preserve">   No.  20530  se  encuentra  cerrado.  Asimismo,  alegó  que  el   Tribunal</w:t>
        <w:br/>
        <w:t xml:space="preserve">   Constitucional de el Perú declaró constitucional la medida por  medio  de</w:t>
        <w:br/>
        <w:t xml:space="preserve">   la cual se decretó el  cierre  definitivo  del  régimen  pensionario  del</w:t>
        <w:br/>
        <w:t xml:space="preserve">   Decreto Ley No. 20530. Por otra parte, alegó que muchas de las  presuntas</w:t>
        <w:br/>
        <w:t xml:space="preserve">   víctimas se acogieron a los beneficios otorgados por la  Ley  No.  27803,</w:t>
        <w:br/>
        <w:t xml:space="preserve">   cuyo artículo 13, establece el pago de aportes pensionarios que el Estado</w:t>
        <w:br/>
        <w:t xml:space="preserve">   otorga al Sistema Nacional de Pensiones o al Sistema Privado de Pensiones</w:t>
        <w:br/>
        <w:t xml:space="preserve">   por el tiempo en que extendió el cese del  trabajador.  En  ese  sentido,</w:t>
        <w:br/>
        <w:t xml:space="preserve">   afirmó “ya estar haciendose cargo de este tema dentro de la  jurisdicción</w:t>
        <w:br/>
        <w:t xml:space="preserve">   interna” y señaló que, incluso, de la documentación  anexa  se  comprueba</w:t>
        <w:br/>
        <w:t xml:space="preserve">   que muchos trabajadores han recibido sus pensiones.</w:t>
        <w:br/>
        <w:br/>
        <w:t xml:space="preserve">            D.2.b. Consideraciones de la Corte</w:t>
        <w:br/>
        <w:br/>
        <w:t>218. La Corte considera que  no  corresponde  a  este  Tribunal  ordenar  la</w:t>
        <w:br/>
        <w:t xml:space="preserve">   reincorporación de los trabajadores de Minedu a un régimen  de  pensiones</w:t>
        <w:br/>
        <w:t xml:space="preserve">   que no se encuentra vigente  en  el  ordenamiento  jurídico  nacional  al</w:t>
        <w:br/>
        <w:t xml:space="preserve">   momento de la emisión de la presente  sentencia.  Por  otra  parte,  este</w:t>
        <w:br/>
        <w:t xml:space="preserve">   Tribunal considera que corresponde recibir a las víctimas  una  suma  por</w:t>
        <w:br/>
        <w:t xml:space="preserve">   los  aportes  pensionales  que  no  ingresaron  a  su   patrimonio   como</w:t>
        <w:br/>
        <w:t xml:space="preserve">   consecuencia de la violación al derecho al trabajo[288]. En ese  sentido,</w:t>
        <w:br/>
        <w:t xml:space="preserve">   la Corte considera que le corresponde recibir a las víctimas del presente</w:t>
        <w:br/>
        <w:t xml:space="preserve">   caso, en equidad, una suma de US $5.000 (cinco mil dólares de los Estados</w:t>
        <w:br/>
        <w:t xml:space="preserve">   Unidos de América) por los aportes pensionales que  no  ingresaron  a  su</w:t>
        <w:br/>
        <w:t xml:space="preserve">   patrimonio como consecuencia de sus  ceses.  La  Corte  reconoce  que  el</w:t>
        <w:br/>
        <w:t xml:space="preserve">   Estado ha otorgado compensaciones monetarias por este aspecto  a  algunas</w:t>
        <w:br/>
        <w:t xml:space="preserve">   de las víctimas del caso, razón por la cual, al momento de cumplir con la</w:t>
        <w:br/>
        <w:t xml:space="preserve">   presente medida  de  reparación  deberá  restar  del  monto  ordenado  la</w:t>
        <w:br/>
        <w:t xml:space="preserve">   cantidad ya otorgada a la víctima correspondiente,  lo  cual  deberá  ser</w:t>
        <w:br/>
        <w:t xml:space="preserve">   comprobado en la etapa de supervisión de cumplimiento del presente caso.</w:t>
        <w:br/>
        <w:br/>
        <w:t xml:space="preserve">      D.3. Lucro cesante</w:t>
        <w:br/>
        <w:br/>
        <w:t xml:space="preserve">            D.3.a. Alegatos de las partes y de la Comisión</w:t>
        <w:br/>
        <w:br/>
        <w:t>219. Un representante solicitó a la Corte que se le conceda a  las  víctimas</w:t>
        <w:br/>
        <w:t xml:space="preserve">   una suma pecuniaria por concepto de remuneraciones dejadas de percibir  a</w:t>
        <w:br/>
        <w:t xml:space="preserve">   causa del cese. En ese sentido, realizó un cálculo de las  remuneraciones</w:t>
        <w:br/>
        <w:t xml:space="preserve">   dejadas de percibir por parte de los trabajadores de Petroperú,  Enapu  y</w:t>
        <w:br/>
        <w:t xml:space="preserve">   MEF. Otros representantes solicitaron el  reconocimiento  de  tiempos  de</w:t>
        <w:br/>
        <w:t xml:space="preserve">   servicios  desde  la  fecha  del  cese  irregular  hasta  la   fecha   de</w:t>
        <w:br/>
        <w:t xml:space="preserve">   reincorporación  para  efectos  compensatorios,  jubilatorios   y   otros</w:t>
        <w:br/>
        <w:t xml:space="preserve">   beneficios sociales, y el pago de los  montos  dejados  de  percibir  por</w:t>
        <w:br/>
        <w:t xml:space="preserve">   concepto  de  remuneración  mensual   y   otros   beneficios   como   son</w:t>
        <w:br/>
        <w:t xml:space="preserve">   bonificaciones,  asignaciones,  incentivos,  pagos   por   refrigerio   y</w:t>
        <w:br/>
        <w:t xml:space="preserve">   movilidad,  gratificaciones,   aguinaldos   y   escolaridad,   pago   por</w:t>
        <w:br/>
        <w:t xml:space="preserve">   vacaciones, entre otros. La Comisión no formuló alegatos  específicos  al</w:t>
        <w:br/>
        <w:t xml:space="preserve">   respecto.</w:t>
        <w:br/>
        <w:br/>
        <w:br/>
        <w:t>220. El Estado alegó  que  las  pretensiones  económicas  de  las  presuntas</w:t>
        <w:br/>
        <w:t xml:space="preserve">   víctimas por concepto de daño material desnaturalizan el verdadero objeto</w:t>
        <w:br/>
        <w:t xml:space="preserve">   y fin de las reparaciones otorgadas por la Corte,  al  instrumentalizarlo</w:t>
        <w:br/>
        <w:t xml:space="preserve">   para fines  patrimoniales.  Por  lo  tanto,  consideró  que  las  medidas</w:t>
        <w:br/>
        <w:t xml:space="preserve">   exigidas por las presuntas víctimas son excesivas. Asimismo,  agregó  que</w:t>
        <w:br/>
        <w:t xml:space="preserve">   en el caso de  las  pretensiones  económicas  respecto  a  las  presuntas</w:t>
        <w:br/>
        <w:t xml:space="preserve">   víctimas del MEF y Enapu, no se cumplió con su correcta determinación, ya</w:t>
        <w:br/>
        <w:t xml:space="preserve">   que la misma debió explicarse de  manera  desagregada  para  conocer  los</w:t>
        <w:br/>
        <w:t xml:space="preserve">   indicadores mensurables que llevaron a dicha suma final y si  las  mismas</w:t>
        <w:br/>
        <w:t xml:space="preserve">   guardan relación con los hechos del caso.</w:t>
        <w:br/>
        <w:br/>
        <w:t xml:space="preserve">            D.3.b. Consideraciones de la Corte</w:t>
        <w:br/>
        <w:br/>
        <w:t>221. La Corte ha desarrollado en  su  jurisprudencia  el  concepto  de  daño</w:t>
        <w:br/>
        <w:t xml:space="preserve">   material y los supuestos en que corresponde indemnizarlo.  Este  Tribunal</w:t>
        <w:br/>
        <w:t xml:space="preserve">   ha establecido que el daño material abarca “la pérdida  o  detrimento  de</w:t>
        <w:br/>
        <w:t xml:space="preserve">   los ingresos de las víctimas, los gastos efectuados  con  motivo  de  los</w:t>
        <w:br/>
        <w:t xml:space="preserve">   hechos y las consecuencias de carácter  pecuniario  que  tengan  un  nexo</w:t>
        <w:br/>
        <w:t xml:space="preserve">   causal con los hechos del caso”[289]. En este sentido, en relación con la</w:t>
        <w:br/>
        <w:t xml:space="preserve">   alegada pérdida de ingresos, la Corte advierte que  el  representante  no</w:t>
        <w:br/>
        <w:t xml:space="preserve">   aportó suficientes comprobantes para determinar el ingreso específico que</w:t>
        <w:br/>
        <w:t xml:space="preserve">   percibía la totalidad de las víctimas por sus actividades al  momento  de</w:t>
        <w:br/>
        <w:t xml:space="preserve">   los hechos. En efecto, el  representante  realizó  cálculos,  solicitando</w:t>
        <w:br/>
        <w:t xml:space="preserve">   montos específicos para algunos trabajadores de Petroperú, Enapu  y  MEF,</w:t>
        <w:br/>
        <w:t xml:space="preserve">   tal como indica el Estado. Sin embargo,  no  es  posible  determinar  con</w:t>
        <w:br/>
        <w:t xml:space="preserve">   certeza  los  criterios  utilizados  para  establecer  los   montos   que</w:t>
        <w:br/>
        <w:t xml:space="preserve">   corresponderían a dichos trabajadores.</w:t>
        <w:br/>
        <w:br/>
        <w:t>222. Sin perjuicio de lo anterior,  tomanto  en  cuenta  que  el  Estado  es</w:t>
        <w:br/>
        <w:t xml:space="preserve">   responsable por la violación a  los artículos 8, 25 y 26 de la Convención</w:t>
        <w:br/>
        <w:t xml:space="preserve">   Americana en relación con el artículo 1.1 del mismo  instrumento,  y  que</w:t>
        <w:br/>
        <w:t xml:space="preserve">   las 164 víctimas del presente caso dejaron de percibir sus  salarios  con</w:t>
        <w:br/>
        <w:t xml:space="preserve">   motivo de sus ceses, situación que se mantiene vigente hasta la fecha  de</w:t>
        <w:br/>
        <w:t xml:space="preserve">   la emisión de esta  sentencia,  la  Corte  estima  pertinente  fijar,  en</w:t>
        <w:br/>
        <w:t xml:space="preserve">   equidad, la cantidad de US$ 43.792  (cuarenta  y  tres  mil  setescientos</w:t>
        <w:br/>
        <w:t xml:space="preserve">   noventa y dos dólares de los Estados Unidos de América), por concepto  de</w:t>
        <w:br/>
        <w:t xml:space="preserve">   lucro cesante, para cada una de  las  víctimas  del  presente  caso,  los</w:t>
        <w:br/>
        <w:t xml:space="preserve">   cuales deberán ser entregados directamente a  las  mismas.  Asimismo,  la</w:t>
        <w:br/>
        <w:t xml:space="preserve">   Corte considera que la compensación económica que haya sido recibida  por</w:t>
        <w:br/>
        <w:t xml:space="preserve">   las víctimas, como parte de los beneficios previstos por el  Decreto  Ley</w:t>
        <w:br/>
        <w:t xml:space="preserve">   27803, deberá ser descontada del monto establecido  por  esta  Corte  por</w:t>
        <w:br/>
        <w:t xml:space="preserve">   concepto de lucro cesante en el presente caso.</w:t>
        <w:br/>
        <w:br/>
        <w:t xml:space="preserve">      D.4. Daño inmaterial</w:t>
        <w:br/>
        <w:br/>
        <w:t>223. La Corte nota que un representante solicitó un monto  por  concepto  de</w:t>
        <w:br/>
        <w:t xml:space="preserve">   daño al proyecto de vida. No obtante, la Corte no entrará a  analizar  la</w:t>
        <w:br/>
        <w:t xml:space="preserve">   solicitud por cuanto ya fue establecido que este  Tribunal  no  analizará</w:t>
        <w:br/>
        <w:t xml:space="preserve">   alegatos respecto a los familiares de las víctimas del caso. Asimismo, la</w:t>
        <w:br/>
        <w:t xml:space="preserve">   Corte no posee elementos de prueba suficientes para acreditar una pérdida</w:t>
        <w:br/>
        <w:t xml:space="preserve">   grave o irreparable de oportunidades al desarrollo personal.</w:t>
        <w:br/>
        <w:br/>
        <w:t>224. Un representante señaló que el daño moral más  relevante  ocasionado  a</w:t>
        <w:br/>
        <w:t xml:space="preserve">   las presuntas víctimas del MEF fue  causado  por  su  consideración  como</w:t>
        <w:br/>
        <w:t xml:space="preserve">   “excedente”. En ese sentido,  solicitó  que  se  repare  su  honra  y  su</w:t>
        <w:br/>
        <w:t xml:space="preserve">   dignidad a través de resoluciones en el Diario Oficial “El Peruano” en la</w:t>
        <w:br/>
        <w:t xml:space="preserve">   que, conjuntamente con la sentencia, se indique que estas personas  nunca</w:t>
        <w:br/>
        <w:t xml:space="preserve">   fueron excedentes en  la  función  pública.  Asimismo,  solicitó  que  se</w:t>
        <w:br/>
        <w:t xml:space="preserve">   otorgue en favor de los familiares  de  los  trabajadores  de  Petroperú,</w:t>
        <w:br/>
        <w:t xml:space="preserve">   Enapu y MEF tratamiento  médico  y  psicológico  gratuito  y  permanente,</w:t>
        <w:br/>
        <w:t xml:space="preserve">   además de otros gastos que sean generados conjuntamente  a  la  provisión</w:t>
        <w:br/>
        <w:t xml:space="preserve">   del tratamiento. Adicionalmente, solicitó que las prestaciones deben  ser</w:t>
        <w:br/>
        <w:t xml:space="preserve">   suministradas por profesionales competentes, tras la determinación de las</w:t>
        <w:br/>
        <w:t xml:space="preserve">   necesidades médicas de cada presunta  víctima,  y  que  debe  incluir  la</w:t>
        <w:br/>
        <w:t xml:space="preserve">   provisión de los medicamentos que sean requeridos. Lo anterior,  a  causa</w:t>
        <w:br/>
        <w:t xml:space="preserve">   del “profundo dolor, debido a las consecuencias que ocasionó  el  despido</w:t>
        <w:br/>
        <w:t xml:space="preserve">   en su condición laboral y en su vida familiar.  Hechos  que  sumieron  en</w:t>
        <w:br/>
        <w:t xml:space="preserve">   profundas depresiones y estrés constante a las víctimas  por  encontrarse</w:t>
        <w:br/>
        <w:t xml:space="preserve">   en las situaciones descritas, causando una grave afectación psicológica a</w:t>
        <w:br/>
        <w:t xml:space="preserve">   las  mismas”,  y  por  el  sentimiento  de   “injusticia,   provocándoles</w:t>
        <w:br/>
        <w:t xml:space="preserve">   sufrimiento, estrés, inseguridad e impotencia”.</w:t>
        <w:br/>
        <w:br/>
        <w:t>225. Otros representantes solicitaron el pago de un monto  que  compense  el</w:t>
        <w:br/>
        <w:t xml:space="preserve">   daño inmaterial por la afectación emocional y psicológica de las víctimas</w:t>
        <w:br/>
        <w:t xml:space="preserve">   al ser  despedidas  por  causal  de  “excedencia”,  al  ser  afectada  su</w:t>
        <w:br/>
        <w:t xml:space="preserve">   reputación frente a la sociedad, al ponerse en duda su desempeño y al ser</w:t>
        <w:br/>
        <w:t xml:space="preserve">   consideradas poco aptas  para  asumir  nuevas  labores.  La  Comisión  no</w:t>
        <w:br/>
        <w:t xml:space="preserve">   formuló alegatos específicos al respecto.</w:t>
        <w:br/>
        <w:br/>
        <w:t>226.  El  Estado  alegó  que  la  relación  entre  el  daño  moral  con   el</w:t>
        <w:br/>
        <w:t xml:space="preserve">   padecimiento de miedo, sufrimiento y  ansiedad  es  pertinente  en  casos</w:t>
        <w:br/>
        <w:t xml:space="preserve">   relacionados con graves violaciones a los derechos humanos, como lo es la</w:t>
        <w:br/>
        <w:t xml:space="preserve">   desaparición forzada. Por lo tanto, alegó que la equiparación entre casos</w:t>
        <w:br/>
        <w:t xml:space="preserve">   de graves violaciones de derechos humanos y  casos  de  ceses  colectivos</w:t>
        <w:br/>
        <w:t xml:space="preserve">   resulta  una  pretensión  desproporcional.  Asimismo,  alegó  que  de  la</w:t>
        <w:br/>
        <w:t xml:space="preserve">   documentación  indicada  en  los  anexos  remitidos  en  el  escrito   de</w:t>
        <w:br/>
        <w:t xml:space="preserve">   solicitudes y argumentos, no se puede observar o determinar lo relativo a</w:t>
        <w:br/>
        <w:t xml:space="preserve">   las alegadas afectaciones a la salud  mental,  por  lo  tanto,  se  deben</w:t>
        <w:br/>
        <w:t xml:space="preserve">   desestimar las afirmaciones realizadas  por  los  representantes  de  las</w:t>
        <w:br/>
        <w:t xml:space="preserve">   presuntas víctimas en este extremo.</w:t>
        <w:br/>
        <w:br/>
        <w:t xml:space="preserve">            D.4.a. Consideraciones de la Corte</w:t>
        <w:br/>
        <w:br/>
        <w:t>227. Esta Corte ha establecido que la  sentencia  puede  constituir  por  sí</w:t>
        <w:br/>
        <w:t xml:space="preserve">   misma una forma de reparación[290]. No obstante, la Corte ha desarrollado</w:t>
        <w:br/>
        <w:t xml:space="preserve">   en su jurisprudencia el concepto de daño inmaterial y ha establecido  que</w:t>
        <w:br/>
        <w:t xml:space="preserve">   éste puede comprender tanto los sufrimientos y las  aflicciones  causados</w:t>
        <w:br/>
        <w:t xml:space="preserve">   por la violación, como el menoscabo de valores  muy  significativos  para</w:t>
        <w:br/>
        <w:t xml:space="preserve">   las personas y cualquier alteración de  carácter  no  pecuniario  en  las</w:t>
        <w:br/>
        <w:t xml:space="preserve">   condiciones de existencia de las víctimas[291]. Dado que  no  es  posible</w:t>
        <w:br/>
        <w:t xml:space="preserve">   asignar al daño inmaterial un equivalente monetario preciso,  sólo  puede</w:t>
        <w:br/>
        <w:t xml:space="preserve">   ser objeto de compensación, para los fines de la reparación integral a la</w:t>
        <w:br/>
        <w:t xml:space="preserve">   víctima, mediante el pago de una cantidad  de  dinero  o  la  entrega  de</w:t>
        <w:br/>
        <w:t xml:space="preserve">   bienes o servicios apreciables en dinero, que el  Tribunal  determine  en</w:t>
        <w:br/>
        <w:t xml:space="preserve">   aplicación razonable del arbitrio judicial y en términos de equidad[292].</w:t>
        <w:br/>
        <w:br/>
        <w:t>228. En el presente caso, en consideración a las circunstancias en  que  los</w:t>
        <w:br/>
        <w:t xml:space="preserve">   trabajadores fueron cesados, a las violaciones cometidas resultado de una</w:t>
        <w:br/>
        <w:t xml:space="preserve">   inadecuada falta de respuesta judicial del Estado ante los ceses, lo cual</w:t>
        <w:br/>
        <w:t xml:space="preserve">   constituyó  una  violación  a  su  derecho  al  trabajo,  y   al   tiempo</w:t>
        <w:br/>
        <w:t xml:space="preserve">   transcurrido desde sus ceses, corresponde ordenar un monto  por  concepto</w:t>
        <w:br/>
        <w:t xml:space="preserve">   de daño inmaterial. De esta forma, al ponderar el  conjunto  de  factores</w:t>
        <w:br/>
        <w:t xml:space="preserve">   involucrados, así como su propia  jurisprudencia  sobre  la  materia,  el</w:t>
        <w:br/>
        <w:t xml:space="preserve">   Tribunal fija, en equidad, la cantidad de US$ 5,000.00 (cinco mil dólares</w:t>
        <w:br/>
        <w:t xml:space="preserve">   de los Estados Unidos de América) a favor de cada una de las víctimas del</w:t>
        <w:br/>
        <w:t xml:space="preserve">   presente caso.</w:t>
        <w:br/>
        <w:br/>
        <w:br/>
        <w:t>E. Otras medidas de reparación solicitadas por los representantes</w:t>
        <w:br/>
        <w:br/>
        <w:t xml:space="preserve">      E.1. Alegatos de las partes y de la Comisión</w:t>
        <w:br/>
        <w:br/>
        <w:t>229. Los representantes solicitaron las siguientes  medidas  adicionales  de</w:t>
        <w:br/>
        <w:t xml:space="preserve">   reparación: (i) la reincorporación de los trabajadores a un cargo similar</w:t>
        <w:br/>
        <w:t xml:space="preserve">   al que desempeñaban antes de ser  cesados,  con  la  misma  remuneración,</w:t>
        <w:br/>
        <w:t xml:space="preserve">   beneficios sociales y rango equiparable, en la medida que el monto de  su</w:t>
        <w:br/>
        <w:t xml:space="preserve">   salario y otras prestaciones sea equivalente al que gozaban  a  la  fecha</w:t>
        <w:br/>
        <w:t xml:space="preserve">   del despido; (ii) un acto de disculpa pública para  los  trabajadores  de</w:t>
        <w:br/>
        <w:t xml:space="preserve">   Petroperú, MEF, Enapu y Minedu, y la colocación de una placa recordatoria</w:t>
        <w:br/>
        <w:t xml:space="preserve">   de las víctimas en espacios  públicos  del  MEF  y  Enapu.  Asimismo,  un</w:t>
        <w:br/>
        <w:t xml:space="preserve">   representante  solició  (iii)  que  el  Estado   peruano   garantice   un</w:t>
        <w:br/>
        <w:t xml:space="preserve">   tratamiento médico y psicológico, gratuito y permanente, a favor  de  las</w:t>
        <w:br/>
        <w:t xml:space="preserve">   víctimas y sus familiares; (iv) que se ordene al Estado la adecuación  de</w:t>
        <w:br/>
        <w:t xml:space="preserve">   sus normas sobre reparaciones por despidos arbitrarios a  los  estándares</w:t>
        <w:br/>
        <w:t xml:space="preserve">   del Sistema Interamericano,  que  se  adopte  un  mecanismo  de  solución</w:t>
        <w:br/>
        <w:t xml:space="preserve">   amistosa, que se ordene el establecimiento de programas  de  capacitación</w:t>
        <w:br/>
        <w:t xml:space="preserve">   para jueces y juezas laborales, que se cree una cátedra universitaria  en</w:t>
        <w:br/>
        <w:t xml:space="preserve">   las universidades más  representativas  de  Lima,  Piura  (Talara)  y  el</w:t>
        <w:br/>
        <w:t xml:space="preserve">   Callao,  y  que  se  ordene  al  Estado  la  ratificación  del  Protocolo</w:t>
        <w:br/>
        <w:t xml:space="preserve">   Facultativo al Pacto Internacional de Derechos Civiles y Políticos  y  el</w:t>
        <w:br/>
        <w:t xml:space="preserve">   Convenio 158 de la OIT, y (v) que las víctimas del presente caso  reciban</w:t>
        <w:br/>
        <w:t xml:space="preserve">   el pago de aportaciones al Seguro Social  de  Salud  (ESSALUD)  desde  la</w:t>
        <w:br/>
        <w:t xml:space="preserve">   fecha del despido.</w:t>
        <w:br/>
        <w:br/>
        <w:t>230. El Estado  alegó  que  (i)  Petroperú,  Enapu,  el  MEF  y  Minedu  han</w:t>
        <w:br/>
        <w:t xml:space="preserve">   afrontado modificaciones en su estructura de  organización  y  funciones,</w:t>
        <w:br/>
        <w:t xml:space="preserve">   así  como  de  personal,  que  tornan  complejo  adoptar  la  medida   de</w:t>
        <w:br/>
        <w:t xml:space="preserve">   reincorporación;  (ii)  que  en  caso  de  que  la  Corte  determine   la</w:t>
        <w:br/>
        <w:t xml:space="preserve">   responsabilidad internacional del Estado en el presente caso, la  emisión</w:t>
        <w:br/>
        <w:t xml:space="preserve">   de la  sentencia  y  las  reparaciones  serían  suficientes  y  adecuadas</w:t>
        <w:br/>
        <w:t xml:space="preserve">   respecto a la solicitud de un acto de disculpa pública y la colocación de</w:t>
        <w:br/>
        <w:t xml:space="preserve">   una placa; (iii) que la solicitud relacionada con la adecuación de normas</w:t>
        <w:br/>
        <w:t xml:space="preserve">   es imprecisa, debido a que no se mencionaron las normas que deberían  ser</w:t>
        <w:br/>
        <w:t xml:space="preserve">   adecuadas, ni los estándares interamericanos que  deberían  aplicarse,  y</w:t>
        <w:br/>
        <w:t xml:space="preserve">   que además la Corte no  tiene  competencia  para  pronunciarse  sobre  la</w:t>
        <w:br/>
        <w:t xml:space="preserve">   validez de  normas  vigentes,  ni  para  recomendar  la  ratificación  de</w:t>
        <w:br/>
        <w:t xml:space="preserve">   tratados internacionales; y (iv) que conforme  lo  establece  la  Ley  N°</w:t>
        <w:br/>
        <w:t xml:space="preserve">   28791 del 21 de julio de 2006, los aportes a ESSALUD corresponden  a  los</w:t>
        <w:br/>
        <w:t xml:space="preserve">   trabajadores en actividad; tal es así que la tasa  de  aporte  a  ESSALUD</w:t>
        <w:br/>
        <w:t xml:space="preserve">   equivale al 9% de la remuneración o ingreso del trabajador, es decir,  el</w:t>
        <w:br/>
        <w:t xml:space="preserve">   aporte de un trabajador en actividad. Al respecto, el  Estado  alegó  que</w:t>
        <w:br/>
        <w:t xml:space="preserve">   dichos aportes son de cargo obligatorio de  la  entidad  empleadora,  que</w:t>
        <w:br/>
        <w:t xml:space="preserve">   debe declararlos y pagarlos en su totalidad mensualmente a ESSALUD.</w:t>
        <w:br/>
        <w:br/>
        <w:t xml:space="preserve">      E.2. Consideraciones de la Corte</w:t>
        <w:br/>
        <w:br/>
        <w:t>231. En relación con lo anterior, la  Corte considera lo siguiente: (i)  que</w:t>
        <w:br/>
        <w:t xml:space="preserve">   transcurridos aproximadamente 25 años de los ceses laborales ocurridos en</w:t>
        <w:br/>
        <w:t xml:space="preserve">   el presente caso, la reincorporación o reposición de los trabajadores  en</w:t>
        <w:br/>
        <w:t xml:space="preserve">   sus antiguos cargos o en otros  análogos  enfrenta  diversos  niveles  de</w:t>
        <w:br/>
        <w:t xml:space="preserve">   complejidad  y  operatividad,  en  particular,  por  las   modificaciones</w:t>
        <w:br/>
        <w:t xml:space="preserve">   estructurales que han ocurrido en Petroperú,  Enapu,  MEF  y  Minedu.  En</w:t>
        <w:br/>
        <w:t xml:space="preserve">   consecuencia, el Tribunal considera que no dispondrá  la  reincorporación</w:t>
        <w:br/>
        <w:t xml:space="preserve">   de las víctimas y, por tal motivo, este aspecto ha sido tomado en  cuenta</w:t>
        <w:br/>
        <w:t xml:space="preserve">   al momento de  calcular  la  indemnización  compensatoria;  (ii)  que  la</w:t>
        <w:br/>
        <w:t xml:space="preserve">   emisión de la presente Sentencia y las  reparaciones  ordenadas  en  este</w:t>
        <w:br/>
        <w:t xml:space="preserve">   capítulo resultan suficientes y adecuadas para remediar  las  violaciones</w:t>
        <w:br/>
        <w:t xml:space="preserve">   sufridas por las víctimas, por lo que  no  estima  necesario  ordenar  la</w:t>
        <w:br/>
        <w:t xml:space="preserve">   realización de un acto público de reconocimiento de responsabilidad o  la</w:t>
        <w:br/>
        <w:t xml:space="preserve">   colocación de una placa recordatoria; (iii) que el Tribunal  no  advierte</w:t>
        <w:br/>
        <w:t xml:space="preserve">   la existencia de un nexo causal entre la responsabilidad del Estado en el</w:t>
        <w:br/>
        <w:t xml:space="preserve">   presente caso y las alegadas afectaciones a la salud de  las  víctimas  y</w:t>
        <w:br/>
        <w:t xml:space="preserve">   sus familiares, y que carece de  suficientes  elementos  probatorios  que</w:t>
        <w:br/>
        <w:t xml:space="preserve">   permitan  determinar  las  afectaciones  alegadas  a  la  salud  de   los</w:t>
        <w:br/>
        <w:t xml:space="preserve">   trabajadores o sus familiares, por lo que desestima la solicitud  de  los</w:t>
        <w:br/>
        <w:t xml:space="preserve">   representantes relacionadas con que el Estado  garantice  un  tratamiento</w:t>
        <w:br/>
        <w:t xml:space="preserve">   médico y psicológico.</w:t>
        <w:br/>
        <w:br/>
        <w:t>232. Adicionalmente, la Corte considera:  (iv)  que  los  representantes  no</w:t>
        <w:br/>
        <w:t xml:space="preserve">   aportaron información ni argumentos suficientes de los  cuales  se  pueda</w:t>
        <w:br/>
        <w:t xml:space="preserve">   concluir  la  necesidad  de  ordenar  la  modificación  de   normas   del</w:t>
        <w:br/>
        <w:t xml:space="preserve">   ordenamiento jurídico peruano, la creación de un  mecanismo  de  solución</w:t>
        <w:br/>
        <w:t xml:space="preserve">   amistosa, o la creación de una cátedra en universidades de Lima, Piura  y</w:t>
        <w:br/>
        <w:t xml:space="preserve">   el Callao, por lo que desestima la solicitud de los representantes en ese</w:t>
        <w:br/>
        <w:t xml:space="preserve">   extremo. Asimismo, la Corte recuerda que la ratificación de  instrumentos</w:t>
        <w:br/>
        <w:t xml:space="preserve">   internacionales es un acto del Estado que excede a la competencia de este</w:t>
        <w:br/>
        <w:t xml:space="preserve">   Tribunal, por lo que no le corresponde ordenar la ratificación de  nuevos</w:t>
        <w:br/>
        <w:t xml:space="preserve">   instrumentos internacionales; (v) que teniendo en  cuenta  los  elementos</w:t>
        <w:br/>
        <w:t xml:space="preserve">   explicados por el Estado sobre el funcionamiento de la tasa de aporte  de</w:t>
        <w:br/>
        <w:t xml:space="preserve">   ESSALUD, su naturaleza y la naturaleza de la obligación  a  cargo  de  la</w:t>
        <w:br/>
        <w:t xml:space="preserve">   entidad empleadora, así como la inexistencia de  prueba  respecto  a  los</w:t>
        <w:br/>
        <w:t xml:space="preserve">   gastos efectuados por la atención en salud de las  víctimas,  que  tengan</w:t>
        <w:br/>
        <w:t xml:space="preserve">   una clara relación de causalidad con las violaciones declaradas  en  esta</w:t>
        <w:br/>
        <w:t xml:space="preserve">   Sentencia, la Corte declara infundada la solicitud de los representantes.</w:t>
        <w:br/>
        <w:br/>
        <w:t>F. Reintegro de los gastos al Fondo de Asistencia Legal</w:t>
        <w:br/>
        <w:br/>
        <w:t>233. En el 2008 la Asamblea  General  de  la  Organización  de  los  Estados</w:t>
        <w:br/>
        <w:t xml:space="preserve">   Americanos creó el Fondo de Asistencia Legal del  Sistema  Interamericano</w:t>
        <w:br/>
        <w:t xml:space="preserve">   de Derechos Humanos (en adelante también “FALV”),  con  el  “objeto  [de]</w:t>
        <w:br/>
        <w:t xml:space="preserve">   facilitar el acceso al  sistema  interamericano  de  derechos  humanos  a</w:t>
        <w:br/>
        <w:t xml:space="preserve">   aquellas personas que actualmente no tienen los recursos necesarios  para</w:t>
        <w:br/>
        <w:t xml:space="preserve">   llevar su caso  al  sistema”[293].  En  el  presente  caso,  mediante  la</w:t>
        <w:br/>
        <w:t xml:space="preserve">   Resolución del Presidente de 22 de junio de 2016  (supra  párr.  11),  se</w:t>
        <w:br/>
        <w:t xml:space="preserve">   dispuso la asistencia del Fondo de Asistencia  Legal  para  sufragar  los</w:t>
        <w:br/>
        <w:t xml:space="preserve">   gastos razonables y necesarios, que en el presente caso consistieron  en:</w:t>
        <w:br/>
        <w:t xml:space="preserve">   i) la compra de boletos aéreos de Isi Antonia  Rosas  Meléndez,  Carolina</w:t>
        <w:br/>
        <w:t xml:space="preserve">   Maida Loayza Tamayo y Christian Courtis; ii) los viáticos de hospedaje  y</w:t>
        <w:br/>
        <w:t xml:space="preserve">   alimentación en la Ciudad de San José, Costa Rica, durante los  días  10,</w:t>
        <w:br/>
        <w:t xml:space="preserve">   11 y 12 de octubre de 2016 para la señora Isi Antonia Rosas Melendez, los</w:t>
        <w:br/>
        <w:t xml:space="preserve">   días 9, 10, 11, y 12 para la señora Carolina Loayza y los días  10  y  11</w:t>
        <w:br/>
        <w:t xml:space="preserve">   para el señor Courtis, iii) gastos  terminales  para  las  tres  personas</w:t>
        <w:br/>
        <w:t xml:space="preserve">   mencionadas, y iv) la formalización y envío  de  la  declaración  rendida</w:t>
        <w:br/>
        <w:t xml:space="preserve">   mediante affidavit por Gloria Nila Amabelia Moreno Cueva.</w:t>
        <w:br/>
        <w:br/>
        <w:t>234. Posteriormente, mediante nota de  Secretaría  de  la  Corte  de  14  de</w:t>
        <w:br/>
        <w:t xml:space="preserve">   diciembre de 2016, se dio oportunidad procesal al Estado de  presentar  a</w:t>
        <w:br/>
        <w:t xml:space="preserve">   más tardar el 22 de diciembre de 2016 sus observaciones al informe  sobre</w:t>
        <w:br/>
        <w:t xml:space="preserve">   las erogaciones realizadas en aplicación del Fondo de Asistencia Legal de</w:t>
        <w:br/>
        <w:t xml:space="preserve">   Víctimas, las cuales ascendieron  a  US$3,762.54  (tres  mil  setecientos</w:t>
        <w:br/>
        <w:t xml:space="preserve">   sesenta y dos dólares con 54 centavos de los Estados Unidos de América).</w:t>
        <w:br/>
        <w:br/>
        <w:t>235. El Estado sostuvo que respecto a la señora Carolina Loayza  Tamayo,  el</w:t>
        <w:br/>
        <w:t xml:space="preserve">   FALV sólo podía cubrir el alojamiento y los viáticos, por lo  que  no  le</w:t>
        <w:br/>
        <w:t xml:space="preserve">   quedaba claro el motivo por el que se incluyeron los boletos aéreos de la</w:t>
        <w:br/>
        <w:t xml:space="preserve">   representante. Por otra parte, señaló que no se presentó ningún documento</w:t>
        <w:br/>
        <w:t xml:space="preserve">   que sustentara  los  gastos  por  los  conceptos  de  viáticos  y  gastos</w:t>
        <w:br/>
        <w:t xml:space="preserve">   terminales con motivo de la participación de las señoras Loayza  y  Rosas</w:t>
        <w:br/>
        <w:t xml:space="preserve">   así como del señor Courtis, pues señaló que la  prueba  aportada  por  la</w:t>
        <w:br/>
        <w:t xml:space="preserve">   Corte sólo respalda la entrega  del  dinero,  mas  no  que  tales  montos</w:t>
        <w:br/>
        <w:t xml:space="preserve">   realmente hayan sido gastados por las personas indicadas. En  este  mismo</w:t>
        <w:br/>
        <w:t xml:space="preserve">   sentido, Perú hizo notar que la Corte menciona  en  su  informe  que  los</w:t>
        <w:br/>
        <w:t xml:space="preserve">   gastos de viáticos y terminales han sido definidos usando  como  base  de</w:t>
        <w:br/>
        <w:t xml:space="preserve">   referencia las tablas de viaticos y de terminales de la  Organización  de</w:t>
        <w:br/>
        <w:t xml:space="preserve">   los Estados  Americanos,  aplicables  a  la  ciudad  de  Quito,  Ecuador,</w:t>
        <w:br/>
        <w:t xml:space="preserve">   vigentes al mes de abril de 2016, que se anunciaron en el  Informe,  pero</w:t>
        <w:br/>
        <w:t xml:space="preserve">   que no fueron aportados, con lo que el Estado alegó encontrarse  limitado</w:t>
        <w:br/>
        <w:t xml:space="preserve">   para constatar la asignacion de los montos según dichos instrumentos.</w:t>
        <w:br/>
        <w:br/>
        <w:t>236. Sin perjuicio de lo mencionado, el Estado observó  que  en  la  primera</w:t>
        <w:br/>
        <w:t xml:space="preserve">   página de la sección de Tablas de Cálculo se mencionan hasta tres  montos</w:t>
        <w:br/>
        <w:t xml:space="preserve">   concernientes al concepto de “Per Diem Rate”  respecto  a  la  ciudad  de</w:t>
        <w:br/>
        <w:t xml:space="preserve">   Quito, no  precisándose  el  motivo  por  el  cual  se  hizo  el  cálculo</w:t>
        <w:br/>
        <w:t xml:space="preserve">   considerando el monto de $234.00 por  día  y  no  el  monto  de  $176.00.</w:t>
        <w:br/>
        <w:t xml:space="preserve">   Asimismo, el Estado cuestionó que se haya usado el concepto  de  víaticos</w:t>
        <w:br/>
        <w:t xml:space="preserve">   por todo el día lunes 10 de octubre de 2016 a favor del señor Courtis, si</w:t>
        <w:br/>
        <w:t xml:space="preserve">   el mismo llegó a la ciudad de San Francisco de Quito,  Ecuador,  casi  al</w:t>
        <w:br/>
        <w:t xml:space="preserve">   finalizar el día en mención (21:20 horas). El Estado hizo  notar  que  no</w:t>
        <w:br/>
        <w:t xml:space="preserve">   había relación entre las tablas de cálculo y los “gastos terminales”  que</w:t>
        <w:br/>
        <w:t xml:space="preserve">   realizaron los beneficiarios del FALV. Finalmente, el Estado  señaló  que</w:t>
        <w:br/>
        <w:t xml:space="preserve">   antes de ordenar a un Estado el reintegro al Fondo de los gastos  en  que</w:t>
        <w:br/>
        <w:t xml:space="preserve">   se  hubiese  incurrido,  la  Corte  deberá  determinar  que  en  el  caso</w:t>
        <w:br/>
        <w:t xml:space="preserve">   particular se configuraron violaciones a la Convención Americana, lo cual</w:t>
        <w:br/>
        <w:t xml:space="preserve">   a su consideración no ocurriría en el presente caso.</w:t>
        <w:br/>
        <w:br/>
        <w:t>237. En cuanto a las objeciones del Estado respecto a la supuesta  falta  de</w:t>
        <w:br/>
        <w:t xml:space="preserve">   documentación que sustente los montos erogados por concepto de viáticos y</w:t>
        <w:br/>
        <w:t xml:space="preserve">   gastos terminales, la Corte recuerda que de conformidad con el artículo 6</w:t>
        <w:br/>
        <w:t xml:space="preserve">   del  Reglamento  de  la  Corte  sobre  el  Funcionamiento  del  Fondo  de</w:t>
        <w:br/>
        <w:t xml:space="preserve">   Asistencia  Legal  de  Víctimas,  “a  falta  de  disposición  en  [dicho]</w:t>
        <w:br/>
        <w:t xml:space="preserve">   Reglamento,  o  en  caso  de  duda  sobre  su  interpretación,  la  Corte</w:t>
        <w:br/>
        <w:t xml:space="preserve">   decidirá”. Al respecto, desde que comenzó a funcionar el FALV[294],  este</w:t>
        <w:br/>
        <w:t xml:space="preserve">   Tribunal ha establecido como política entregar a las  personas  cubiertas</w:t>
        <w:br/>
        <w:t xml:space="preserve">   por el mismo, un monto fijo de viáticos,  lo  cual  incluye  hospedaje  y</w:t>
        <w:br/>
        <w:t xml:space="preserve">   alimentación, tomando como  base  de  referencia  la  tabla  de  viáticos</w:t>
        <w:br/>
        <w:t xml:space="preserve">   vigente de la OEA aplicable a la ciudad de  San  José,  Costa  Rica,  sin</w:t>
        <w:br/>
        <w:t xml:space="preserve">   necesidad de que presenten facturas que demuestren los gastos efectuados.</w:t>
        <w:br/>
        <w:t xml:space="preserve">   Lo anterior, dado que esta tabla refleja el  monto  que,  según  la  OEA,</w:t>
        <w:br/>
        <w:t xml:space="preserve">   razonablemente desembolsaría una persona en hospedaje y  alimentación  en</w:t>
        <w:br/>
        <w:t xml:space="preserve">   dicha  ciudad.  Asimismo,  el  procedimiento  de  pedir  facturas  a  los</w:t>
        <w:br/>
        <w:t xml:space="preserve">   beneficiarios  del  Fondo  de  Asistencia  por  los  viáticos   recibidos</w:t>
        <w:br/>
        <w:t xml:space="preserve">   presentaría serios obstáculos para la correcta y expedita  administración</w:t>
        <w:br/>
        <w:t xml:space="preserve">   del Fondo de Asistencia. También por esta razón es que en  cuanto  a  los</w:t>
        <w:br/>
        <w:t xml:space="preserve">   gastos terminales, es decir, los gastos por trasporte  para  el  traslado</w:t>
        <w:br/>
        <w:t xml:space="preserve">   hacia y desde la  estación  terminal  y  otros  gastos  incidentales,  el</w:t>
        <w:br/>
        <w:t xml:space="preserve">   Tribunal únicamente requiere que se comprueben aquellos gastos realizados</w:t>
        <w:br/>
        <w:t xml:space="preserve">   desde el punto de origen hasta la sede del Tribunal  en  Quito,  Ecuador,</w:t>
        <w:br/>
        <w:t xml:space="preserve">   siendo razonable que el mismo monto  sea  desembolsado  en  el  viaje  de</w:t>
        <w:br/>
        <w:t xml:space="preserve">   retorno. Por tanto, la Corte desestima las objeciones del Estado.</w:t>
        <w:br/>
        <w:br/>
        <w:t>238. Con base en lo anterior, en razón de las violaciones declaradas  en  la</w:t>
        <w:br/>
        <w:t xml:space="preserve">   presente Sentencia y que se cumplió con los requisitos para  acogerse  al</w:t>
        <w:br/>
        <w:t xml:space="preserve">   Fondo de Asistencia Legal de Víctimas,  la  Corte  ordena  al  Estado  el</w:t>
        <w:br/>
        <w:t xml:space="preserve">   reintegro a dicho Fondo  de  la  cantidad  de  USD  $3,762.54  (tres  mil</w:t>
        <w:br/>
        <w:t xml:space="preserve">   setescientos sesenta y dos dólares de los Estados Unidos de  América  con</w:t>
        <w:br/>
        <w:t xml:space="preserve">   cincuenta y cuatro centavos) por concepto de los gastos  realizados  para</w:t>
        <w:br/>
        <w:t xml:space="preserve">   la comparecencia de una interviniente común, una presunta  víctima  y  un</w:t>
        <w:br/>
        <w:t xml:space="preserve">   perito en la audiencia pública del presente caso  y  la  formalización  y</w:t>
        <w:br/>
        <w:t xml:space="preserve">   envío de un affidávit. Dicha cantidad deberá ser reintegrada en el  plazo</w:t>
        <w:br/>
        <w:t xml:space="preserve">   de noventa días, contados a partir de la notificación del presente Fallo.</w:t>
        <w:br/>
        <w:br/>
        <w:t>G. Costas y Gastos</w:t>
        <w:br/>
        <w:br/>
        <w:t xml:space="preserve">      G.1. Alegatos de las partes y de la Comisión</w:t>
        <w:br/>
        <w:br/>
        <w:t>239.  Un  representante  estableció  que  las  costas  y  gastos  deben  ser</w:t>
        <w:br/>
        <w:t xml:space="preserve">   calculados con base en el tiempo de tramitación de cada uno de los  casos</w:t>
        <w:br/>
        <w:t xml:space="preserve">   de trabajadores cesados de Petroperú, Enapu y MEF (19 años, 17 años y  14</w:t>
        <w:br/>
        <w:t xml:space="preserve">   años, respectivamente), que correspondan a  las  víctimas  representadas,</w:t>
        <w:br/>
        <w:t xml:space="preserve">   tanto en  instancias  nacionales,  como  en  instancias  internacionales,</w:t>
        <w:br/>
        <w:t xml:space="preserve">   incluyendo gestiones propias del caso, los asumidos de manera directa por</w:t>
        <w:br/>
        <w:t xml:space="preserve">   las  víctimas  y  las  asumidas  por  terceros.  Respecto  a  los  gastos</w:t>
        <w:br/>
        <w:t xml:space="preserve">   relacionados al trámite ante la CIDH, estableció que debe comprenderse el</w:t>
        <w:br/>
        <w:t xml:space="preserve">   envío  de  correspondencia  vía  courrier  y  correo  postal,  gastos  de</w:t>
        <w:br/>
        <w:t xml:space="preserve">   comunicación telefónica, fax e internet, copias, entre  otros.  Asimismo,</w:t>
        <w:br/>
        <w:t xml:space="preserve">   que se debe considerar la participación de las presuntas  víctimas,  como</w:t>
        <w:br/>
        <w:t xml:space="preserve">   el caso del señor Eduardo Chavarry, y de la señora Isi  Rosas,  y  de  la</w:t>
        <w:br/>
        <w:t xml:space="preserve">   Representante  Legal,  en  las  reuniones  de  trabajo  y/o   audiencias,</w:t>
        <w:br/>
        <w:t xml:space="preserve">   convocadas por la CIDH. En este sentido,  la  representante  solicitó  el</w:t>
        <w:br/>
        <w:t xml:space="preserve">   monto de S/. 29,834.07 (veinte nueve mil  ochocientos  treinta  y  cuatro</w:t>
        <w:br/>
        <w:t xml:space="preserve">   soles con siete centavos) lo que corresponde a  US$  8,905.69  (ocho  mil</w:t>
        <w:br/>
        <w:t xml:space="preserve">   dólares novescientos cinco  dólares  con  sesenta  y  nueve  centavos  de</w:t>
        <w:br/>
        <w:t xml:space="preserve">   dólares de los Estados Unidos de América).</w:t>
        <w:br/>
        <w:br/>
        <w:t>240. Otros representantes  solicitaron  el  pago  de  las  costas  y  gastos</w:t>
        <w:br/>
        <w:t xml:space="preserve">   generados en la tramitación del caso ante  los  órganos  de  jurisdicción</w:t>
        <w:br/>
        <w:t xml:space="preserve">   interna y ante los órganos del Sistema Interamericano.  En  ese  sentido,</w:t>
        <w:br/>
        <w:t xml:space="preserve">   agregaron que corresponderá al Tribunal fijar su  reembolso  en  términos</w:t>
        <w:br/>
        <w:t xml:space="preserve">   razonables y equitativos y dentro  de  los  parámetros  de  los  derechos</w:t>
        <w:br/>
        <w:t xml:space="preserve">   humanos, teniendo en cuenta las gestiones  realizadas  durante  20  años.</w:t>
        <w:br/>
        <w:t xml:space="preserve">   Además, los representantes solicitaron que se incluyan las gestiones ante</w:t>
        <w:br/>
        <w:t xml:space="preserve">   autoridades públicas para  la  recopilación  de  pruebas  de  expedientes</w:t>
        <w:br/>
        <w:t xml:space="preserve">   judiciales,  historias  clínicas,   tasas   judiciales,   y   gastos   de</w:t>
        <w:br/>
        <w:t xml:space="preserve">   tramitación, y la fijación de un monto por el pago  de  gastos  y  costas</w:t>
        <w:br/>
        <w:t xml:space="preserve">   tomando en cuenta el caso Canales Huapaya Vs. Perú.</w:t>
        <w:br/>
        <w:br/>
        <w:t>241. El Estado observó que un representante  presentó  tres  cuadros  en  su</w:t>
        <w:br/>
        <w:t xml:space="preserve">   ESAP relacionados a los gastos y costas  del  trámite  en  los  casos  de</w:t>
        <w:br/>
        <w:t xml:space="preserve">   Petroperú, Enapu y MEF, y tres anexos para cada  uno  de  los  casos  que</w:t>
        <w:br/>
        <w:t xml:space="preserve">   patrocina. Al respecto, el Estado señaló que dicha información no  guarda</w:t>
        <w:br/>
        <w:t xml:space="preserve">   relación entre lo que se señala en el cuadro dentro  del  escrito  y  los</w:t>
        <w:br/>
        <w:t xml:space="preserve">   cuadros que se presentan como anexos del mismo. El Estado resaltó que los</w:t>
        <w:br/>
        <w:t xml:space="preserve">   gastos y costas deben estar directamente  relacionados  con  el  presente</w:t>
        <w:br/>
        <w:t xml:space="preserve">   caso y el desarrollo del proceso en sí mismo,  por  lo  tanto,  se  deben</w:t>
        <w:br/>
        <w:t xml:space="preserve">   excluir  todos  aquellos  que  no  correspondan  y/o   no   se   vinculen</w:t>
        <w:br/>
        <w:t xml:space="preserve">   estrictamente al caso en concreto. Finalmente, solicitó a esta Corte  que</w:t>
        <w:br/>
        <w:t xml:space="preserve">   tenga en consideración el precedente relativo a gastos y  costas  que  se</w:t>
        <w:br/>
        <w:t xml:space="preserve">   determinó en los casos Aguado Alfaro y otros y Canales Huapaya y otros.</w:t>
        <w:br/>
        <w:br/>
        <w:t xml:space="preserve">      G.2. Consideraciones de la Corte</w:t>
        <w:br/>
        <w:br/>
        <w:t>242. La Corte reitera que, conforme a su jurisprudencia[295], las  costas  y</w:t>
        <w:br/>
        <w:t xml:space="preserve">   gastos hacen parte del concepto de reparación, toda vez que la  actividad</w:t>
        <w:br/>
        <w:t xml:space="preserve">   desplegada por las víctimas con el fin de obtener justicia, tanto a nivel</w:t>
        <w:br/>
        <w:t xml:space="preserve">   nacional  como  internacional,  implica   erogaciones   que   deben   ser</w:t>
        <w:br/>
        <w:t xml:space="preserve">   compensadas  cuando  la  responsabilidad  internacional  del  Estado   es</w:t>
        <w:br/>
        <w:t xml:space="preserve">   declarada mediante una sentencia condenatoria. En cuanto al reembolso  de</w:t>
        <w:br/>
        <w:t xml:space="preserve">   las costas y gastos, corresponde al Tribunal  apreciar  prudentemente  su</w:t>
        <w:br/>
        <w:t xml:space="preserve">   alcance, el cual comprende los gastos generados ante las  autoridades  de</w:t>
        <w:br/>
        <w:t xml:space="preserve">   la jurisdicción interna, así como los generados en el curso  del  proceso</w:t>
        <w:br/>
        <w:t xml:space="preserve">   ante el sistema interamericano, teniendo en cuenta las circunstancias del</w:t>
        <w:br/>
        <w:t xml:space="preserve">   caso concreto  y  la  naturaleza  de  la  jurisdicción  internacional  de</w:t>
        <w:br/>
        <w:t xml:space="preserve">   protección de derechos humanos. Esta apreciación puede ser realizada  con</w:t>
        <w:br/>
        <w:t xml:space="preserve">   base en el principio de equidad y tomando en cuenta los gastos  señalados</w:t>
        <w:br/>
        <w:t xml:space="preserve">   por las partes, siempre que su quantum sea razonable[296].</w:t>
        <w:br/>
        <w:br/>
        <w:t>243. Este Tribunal ha señalado que las pretensiones de las  víctimas  o  sus</w:t>
        <w:br/>
        <w:t xml:space="preserve">   representantes en materia de costas y  gastos,  y  las  pruebas  que  las</w:t>
        <w:br/>
        <w:t xml:space="preserve">   sustentan, deben presentarse a la Corte en el primer momento procesal que</w:t>
        <w:br/>
        <w:t xml:space="preserve">   se les concede, esto es, en el escrito de solicitudes y  argumentos,  sin</w:t>
        <w:br/>
        <w:t xml:space="preserve">   perjuicio  de  que  tales  pretensiones  se  actualicen  en  un   momento</w:t>
        <w:br/>
        <w:t xml:space="preserve">   posterior, conforme a las nuevas costas y gastos en que se haya incurrido</w:t>
        <w:br/>
        <w:t xml:space="preserve">   con ocasión del procedimiento ante esta Corte[297].  Asimismo,  la  Corte</w:t>
        <w:br/>
        <w:t xml:space="preserve">   reitera que no es suficiente la remisión de documentos probatorios,  sino</w:t>
        <w:br/>
        <w:t xml:space="preserve">   que se requiere que las partes hagan una argumentación que  relacione  la</w:t>
        <w:br/>
        <w:t xml:space="preserve">   prueba con el hecho que se considera representado, y que, al tratarse  de</w:t>
        <w:br/>
        <w:t xml:space="preserve">   alegados desembolsos económicos, se establezcan con claridad los rubros y</w:t>
        <w:br/>
        <w:t xml:space="preserve">   la justificación de los mismos[298].</w:t>
        <w:br/>
        <w:br/>
        <w:t>244. En el presente caso, no consta en  el  expediente  respaldo  probatorio</w:t>
        <w:br/>
        <w:t xml:space="preserve">   suficiente en relación con las costas y gastos en los cuales  incurrieron</w:t>
        <w:br/>
        <w:t xml:space="preserve">   las víctimas o sus representantes.  Sin  embargo,  una  representante  ha</w:t>
        <w:br/>
        <w:t xml:space="preserve">   señalado algunos montos calculados con base  en  ciertos  comprobantes  y</w:t>
        <w:br/>
        <w:t xml:space="preserve">   tablas elaboradas por el mismo. Sobre los montos solicitados  por  la  un</w:t>
        <w:br/>
        <w:t xml:space="preserve">   representante, esta Corte nota  que  no  hay  correspondencia  entre  los</w:t>
        <w:br/>
        <w:t xml:space="preserve">   comprobantes y las tablas anexadas, y los montos solitados en el  escrito</w:t>
        <w:br/>
        <w:t xml:space="preserve">   de solicitudes, argumentos y pruebas. Por parte de otros  representantes,</w:t>
        <w:br/>
        <w:t xml:space="preserve">   no fue solicitado ante esta Corte el otorgamiento de  montos  específicos</w:t>
        <w:br/>
        <w:t xml:space="preserve">   por concepto de gastos y costas.</w:t>
        <w:br/>
        <w:br/>
        <w:br/>
        <w:t>245. Teniendo en cuenta  lo  anterior,  y  ante  la  falta  de  comprobantes</w:t>
        <w:br/>
        <w:t xml:space="preserve">   oficiales de gastos incurridos  por  parte  de  las  víctimas  o  de  sus</w:t>
        <w:br/>
        <w:t xml:space="preserve">   representantes, el Tribunal fija, en equidad, que el Estado debe pagar la</w:t>
        <w:br/>
        <w:t xml:space="preserve">   cantidad total de US$ 35,000.00 (treinta  y  cinco  mil  dólares  de  los</w:t>
        <w:br/>
        <w:t xml:space="preserve">   Estados Unidos de América) por concepto de costas y gastos en el  litigio</w:t>
        <w:br/>
        <w:t xml:space="preserve">   del presente caso para la  representante  Loayza  Tamayo;  US$  30,000.00</w:t>
        <w:br/>
        <w:t xml:space="preserve">   (treinta mil dólares de los Estados Unidos de América)  por  concepto  de</w:t>
        <w:br/>
        <w:t xml:space="preserve">   costas y gastos en el litigio del presente caso para los señores Paiba  y</w:t>
        <w:br/>
        <w:t xml:space="preserve">   Paredes, monto que debe ser dividido entre ambos representantes en partes</w:t>
        <w:br/>
        <w:t xml:space="preserve">   iguales; y US$ 5,000.00 (cinco mil  dólares  de  los  Estados  Unidos  de</w:t>
        <w:br/>
        <w:t xml:space="preserve">   América) por concepto de costas y gastos en el litigio del presente  caso</w:t>
        <w:br/>
        <w:t xml:space="preserve">   para  la  señora  Roxana  Palomino.  Estos  montos  deberán  ser  pagados</w:t>
        <w:br/>
        <w:t xml:space="preserve">   directamente a cada uno de los representantes de las  presuntas  víctimas</w:t>
        <w:br/>
        <w:t xml:space="preserve">   en el presente caso.</w:t>
        <w:br/>
        <w:br/>
        <w:t>H. Modalidad de cumplimiento de los pagos ordenados</w:t>
        <w:br/>
        <w:br/>
        <w:t>246. El Estado deberá efectuar el pago de las indemnizaciones  por  concepto</w:t>
        <w:br/>
        <w:t xml:space="preserve">   de daño  material  e  inmaterial  y  el  reintegro  de  costas  y  gastos</w:t>
        <w:br/>
        <w:t xml:space="preserve">   establecidos  en  la  presente  Sentencia  directamente  a  las  personas</w:t>
        <w:br/>
        <w:t xml:space="preserve">   indicadas en la misma dentro del plazo de un año, contado a partir de  la</w:t>
        <w:br/>
        <w:t xml:space="preserve">   notificación del presente Fallo.</w:t>
        <w:br/>
        <w:br/>
        <w:t>247. En caso de los que beneficiarios hayan fallecido o fallezcan  antes  de</w:t>
        <w:br/>
        <w:t xml:space="preserve">   que les sea entregada la  indemnización  respectiva,  ésta  se  efectuará</w:t>
        <w:br/>
        <w:t xml:space="preserve">   directamente  a  sus  derechohabientes,  conforme  al   derecho   interno</w:t>
        <w:br/>
        <w:t xml:space="preserve">   aplicable.</w:t>
        <w:br/>
        <w:br/>
        <w:t>248. El Estado debe cumplir sus obligaciones monetarias mediante el pago  en</w:t>
        <w:br/>
        <w:t xml:space="preserve">   dólares de los Estados Unidos de  América  o  su  equivalente  en  moneda</w:t>
        <w:br/>
        <w:t xml:space="preserve">   nacional, utilizando para el cálculo respectivo el tipo de cambio que  se</w:t>
        <w:br/>
        <w:t xml:space="preserve">   encuentre vigente en la bolsa de Nueva York, Estados Unidos  de  América,</w:t>
        <w:br/>
        <w:t xml:space="preserve">   el día anterior al pago.</w:t>
        <w:br/>
        <w:br/>
        <w:t>249. Si por causas atribuibles a los beneficiarios de las indemnizaciones  o</w:t>
        <w:br/>
        <w:t xml:space="preserve">   a sus derechohabientes  no  fuese  posible  el  pago  de  las  cantidades</w:t>
        <w:br/>
        <w:t xml:space="preserve">   determinadas dentro del  plazo  indicado,  el  Estado  consignará  dichos</w:t>
        <w:br/>
        <w:t xml:space="preserve">   montos a su favor  en  una  cuenta  o  certificado  de  depósito  en  una</w:t>
        <w:br/>
        <w:t xml:space="preserve">   institución financiera peruana solvente, en dólares estadounidenses, y en</w:t>
        <w:br/>
        <w:t xml:space="preserve">   las condiciones financieras más favorables que permitan la legislación  y</w:t>
        <w:br/>
        <w:t xml:space="preserve">   la práctica bancaria. Si no se reclama la  indemnización  correspondiente</w:t>
        <w:br/>
        <w:t xml:space="preserve">   una vez transcurridos cinco  años,  las  cantidades  serán  devueltas  al</w:t>
        <w:br/>
        <w:t xml:space="preserve">   Estado.</w:t>
        <w:br/>
        <w:br/>
        <w:t>250. Las cantidades asignadas en la presente Sentencia como indemnización  y</w:t>
        <w:br/>
        <w:t xml:space="preserve">   como reintegro de costas y gastos deberán ser entregadas a  las  personas</w:t>
        <w:br/>
        <w:t xml:space="preserve">   indicadas en forma íntegra, conforme a lo establecido en esta  Sentencia,</w:t>
        <w:br/>
        <w:t xml:space="preserve">   sin reducciones derivadas de eventuales cargas fiscales.</w:t>
        <w:br/>
        <w:br/>
        <w:t>251. En caso de que el Estado incurriera en mora, deberá  pagar  un  interés</w:t>
        <w:br/>
        <w:t xml:space="preserve">   sobre la cantidad adeudada correspondiente al interés bancario  moratorio</w:t>
        <w:br/>
        <w:t xml:space="preserve">   en la República del Perú.</w:t>
        <w:br/>
        <w:br/>
        <w:t xml:space="preserve">                                      X</w:t>
        <w:br/>
        <w:t xml:space="preserve">                             PUNTOS RESOLUTIVOS</w:t>
        <w:br/>
        <w:br/>
        <w:t>252. Por tanto,</w:t>
        <w:br/>
        <w:br/>
        <w:t>LA CORTE</w:t>
        <w:br/>
        <w:br/>
        <w:t>DECIDE:</w:t>
        <w:br/>
        <w:br/>
        <w:t>Por unanimidad:</w:t>
        <w:br/>
        <w:br/>
        <w:br/>
        <w:t>1. Que esta Sentencia constituye por sí misma una forma de reparación.</w:t>
        <w:br/>
        <w:br/>
        <w:t>2. Declarar inadmisible la excepción preliminar interpuesta por el  Estado</w:t>
        <w:br/>
        <w:t xml:space="preserve">   respecto a la falta de competencia de la Corte en razón de  la  materia,</w:t>
        <w:br/>
        <w:t xml:space="preserve">   en los términos del párrafo 48 de la presente Sentencia.</w:t>
        <w:br/>
        <w:br/>
        <w:t>Por seis votos a favor y uno en contra:</w:t>
        <w:br/>
        <w:br/>
        <w:br/>
        <w:t>3. Declarar inadmisible la excepción preliminar interpuesta por el  Estado</w:t>
        <w:br/>
        <w:t xml:space="preserve">   respecto a la falta de agotamiento de recursos internos por parte de los</w:t>
        <w:br/>
        <w:t xml:space="preserve">   trabajadores de Petroperú, en los términos de los párrafos 27 a 44 de la</w:t>
        <w:br/>
        <w:t xml:space="preserve">   presente Sentencia.</w:t>
        <w:br/>
        <w:br/>
        <w:t>DECLARA:</w:t>
        <w:br/>
        <w:br/>
        <w:t>Por unanimidad, que:</w:t>
        <w:br/>
        <w:br/>
        <w:t>4. El Estado es  responsable  por  la  violación  a  los  derechos  a  las</w:t>
        <w:br/>
        <w:t xml:space="preserve">   garantías judiciales  y  la  protección  judicial,  consagrados  en  los</w:t>
        <w:br/>
        <w:t xml:space="preserve">   artículos 8 y 25 de la Convención Americana sobre Derechos  Humanos,  en</w:t>
        <w:br/>
        <w:t xml:space="preserve">   relación con el artículo 1.1 del mismo instrumento, en perjuicio de  los</w:t>
        <w:br/>
        <w:t xml:space="preserve">   25 trabajadores de Enapu, los  39  trabajadores  de  Minedu,  y  los  15</w:t>
        <w:br/>
        <w:t xml:space="preserve">   trabajadores de MEF, listados  en  el  anexo  adjuntado  a  la  presente</w:t>
        <w:br/>
        <w:t xml:space="preserve">   Sentencia, de conformidad con los párrafos 159 a 162 y 173 a 181  de  la</w:t>
        <w:br/>
        <w:t xml:space="preserve">   presente Sentencia.</w:t>
        <w:br/>
        <w:br/>
        <w:br/>
        <w:t>5. El Estado no es responsable por  la  violación  del  deber  de  adoptar</w:t>
        <w:br/>
        <w:t xml:space="preserve">   disposiciones de derecho interno en sí mismo, consagrado en el  artículo</w:t>
        <w:br/>
        <w:t xml:space="preserve">   2 de la Convención Americana sobre Derechos Humanos de  conformidad  con</w:t>
        <w:br/>
        <w:t xml:space="preserve">   los párrafos 186 y 187 de la presente Sentencia.</w:t>
        <w:br/>
        <w:br/>
        <w:t>Por seis votos a favor y uno en contra, que:</w:t>
        <w:br/>
        <w:br/>
        <w:t>6. El Estado es  responsable  por  la  violación  a  los  derechos  a  las</w:t>
        <w:br/>
        <w:t xml:space="preserve">   garantías judiciales  y  la  protección  judicial,  consagrados  en  los</w:t>
        <w:br/>
        <w:t xml:space="preserve">   artículos 8 y 25 de la Convención Americana sobre Derechos  Humanos,  en</w:t>
        <w:br/>
        <w:t xml:space="preserve">   relación con el artículo 1.1 del mismo instrumento, en perjuicio de  los</w:t>
        <w:br/>
        <w:t xml:space="preserve">   85 trabajadores de Petroperú,  listados  en  el  anexo  adjuntado  a  la</w:t>
        <w:br/>
        <w:t xml:space="preserve">   presente Sentencia, de conformidad con los párrafos  163  a  172  de  la</w:t>
        <w:br/>
        <w:t xml:space="preserve">   presente Sentencia.</w:t>
        <w:br/>
        <w:br/>
        <w:t>Por cinco votos a favor y dos en contra, que:</w:t>
        <w:br/>
        <w:br/>
        <w:t>7. El Estado es responsable por  la  violación  del  derecho  al  trabajo,</w:t>
        <w:br/>
        <w:t xml:space="preserve">   consagrado en el artículo 26 de la Convención Americana  sobre  Derechos</w:t>
        <w:br/>
        <w:t xml:space="preserve">   Humanos, en relación con el  artículo  1.1  del  mismo  instrumento,  en</w:t>
        <w:br/>
        <w:t xml:space="preserve">   perjuicio de los 85 trabajadores de Petroperú, los  25  trabajadores  de</w:t>
        <w:br/>
        <w:t xml:space="preserve">   Enapu, los 39 trabajadores de Minedu, y los  15  trabajadores  del  MEF,</w:t>
        <w:br/>
        <w:t xml:space="preserve">   listados en el anexo adjuntado a la presente Sentencia,  de  conformidad</w:t>
        <w:br/>
        <w:t xml:space="preserve">   con los párrafos 192 y 193 de la presente Sentencia.</w:t>
        <w:br/>
        <w:br/>
        <w:t>Los jueces Eduardo Vio Grossi y Humberto Sierra Porto hicieron  conocer  a</w:t>
        <w:br/>
        <w:t>la Corte sus votos parcialmente  disidentes,  los  cuales  acompañan  esta</w:t>
        <w:br/>
        <w:t>Sentencia.</w:t>
        <w:br/>
        <w:br/>
        <w:t>Y DISPONE:</w:t>
        <w:br/>
        <w:br/>
        <w:t>Por unanimidad, que:</w:t>
        <w:br/>
        <w:br/>
        <w:t>8. El Estado debe realizar, en el plazo de seis meses contado a partir  de</w:t>
        <w:br/>
        <w:t xml:space="preserve">   la notificación de la presente Sentencia, las publicaciones ordenadas en</w:t>
        <w:br/>
        <w:t xml:space="preserve">   los términos del párrafo 211 del presente Fallo.</w:t>
        <w:br/>
        <w:br/>
        <w:t>9. El Estado debe pagar las cantidades fijadas en los párrafos 218, 222  y</w:t>
        <w:br/>
        <w:t xml:space="preserve">   228 de la presente Sentencia, por concepto de indemnizaciones por  daños</w:t>
        <w:br/>
        <w:t xml:space="preserve">   materiales e inmateriales y por el reintegro de  costas  y  gastos,  así</w:t>
        <w:br/>
        <w:t xml:space="preserve">   como el reintegro al Fondo de  Asistencia  Legal  de  Víctimas,  en  los</w:t>
        <w:br/>
        <w:t xml:space="preserve">   términos de los párrafos 238 y 245 del presente Fallo.</w:t>
        <w:br/>
        <w:br/>
        <w:t>10. El Estado debe, dentro del plazo de un año  contado  a  partir  de  la</w:t>
        <w:br/>
        <w:t xml:space="preserve">   notificación de esta Sentencia, rendir al Tribunal un informe sobre  las</w:t>
        <w:br/>
        <w:t xml:space="preserve">   medidas adoptadas para cumplir con la misma.</w:t>
        <w:br/>
        <w:br/>
        <w:t>11. La Corte supervisará el cumplimiento íntegro  de  esta  Sentencia,  en</w:t>
        <w:br/>
        <w:t xml:space="preserve">   ejercicio de sus atribuciones y en cumplimiento de sus deberes  conforme</w:t>
        <w:br/>
        <w:t xml:space="preserve">   a la Convención Americana sobre Derechos Humanos, y dará  por  concluido</w:t>
        <w:br/>
        <w:t xml:space="preserve">   el presente caso una vez que el Estado haya dado cabal cumplimiento a lo</w:t>
        <w:br/>
        <w:t xml:space="preserve">   dispuesto en la misma.</w:t>
        <w:br/>
        <w:br/>
        <w:br/>
        <w:t>Redactada en español en San José, Costa Rica, el 23 de noviembre de 2017.</w:t>
        <w:br/>
        <w:br/>
        <w:t>Corte IDH.  Caso  Trabajadores  Cesados  de  Petroperú  y  otros  vs.  Perú.</w:t>
        <w:br/>
        <w:t>Sentencia de la Corte Interamericana de Derechos Humanos de 23 de  noviembre</w:t>
        <w:br/>
        <w:t>de 2017.</w:t>
        <w:br/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br/>
        <w:br/>
        <w:br/>
        <w:t>Eduardo Ferrer Mac-Gregor Poisot                                Eduardo  Vio</w:t>
        <w:br/>
        <w:t>Grossi</w:t>
        <w:br/>
        <w:br/>
        <w:br/>
        <w:br/>
        <w:br/>
        <w:br/>
        <w:t>Humberto Antonio Sierra Porto                                Elizabeth  Odio</w:t>
        <w:br/>
        <w:t>Benito</w:t>
        <w:br/>
        <w:br/>
        <w:br/>
        <w:br/>
        <w:br/>
        <w:br/>
        <w:t>Eugenio Raúl Zaffaroni                                    L. Patricio</w:t>
        <w:br/>
        <w:t>Pazmiño Freire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t xml:space="preserve">                                   Anexo I</w:t>
        <w:br/>
        <w:t xml:space="preserve">                              Tabla de víctimas</w:t>
        <w:br/>
        <w:t xml:space="preserve">                       Caso Petroperú y otros Vs Perú</w:t>
        <w:br/>
        <w:br/>
        <w:t>|Petroperú                            |</w:t>
        <w:br/>
        <w:t>|1. Gregorio Jaime Noriega Gonzáles   |</w:t>
        <w:br/>
        <w:t>|2. Delia Arévalo de Benites          |</w:t>
        <w:br/>
        <w:t>|3. María Elba Marchán Avila          |</w:t>
        <w:br/>
        <w:t>|4. César Augusto Antón Olaya         |</w:t>
        <w:br/>
        <w:t>|5. Víctor Manuel Garay Espinoza      |</w:t>
        <w:br/>
        <w:t>|6. Luciano Sandoval Villaseca        |</w:t>
        <w:br/>
        <w:t>|7. Julio Cesar Sernaque Azáldegui    |</w:t>
        <w:br/>
        <w:t>|8. Javier Arnaldo Espinoza Vargas    |</w:t>
        <w:br/>
        <w:t>|9. Juvenal Paz Arévalo               |</w:t>
        <w:br/>
        <w:t>|10. Cruz Alberto More Bayona         |</w:t>
        <w:br/>
        <w:t>|11. Leonarda Montero Silupú          |</w:t>
        <w:br/>
        <w:t>|12. Helber Roel Romero Rivera        |</w:t>
        <w:br/>
        <w:t>|13. María Eusebia Sancarranco        |</w:t>
        <w:br/>
        <w:t>|Barrientos                           |</w:t>
        <w:br/>
        <w:t>|14. María Esther Medina Crisanto de  |</w:t>
        <w:br/>
        <w:t>|Zapata                               |</w:t>
        <w:br/>
        <w:t>|15. Neptalí Aguirre Maldonado        |</w:t>
        <w:br/>
        <w:t>|16. Manuel Antonio Calle Atoche      |</w:t>
        <w:br/>
        <w:t>|17. Carlos Alberto Zapata Olaya      |</w:t>
        <w:br/>
        <w:t>|18. Carlos Alberto Galán Castillo    |</w:t>
        <w:br/>
        <w:t>|19. Guadalupe Risco de Guerrero      |</w:t>
        <w:br/>
        <w:t>|20. Gerber Acedo Martínez            |</w:t>
        <w:br/>
        <w:t>|21. Lilia Flores viuda de Benites    |</w:t>
        <w:br/>
        <w:t>|22. Nolrberto Vilela Jiménez         |</w:t>
        <w:br/>
        <w:t>|23. Agustín Acedo Martínez           |</w:t>
        <w:br/>
        <w:t>|24. Nyrliam García Viera             |</w:t>
        <w:br/>
        <w:t>|25. Oholger Wiston Benites Zárate    |</w:t>
        <w:br/>
        <w:t>|26. Wilson Seminario Agurto          |</w:t>
        <w:br/>
        <w:t>|27. Ricardo Romualdo Vílchez Valverde|</w:t>
        <w:br/>
        <w:t>|28. Carlos Eduardo Oliva Borja       |</w:t>
        <w:br/>
        <w:t>|29. María Anita Zavala viuda de Vidal|</w:t>
        <w:br/>
        <w:t>|30. Luís Mogollón Granda             |</w:t>
        <w:br/>
        <w:t>|31. Jorge Martínez Amaya             |</w:t>
        <w:br/>
        <w:t>|32. Juan Felix Benítes Gómez         |</w:t>
        <w:br/>
        <w:t>|33. Antonio Esparza Huamán           |</w:t>
        <w:br/>
        <w:t>|34. Maritza Amaya Cobeñas            |</w:t>
        <w:br/>
        <w:t>|35. Manuel Jesús Paiva Pacherres     |</w:t>
        <w:br/>
        <w:t>|36. Irma Morales López               |</w:t>
        <w:br/>
        <w:t>|37. Wilmer Santiago Gil Rosales      |</w:t>
        <w:br/>
        <w:t>|38. Julio Chiroque Silva             |</w:t>
        <w:br/>
        <w:t>|39. Rosa Castillo Marcelo            |</w:t>
        <w:br/>
        <w:t>|40. Agustina Mendoza Morales         |</w:t>
        <w:br/>
        <w:t>|41. José Juan Obando Reto            |</w:t>
        <w:br/>
        <w:t>|42. Luís Arturo Vallejo Agurto       |</w:t>
        <w:br/>
        <w:t>|43. Ana María Rojas Flores           |</w:t>
        <w:br/>
        <w:t>|44. Fredesvinda Sócola viuda de      |</w:t>
        <w:br/>
        <w:t>|Carrillo                             |</w:t>
        <w:br/>
        <w:t>|45. Elmer Hernan Arrazabal Gallo     |</w:t>
        <w:br/>
        <w:t>|46. Raúl Clavijo Domínguez           |</w:t>
        <w:br/>
        <w:t>|47. Leither Quevedo Saavedra         |</w:t>
        <w:br/>
        <w:t>|48. Eduardo Emiliano Chavarry Vélez  |</w:t>
        <w:br/>
        <w:t>|49. Pedro Santos Chumpitaz Sócola    |</w:t>
        <w:br/>
        <w:t>|50. Luís Oswaldo Duque Morán         |</w:t>
        <w:br/>
        <w:t>|51. Segundo Barrientos Olivos        |</w:t>
        <w:br/>
        <w:t>|52. Pedro Rogelio Carrasco Talledo   |</w:t>
        <w:br/>
        <w:t>|53. Juan Antonio Echandía Ochoa      |</w:t>
        <w:br/>
        <w:t>|54. Asunción Mechato Sernaque        |</w:t>
        <w:br/>
        <w:t>|55. Eduardo Panta Valladares         |</w:t>
        <w:br/>
        <w:t>|56. José Torres Namuche              |</w:t>
        <w:br/>
        <w:t>|57. Luís Abad Saldarriaga            |</w:t>
        <w:br/>
        <w:t>|58. Gregorio Albuquerque Carrillo    |</w:t>
        <w:br/>
        <w:t>|59. William Jacinto Aleman Benitez   |</w:t>
        <w:br/>
        <w:t>|60. Sebastián Amaya Fiestas          |</w:t>
        <w:br/>
        <w:t>|61. Jorge Cabanillas Dedios          |</w:t>
        <w:br/>
        <w:t>|62. Santos Calderón Ávila            |</w:t>
        <w:br/>
        <w:t>|63. Luís Tadeo Carrasco Lozada       |</w:t>
        <w:br/>
        <w:t>|64. Alberto Chira Guerrero           |</w:t>
        <w:br/>
        <w:t>|65. Mario Alberto Duque Mogollón     |</w:t>
        <w:br/>
        <w:t>|66. Jaime Garcés Sandoval            |</w:t>
        <w:br/>
        <w:t>|67. Carlos Garcés Solís              |</w:t>
        <w:br/>
        <w:t>|68. Gonzalo Guinocchio Guerrero      |</w:t>
        <w:br/>
        <w:t>|69. Pedro Infante Antón              |</w:t>
        <w:br/>
        <w:t>|70. José William Jacinto Zavala      |</w:t>
        <w:br/>
        <w:t>|71. Pedro López Antón                |</w:t>
        <w:br/>
        <w:t>|72. Abraham Montero Ramírez          |</w:t>
        <w:br/>
        <w:t>|73. Emilio Augusto Morales Silva     |</w:t>
        <w:br/>
        <w:t>|74. Miguel Hugo Morán García         |</w:t>
        <w:br/>
        <w:t>|75. Ricardo Quevedo Herrera          |</w:t>
        <w:br/>
        <w:t>|76. Edwin Quevedo Saavedra           |</w:t>
        <w:br/>
        <w:t>|77. José Félix Saavedra Medina       |</w:t>
        <w:br/>
        <w:t>|78. Catalino Sandoval Ancajima       |</w:t>
        <w:br/>
        <w:t>|79. Dionisio Sandoval Flores         |</w:t>
        <w:br/>
        <w:t>|80. Joaquín Wilberto Santillán Zavala|</w:t>
        <w:br/>
        <w:t>|81. Luís Tavara Ramírez              |</w:t>
        <w:br/>
        <w:t>|82. Jorge Carlos Tinedo Puell        |</w:t>
        <w:br/>
        <w:t>|83. Oscar Valiente Paico             |</w:t>
        <w:br/>
        <w:t>|84. Felito Vitonera Saldarriaga      |</w:t>
        <w:br/>
        <w:t>|85. Federico Enrique Mena Cosavalente|</w:t>
        <w:br/>
        <w:t>|Ministerio de Educación              |</w:t>
        <w:br/>
        <w:t>|1. Nila Acuña Díaz                   |</w:t>
        <w:br/>
        <w:t>|2. Ernesto Arauco Pérez              |</w:t>
        <w:br/>
        <w:t>|3. Luis Armando Arditto Paganini     |</w:t>
        <w:br/>
        <w:t>|4. Margarita Teodolinda Ávalos       |</w:t>
        <w:br/>
        <w:t>|Navarro                              |</w:t>
        <w:br/>
        <w:t>|5. Blanca Flor Ayala Cuya de Pérez   |</w:t>
        <w:br/>
        <w:t>|6. Aída Rosana Centeno Manrique      |</w:t>
        <w:br/>
        <w:t>|7. Julio César Chávez López          |</w:t>
        <w:br/>
        <w:t>|8. Nilson Severo Chirinos Chirinos   |</w:t>
        <w:br/>
        <w:t>|9. Alejandro Rogelio Collantes Lavado|</w:t>
        <w:br/>
        <w:t>|10. Alcides Corcino Tacuri Vega      |</w:t>
        <w:br/>
        <w:t>|11. Manuel Eugenio Paiba Cossios     |</w:t>
        <w:br/>
        <w:t>|12. Manuel Eduardo Coz Orellana      |</w:t>
        <w:br/>
        <w:t>|13. Gloria Lily Castillo Fernández   |</w:t>
        <w:br/>
        <w:t>|Baca                                 |</w:t>
        <w:br/>
        <w:t>|14. Juana Adriana Del Carpio Lagunas |</w:t>
        <w:br/>
        <w:t>|15. Leoncio Gamarra Cholán           |</w:t>
        <w:br/>
        <w:t>|16. Herminio García Gómez            |</w:t>
        <w:br/>
        <w:t>|17. Rosa Belinda Gayoso Tapia        |</w:t>
        <w:br/>
        <w:t>|18. Eloy Abel Huapaya Quispe         |</w:t>
        <w:br/>
        <w:t>|19. Aída Nelly Loroña Córdova        |</w:t>
        <w:br/>
        <w:t>|20. Elva Rosario Mauricio Alvarado   |</w:t>
        <w:br/>
        <w:t>|21. Luz Caridad Mena Sánchez         |</w:t>
        <w:br/>
        <w:t>|22. Cristina Felicitas Molina Córdova|</w:t>
        <w:br/>
        <w:t>|23. Víctor Montalván Domínguez       |</w:t>
        <w:br/>
        <w:t>|24. Jorge Emiliano Palomino Huamaní  |</w:t>
        <w:br/>
        <w:t>|25. Natividad Guadía Palomino Vargas |</w:t>
        <w:br/>
        <w:t>|26. Gregorio Paredes Chipana         |</w:t>
        <w:br/>
        <w:t>|27. Sonia Noemí Peralta Roca         |</w:t>
        <w:br/>
        <w:t>|28. Flora María Porras Aquino        |</w:t>
        <w:br/>
        <w:t>|29. Judith Reyes Campana             |</w:t>
        <w:br/>
        <w:t>|30. Nelson Enrique Rosas Martel      |</w:t>
        <w:br/>
        <w:t>|31. Villy Cancino Quezada            |</w:t>
        <w:br/>
        <w:t>|32. Frida Ramírez Caja               |</w:t>
        <w:br/>
        <w:t>|33. Norma Yolanda Soto Caballero     |</w:t>
        <w:br/>
        <w:t>|34. Carlos Alberto Sotomayor Blas    |</w:t>
        <w:br/>
        <w:t>|35. Marina Tarazona Tinoco           |</w:t>
        <w:br/>
        <w:t>|36. Ermith Trigozo Lozano            |</w:t>
        <w:br/>
        <w:t>|37. Fernando Eulogio Valdivia        |</w:t>
        <w:br/>
        <w:t>|Altamirano                           |</w:t>
        <w:br/>
        <w:t>|38. Frida Hortensia Villanueva Cauti |</w:t>
        <w:br/>
        <w:t>|39. Eduardo Guillermo Zavala Villar  |</w:t>
        <w:br/>
        <w:t>|Ministerio de Economía y Finanzas    |</w:t>
        <w:br/>
        <w:t>|1. Gloria Nila Amabelia Moreno Cueva |</w:t>
        <w:br/>
        <w:t>|2. Eliana Zavala Urbiola             |</w:t>
        <w:br/>
        <w:t>|3. Nidia Luisa Blanco Castro         |</w:t>
        <w:br/>
        <w:t>|4. Fortunato Crispín Crispín         |</w:t>
        <w:br/>
        <w:t>|5. Lorenzo Hernán Suárez Aparcana    |</w:t>
        <w:br/>
        <w:t>|6. Fanny Rosa Pinto Loaces           |</w:t>
        <w:br/>
        <w:t>|7. Rafael Fritz Poma Guerra          |</w:t>
        <w:br/>
        <w:t>|8. Eduardo Bernardo Colan Vargas     |</w:t>
        <w:br/>
        <w:t>|9. Marissa Paulina Huamán Valle      |</w:t>
        <w:br/>
        <w:t>|10. Walter Hugo Neyra Huamanchumo    |</w:t>
        <w:br/>
        <w:t>|11. Jaime Díaz Idrogo                |</w:t>
        <w:br/>
        <w:t>|12. Segundo Gilberto León Barturén   |</w:t>
        <w:br/>
        <w:t>|13. Luis Anatolio Del Castillo       |</w:t>
        <w:br/>
        <w:t>|Florián                              |</w:t>
        <w:br/>
        <w:t>|14. Julia Miryam Flores Hilario      |</w:t>
        <w:br/>
        <w:t>|15. Lucio Juan Chávez Quiñones       |</w:t>
        <w:br/>
        <w:t>|Empresa Nacional de Puertos          |</w:t>
        <w:br/>
        <w:t>|1. Víctor Acuña Dávila               |</w:t>
        <w:br/>
        <w:t>|2. Alberto Esteban Antonio Chala     |</w:t>
        <w:br/>
        <w:t>|3. Justo Esteban Azcárate Noguera    |</w:t>
        <w:br/>
        <w:t>|4. Abraham Máximo Cano Rebaza        |</w:t>
        <w:br/>
        <w:t>|5. Marco Antonio Castro Martínez     |</w:t>
        <w:br/>
        <w:t>|6. María Gladys Delgado Arriola      |</w:t>
        <w:br/>
        <w:t>|7. Rogelio Delgado Quijano           |</w:t>
        <w:br/>
        <w:t>|8. David Desiglioli Sánchez          |</w:t>
        <w:br/>
        <w:t>|9. Juan Leslie Espinoza Eyzaguirre   |</w:t>
        <w:br/>
        <w:t>|10. Jorge Federico García Farías     |</w:t>
        <w:br/>
        <w:t>|11. Carlos Alberto Lizarbe Nieto     |</w:t>
        <w:br/>
        <w:t>|12. Nancy Giomar Mac Gregor Alvis    |</w:t>
        <w:br/>
        <w:t>|13. Juan Carlos Marraguerra Ayllon   |</w:t>
        <w:br/>
        <w:t>|14. Honorato Mayorga Blanco          |</w:t>
        <w:br/>
        <w:t>|15. Ernesto Meza Vargas              |</w:t>
        <w:br/>
        <w:t>|16. Jose Ricardo Nolasco Milla       |</w:t>
        <w:br/>
        <w:t>|17. Fernando Antonio Padilla Cancino |</w:t>
        <w:br/>
        <w:t>|18. Cecilio Alberto Ríos Rodríguez   |</w:t>
        <w:br/>
        <w:t>|19. Eduardo Rivadeneyra Alva         |</w:t>
        <w:br/>
        <w:t>|20. Antonio Tomás Rodríguez Valdivia |</w:t>
        <w:br/>
        <w:t>|21. Isi Antonia Rosas Meléndez       |</w:t>
        <w:br/>
        <w:t>|22. Renzo Renato Torero Lizarbe      |</w:t>
        <w:br/>
        <w:t>|23. José Fermín Urcia Cruzado        |</w:t>
        <w:br/>
        <w:t>|24. Alfredo Pío Vásquez Colacci      |</w:t>
        <w:br/>
        <w:t>|25. Rufino Isique Reque              |</w:t>
        <w:br/>
        <w:br/>
        <w:br/>
        <w:br/>
        <w:br/>
        <w:t xml:space="preserve">                VOTO INDIVIDUAL DEL JUEZ EDUARDO VIO GROSSI,</w:t>
        <w:br/>
        <w:t xml:space="preserve">                  CORTE INTERAMERICANA DE DERECHOS HUMANOS,</w:t>
        <w:br/>
        <w:t xml:space="preserve">                   CASO TRABAJADORES CESADOS DE PETROPERÚ</w:t>
        <w:br/>
        <w:t xml:space="preserve">                              Y OTROS VS. PERÚ,</w:t>
        <w:br/>
        <w:t xml:space="preserve">                    SENTENCIA DE 23 DE NOVIEMBRE DE 2017</w:t>
        <w:br/>
        <w:t xml:space="preserve">          (Excepciones Preliminares, Fondo, Reparaciones y Costas)</w:t>
        <w:br/>
        <w:br/>
        <w:t>INTRODUCCIÓN.</w:t>
        <w:br/>
        <w:br/>
        <w:t xml:space="preserve">   1. Se expide el presente voto individual[299] respecto de  la  referencia</w:t>
        <w:br/>
        <w:t xml:space="preserve">      que  la  Sentencia  del  epígrafe[300]  hace  al  artículo  26  de  la</w:t>
        <w:br/>
        <w:t xml:space="preserve">      Convención Americana sobre Derechos Humanos[301].</w:t>
        <w:br/>
        <w:br/>
        <w:br/>
        <w:br/>
        <w:t xml:space="preserve">   2. Y, tal como en otras ocasiones[302], este voto se emite respetando  la</w:t>
        <w:br/>
        <w:t xml:space="preserve">      Sentencia de la Corte Interamericana de Derechos Humanos[303] a que se</w:t>
        <w:br/>
        <w:t xml:space="preserve">      refiere, así como a todos sus integrantes, y como demostración el alto</w:t>
        <w:br/>
        <w:t xml:space="preserve">      nivel de discusión que se lleva a cabo en su interior,  en  vista  del</w:t>
        <w:br/>
        <w:t xml:space="preserve">      desarrollo del Derecho Internacional de los Derechos Humanos y  de  la</w:t>
        <w:br/>
        <w:t xml:space="preserve">      Justicia en ese ámbito.</w:t>
        <w:br/>
        <w:br/>
        <w:br/>
        <w:br/>
        <w:t>LA DISIDENCIA.</w:t>
        <w:br/>
        <w:br/>
        <w:br/>
        <w:br/>
        <w:t xml:space="preserve">   3. En la Sentencia se alude en varia ocasiones[304] y, muy especialmente,</w:t>
        <w:br/>
        <w:t xml:space="preserve">      en su Punto Resolutivo N° 7[305], al artículo 26 de la Convención,  en</w:t>
        <w:br/>
        <w:t xml:space="preserve">      tanto incluye a los derechos económicos, sociales  y  culturales  como</w:t>
        <w:br/>
        <w:t xml:space="preserve">      protegidos por esta última y, consecuentemente,  susceptibles  de  ser</w:t>
        <w:br/>
        <w:t xml:space="preserve">      judicializados ante la Corte. En consideración a ello, y habida cuenta</w:t>
        <w:br/>
        <w:t xml:space="preserve">      que en su párrafo 192 y en apoyo de lo que sostiene, la Sentencia cita</w:t>
        <w:br/>
        <w:t xml:space="preserve">      el fallo pronunciado en el Caso Lagos del Campo Vs. Perú, y  reproduce</w:t>
        <w:br/>
        <w:t xml:space="preserve">      los párrafos 141 a 150 y 154 del mismo, en el  presente  documento  se</w:t>
        <w:br/>
        <w:t xml:space="preserve">      da, igualmente, por reiterado todo  lo  señalado  en  voto  individual</w:t>
        <w:br/>
        <w:t xml:space="preserve">      emitido en esa causa[306].</w:t>
        <w:br/>
        <w:br/>
        <w:t xml:space="preserve">   4.  En  tal  voto,  se   sostiene,   entre   otras   consideraciones,   y</w:t>
        <w:br/>
        <w:t xml:space="preserve">      contrariamente a lo afirmado en dicho fallo, por una  parte,  que  los</w:t>
        <w:br/>
        <w:t xml:space="preserve">      únicos derechos susceptibles de ser objeto del sistema  de  protección</w:t>
        <w:br/>
        <w:t xml:space="preserve">      previsto en la Convención, son  los  “reconocidos”  en  ella;  que  el</w:t>
        <w:br/>
        <w:t xml:space="preserve">      artículo 26[307] de esta última no se refiere a tales derechos, sino a</w:t>
        <w:br/>
        <w:t xml:space="preserve">      los que “derivan de las normas económicas, sociales y sobre educación,</w:t>
        <w:br/>
        <w:t xml:space="preserve">      ciencia y cultura, contenidas en la Carta de la  Organización  de  los</w:t>
        <w:br/>
        <w:t xml:space="preserve">      Estados Americanos”; que lo que dispone el citado artículo  26  es  la</w:t>
        <w:br/>
        <w:t xml:space="preserve">      obligación de los Estados  de  adoptar  medidas  en  vista  de  lograr</w:t>
        <w:br/>
        <w:t xml:space="preserve">      progresivamente la plena efectividad de los derechos a que se  refiere</w:t>
        <w:br/>
        <w:t xml:space="preserve">      y ello en la medida de los recursos disponibles; y,  finalmente  y  en</w:t>
        <w:br/>
        <w:t xml:space="preserve">      consecuencia, que si bien esos derechos existen, no  son  susceptibles</w:t>
        <w:br/>
        <w:t xml:space="preserve">      de ser judicializados ante la Corte, salvo que así lo contemple  algún</w:t>
        <w:br/>
        <w:t xml:space="preserve">      tratado, como acontece, por ejemplo, con el Protocolo de San Salvador,</w:t>
        <w:br/>
        <w:t xml:space="preserve">      pero únicamente respecto  al  derecho  de  organizar  sindicatos  y  a</w:t>
        <w:br/>
        <w:t xml:space="preserve">      afiliarse en ellos y al derecho a la educación.</w:t>
        <w:br/>
        <w:br/>
        <w:br/>
        <w:br/>
        <w:t xml:space="preserve">   5. Por cierto, a todo ello es procedente añadir, por una parte,  que  los</w:t>
        <w:br/>
        <w:t xml:space="preserve">      derechos en cuestión pueden ser  judicializados  ante  los  tribunales</w:t>
        <w:br/>
        <w:t xml:space="preserve">      nacionales de los Estados Partes de la Convención, si así lo  disponen</w:t>
        <w:br/>
        <w:t xml:space="preserve">      sus respectivos ordenamientos jurídicos internos y, por la otra,  que,</w:t>
        <w:br/>
        <w:t xml:space="preserve">      al interpretar la Convención, se debe procurar no dejar margen  alguno</w:t>
        <w:br/>
        <w:t xml:space="preserve">      para que se perciba que, en alguna medida,  se  estaría  alterando  el</w:t>
        <w:br/>
        <w:t xml:space="preserve">      principio de que  ningún  Estado  puede  ser  llevado  a  un  tribunal</w:t>
        <w:br/>
        <w:t xml:space="preserve">      internacional sin su consentimiento.</w:t>
        <w:br/>
        <w:br/>
        <w:br/>
        <w:t>CONCLUSIÓN.</w:t>
        <w:br/>
        <w:br/>
        <w:br/>
        <w:br/>
        <w:t xml:space="preserve">   6. En atención a los mismos  motivos  expuestos  en  el  mencionado  Voto</w:t>
        <w:br/>
        <w:t xml:space="preserve">      Parcialmente Disidente y, en particular, a que los derechos en comento</w:t>
        <w:br/>
        <w:t xml:space="preserve">      no se encuentran comprendidos o contenidos en  la  Convención  y,  por</w:t>
        <w:br/>
        <w:t xml:space="preserve">      ende, no  pueden  ser  objeto  del  sistema  de  protección  que  ella</w:t>
        <w:br/>
        <w:t xml:space="preserve">      contempla, es que no se puede coincidir con lo señalado  en  el  Punto</w:t>
        <w:br/>
        <w:t xml:space="preserve">      Resolutivo No. 7 de la Sentencia.</w:t>
        <w:br/>
        <w:br/>
        <w:br/>
        <w:br/>
        <w:br/>
        <w:t xml:space="preserve">                                                          Eduardo Vio Grossi</w:t>
        <w:br/>
        <w:t xml:space="preserve">                                                                        Juez</w:t>
        <w:br/>
        <w:br/>
        <w:br/>
        <w:br/>
        <w:t>Pablo Saavedra Alessandri</w:t>
        <w:br/>
        <w:t xml:space="preserve">               Secretario</w:t>
        <w:br/>
        <w:br/>
        <w:br/>
        <w:br/>
        <w:t xml:space="preserve">     VOTO PARCIALMENTE DISIDENTE DEL JUEZ HUMBERTO ANTONIO SIERRA PORTO</w:t>
        <w:br/>
        <w:br/>
        <w:t xml:space="preserve">                  A LA SENTENCIA DE 23 DE NOVIEMBRE DE 2017</w:t>
        <w:br/>
        <w:t xml:space="preserve">               DE LA CORTE INTERAMERICANA DE DERECHOS HUMANOS</w:t>
        <w:br/>
        <w:br/>
        <w:t xml:space="preserve">      EN EL CASO DE TRABAJADORES CESADOS DE PETROPERÚ Y OTROS VS. PERÚ</w:t>
        <w:br/>
        <w:br/>
        <w:t>I. Introducción</w:t>
        <w:br/>
        <w:br/>
        <w:t xml:space="preserve">   1. Con el  acostumbrado  respeto  por  las  decisiones  de  la  Corte,  y</w:t>
        <w:br/>
        <w:t xml:space="preserve">      precisando  que  comparto  en  su  mayoría  las  consideraciones   que</w:t>
        <w:br/>
        <w:t xml:space="preserve">      sustentan  la  Sentencia,  me  permito  formular  el   presente   voto</w:t>
        <w:br/>
        <w:t xml:space="preserve">      parcialmente disidente. El  voto  tiene  dos  partes:  la  primera  se</w:t>
        <w:br/>
        <w:t xml:space="preserve">      refiere al tratamiento que la mayoría dio a  la  excepción  preliminar</w:t>
        <w:br/>
        <w:t xml:space="preserve">      del Estado por falta de agotamiento de los recursos internos, la cual,</w:t>
        <w:br/>
        <w:t xml:space="preserve">      a mi parecer, debió ser acogida por la Corte;  la  segunda  reflexiona</w:t>
        <w:br/>
        <w:t xml:space="preserve">      respecto de la declaración de responsabilidad internacional del Estado</w:t>
        <w:br/>
        <w:t xml:space="preserve">      por la violación al derecho al trabajo en relación  con  el  deber  de</w:t>
        <w:br/>
        <w:t xml:space="preserve">      respetar y  garantizar  los  derechos.  En  relación  con  la  segunda</w:t>
        <w:br/>
        <w:t xml:space="preserve">      cuestión, advierto que mis reflexiones complementan lo ya expresado al</w:t>
        <w:br/>
        <w:t xml:space="preserve">      respecto en mi voto disidente del caso Lagos del Campo Vs. Perú  [308]</w:t>
        <w:br/>
        <w:t xml:space="preserve">      y  en  mi  voto  concurrente  del  caso  Gonzales  Lluy  y  otros  Vs.</w:t>
        <w:br/>
        <w:t xml:space="preserve">      Ecuador[309].</w:t>
        <w:br/>
        <w:br/>
        <w:t>II. Respecto de la excepción preliminar por  falta  de  agotamiento  de  los</w:t>
        <w:br/>
        <w:t>recursos internos de los trabajadores de Petroperú</w:t>
        <w:br/>
        <w:br/>
        <w:t xml:space="preserve">   2. En esta sentencia, la Corte concluyó que los trabajadores de Petroperú</w:t>
        <w:br/>
        <w:t xml:space="preserve">      no estaban obligados  a  agotar  el  recurso  extraordinario  ante  el</w:t>
        <w:br/>
        <w:t xml:space="preserve">      Tribunal Constitucional  antes  de  presentar  una  petición  ante  la</w:t>
        <w:br/>
        <w:t xml:space="preserve">      Comisión Interamericana, por lo que rechazó  la  excepción  preliminar</w:t>
        <w:br/>
        <w:t xml:space="preserve">      por falta de agotamiento de los recursos internos  presentada  por  el</w:t>
        <w:br/>
        <w:t xml:space="preserve">      Estado (supra párr. 44). La  sentencia  sostiene  que  el  agotamiento</w:t>
        <w:br/>
        <w:t xml:space="preserve">      material  de  la  jurisdicción  interna  debe   evaluarse   como   una</w:t>
        <w:br/>
        <w:t xml:space="preserve">      posibilidad real y eficaz de obtener una decisión adecuada  por  parte</w:t>
        <w:br/>
        <w:t xml:space="preserve">      de los tribunales nacionales, situación que no ocurría en el  presente</w:t>
        <w:br/>
        <w:t xml:space="preserve">      caso (supra párr. 43). Por el contrario, la mayoría sostuvo, dado  que</w:t>
        <w:br/>
        <w:t xml:space="preserve">      existía un evidente estado de conflictividad entre el Poder  Ejecutivo</w:t>
        <w:br/>
        <w:t xml:space="preserve">      y el Tribunal Constitucional en la época de los  hechos,  lo  cual  se</w:t>
        <w:br/>
        <w:t xml:space="preserve">      confirmó con la destitución de tres  magistrados  de  dicho  Tribunal,</w:t>
        <w:br/>
        <w:t xml:space="preserve">      ocurrida algunos meses después, que era “nula la  posibilidad  de  que</w:t>
        <w:br/>
        <w:t xml:space="preserve">      ese Tribunal hiciera lugar a un eventual recurso de los peticionarios,</w:t>
        <w:br/>
        <w:t xml:space="preserve">      en una materia vital  para  el  proyecto  económico  del  oficialismo,</w:t>
        <w:br/>
        <w:t xml:space="preserve">      considerando que una decisión de esa naturaleza no hubiese  hecho  más</w:t>
        <w:br/>
        <w:t xml:space="preserve">      que precipitar lo sucedido pocos meses más tarde” (supra párr. 43).</w:t>
        <w:br/>
        <w:br/>
        <w:t xml:space="preserve">   3.  Este  criterio,  sin  duda  benéfico  para  los  intereses   de   los</w:t>
        <w:br/>
        <w:t xml:space="preserve">      trabajadores de Petroperú, quienes fueron calificados como víctimas en</w:t>
        <w:br/>
        <w:t xml:space="preserve">      el presente caso, adolece de dos falencias. Por un lado, se aparta  de</w:t>
        <w:br/>
        <w:t xml:space="preserve">      los precedentes de la Corte en lo que respecta a  la  temporalidad  de</w:t>
        <w:br/>
        <w:t xml:space="preserve">      falta de independencia e  imparcialidad  del  Tribunal  Constitucional</w:t>
        <w:br/>
        <w:t xml:space="preserve">      peruano en la década de los noventa. Al respecto, la Corte  determinó,</w:t>
        <w:br/>
        <w:t xml:space="preserve">      en los casos de Tribunal  Constitucional,  Aguado  Alfaro  y  otros  y</w:t>
        <w:br/>
        <w:t xml:space="preserve">      Canales Huapaya y otros,  que:  “ha  quedado  demostrado  […]  que  la</w:t>
        <w:br/>
        <w:t xml:space="preserve">      independencia e imparcialidad del Tribunal Constitucional, como una de</w:t>
        <w:br/>
        <w:t xml:space="preserve">      las instituciones democráticas que garantizan el estado de derecho, se</w:t>
        <w:br/>
        <w:t xml:space="preserve">      vieron coartadas con la destitución de algunos de sus magistrados,  lo</w:t>
        <w:br/>
        <w:t xml:space="preserve">      que conculcó erga omnes  la  posibilidad  de  ejercer  el  control  de</w:t>
        <w:br/>
        <w:t xml:space="preserve">      constitucionalidad y el consecuente examen  de  la  adecuación  de  la</w:t>
        <w:br/>
        <w:t xml:space="preserve">      conducta del  Estado  a  la  Constitución”[310].  De  lo  anterior  se</w:t>
        <w:br/>
        <w:t xml:space="preserve">      desprende que, en el marco temporal en que algunos de los  magistrados</w:t>
        <w:br/>
        <w:t xml:space="preserve">      del Tribunal Constitucional estuvieron cesados, es  decir  del  28  de</w:t>
        <w:br/>
        <w:t xml:space="preserve">      mayo de 1997 al 17 de noviembre de  2000[311],  el  mismo  carecía  de</w:t>
        <w:br/>
        <w:t xml:space="preserve">      independencia e imparcialidad, y por lo tanto los recursos  intentados</w:t>
        <w:br/>
        <w:t xml:space="preserve">      ante él carecían de efectividad[312].</w:t>
        <w:br/>
        <w:br/>
        <w:t xml:space="preserve">   4. Si bien comparto el criterio sostenido en los precedentes  previamente</w:t>
        <w:br/>
        <w:t xml:space="preserve">      señalados,  disiento  de  lo  considerado  por  la  mayoría  en   esta</w:t>
        <w:br/>
        <w:t xml:space="preserve">      Sentencia, pues extiende en forma desproporcionada el  marco  temporal</w:t>
        <w:br/>
        <w:t xml:space="preserve">      en  que  los  recursos  intentados  ante  el  Tribunal  Constitucional</w:t>
        <w:br/>
        <w:t xml:space="preserve">      carecían de efectividad. En el presente caso no existen elementos  que</w:t>
        <w:br/>
        <w:t xml:space="preserve">      permitan concluir que a la fecha de inicio del cómputo del plazo  para</w:t>
        <w:br/>
        <w:t xml:space="preserve">      la interposición del recurso extraordinario, que hubiese  agotado  los</w:t>
        <w:br/>
        <w:t xml:space="preserve">      recursos de la jurisdicción interna por parte de los  trabajadores  de</w:t>
        <w:br/>
        <w:t xml:space="preserve">      Petroperú,  el  Tribunal  Constitucional  peruano  no  se   encontrara</w:t>
        <w:br/>
        <w:t xml:space="preserve">      constituido conforme a derecho y que no se encontraba en  funciones  e</w:t>
        <w:br/>
        <w:t xml:space="preserve">      impartía justicia  en  plenitud  de  jurisdicción.  Más  allá  de  los</w:t>
        <w:br/>
        <w:t xml:space="preserve">      alegatos  formulados  por  los  peticionarios,  no  se   advierte   la</w:t>
        <w:br/>
        <w:t xml:space="preserve">      existencia  de  pruebas  que  demuestren  la  ausencia  de   garantías</w:t>
        <w:br/>
        <w:t xml:space="preserve">      judiciales  que  tornara  innecesario  el  agotamiento   del   recurso</w:t>
        <w:br/>
        <w:t xml:space="preserve">      extraordinario ante el Tribunal Constitucional al momento en  que  los</w:t>
        <w:br/>
        <w:t xml:space="preserve">      trabajadores estuvieron en posibilidad  de  ejercitar  su  derecho  de</w:t>
        <w:br/>
        <w:t xml:space="preserve">      acción, pues tal y como se desprende de las decisiones de la Corte  en</w:t>
        <w:br/>
        <w:t xml:space="preserve">      los casos de Tribunal Constituciona, Aguado Alfaro y otros  y  Canales</w:t>
        <w:br/>
        <w:t xml:space="preserve">      Huapaya  y  otros,  la  época  de  conflictividad  y  la   consecuente</w:t>
        <w:br/>
        <w:t xml:space="preserve">      destitución de los miembros del Tribunal Constitucional  ocurrió  casi</w:t>
        <w:br/>
        <w:t xml:space="preserve">      un año después de dicho momento procesal.</w:t>
        <w:br/>
        <w:br/>
        <w:t xml:space="preserve">   5. Para la mayoría, la conflictividad  entre  el  Poder  Ejecutivo  y  el</w:t>
        <w:br/>
        <w:t xml:space="preserve">      Tribunal Constitucional, la cual debió ocurrir previo a la destitución</w:t>
        <w:br/>
        <w:t xml:space="preserve">      de los magistrados el 28 de mayo de 1997, afectó  la  independencia  e</w:t>
        <w:br/>
        <w:t xml:space="preserve">      imparcialidad de dicho Tribunal, por lo que era “nula  la  posibilidad</w:t>
        <w:br/>
        <w:t xml:space="preserve">      de que este Tribunal hiciera  lugar  a  un  eventual  recurso  de  los</w:t>
        <w:br/>
        <w:t xml:space="preserve">      peticionarios” (supra párr. 43). Sin embargo,  esta  posición,  aunque</w:t>
        <w:br/>
        <w:t xml:space="preserve">      quizás lógica conforme al conocimiento que actualmente tenemos  de  la</w:t>
        <w:br/>
        <w:t xml:space="preserve">      crisis institucional en Perú en los años noventa, no parece  encontrar</w:t>
        <w:br/>
        <w:t xml:space="preserve">      asidero más allá de un análisis político ex post facto.  Se  trata  de</w:t>
        <w:br/>
        <w:t xml:space="preserve">      una posición basada en una serie de suposiciones acerca de la forma  y</w:t>
        <w:br/>
        <w:t xml:space="preserve">      niveles de conflictividad específica entre el  Poder  Ejecutivo  y  el</w:t>
        <w:br/>
        <w:t xml:space="preserve">      Tribunal Constitucional en la época de los hechos,  así  como  de  los</w:t>
        <w:br/>
        <w:t xml:space="preserve">      efectos que dicha disputa pudo tener en la efectividad de los recursos</w:t>
        <w:br/>
        <w:t xml:space="preserve">      no intentados por los trabajadores de Petroperú.</w:t>
        <w:br/>
        <w:br/>
        <w:t xml:space="preserve">   6. Adicionalmente, en relación con  este  punto,  cabe  destacar  que  la</w:t>
        <w:br/>
        <w:t xml:space="preserve">      posición de la Comisión y de la  Corte  es  contradictoria  si  se  le</w:t>
        <w:br/>
        <w:t xml:space="preserve">      observa en relación con los criterios de admisibilidad que  sí  fueron</w:t>
        <w:br/>
        <w:t xml:space="preserve">      considerados para los grupos de trabajadores de Enapu, MEF  y  Minedu.</w:t>
        <w:br/>
        <w:t xml:space="preserve">      En estos casos, la Comisión calificó que las sentencias  emitidas  por</w:t>
        <w:br/>
        <w:t xml:space="preserve">      el Tribunal Constitucional habían agotado los  recursos  internos  que</w:t>
        <w:br/>
        <w:t xml:space="preserve">      debían intentarse conforme a la Convención. Sin embargo, en el caso de</w:t>
        <w:br/>
        <w:t xml:space="preserve">      Petroperú, la Comisión consideró que los trabajadores no debían acudir</w:t>
        <w:br/>
        <w:t xml:space="preserve">      ante el Tribunal Constitucional, aplicando así un doble  rasero  entre</w:t>
        <w:br/>
        <w:t xml:space="preserve">      distintos grupos de trabajadores. Esta contradicción  fue  convalidada</w:t>
        <w:br/>
        <w:t xml:space="preserve">      por la Corte en la presente sentencia,  sin  ofrecer  una  explicación</w:t>
        <w:br/>
        <w:t xml:space="preserve">      jurídica satisfactoria, al rechazar la excepción preliminar  planteada</w:t>
        <w:br/>
        <w:t xml:space="preserve">      por el Estado.</w:t>
        <w:br/>
        <w:br/>
        <w:t xml:space="preserve">   7. En ese sentido, y en estrecha relación con lo anterior,  la  sentencia</w:t>
        <w:br/>
        <w:t xml:space="preserve">      se aparta del criterio adoptado por la Corte en el caso Brewer  Carías</w:t>
        <w:br/>
        <w:t xml:space="preserve">      Vs. Venezuela. En este caso la Corte  consideró  que,  de  un  alegado</w:t>
        <w:br/>
        <w:t xml:space="preserve">      contexto que afecte la efectividad de un recurso, no se puede  derivar</w:t>
        <w:br/>
        <w:t xml:space="preserve">      la aplicación directa de la excepción prevista en el  artículo  46.2.a</w:t>
        <w:br/>
        <w:t xml:space="preserve">      de la Convención Americana[313], pues lo contrario conllevaría a  “que</w:t>
        <w:br/>
        <w:t xml:space="preserve">      a partir de una argumentación  de  tipo  general  sobre  la  falta  de</w:t>
        <w:br/>
        <w:t xml:space="preserve">      independencia o imparcialidad del poder judicial  no  fuera  necesario</w:t>
        <w:br/>
        <w:t xml:space="preserve">      cumplir con el  requisito  del  previo  agotamiento  de  los  recursos</w:t>
        <w:br/>
        <w:t xml:space="preserve">      internos”[314].</w:t>
        <w:br/>
        <w:br/>
        <w:t xml:space="preserve">   8. Asimismo, citando lo expuesto en el informe de fondo de  la  Comisión,</w:t>
        <w:br/>
        <w:t xml:space="preserve">      en dicho caso la Corte sostuvo que “el  tenor  de  los  procedimientos</w:t>
        <w:br/>
        <w:t xml:space="preserve">      contenciosos  exige  que  los   peticionarios   presenten   argumentos</w:t>
        <w:br/>
        <w:t xml:space="preserve">      concretos sobre el impacto  en  el  proceso  judicial  relacionado  al</w:t>
        <w:br/>
        <w:t xml:space="preserve">      reclamo" y, por lo tanto, que “[l]as menciones genéricas  al  contexto</w:t>
        <w:br/>
        <w:t xml:space="preserve">      no son suficientes per se  para  justificar  la  invocación  de  dicha</w:t>
        <w:br/>
        <w:t xml:space="preserve">      excepción”[315]. Tomando en consideración lo anterior,  cabe  recordar</w:t>
        <w:br/>
        <w:t xml:space="preserve">      que, como lo ha dicho la Corte, "[c]uando un específico  procedimiento</w:t>
        <w:br/>
        <w:t xml:space="preserve">      cuenta con etapas en las que se puede llegar  a  corregir  o  subsanar</w:t>
        <w:br/>
        <w:t xml:space="preserve">      cierto tipo de irregularidades, los Estados deben  poder  disponer  de</w:t>
        <w:br/>
        <w:t xml:space="preserve">      dichas etapas procesales para remediar las alegadas irregularidades en</w:t>
        <w:br/>
        <w:t xml:space="preserve">      el ámbito interno"[316].</w:t>
        <w:br/>
        <w:br/>
        <w:t xml:space="preserve">   9. En el caso concreto, y en atención al precedente antes mencionado, los</w:t>
        <w:br/>
        <w:t xml:space="preserve">      trabajadores de Petroperú se encontraban  obligados  a  presentar  los</w:t>
        <w:br/>
        <w:t xml:space="preserve">      medios de prueba que estimaran pertinentes para demostrar la falta  de</w:t>
        <w:br/>
        <w:t xml:space="preserve">      imparcialidad, autonomía e independencia del Tribunal  Constitucional,</w:t>
        <w:br/>
        <w:t xml:space="preserve">      previo a la destitución de tres de sus miembros. En ese sentido estimo</w:t>
        <w:br/>
        <w:t xml:space="preserve">      que, contrario a lo considerado por la mayoría, los  alegatos  de  los</w:t>
        <w:br/>
        <w:t xml:space="preserve">      trabajadores  son  insuficientes  para  demostrar  el  extremo  de  su</w:t>
        <w:br/>
        <w:t xml:space="preserve">      pretensión, aunado a que no fueron aportados elementos probatorios  de</w:t>
        <w:br/>
        <w:t xml:space="preserve">      los cuales se desprenda una justificación  o  motivo  suficiente  para</w:t>
        <w:br/>
        <w:t xml:space="preserve">      eximir  a  los  trabajadores  de  Petroperú  de  agotar   el   recurso</w:t>
        <w:br/>
        <w:t xml:space="preserve">      extraordinario ante el Tribunal Constitucional. Por lo tanto, ante  la</w:t>
        <w:br/>
        <w:t xml:space="preserve">      falta de elementos para acreditar la falta de imparcialidad, autonomía</w:t>
        <w:br/>
        <w:t xml:space="preserve">      e independencia del Tribunal Constitucional, considero que esta  Corte</w:t>
        <w:br/>
        <w:t xml:space="preserve">      debió declarar fundada la excepción de falta  de  agotamiento  de  los</w:t>
        <w:br/>
        <w:t xml:space="preserve">      recursos internos hecha valer por el Estado.</w:t>
        <w:br/>
        <w:br/>
        <w:t xml:space="preserve">  10. Finalmente, en relación con lo anterior, destaco que  la  consecuencia</w:t>
        <w:br/>
        <w:t xml:space="preserve">      de aceptar  argumentaciones  genéricas  para  determinar  la  ausencia</w:t>
        <w:br/>
        <w:t xml:space="preserve">      generalizada de objetividad de las instancias jurisdiccionales  en  el</w:t>
        <w:br/>
        <w:t xml:space="preserve">      Perú durante el  gobierno  de  Alberto  Fujimori,  trae  aparejada  la</w:t>
        <w:br/>
        <w:t xml:space="preserve">      aceptación de que deberán ser admitidas  por  la  Comisión  todas  las</w:t>
        <w:br/>
        <w:t xml:space="preserve">      peticiones que se encuentren en dicho intervalo temporal, no  obstante</w:t>
        <w:br/>
        <w:t xml:space="preserve">      se  soslaye  el  cumplimiento  de  los  requisitos  de  procedibilidad</w:t>
        <w:br/>
        <w:t xml:space="preserve">      previstos por  la  Convención  Americana,  y  el  Estado  acredite  el</w:t>
        <w:br/>
        <w:t xml:space="preserve">      incumplimiento del requisito de agotar los recursos de la jurisdicción</w:t>
        <w:br/>
        <w:t xml:space="preserve">      interna, lo cual podría resultar en una franca  contradicción  con  el</w:t>
        <w:br/>
        <w:t xml:space="preserve">      artículo 46 de la Convención[317].</w:t>
        <w:br/>
        <w:br/>
        <w:br/>
        <w:t>III.  Respecto de la violación al derecho al trabajo  en  relación  con  las</w:t>
        <w:br/>
        <w:t>obligaciones de respetar y garantizar los derechos</w:t>
        <w:br/>
        <w:br/>
        <w:t xml:space="preserve">  11. La sentencia también  señaló  que  el  Estado  es  responsable  de  la</w:t>
        <w:br/>
        <w:t xml:space="preserve">      violación al derecho al trabajo  de  los  trabajadores  de  Petroperú,</w:t>
        <w:br/>
        <w:t xml:space="preserve">      Enapu, Minedu y el MEF, en tanto no gozaron de acceso a la justicia  y</w:t>
        <w:br/>
        <w:t xml:space="preserve">      a la tutela judicial efectiva en el ámbito de sus relaciones laborales</w:t>
        <w:br/>
        <w:t xml:space="preserve">      (supra párr. 196). En virtud de ello, la mayoría votó que existió  una</w:t>
        <w:br/>
        <w:t xml:space="preserve">      violación al artículo 26 de la Convención, en relación con el artículo</w:t>
        <w:br/>
        <w:t xml:space="preserve">      1.1 del mismo instrumento. Esta conclusión se basó  en  el  precedente</w:t>
        <w:br/>
        <w:t xml:space="preserve">      del caso Lagos  del  Campo  Vs.  Perú,  donde  la  Corte  reafirmó  su</w:t>
        <w:br/>
        <w:t xml:space="preserve">      “competencia  para  conocer  y  resolver  controversias  relativas  al</w:t>
        <w:br/>
        <w:t xml:space="preserve">      artículo 26 de la Convención Americana, como parte integrante  de  los</w:t>
        <w:br/>
        <w:t xml:space="preserve">      derechos enumerados en la misma, respecto de los  cuales  el  artículo</w:t>
        <w:br/>
        <w:t xml:space="preserve">      1.1 confiere obligaciones  generales  de  respeto  y  garantía  a  los</w:t>
        <w:br/>
        <w:t xml:space="preserve">      Estados”[318]. En efecto,  en  el  caso  antes  mencionado,  la  Corte</w:t>
        <w:br/>
        <w:t xml:space="preserve">      concluyó que los derechos  laborales  específicos  protegidos  por  el</w:t>
        <w:br/>
        <w:t xml:space="preserve">      artículo 26 son aquellos que se “derivan” de  las  normas  económicas,</w:t>
        <w:br/>
        <w:t xml:space="preserve">      sociales y sobre educación, ciencia y cultura contenidas en  la  Carta</w:t>
        <w:br/>
        <w:t xml:space="preserve">      de la OEA, interpretada a la luz de  la  Declaración  Americana  y  el</w:t>
        <w:br/>
        <w:t xml:space="preserve">      artículo 29 de la propia Convención Americana.</w:t>
        <w:br/>
        <w:br/>
        <w:t xml:space="preserve">  12. Esta interpretación, con la cual disiento, tanto en  sus  fundamentos,</w:t>
        <w:br/>
        <w:t xml:space="preserve">      como  en  sus  efectos,  invita  a  reflexionar  sobre  las  reglas  y</w:t>
        <w:br/>
        <w:t xml:space="preserve">      principios  que  la  Corte  utiliza  para  interpretar  la  Convención</w:t>
        <w:br/>
        <w:t xml:space="preserve">      Americana y otros tratados sobre los que tiene competencia.  Se  trata</w:t>
        <w:br/>
        <w:t xml:space="preserve">      de un  tema  de  especial  relevancia  en  la  teoría  y  la  práctica</w:t>
        <w:br/>
        <w:t xml:space="preserve">      internacional,  en  la  medida  en  que  impacta  transversalmente  la</w:t>
        <w:br/>
        <w:t xml:space="preserve">      argumentación que la Corte desarrolla para resolver casos contenciosos</w:t>
        <w:br/>
        <w:t xml:space="preserve">      u opiniones consultivas sujetas a su conocimiento, la validez  de  las</w:t>
        <w:br/>
        <w:t xml:space="preserve">      conclusiones de derecho a las  que  arriba,  y  el  contenido  de  los</w:t>
        <w:br/>
        <w:t xml:space="preserve">      criterios que podrían ser utilizados por  los  Estados  a  través  del</w:t>
        <w:br/>
        <w:t xml:space="preserve">      control de convencionalidad u otros medios de  implementación  de  las</w:t>
        <w:br/>
        <w:t xml:space="preserve">      sentencias de la Corte. Se trata de una cuestión que,  de  no  tomarse</w:t>
        <w:br/>
        <w:t xml:space="preserve">      con seriedad en el futuro, puede conducir  a  la  Corte  a  justificar</w:t>
        <w:br/>
        <w:t xml:space="preserve">      cualquier  decisión,  como  la  de  este  caso,  en  relación  con  la</w:t>
        <w:br/>
        <w:t xml:space="preserve">      justiciabilidad del artículo 26, sin  importar  su  validez  lógica  o</w:t>
        <w:br/>
        <w:t xml:space="preserve">      normativa a la luz del derecho internacional.</w:t>
        <w:br/>
        <w:br/>
        <w:t>A. Normas generales de interpretación</w:t>
        <w:br/>
        <w:br/>
        <w:t xml:space="preserve">  13. Desde sus primeras decisiones,  la  Corte  ha  utilizado  los  métodos</w:t>
        <w:br/>
        <w:t xml:space="preserve">      tradicionales de interpretación del derecho internacional establecidos</w:t>
        <w:br/>
        <w:t xml:space="preserve">      en los artículos 31 y 32 de la Convención de Viena sobre el Derecho de</w:t>
        <w:br/>
        <w:t xml:space="preserve">      los  Tratados  (de  aquí  en  adelante  “CVDT”),  los  cuales   fueron</w:t>
        <w:br/>
        <w:t xml:space="preserve">      considerados como “reglas generales de derecho internacional sobre  el</w:t>
        <w:br/>
        <w:t xml:space="preserve">      tema”[319]. Asimismo, el artículo 29[320] de la  Convención  Americana</w:t>
        <w:br/>
        <w:t xml:space="preserve">      contiene normas específicas de interpretación, las  cuales  deben  ser</w:t>
        <w:br/>
        <w:t xml:space="preserve">      tomadas en cuenta para la determinación del alcance de  las  cláusulas</w:t>
        <w:br/>
        <w:t xml:space="preserve">      de la Convención[321]. Existe, por tanto, una convergencia en  materia</w:t>
        <w:br/>
        <w:t xml:space="preserve">      interpretativa –por supuesto, no siempre libre de tensiones– entre  el</w:t>
        <w:br/>
        <w:t xml:space="preserve">      derecho  internacional,  y  la  especificidad   propia   del   derecho</w:t>
        <w:br/>
        <w:t xml:space="preserve">      internacional  de  los  derechos  humanos   (DIDH)   y   del   sistema</w:t>
        <w:br/>
        <w:t xml:space="preserve">      interamericano (SIDH).</w:t>
        <w:br/>
        <w:br/>
        <w:t xml:space="preserve">  14. De lo anterior se desprende que la  interpretación  de  la  Convención</w:t>
        <w:br/>
        <w:t xml:space="preserve">      debe ser realizada a la luz del sentido corriente de los  términos  de</w:t>
        <w:br/>
        <w:t xml:space="preserve">      la Convención, entendidas sus  cláusulas  dentro  del  contexto  y  el</w:t>
        <w:br/>
        <w:t xml:space="preserve">      objeto y fin del Tratado, tal y como lo establece el artículo 31 de la</w:t>
        <w:br/>
        <w:t xml:space="preserve">      CVDT[322].   De   esta   manera,   los   medios   complementarios   de</w:t>
        <w:br/>
        <w:t xml:space="preserve">      interpretación, es decir, los trabajos preparatorios de la  Convención</w:t>
        <w:br/>
        <w:t xml:space="preserve">      y las circunstancias de  su  celebración,  tal  y  como  lo  prevé  el</w:t>
        <w:br/>
        <w:t xml:space="preserve">      artículo  32  de  la  CVDT[323],  sirven  para  confirmar  el  sentido</w:t>
        <w:br/>
        <w:t xml:space="preserve">      resultante  de  la  aplicación  del  artículo  31.  Este   método   de</w:t>
        <w:br/>
        <w:t xml:space="preserve">      interpretación acoge el principio de primacía del texto,  por  lo  que</w:t>
        <w:br/>
        <w:t xml:space="preserve">      privilegia criterios  de  interpretación  objetiva,  vinculada  a  los</w:t>
        <w:br/>
        <w:t xml:space="preserve">      valores y bienes protegidos  por  la  Convención,  frente  a  aquellos</w:t>
        <w:br/>
        <w:t xml:space="preserve">      criterios que privilegian elementos subjetivos de interpretación, como</w:t>
        <w:br/>
        <w:t xml:space="preserve">      lo es la intención de las partes[324].</w:t>
        <w:br/>
        <w:br/>
        <w:t xml:space="preserve">  15. La razón por la que la Convención debe ser interpretada sobre la  base</w:t>
        <w:br/>
        <w:t xml:space="preserve">      de criterios objetivos, alejándose así  de  una  lógica  formalista  o</w:t>
        <w:br/>
        <w:t xml:space="preserve">      positivista, que de primacía a la intención de las partes contratantes</w:t>
        <w:br/>
        <w:t xml:space="preserve">      y al principio de soberanía, radica en que los  tratados  de  derechos</w:t>
        <w:br/>
        <w:t xml:space="preserve">      humanos  “no  son  tratados  multilaterales  del   tipo   tradicional,</w:t>
        <w:br/>
        <w:t xml:space="preserve">      concluidos en función de un intercambio recíproco de derechos, para el</w:t>
        <w:br/>
        <w:t xml:space="preserve">      beneficio mutuo de los Estados contratantes”, sino que  “su  objeto  y</w:t>
        <w:br/>
        <w:t xml:space="preserve">      fin son la protección de  los  derechos  fundamentales  de  los  seres</w:t>
        <w:br/>
        <w:t xml:space="preserve">      humanos, independientemente de su  nacionalidad,  tanto  frente  a  su</w:t>
        <w:br/>
        <w:t xml:space="preserve">      propio Estado como frente a los otros Estados contratantes”[325]. Este</w:t>
        <w:br/>
        <w:t xml:space="preserve">      criterio, que reconoce la especificidad  de  las  normas  de  derechos</w:t>
        <w:br/>
        <w:t xml:space="preserve">      humanos,  no  es  exclusivo  del  sistema  interamericano,  sino   que</w:t>
        <w:br/>
        <w:t xml:space="preserve">      encuentra eco en la práctica de diversos organismos internacionales.</w:t>
        <w:br/>
        <w:br/>
        <w:br/>
        <w:t xml:space="preserve">  16. Al respecto, cabe recordar que la Corte Internacional de Justicia  (en</w:t>
        <w:br/>
        <w:t xml:space="preserve">      adelante también “CIJ”), en el caso Sentencia arbitral del 31 de julio</w:t>
        <w:br/>
        <w:t xml:space="preserve">      de 1989 (Guinea-Bissau v. Senegal), haciendo referencia al caso  South</w:t>
        <w:br/>
        <w:t xml:space="preserve">      West África (Etiopia v. Sudáfrica), estableció lo siguiente: “la regla</w:t>
        <w:br/>
        <w:t xml:space="preserve">      de interpretación  acorde  al  sentido  natural  y  ordinario  de  las</w:t>
        <w:br/>
        <w:t xml:space="preserve">      palabras  utilizadas  no   es   absoluta.   Cuando   ese   método   de</w:t>
        <w:br/>
        <w:t xml:space="preserve">      interpretación resulta  incompatible  con  el  espíritu,  propósito  y</w:t>
        <w:br/>
        <w:t xml:space="preserve">      contexto de la cláusula o instrumento en donde  están  contenidas  las</w:t>
        <w:br/>
        <w:t xml:space="preserve">      palabras, no se puede confiar válidamente en él”.[326]</w:t>
        <w:br/>
        <w:br/>
        <w:t xml:space="preserve">  17.  La  propia  Convención  Americana  tiene  principios  y   reglas   de</w:t>
        <w:br/>
        <w:t xml:space="preserve">      interpretación que reflejan su carácter específico, es  decir  que  lo</w:t>
        <w:br/>
        <w:t xml:space="preserve">      diferencian de la interpretación que se puede hacer de otros tratados.</w:t>
        <w:br/>
        <w:t xml:space="preserve">      En este sentido, cabe recordar  que  el  Preámbulo  de  la  Convención</w:t>
        <w:br/>
        <w:t xml:space="preserve">      establece que la justificación de  la  existencia  de  una  protección</w:t>
        <w:br/>
        <w:t xml:space="preserve">      internacional se basa  en  el  reconocimiento  de  que  “los  derechos</w:t>
        <w:br/>
        <w:t xml:space="preserve">      esenciales  del  hombre  no  nacen  del  hecho  de  ser  nacional   de</w:t>
        <w:br/>
        <w:t xml:space="preserve">      determinado Estado, sino que tienen como fundamento los  atributos  de</w:t>
        <w:br/>
        <w:t xml:space="preserve">      la persona humana”, y que el artículo 29 de la Convención prevé que la</w:t>
        <w:br/>
        <w:t xml:space="preserve">      interpretación de las  cláusulas  se  realice  de  forma  tal  que  no</w:t>
        <w:br/>
        <w:t xml:space="preserve">      implique una conclusión  que  suprima  el  goce  o  ejercicio  de  los</w:t>
        <w:br/>
        <w:t xml:space="preserve">      derechos y libertades reconocidos en la Convención, o que  los  limite</w:t>
        <w:br/>
        <w:t xml:space="preserve">      en mayor medida que la prevista en ella[327], o  bien  que  excluya  o</w:t>
        <w:br/>
        <w:t xml:space="preserve">      limite el efecto que puedan producir la Declaración Americana  de  los</w:t>
        <w:br/>
        <w:t xml:space="preserve">      Derechos y Deberes del Hombre u otros instrumentos internacionales  de</w:t>
        <w:br/>
        <w:t xml:space="preserve">      la misma naturaleza[328].</w:t>
        <w:br/>
        <w:br/>
        <w:t xml:space="preserve">  18. Tanto el Preámbulo de la Convención, como el artículo 29, reflejan  la</w:t>
        <w:br/>
        <w:t xml:space="preserve">      lógica integracionista  que  el  sistema  interamericano  reconoce  en</w:t>
        <w:br/>
        <w:t xml:space="preserve">      relación con el derecho internacional  de  los  derechos  humanos  (en</w:t>
        <w:br/>
        <w:t xml:space="preserve">      adelante también “DIDH”).[329] De esta  forma,  en  ciertas  ocasiones</w:t>
        <w:br/>
        <w:t xml:space="preserve">      resulta pertinente interpretar las cláusulas de la Convención a la luz</w:t>
        <w:br/>
        <w:t xml:space="preserve">      de otros instrumentos internacionales en materia de derechos  humanos.</w:t>
        <w:br/>
        <w:t xml:space="preserve">      Esta aproximación interpretativa también permite que exista coherencia</w:t>
        <w:br/>
        <w:t xml:space="preserve">      entre las conclusiones a las que arriba la Corte Interamericana en  la</w:t>
        <w:br/>
        <w:t xml:space="preserve">      resolución  de  casos  concretos  o  en  la   emisión   de   opiniones</w:t>
        <w:br/>
        <w:t xml:space="preserve">      consultivas, y los desarrollos que ocurren en  el  DIDH.  Resultan  de</w:t>
        <w:br/>
        <w:t xml:space="preserve">      particular importancia la utilización de tratados internacionales como</w:t>
        <w:br/>
        <w:t xml:space="preserve">      el Pacto de Derechos Civiles y  Políticos[330],  y  de  los  criterios</w:t>
        <w:br/>
        <w:t xml:space="preserve">      emanados de organismos especializados como  los  Comités  de  Naciones</w:t>
        <w:br/>
        <w:t xml:space="preserve">      Unidas[331], por mencionar dos ejemplos.</w:t>
        <w:br/>
        <w:br/>
        <w:t xml:space="preserve">  19.  Los factores antes mencionados –a saber, la existencia de un  régimen</w:t>
        <w:br/>
        <w:t xml:space="preserve">      que privilegia la interpretación objetiva de los derechos humanos,  el</w:t>
        <w:br/>
        <w:t xml:space="preserve">      reconocimiento del principio pro personae como pauta interpretativa, y</w:t>
        <w:br/>
        <w:t xml:space="preserve">      la lógica integracionista del régimen interamericano– permiten que  el</w:t>
        <w:br/>
        <w:t xml:space="preserve">      contenido de la Convención evolucione a partir de los desarrollos  que</w:t>
        <w:br/>
        <w:t xml:space="preserve">      existen en otros sistemas de protección de derechos[332]. Se trata  de</w:t>
        <w:br/>
        <w:t xml:space="preserve">      un reconocimiento acerca de que la dignidad intrínseca  de  los  seres</w:t>
        <w:br/>
        <w:t xml:space="preserve">      humanos se debe encuadrar en una lógica universalista y evolutiva, que</w:t>
        <w:br/>
        <w:t xml:space="preserve">      tiende a  permitir  que  el  régimen  de  protección  convencional  se</w:t>
        <w:br/>
        <w:t xml:space="preserve">      desarrolle y adquiera todo su efecto útil[333]. Es en este sentido que</w:t>
        <w:br/>
        <w:t xml:space="preserve">      la Corte Interamericana ha señalado  que  “los  tratados  de  derechos</w:t>
        <w:br/>
        <w:t xml:space="preserve">      humanos  son  instrumentos  vivos,  cuya  interpretación   tiene   que</w:t>
        <w:br/>
        <w:t xml:space="preserve">      acompañar la evolución de  los  tiempos  y  las  condiciones  de  vida</w:t>
        <w:br/>
        <w:t xml:space="preserve">      actuales.”[334]</w:t>
        <w:br/>
        <w:br/>
        <w:t xml:space="preserve">  20. El método de interpretación evolutivo permite –cuando es realizado con</w:t>
        <w:br/>
        <w:t xml:space="preserve">      prudencia y  objetividad–  que  la  Convención  se  mantenga  como  un</w:t>
        <w:br/>
        <w:t xml:space="preserve">      “instrumento vivo”, y en consecuencia se incremente la  protección  de</w:t>
        <w:br/>
        <w:t xml:space="preserve">      los derechos humanos en los países  de  la  región.  Sin  embargo,  es</w:t>
        <w:br/>
        <w:t xml:space="preserve">      importante recordar  que  la  utilización  de  normas  externas  a  la</w:t>
        <w:br/>
        <w:t xml:space="preserve">      Convención para su interpretación  debe  operar  sobre  una  serie  de</w:t>
        <w:br/>
        <w:t xml:space="preserve">      presupuestos respecto al valor normativo que tienen tanto las normas y</w:t>
        <w:br/>
        <w:t xml:space="preserve">      principios que son interpretadas (por ejemplo,  la  Convención),  como</w:t>
        <w:br/>
        <w:t xml:space="preserve">      aquellas que  se  utilizan  como  parámetros  de  interpretación  (por</w:t>
        <w:br/>
        <w:t xml:space="preserve">      ejemplo, la Declaración Americana)[335]. Es decir,  la  interpretación</w:t>
        <w:br/>
        <w:t xml:space="preserve">      que hace la Corte no es –ni debe ser– absolutamente libre, sino que se</w:t>
        <w:br/>
        <w:t xml:space="preserve">      debe realizar en el marco de lo previsto  por  reglas  secundarias  de</w:t>
        <w:br/>
        <w:t xml:space="preserve">      derecho internacional que determinan el valor normativo de las fuentes</w:t>
        <w:br/>
        <w:t xml:space="preserve">      del derecho y la manera en que estas deben ser interpretadas (como  lo</w:t>
        <w:br/>
        <w:t xml:space="preserve">      es el artículo 38 del Estatuto de la CIJ o la propia CVDT).  La  Corte</w:t>
        <w:br/>
        <w:t xml:space="preserve">      Interamericana es un tribunal internacional y, por tanto, es razonable</w:t>
        <w:br/>
        <w:t xml:space="preserve">      asumir que se comporte como tal.</w:t>
        <w:br/>
        <w:br/>
        <w:t xml:space="preserve">  21. En este punto es pertinente cuestionarse sobre los aspectos normativos</w:t>
        <w:br/>
        <w:t xml:space="preserve">      que deben servir para permitir la evolución del régimen de  protección</w:t>
        <w:br/>
        <w:t xml:space="preserve">      previsto por la Convención Americana. Los más importantes son aquellos</w:t>
        <w:br/>
        <w:t xml:space="preserve">      instrumentos internacionales de protección adoptados en el seno de  la</w:t>
        <w:br/>
        <w:t xml:space="preserve">      Organización de Estados Americanos (en adelante también “OEA”), al ser</w:t>
        <w:br/>
        <w:t xml:space="preserve">      instrumentos  que  se   enmarcan   en   el   mismo   sistema   de   la</w:t>
        <w:br/>
        <w:t xml:space="preserve">      Convención[336]. Estos  instrumentos  son  una  manifestación  de  los</w:t>
        <w:br/>
        <w:t xml:space="preserve">      compromisos estatales  en  materias  prioritarias:  tortura,  mujeres,</w:t>
        <w:br/>
        <w:t xml:space="preserve">      personas con discapacidad, etc. También es relevante tomar  en  cuenta</w:t>
        <w:br/>
        <w:t xml:space="preserve">      otros tratados internacionales especializados en materia  de  derechos</w:t>
        <w:br/>
        <w:t xml:space="preserve">      humanos adoptados fuera de la OEA, así como las  interpretaciones  que</w:t>
        <w:br/>
        <w:t xml:space="preserve">      de esos tratados han hecho los organismos facultados  para  ello[337].</w:t>
        <w:br/>
        <w:t xml:space="preserve">      En  esa  misma  lógica,  puede  también   ser   relevante   tomar   en</w:t>
        <w:br/>
        <w:t xml:space="preserve">      consideración  la  práctica  de  otros   tribunales   internacionales,</w:t>
        <w:br/>
        <w:t xml:space="preserve">      especialmente del Tribunal Europeo de Derechos Humanos  y  la  CIJ,  o</w:t>
        <w:br/>
        <w:t xml:space="preserve">      incluso de tribunales  nacionales  de  la  región,  como  ha  sido  la</w:t>
        <w:br/>
        <w:t xml:space="preserve">      práctica de la Corte Interamericana desde hace algunos años.[338]</w:t>
        <w:br/>
        <w:br/>
        <w:br/>
        <w:t xml:space="preserve">  22. La utilización  de  una  pluralidad  de  fuentes  del  DIDH  sin  duda</w:t>
        <w:br/>
        <w:t xml:space="preserve">      enriquece el contenido de la Convención, pero hay que tener en  cuenta</w:t>
        <w:br/>
        <w:t xml:space="preserve">      las diferencias que  existen  entre  estas  fuentes  para  evitar  una</w:t>
        <w:br/>
        <w:t xml:space="preserve">      práctica selectiva y arbitraria que  “transforme”  cualquier  criterio</w:t>
        <w:br/>
        <w:t xml:space="preserve">      establecido en el vasto mundo del DIDH  en  una  obligación  para  los</w:t>
        <w:br/>
        <w:t xml:space="preserve">      Estados parte de la Convención. Pues no  es  lo  mismo  determinar  la</w:t>
        <w:br/>
        <w:t xml:space="preserve">      evolución de una cláusula de la  Convención  que  protege  un  derecho</w:t>
        <w:br/>
        <w:t xml:space="preserve">      humano (como podría ser el artículo 22.7 que  protege  el  derecho  de</w:t>
        <w:br/>
        <w:t xml:space="preserve">      buscar y  recibir  asilo)  sobre  la  base  de  un  cuerpo  de  normas</w:t>
        <w:br/>
        <w:t xml:space="preserve">      especializadas en determinada materia (como sucede por ejemplo con las</w:t>
        <w:br/>
        <w:t xml:space="preserve">      normas en materia de refugio y asilo desarrolladas por ACNUR), que  el</w:t>
        <w:br/>
        <w:t xml:space="preserve">      Estado  ha  reconocido  como  vinculantes,  y  que  gozan  de   cierta</w:t>
        <w:br/>
        <w:t xml:space="preserve">      aceptación universal[339], que determinar dicha evolución  tomando  en</w:t>
        <w:br/>
        <w:t xml:space="preserve">      consideración derechos que no han sido expresamente reconocidos en  la</w:t>
        <w:br/>
        <w:t xml:space="preserve">      Convención, con sustento  en  normas  o  criterios  que  no  han  sido</w:t>
        <w:br/>
        <w:t xml:space="preserve">      aceptadas por los Estados como vinculantes,  o  que  no  gozan  de  un</w:t>
        <w:br/>
        <w:t xml:space="preserve">      desarrollo sólido en el derecho internacional[340].</w:t>
        <w:br/>
        <w:br/>
        <w:br/>
        <w:br/>
        <w:t xml:space="preserve">  23. En el presente caso, en lo que respecta a la violación al  derecho  al</w:t>
        <w:br/>
        <w:t xml:space="preserve">      trabajo, la interpretación adoptada por la mayoría considera que se ha</w:t>
        <w:br/>
        <w:t xml:space="preserve">      violado la Convención Americana sobre un derecho que no está  previsto</w:t>
        <w:br/>
        <w:t xml:space="preserve">      por el propio tratado (el derecho al trabajo no se encuentra  regulado</w:t>
        <w:br/>
        <w:t xml:space="preserve">      en artículo alguno de la Convención Americana); se remite a un tratado</w:t>
        <w:br/>
        <w:t xml:space="preserve">      sobre el cual  la  Corte  Interamericana  no  tiene  competencia  para</w:t>
        <w:br/>
        <w:t xml:space="preserve">      conocer sobre peticiones individuales (la Carta de la OEA); el aspecto</w:t>
        <w:br/>
        <w:t xml:space="preserve">      específico del derecho que se declara violado (es decir el  derecho  a</w:t>
        <w:br/>
        <w:t xml:space="preserve">      un recurso judicial efectivo en caso de un  despido  improcedente)  se</w:t>
        <w:br/>
        <w:t xml:space="preserve">      inspira en el  Convenio  158  de  la  Organización  Internacional  del</w:t>
        <w:br/>
        <w:t xml:space="preserve">      Trabajo, del cual el Estado de  Perú  no  es  parte;  y  el  contenido</w:t>
        <w:br/>
        <w:t xml:space="preserve">      específico del  derecho  al  trabajo  no  se  encuentra  definido  con</w:t>
        <w:br/>
        <w:t xml:space="preserve">      claridad en el Sistema Interamericano, y en todo  caso  es  la  propia</w:t>
        <w:br/>
        <w:t xml:space="preserve">      Corte Interamericana la que determinó su contenido en  el  caso  Lagos</w:t>
        <w:br/>
        <w:t xml:space="preserve">      del Campo. Es decir, pareciera que la Corte ha tratado al artículo  26</w:t>
        <w:br/>
        <w:t xml:space="preserve">      como una norma de remisión a todo el cuerpo  de  normas  nacionales  e</w:t>
        <w:br/>
        <w:t xml:space="preserve">      internacionales  en  materia  de  derechos  económicos,   sociales   y</w:t>
        <w:br/>
        <w:t xml:space="preserve">      culturales, abriendo así la puerta a un activismo judicial  que  puede</w:t>
        <w:br/>
        <w:t xml:space="preserve">      lesionar severamente el derecho a la  defensa  de  los  Estados  y  la</w:t>
        <w:br/>
        <w:t xml:space="preserve">      legitimidad de las sentencias de la Corte.</w:t>
        <w:br/>
        <w:br/>
        <w:br/>
        <w:br/>
        <w:t>B. La implementación de la Convención en el ámbito nacional</w:t>
        <w:br/>
        <w:br/>
        <w:br/>
        <w:br/>
        <w:t xml:space="preserve">  24. En este contexto, también es  relevante  reflexionar  en  torno  a  la</w:t>
        <w:br/>
        <w:t xml:space="preserve">      manera en que la interpretación de la Convención se debe llevar a cabo</w:t>
        <w:br/>
        <w:t xml:space="preserve">      en el ámbito nacional pues, como es sabido, los tribunales  nacionales</w:t>
        <w:br/>
        <w:t xml:space="preserve">      operan bajo reglas y principios de interpretación distintos a aquellos</w:t>
        <w:br/>
        <w:t xml:space="preserve">      previstos por el derecho internacional. Los  tratados  internacionales</w:t>
        <w:br/>
        <w:t xml:space="preserve">      –y  en  general  las  fuentes  de  derecho  internacional–   adquieren</w:t>
        <w:br/>
        <w:t xml:space="preserve">      distintos niveles de obligatoriedad en el ámbito nacional a la luz  de</w:t>
        <w:br/>
        <w:t xml:space="preserve">      diversas reglas de derecho constitucional[341]. Estas reglas  incluyen</w:t>
        <w:br/>
        <w:t xml:space="preserve">      aquellas que determinan la jerarquía de los  tratados  internacionales</w:t>
        <w:br/>
        <w:t xml:space="preserve">      en  el  derecho  nacional,  que  en  algunos  casos  adquieren   rango</w:t>
        <w:br/>
        <w:t xml:space="preserve">      constitucional, pero  en  otros  no.  Algo  parecido  sucede  con  las</w:t>
        <w:br/>
        <w:t xml:space="preserve">      cláusulas de interpretación que el propio derecho interno prevé, y que</w:t>
        <w:br/>
        <w:t xml:space="preserve">      en algunas ocasiones incluyen el principio de interpretación  conforme</w:t>
        <w:br/>
        <w:t xml:space="preserve">      y el principio  pro  persona  en  casos  de  conflictos  entre  normas</w:t>
        <w:br/>
        <w:t xml:space="preserve">      nacionales e internacionales, pero en otros no[342].</w:t>
        <w:br/>
        <w:br/>
        <w:br/>
        <w:br/>
        <w:t xml:space="preserve">  25. Esta apreciación  permite  recordar  dos  cuestiones  importantes.  La</w:t>
        <w:br/>
        <w:t xml:space="preserve">      primera, que la aplicabilidad de  las  normas  internacionales  en  el</w:t>
        <w:br/>
        <w:t xml:space="preserve">      ámbito interno depende no sólo de su obligatoriedad como  instrumentos</w:t>
        <w:br/>
        <w:t xml:space="preserve">      internacionales, sino también del reconocimiento que el propio derecho</w:t>
        <w:br/>
        <w:t xml:space="preserve">      nacional haga de estos  instrumentos  como  derecho  interno[343].  La</w:t>
        <w:br/>
        <w:t xml:space="preserve">      segunda, que la incorporación de  las  normas  internacionales  y  las</w:t>
        <w:br/>
        <w:t xml:space="preserve">      interpretaciones que de ellas se hagan por organismos  internacionales</w:t>
        <w:br/>
        <w:t xml:space="preserve">      (como lo es la Corte Interamericana) convive con  reglas  establecidas</w:t>
        <w:br/>
        <w:t xml:space="preserve">      en el derecho nacional. Por lo  que,  en  este  complejo  universo  de</w:t>
        <w:br/>
        <w:t xml:space="preserve">      interacción entre lo nacional y lo internacional, es  fundamental  que</w:t>
        <w:br/>
        <w:t xml:space="preserve">      las interpretaciones desarrolladas por la  Corte  gocen  de  la  mayor</w:t>
        <w:br/>
        <w:t xml:space="preserve">      legitimidad posible.  De  ello  dependerá  que  su  incorporación  sea</w:t>
        <w:br/>
        <w:t xml:space="preserve">      llevada a cabo por las propias autoridades estatales, lo cual  es  aún</w:t>
        <w:br/>
        <w:t xml:space="preserve">      más importante a la luz del desarrollo de la doctrina del  control  de</w:t>
        <w:br/>
        <w:t xml:space="preserve">      convencionalidad[344].</w:t>
        <w:br/>
        <w:br/>
        <w:br/>
        <w:br/>
        <w:t xml:space="preserve">  26. El abuso del principio pro personae y de la  interpretación  evolutiva</w:t>
        <w:br/>
        <w:t xml:space="preserve">      –que no toma debida  consideración  de  los  aspectos  normativos  del</w:t>
        <w:br/>
        <w:t xml:space="preserve">      derecho internacional que determinan el alcance de las cláusulas de la</w:t>
        <w:br/>
        <w:t xml:space="preserve">      Convención– puede afectar no sólo la legitimidad de las sentencias  en</w:t>
        <w:br/>
        <w:t xml:space="preserve">      los casos concretos, sino también su implementación en el futuro  como</w:t>
        <w:br/>
        <w:t xml:space="preserve">      criterios hermenéuticos relevantes en la resolución  de  controversias</w:t>
        <w:br/>
        <w:t xml:space="preserve">      en el ámbito nacional.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Humberto Antonio Sierra Porto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    Secretario</w:t>
        <w:br/>
        <w:br/>
        <w:br/>
        <w:t>[pic]</w:t>
        <w:br/>
        <w:t>-----------------------</w:t>
        <w:br/>
        <w:br/>
        <w:t>[1]   La petición original señaló a  28  presuntas  víctimas.  No  obstante,</w:t>
        <w:br/>
        <w:t>mediante nota de 13 de febrero de 2006, los peticionarios informaron que  la</w:t>
        <w:br/>
        <w:t>señora Gloria Cahua Ríos, y  los  señores  César  Bravo  Garvich  y  Ernesto</w:t>
        <w:br/>
        <w:t>Yovera Álvarez no estaban interesados en continuar su reclamo ante  la  CIDH</w:t>
        <w:br/>
        <w:t>(expediente de prueba, trámite ante la CIDH, folio 1185).</w:t>
        <w:br/>
        <w:br/>
        <w:br/>
        <w:t>[2]   En dicho Informe, la Comisión decidió que la  petición  era  admisible</w:t>
        <w:br/>
        <w:t>respecto de la  presunta  violación  de  los  derechos  reconocidos  en  los</w:t>
        <w:br/>
        <w:t>artículos 8 y 25 en relación con los artículos 1.1  y  2  de  la  Convención</w:t>
        <w:br/>
        <w:t>Americana, y la inadmisibilidad en relación con los derechos  contenidos  en</w:t>
        <w:br/>
        <w:t>los artículos 24 y 9 del mismo instrumento. Cfr.  Informe  de  Admisibilidad</w:t>
        <w:br/>
        <w:t>No. 56/08,  Caso  Trabajadores  despedidos  del  Ministerio  de  Economía  y</w:t>
        <w:br/>
        <w:t>Finanzas (MEF) (expediente de prueba, trámite ante la CIDH,  folios  2548  a</w:t>
        <w:br/>
        <w:t>2560).</w:t>
        <w:br/>
        <w:br/>
        <w:br/>
        <w:t>[3]   En dicho Informe, la Comisión decidió que la  petición  era  admisible</w:t>
        <w:br/>
        <w:t>respecto de la  presunta  violación  de  los  derechos  reconocidos  en  los</w:t>
        <w:br/>
        <w:t>artículos 8 y 25 en relación con los artículos 1.1  y  2  de  la  Convención</w:t>
        <w:br/>
        <w:t>Americana, y la inadmisibilidad en relación con los derechos  contenidos  en</w:t>
        <w:br/>
        <w:t>los artículos 9 y 24 del mismo instrumento. Cfr.  Informe  de  Admisibilidad</w:t>
        <w:br/>
        <w:t>No. 55/08, Caso Trabajadores despedidos de la Empresa  Nacional  de  Puertos</w:t>
        <w:br/>
        <w:t>S.A. (ENAPU), 24 de julio de 2008 (expediente de  prueba,  trámite  ante  la</w:t>
        <w:br/>
        <w:t>CIDH, folios 1081 a 1092).</w:t>
        <w:br/>
        <w:br/>
        <w:br/>
        <w:t>[4]   En dicho Informe, la Comisión decidió que la  petición  era  admisible</w:t>
        <w:br/>
        <w:t>respecto de la  presunta  violación  de  los  derechos  reconocidos  en  los</w:t>
        <w:br/>
        <w:t>artículos 8 y 25 en relación con los artículos 1.1  y  2  de  la  Convención</w:t>
        <w:br/>
        <w:t>Americana, y la inadmisibilidad en relación con los derechos  contenidos  en</w:t>
        <w:br/>
        <w:t>los artículos 9 y 24 del mismo instrumento. Cfr.  Informe  de  Admisibilidad</w:t>
        <w:br/>
        <w:t>No. 56/08, Caso Trabajadores despedidos de Petróleos del  Perú  (PETROPERÚ),</w:t>
        <w:br/>
        <w:t>24 de julio de 2008 (expediente de prueba,  trámite  ante  la  CIDH,  folios</w:t>
        <w:br/>
        <w:t>10745 a 10763).</w:t>
        <w:br/>
        <w:br/>
        <w:br/>
        <w:t>[5]   Por medio de comunicación 13 de mayo de 2015  la  Comisión  informó  a</w:t>
        <w:br/>
        <w:t>las partes que, en aplicación del artículo 37.3 de  su  Reglamento,  decidió</w:t>
        <w:br/>
        <w:t>diferir el tratamiento de admisibilidad del caso 11.602 hasta  el  debate  y</w:t>
        <w:br/>
        <w:t>decisión sobre el fondo (expediente de prueba, trámite ante la  CIDH,  folio</w:t>
        <w:br/>
        <w:t>12007).</w:t>
        <w:br/>
        <w:br/>
        <w:br/>
        <w:t>[6]   La Comisión designó como sus delegados ante la  Corte  al  Comisionado</w:t>
        <w:br/>
        <w:t>James Cavallaro y al Secretario Ejecutivo Emilio Àlvarez Icaza  L.,  y  como</w:t>
        <w:br/>
        <w:t>asesores legales a  Elizabeth  Abi-Mershed,  Secretaria  Adjunta,  y  Silvia</w:t>
        <w:br/>
        <w:t>Serrano Guzmán y Erick Acuña Pereda como abogada y abogado de la  Secretaría</w:t>
        <w:br/>
        <w:t>Ejecutiva de la CIDH.</w:t>
        <w:br/>
        <w:br/>
        <w:br/>
        <w:t>[7]   La interviniente común Loayza Tamayo representa a la totalidad de  las</w:t>
        <w:br/>
        <w:t>presuntas  víctimas  de  MEF  y  ENAPU  (ver  cuadro  anexo  a  la  presente</w:t>
        <w:br/>
        <w:t>sentencia), y a los siguientes trabajadores  de  Petroperú:  Gregorio  Jaime</w:t>
        <w:br/>
        <w:t>Noriega Gonzáles, María Elba  Marchán  Avila,  César  Augusto  Antón  Olaya,</w:t>
        <w:br/>
        <w:t>Víctor  Manuel  Garay  Espinoza,  Julio  Cesar  Sernaque  Azáldegui,  Javier</w:t>
        <w:br/>
        <w:t>Arnaldo Espinoza Vargas, Cruz Alberto More Bayona, Leonarda Montero  Silupú,</w:t>
        <w:br/>
        <w:t>Helber Roel Romero Rivera, María Esther Medina Crisanto  de  Zapata,  Manuel</w:t>
        <w:br/>
        <w:t>Antonio Calle Atoche,  Carlos  Alberto  Zapata  Olaya,  Guadalupe  Risco  de</w:t>
        <w:br/>
        <w:t>Guerrero,  Gerber  Acedo  Martínez,  Lilia  Flores  Herrera,  Agustín  Acedo</w:t>
        <w:br/>
        <w:t>Martínez, Nyrliam  García  Viera,  Oholger  Wiston  Benites  Zárate,  Wilson</w:t>
        <w:br/>
        <w:t>Seminario Agurto, Carlos Eduardo Oliva Borja, María Anita  Zavala  viuda  de</w:t>
        <w:br/>
        <w:t>Vidal, Luís Mogollón  Granda,  Jorge  Martínez  Amaya,  Juan  Felix  Benítez</w:t>
        <w:br/>
        <w:t>Gómez, Maritza Amaya Cobeñas, Manuel Jesús Paiva Pacherres,  Julio  Chiroque</w:t>
        <w:br/>
        <w:t>Silva, Rosa Castillo Marcelo, Agustina Mendoza  Morales,  José  Juan  Obando</w:t>
        <w:br/>
        <w:t>Reto, Luís Arturo Vallejo Agurto,  Elmer  Hernan  Arrazabal  Gallo,  Eduardo</w:t>
        <w:br/>
        <w:t>Emiliano Chavarri y Vélez, Pedro Santos Chumpitaz Sócola,  Asunción  Mechato</w:t>
        <w:br/>
        <w:t>Sernaque, José Torres Namuche, Luís Abad Saldarriaga,  Gregorio  Albuquerque</w:t>
        <w:br/>
        <w:t>Carrillo, William Jacinto Aleman Benites,  Sebastián  Amaya  Fiestas,  Jorge</w:t>
        <w:br/>
        <w:t>Cabanillas De Dios, Luís  Tadeo  Carrasco  Lozada,  Jaime  Garcés  Sandoval,</w:t>
        <w:br/>
        <w:t>Carlos Garcés Solís, Pedro Infante Antón, Pedro López Antón, Emilio  Augusto</w:t>
        <w:br/>
        <w:t>Morales Silva, Ricardo Quevedo Herrera, José  Félix  Saavedra  Medina,  Luís</w:t>
        <w:br/>
        <w:t>Tavara Ramírez, Jorge Carlos Tinedo Puell, Oscar  Valiente  Paico  y  Felito</w:t>
        <w:br/>
        <w:t>Vitonera Saldarriaga.</w:t>
        <w:br/>
        <w:br/>
        <w:br/>
        <w:t>[8]    La  interviniente  común  Roxana  Palomino  Mayta  representa  a  los</w:t>
        <w:br/>
        <w:t>siguientes trabajadores de Petroperú: Gregorio  Jaime  Noriega  Gonzáles  en</w:t>
        <w:br/>
        <w:t>conjunto con la señora Loayza, Delia Arévalo de  Benites,  Luciano  Sandoval</w:t>
        <w:br/>
        <w:t>Villaseca,  Juvenal  Paz  Arévalo,  María  Eusebia  Sancarranco  Barrientos,</w:t>
        <w:br/>
        <w:t>Neptalí Aguirre Maldonado, Carlos Alberto  Galán  Castillo,  Noberto  Vilela</w:t>
        <w:br/>
        <w:t>Jiménez, Ricardo Romualdo Vílchez Valverde,  Antonio  Esparza  Huamán,  Irma</w:t>
        <w:br/>
        <w:t>Morales  López,  Wilmer  Santiago  Gil  Rosales,  Ana  María  Rojas  Flores,</w:t>
        <w:br/>
        <w:t>Fredesvinda Sócola  Viuda  de  Carrillo,  Raúl  Clavijo  Domínguez,  Leither</w:t>
        <w:br/>
        <w:t>Quevedo Saavedra, Luís  Oswaldo  Duque  Morán,  Segundo  Barrientos  Olivos,</w:t>
        <w:br/>
        <w:t>Pedro Rogelio Carrasco Talledo, Juan Antonio Echandía Ochoa,  Eduardo  Panta</w:t>
        <w:br/>
        <w:t>Valladares, Santos Calderón Ávila, Alberto  Chira  Guerrero,  Mario  Alberto</w:t>
        <w:br/>
        <w:t>Duque Mogollón, Gonzalo Guinocchio Guerrero, José  William  Jacinto  Zavala,</w:t>
        <w:br/>
        <w:t>Abraham Montero Ramírez, Miguel Hugo Morán García, Edwin  Quevedo  Saavedra,</w:t>
        <w:br/>
        <w:t>Catalino Sandoval Ancajima, Dionisio  Sandoval  Flores  y  Joaquín  Wilberto</w:t>
        <w:br/>
        <w:t>Santillán Zavala.</w:t>
        <w:br/>
        <w:br/>
        <w:br/>
        <w:t>[9]    Los  intervinientes  comunes  Gregorio   Paredes   y   Manuel   Paiba</w:t>
        <w:br/>
        <w:t>representan a la totalidad de las presuntas víctimas  del  MEF  (ver  cuadro</w:t>
        <w:br/>
        <w:t>anexo a la presente sentencia).</w:t>
        <w:br/>
        <w:br/>
        <w:br/>
        <w:t>[10]  Mediante comunicación de 24 de agosto de 2017, el señor Edwin  Quevedo</w:t>
        <w:br/>
        <w:t>Saavedra solicitó la revocación del poder de representación  otorgado  a  la</w:t>
        <w:br/>
        <w:t>señora  Roxana   Palomino   Mayta,   y   remitió   determinados   documentos</w:t>
        <w:br/>
        <w:t>relacionados  con  dos  presuntas  víctimas  del  presente  caso.   Mediante</w:t>
        <w:br/>
        <w:t>comunicación de 11  de  septiembre  de  2017,  la  Corte  tomo  nota  de  la</w:t>
        <w:br/>
        <w:t>revocación del poder  de  representación,  y  no  admitió  la  documentación</w:t>
        <w:br/>
        <w:t>remitida.</w:t>
        <w:br/>
        <w:br/>
        <w:br/>
        <w:t>[11]  En lo subsecuente, la  Corte  se  referirá  a  los  representantes  de</w:t>
        <w:br/>
        <w:t>manera genérica, es  decir  no  identificándolos  conforme  a  su  nombre  y</w:t>
        <w:br/>
        <w:t>apellido, salvo en aquellos casos que sea necesario.</w:t>
        <w:br/>
        <w:br/>
        <w:br/>
        <w:t>[12]  El Estado designó como agente a Iván Bazán Chacón,  agente  Procurador</w:t>
        <w:br/>
        <w:t>Público Adjunto Especializado Supranacional y como agentes alternos a  Doris</w:t>
        <w:br/>
        <w:t>Yalle Jorges y Helmut Andres Olivera Torres.</w:t>
        <w:br/>
        <w:br/>
        <w:br/>
        <w:t>[13]  Caso Trabajadores Cesados de Petroperú y  otros  Vs.  Perú.  Fondo  de</w:t>
        <w:br/>
        <w:t>Asistencia  Legal  de  Víctimas.  Resolución  del  Presidente  de  la  Corte</w:t>
        <w:br/>
        <w:t>Interamericana de Derechos Humanos de 22 de junio de  2016.  Disponible  en:</w:t>
        <w:br/>
        <w:t>http://www.corteidh.or.cr/docs/asuntos/petroperu_fv_16.pdf.</w:t>
        <w:br/>
        <w:br/>
        <w:br/>
        <w:t>[14]  Caso Trabajadores Cesados de Petroperú y otros Vs. Perú.  Convocatoria</w:t>
        <w:br/>
        <w:t>de audiencia. Resolución  del  Presidente  de  la  Corte  Interamericana  de</w:t>
        <w:br/>
        <w:t>Derechos  Humanos  de   14   de   septiembre   de   2016.   Disponible   en:</w:t>
        <w:br/>
        <w:t>http://www.corteidh.or.cr/docs/asuntos/petroperu_14_09_16.pdf.</w:t>
        <w:br/>
        <w:br/>
        <w:br/>
        <w:t>[15]  Carlos Alza Barco emitió un dictamen sobre “los estándares a tomar  en</w:t>
        <w:br/>
        <w:t>consideración al momento de  evaluar  la  idoneidad  y  efectividad  de  las</w:t>
        <w:br/>
        <w:t>medidas de  reparación  dispuestas  por  un  Estado  para  responder  a  una</w:t>
        <w:br/>
        <w:t>situación estructural de denegación de justicia  frente  a  un  contexto  de</w:t>
        <w:br/>
        <w:t>ceses colectivos en le función pública”, en lo  pertinente  en  el  presente</w:t>
        <w:br/>
        <w:t>caso”.</w:t>
        <w:br/>
        <w:br/>
        <w:br/>
        <w:t>[16]        Lourdes  Flores  Nano  emitió  un  dictamen  sobre  “Los  hechos</w:t>
        <w:br/>
        <w:t>acaecidos y sus efectos en el contexto sociopolítico durante  la  década  de</w:t>
        <w:br/>
        <w:t>los años 90 en el Perú, así como “el desarrollo de  la  legislación  laboral</w:t>
        <w:br/>
        <w:t>existente”, en lo relevante para el presente caso.</w:t>
        <w:br/>
        <w:br/>
        <w:br/>
        <w:t>[17]  La grabación de la audiencia pública realizada el  17  de  octubre  de</w:t>
        <w:br/>
        <w:t>2014, en relación  con  el  caso  Canales  Huapaya  y  otros  Vs.  Perú,  se</w:t>
        <w:br/>
        <w:t>encuentra disponible en el siguiente enlace: https://vimeo.com/109624006.</w:t>
        <w:br/>
        <w:br/>
        <w:br/>
        <w:t>[18]  A esta audiencia comparecieron: a)  por  la  Comisión  Interamericana:</w:t>
        <w:br/>
        <w:t>José de Jesús Orozco Henríquez, Comisionado, Silvia Serrano Guzmán,  Asesora</w:t>
        <w:br/>
        <w:t>de la Comisión Interamericana, y Erick Acuña Pereda, Asesor de  la  Comisión</w:t>
        <w:br/>
        <w:t>Interamericana; b) por las presuntas víctimas: por la representación de  las</w:t>
        <w:br/>
        <w:t>presuntas víctimas  del  ministerio  de  economía  y  finanzas,  la  empresa</w:t>
        <w:br/>
        <w:t>nacional de puertos y algunos de  los  trabajadores  cesados  de  Petroperú:</w:t>
        <w:br/>
        <w:t>Carolina Maida  Loayza  Tamayo,  interviniente  común,  y  Yanira  Elizabeth</w:t>
        <w:br/>
        <w:t>Valdez  Tejada.  Por  la  Representación  de  las  presuntas  víctimas   del</w:t>
        <w:br/>
        <w:t>Ministerio de Educación: Manuel Eugenio Paiba Cossios, interviniente  común,</w:t>
        <w:br/>
        <w:t>y Gregorio Paredes Chipana, interviniente común. Por  la  representación  de</w:t>
        <w:br/>
        <w:t>algunos de los trabajadores cesados de  Petroperú:  Roxana  Palomino  Mayta,</w:t>
        <w:br/>
        <w:t>interviniente  común;  y  c)  por  el  Estado:  Iván  Arturo  Bazán  Chacón,</w:t>
        <w:br/>
        <w:t>Procurador Público Adjunto Supranacional y Agente Alterno, y  Helmut  Andrés</w:t>
        <w:br/>
        <w:t>Olivera  Torres,  Abogado   de   la   Procuraduría   Pública   Especializada</w:t>
        <w:br/>
        <w:t>Supranacional y Agente Alterno.</w:t>
        <w:br/>
        <w:br/>
        <w:br/>
        <w:t>[19] En lo que respecta al amicus curiae presentado por Baicus  Consultoría,</w:t>
        <w:br/>
        <w:t>la Corte advierte que este fue presentado el  27  de  octubre  de  2016  sin</w:t>
        <w:br/>
        <w:t>firma. Posteriormente, el 2 de noviembre  de  2016,  el  amicus  curiae  fue</w:t>
        <w:br/>
        <w:t>recibido con la firma de la señora Andrea Rodríguez Zavala con una  nota  en</w:t>
        <w:br/>
        <w:t>la que expresaba que firmaba en representación de su  persona  y  las  otras</w:t>
        <w:br/>
        <w:t>tres autoras del escrito. Al respecto, el Estado objetó la admisibilidad  de</w:t>
        <w:br/>
        <w:t>dicho documento debido  a  que  Baicus  Consultoría  no  realizó,  según  su</w:t>
        <w:br/>
        <w:t>criterio, las diligencias necesarias para  acreditar  que  la  firma  de  la</w:t>
        <w:br/>
        <w:t>señora Andrea fuera suficiente para representar a las demás autoras,  o  que</w:t>
        <w:br/>
        <w:t>la misma sea representante de Baicus Consultoría. En este sentido, la  Corte</w:t>
        <w:br/>
        <w:t>ha  señalado  en  otras  ocasiones  que  la  presentación  de   determinados</w:t>
        <w:br/>
        <w:t>elementos al trámite ante la Corte debe ser efectuada  prestando  particular</w:t>
        <w:br/>
        <w:t>atención a las circunstancias del caso concreto  y  teniendo  presentes  los</w:t>
        <w:br/>
        <w:t>límites que impone el respeto  a  la  seguridad  jurídica  y  al  equilibrio</w:t>
        <w:br/>
        <w:t>procesal de las partes, por lo que, en el presente caso, la Corte  considera</w:t>
        <w:br/>
        <w:t>admisible el amicus curie firmado por la señora Andrea Rodríguez  Zavala  en</w:t>
        <w:br/>
        <w:t>representación de todas las  autoras  del  escrito  y  en  cumplimiento  del</w:t>
        <w:br/>
        <w:t>artículo 44 del Reglamento de  la  Corte.  Asimismo,  el  Estado  objetó  el</w:t>
        <w:br/>
        <w:t>amicus curie presentado por la señora Nilda Garay ya que alegaron  que  este</w:t>
        <w:br/>
        <w:t>cita el escrito de solicitudes  y  argumentos  de  la  representante  Loayza</w:t>
        <w:br/>
        <w:t>Tamayo, documento que no es público. No obstante, esta  Corte  nota  que  la</w:t>
        <w:br/>
        <w:t>referencia del Estado no afecta la  admisibilidad  del  mencionado  escrito,</w:t>
        <w:br/>
        <w:t>por lo que admite el mencionado documento.</w:t>
        <w:br/>
        <w:br/>
        <w:br/>
        <w:t>[20]  El escrito fue firmado por la señora Nilda  Garay  Montañez.  En  este</w:t>
        <w:br/>
        <w:t>escrito   la   autora   analiza   y   fundamenta,   desde   la   perspectiva</w:t>
        <w:br/>
        <w:t>constitucional, el contexto de ruptura democrática en el cual se  vulneraron</w:t>
        <w:br/>
        <w:t>derechos laborales a los trabajadores cesados,  y  analiza  algunos  de  los</w:t>
        <w:br/>
        <w:t>otros derechos que habrían sido violados en el presente caso  para  concluir</w:t>
        <w:br/>
        <w:t>que dado el contexto de  vulneración  a  la  Constitución  peruana  mediante</w:t>
        <w:br/>
        <w:t>normas jurídicas no ajustadas a la misma, se puso en evidencia el estado  de</w:t>
        <w:br/>
        <w:t>indefensión en que  se  encontraban  las  presuntas  víctimas  del  caso  al</w:t>
        <w:br/>
        <w:t>momento de los  hechos.  Asimismo,  la  autora  concluye  por  medio  de  un</w:t>
        <w:br/>
        <w:t>análisis jurídico histórico que el Estado vulneró el derecho al trabajo,  el</w:t>
        <w:br/>
        <w:t>derecho a una vida digna, el derecho  a  no  ser  discriminados,  a  no  ser</w:t>
        <w:br/>
        <w:t>excluidos mediante estigmatización  y  a  no  violentar  su  honra,  de  los</w:t>
        <w:br/>
        <w:t>trabajadores cesados del presente caso.</w:t>
        <w:br/>
        <w:br/>
        <w:br/>
        <w:t>[21]  El escrito fue firmado por el señor Oscar Luján Fappiano. Presenta  un</w:t>
        <w:br/>
        <w:t>análisis  del  Decreto  Ley  No.  25.423   a   la   luz   del   control   de</w:t>
        <w:br/>
        <w:t>constitucionalidad en el Perú y del control de  convencionalidad.  El  autor</w:t>
        <w:br/>
        <w:t>concluye que la Corte debe pronunciarse sobre a) la  inconstitucionalidad  y</w:t>
        <w:br/>
        <w:t>por ende la nulidad absoluta de la legislación sancionada por Fujimori y  no</w:t>
        <w:br/>
        <w:t>por el Congreso  Peruano  referente  a  la  situación  de  los  trabajadores</w:t>
        <w:br/>
        <w:t>cesados;  b)  la  nulidad  de  las  sentencias  dictadas  en  sede   interna</w:t>
        <w:br/>
        <w:t>desestimando los amparos promovidos por los  empleados  afectados  y  c)  el</w:t>
        <w:br/>
        <w:t>incumplimiento por parte del Estado peruano de su  obligación  de  comunicar</w:t>
        <w:br/>
        <w:t>esa legislación que afecta derechos sociales, tanto  al  Secretario  General</w:t>
        <w:br/>
        <w:t>de Naciones  Unidas  como  al  Secretario  de  la  Organización  de  Estados</w:t>
        <w:br/>
        <w:t>Americanos.</w:t>
        <w:br/>
        <w:br/>
        <w:br/>
        <w:t>[22]  El escrito fue firmado por Flávia do Amaral Vieira, Tamires  da  Silva</w:t>
        <w:br/>
        <w:t>Lima, Raysa Antonia Alves Alves, Caio César Dias Santos y Jucélio Soares  de</w:t>
        <w:br/>
        <w:t>Carvalho Junior, miembros de la Clínica de Derechos Humanos de  la  Amazonía</w:t>
        <w:br/>
        <w:t>y Cristina Figueiredo Terezo Ribeiro  como  Coordinadora  de  la  misma.  El</w:t>
        <w:br/>
        <w:t>escrito presenta un análisis del contexto de las  empresas  de  Petroperú  y</w:t>
        <w:br/>
        <w:t>Enapu y de los artículos que se alegan violados por el Estado de  Perú.  Los</w:t>
        <w:br/>
        <w:t>autores del escrito  hacen  énfasis  en  que  las  violaciones  de  derechos</w:t>
        <w:br/>
        <w:t>humanos realizadas por terceros pueden ser atribuidas internacionalmente  al</w:t>
        <w:br/>
        <w:t>Estado por no haber tomado  medidas  adecuadas  para  prevenir,  investigar,</w:t>
        <w:br/>
        <w:t>sancionar, regular y corregir las acciones de  terceros  en  su  territorio,</w:t>
        <w:br/>
        <w:t>esto con el propósito de llamar  la  atención  de  la  Corte  sobre  que  el</w:t>
        <w:br/>
        <w:t>Tribunal podría avanzar en torno  a  una  interpretación  de  la  Convención</w:t>
        <w:br/>
        <w:t>Americana  para  aclarar  las  normas  internacionales  vigentes  sobre   la</w:t>
        <w:br/>
        <w:t>relación  entre  las  empresas  transnacionales  y  el  Estado,   así   como</w:t>
        <w:br/>
        <w:t>establecer medidas de reparación que deban ser cumplidas en conjunto,  entre</w:t>
        <w:br/>
        <w:t>el Estado y las empresas, con  el  fin  de  fortalecer  las  medidas  de  no</w:t>
        <w:br/>
        <w:t>repetición que involucren un sistema de control y prevención de  violaciones</w:t>
        <w:br/>
        <w:t>de Derechos Humanos por  actores  no  estatales,  tales  como  las  empresas</w:t>
        <w:br/>
        <w:t>transnacionales.</w:t>
        <w:br/>
        <w:br/>
        <w:br/>
        <w:t>[23]  El escrito fue firmado por Andrea Rodríguez Zavala  en  representación</w:t>
        <w:br/>
        <w:t>de las cuatro  abogadas  de  Baicus  Consultoria.  El  escrito  presenta  un</w:t>
        <w:br/>
        <w:t>análisis sobre las posibles violaciones a los derechos económicos,  sociales</w:t>
        <w:br/>
        <w:t>y culturales (en adelante DESC) en el caso,  así  como  de  otros  artículos</w:t>
        <w:br/>
        <w:t>posiblemente violados de la Convención Americana. Las autoras concluyen  que</w:t>
        <w:br/>
        <w:t>los DESC “representan necesidades básicas de tipo  inmediatas,  que  no  dan</w:t>
        <w:br/>
        <w:t>espera y que repercuten directamente en la calidad de vida de  las  personas</w:t>
        <w:br/>
        <w:t>y en el presente caso la afectación al derecho al trabajo trajo consigo  una</w:t>
        <w:br/>
        <w:t>violación masiva a múltiples  derechos  esenciales  para  la  vida  del  ser</w:t>
        <w:br/>
        <w:t>humano”. En el amicus se hace énfasis a que debe replantearse la  teoría  de</w:t>
        <w:br/>
        <w:t>la justiciabilidad en el marco de los DESC.</w:t>
        <w:br/>
        <w:br/>
        <w:br/>
        <w:t>[24]  El escrito fue  firmado  por  Geraldin  Pacheco  Sempertegui  y  Sofía</w:t>
        <w:br/>
        <w:t>Consuelo Atoccsa Burgos, estudiante de la Universidad de Nacional  Mayor  de</w:t>
        <w:br/>
        <w:t>San Marcos. Este escrito presenta un estudio sobre la posible  determinación</w:t>
        <w:br/>
        <w:t>de políticas públicas en favor de las víctimas de  violaciones  de  derechos</w:t>
        <w:br/>
        <w:t>humanos bajo el carácter de reparaciones, las autoras  proponen  un  sistema</w:t>
        <w:br/>
        <w:t>de determinación de reparaciones basado en el objetivo de  “reconstruir  las</w:t>
        <w:br/>
        <w:t>condiciones  de  ciudadanía  deterioradas  en  las  víctimas”   las   cuales</w:t>
        <w:br/>
        <w:t>establecen que  están  asociadas  con  las  capacidades  centrales  para  el</w:t>
        <w:br/>
        <w:t>desarrollo de las mismas, para lo cual realizan un análisis de factores  que</w:t>
        <w:br/>
        <w:t>pueden  resarcir  ciertas  medidas  de  reparación,  a  manera  de  ejemplo,</w:t>
        <w:br/>
        <w:t>exponiendo que un análisis  similar  podría  ser  realizado  por  la  Corte,</w:t>
        <w:br/>
        <w:t>tomando las particularidades de cada caso en concreto.</w:t>
        <w:br/>
        <w:br/>
        <w:br/>
        <w:t>[25]  Por medio de la nota de 22 de diciembre de  2016,  la  Corte  constató</w:t>
        <w:br/>
        <w:t>que algunos de los documentos enviados por la señora Roxana  Palomino  Mayta</w:t>
        <w:br/>
        <w:t>como alegatos finales escritos  eran  documentos  que  no  correspondían  al</w:t>
        <w:br/>
        <w:t>presente caso, por lo que no  se  aceptaron  y  no  fueron  transmitidos  ni</w:t>
        <w:br/>
        <w:t>incorporados al expediente.</w:t>
        <w:br/>
        <w:br/>
        <w:br/>
        <w:t>[26]  Cfr. Caso Velásquez Rodríguez Vs. Honduras. Excepciones  Preliminares.</w:t>
        <w:br/>
        <w:t>Sentencia de 26 de junio de 1987. Serie C No. 1, párr.  63,  y  Caso  Favela</w:t>
        <w:br/>
        <w:t>Nova Brasília Vs. Brasil. Excepciones Preliminares,  Fondo,  Reparaciones  y</w:t>
        <w:br/>
        <w:t>Costas. Sentencia de 16 de febrero de 2017. Serie C No. 333, párr. 77.</w:t>
        <w:br/>
        <w:br/>
        <w:br/>
        <w:t>[27]  Cfr. Caso Velásquez Rodríguez Vs. Honduras. Excepciones  Preliminares,</w:t>
        <w:br/>
        <w:t>párr. 88, y Caso Favela Nova Brasília Vs. Brasil, párr. 76.</w:t>
        <w:br/>
        <w:br/>
        <w:br/>
        <w:t>[28]  Cfr.  Caso  Reverón  Trujillo  Vs.  Venezuela.  Excepción  Preliminar,</w:t>
        <w:br/>
        <w:t>Fondo, Reparaciones y Costas. Sentencia de 30 de junio de 2009. Serie C  No.</w:t>
        <w:br/>
        <w:t>197,  párr.  23,  y  Caso  Gutiérrez  Hernández  y  otros   Vs.   Guatemala.</w:t>
        <w:br/>
        <w:t>Excepciones Preliminares, Fondo, Reparaciones y Costas. Sentencia de  24  de</w:t>
        <w:br/>
        <w:t>agosto de 2017. Serie C No. 339, párr. 22.</w:t>
        <w:br/>
        <w:br/>
        <w:br/>
        <w:t>[29]   Cfr.  Caso  de  Personas  dominicanas  y  haitianas  expulsadas   Vs.</w:t>
        <w:br/>
        <w:t>República  Dominicana.  Excepciones  Preliminares,  Fondo,  Reparaciones   y</w:t>
        <w:br/>
        <w:t>Costas. Sentencia de 28 de agosto de 2014. Serie C  No.  282,  párr.  30,  y</w:t>
        <w:br/>
        <w:t>Caso I.V. Vs.  Bolivia.  Excepciones  Preliminares,  Fondo,  Reparaciones  y</w:t>
        <w:br/>
        <w:t>Costas. Sentencia de 30 de noviembre de 2016. Serie C No. 329, párr. 31.</w:t>
        <w:br/>
        <w:br/>
        <w:br/>
        <w:t>[30]  Cfr. Caso Velásquez Rodríguez Vs. Honduras. Excepciones  Preliminares,</w:t>
        <w:br/>
        <w:t>párr. 88 y, Caso Gutiérrez Hernández y otros Vs. Guatemala, párr. 22.</w:t>
        <w:br/>
        <w:br/>
        <w:br/>
        <w:t>[31]  Cfr. Caso  Brewer  Carías  Vs.  Venezuela.  Excepciones  Preliminares.</w:t>
        <w:br/>
        <w:t>Sentencia  de  26  de  mayo  de  2014,  párr.  77,  y  Caso   Gutie[pic]rrez</w:t>
        <w:br/>
        <w:t>Herna[pic]ndez y otros Vs. Guatemala, párr. 22.</w:t>
        <w:br/>
        <w:br/>
        <w:br/>
        <w:t>[32]   Cfr.  Caso   Furlan   y   Familiares   Vs.   Argentina.   Excepciones</w:t>
        <w:br/>
        <w:t>Preliminares, Fondo, Reparaciones y Costas. Sentencia de  31  de  agosto  de</w:t>
        <w:br/>
        <w:t>2012 SerCaso Gutiérrez Hernández y otros Vs. Guatemala, párr. 22.</w:t>
        <w:br/>
        <w:br/>
        <w:t>[33]  Cfr. Caso Furlan y Familiares Vs. Argentina. Excepciones</w:t>
        <w:br/>
        <w:t>Preliminares, Fondo, Reparaciones y Costas. Sentencia de 31 de agosto de</w:t>
        <w:br/>
        <w:t>2012 Serie C No. 246, párr. 29, y Caso Favela Nova Brasília Vs. Brasil,</w:t>
        <w:br/>
        <w:t>párr. 78.</w:t>
        <w:br/>
        <w:br/>
        <w:t>[34]  Nota  Diplomática  No.  7-5-M/120,  de  fecha  10  de  abril  de  1997</w:t>
        <w:br/>
        <w:t>(expediente de prueba, trámite ante la Comisión, folios 7793 al 7799).</w:t>
        <w:br/>
        <w:br/>
        <w:br/>
        <w:t>[35]  Nota Diplomática No.  7-5-M/074,  de  fecha  18  de  febrero  de  1998</w:t>
        <w:br/>
        <w:t>(expediente de prueba, trámite ante la Comisión, folios 8725  al  8738).  Al</w:t>
        <w:br/>
        <w:t>respecto, la Corte advierte que, de conformidad con la sentencia  Exp.  538-</w:t>
        <w:br/>
        <w:t>97-AA/TC, remitida por el Estado en la Nota Diplomática  No.  7-5-M/074,  al</w:t>
        <w:br/>
        <w:t>dictar sentencia a un recurso extraordinario y en el marco de una acción  de</w:t>
        <w:br/>
        <w:t>amparo, el Tribunal Constitucional declaró fundada la petición del actor  de</w:t>
        <w:br/>
        <w:t>revocar la sentencia de segunda instancia dictada por la Primera Sala  Civil</w:t>
        <w:br/>
        <w:t>de la Corte Superior de Justicia de Lambayeque, la cual a su vez  revocó  la</w:t>
        <w:br/>
        <w:t>sentencia de primera instancia dictada  por  el  Segundo  Juzgado  Civil  de</w:t>
        <w:br/>
        <w:t>Chiclayo,  que  declaró  fundada  la  acción  de  amparo  interpuesta   para</w:t>
        <w:br/>
        <w:t>controvertir  la  violación  de  los  derechos  constitucionales  al  debido</w:t>
        <w:br/>
        <w:t>proceso, a la defensa y a la estabilidad en el empleo del  peticionario.  El</w:t>
        <w:br/>
        <w:t>Tribunal  Constitucional  consideró,  entre   otras   cuestiones,   que   de</w:t>
        <w:br/>
        <w:t>conformidad con lo previsto en el inciso  3,  del  artículo  6  del  la  Ley</w:t>
        <w:br/>
        <w:t>23506. Ley de Hábeas Corpus y Amparo, la acción de amparo no es  un  proceso</w:t>
        <w:br/>
        <w:t>de carácter subsidiario al que se pueda acudir en defensa  de  los  derechos</w:t>
        <w:br/>
        <w:t>constitucionales en caso de no existir una vía ordinaria adecuada,  sino  un</w:t>
        <w:br/>
        <w:t>proceso al que se puede acudir en forma alternativa,  independientemente  de</w:t>
        <w:br/>
        <w:t>si existe (o no) un proceso ordinario.</w:t>
        <w:br/>
        <w:br/>
        <w:br/>
        <w:t>[36]  Nota Diplomática No.  7-5-M/466,  de  fecha  27  de  octubre  de  1999</w:t>
        <w:br/>
        <w:t>(expediente de prueba, trámite ante la Comisión, folios 8682 al 8700).</w:t>
        <w:br/>
        <w:br/>
        <w:br/>
        <w:t>[37]   Notas  Diplomáticas  No.  7-5-M/120,  7-5-M/074  y,   7-5-M/466,   de</w:t>
        <w:br/>
        <w:t>fechas 10 de abril de 1997, 18 de febrero de 1998, y 27 de octubre de  1999,</w:t>
        <w:br/>
        <w:t>respectivamente (expediente de prueba,  trámite  ante  la  Comisión,  folios</w:t>
        <w:br/>
        <w:t>7793 al 7799, 8682 al 8700, y 8725 al 8738).</w:t>
        <w:br/>
        <w:br/>
        <w:br/>
        <w:t>[38]  Cfr. Caso Furlan y Familiares Vs. Argentina, párr. 29, y  Caso  Favela</w:t>
        <w:br/>
        <w:t>Nova Brasília Vs. Brasil, párr. 78.</w:t>
        <w:br/>
        <w:br/>
        <w:br/>
        <w:t>[39]  Caso Castillo Páez Vs. Perú. Excepciones  Preliminares.  Sentencia  de</w:t>
        <w:br/>
        <w:t>30 de enero de 1996. Serie C No. 24, párr. 41, y Cfr. Caso  Tenorio  Roca  y</w:t>
        <w:br/>
        <w:t>otros Vs. Perú. Excepciones  Preliminares,  Fondo,  Reparaciones  y  Costas.</w:t>
        <w:br/>
        <w:t>Sentencia de 22 de junio de 2016. Serie C No. 314., párr. 24.</w:t>
        <w:br/>
        <w:br/>
        <w:br/>
        <w:t>[40]  Cfr. Caso Velásquez Rodríguez Vs. Honduras. Fondo. Sentencia de 29  de</w:t>
        <w:br/>
        <w:t>julio de 1988. Serie C No. 4, párr. 63, y  Caso  Favela  Nova  Brasília  Vs.</w:t>
        <w:br/>
        <w:t>Brasil, párr. 77.</w:t>
        <w:br/>
        <w:br/>
        <w:br/>
        <w:t>[41]  Cfr. Caso Velásquez Rodríguez Vs. Honduras. Fondo, párr. 86.</w:t>
        <w:br/>
        <w:br/>
        <w:br/>
        <w:t>[42]  Cfr. Caso Velásquez Rodríguez Vs. Honduras. Fondo,  párr.  61  y  Caso</w:t>
        <w:br/>
        <w:t>Favela Nova Brasília Vs. Brasil, párr. 86.</w:t>
        <w:br/>
        <w:br/>
        <w:br/>
        <w:t>[43]  Cfr. Caso Reverón Trujillo Vs. Venezuela, párr. 23, y  Caso  Gutiérrez</w:t>
        <w:br/>
        <w:t>Hernández y otros Vs. Guatemala, párr. 22.</w:t>
        <w:br/>
        <w:br/>
        <w:br/>
        <w:t>[44]  Cfr. Caso Velásquez Rodríguez Vs. Honduras. Fondo, párr.  64,  y  Caso</w:t>
        <w:br/>
        <w:t>Brewer Carías Vs. Venezuela, párr. 86.</w:t>
        <w:br/>
        <w:br/>
        <w:br/>
        <w:t>[45]  Cfr. Caso Velásquez Rodríguez Vs. Honduras. Fondo, párrs. 66 y  67,  y</w:t>
        <w:br/>
        <w:t>Caso Brewer Carías Vs. Venezuela, párr. 87.</w:t>
        <w:br/>
        <w:br/>
        <w:t>[46]   Nota  Diplomática  7-5-M/074,  de  fecha  18  de  febrero   de   1998</w:t>
        <w:br/>
        <w:t>(expediente de prueba, trámite ante la Comisión, folios 8725 al 8738).</w:t>
        <w:br/>
        <w:br/>
        <w:t>[47]  Cfr. Caso Velásquez Rodríguez Vs. Honduras. Fondo, párr.  64,  y  Caso</w:t>
        <w:br/>
        <w:t>Lagos del Campo Vs. Perú. Excepciones Preliminares,  Fondo,  Reparaciones  y</w:t>
        <w:br/>
        <w:t>Costas. Sentencia de 31 de agosto de 2017. Serie C No. 340, párr. 33.</w:t>
        <w:br/>
        <w:br/>
        <w:br/>
        <w:t>[48]  Cfr. Caso López Lone  y  otros  Vs.  Honduras.  Excepción  Preliminar,</w:t>
        <w:br/>
        <w:t>Fondo, Reparaciones y Costas. Sentencia de 5 de octubre  de  2015.  Serie  C</w:t>
        <w:br/>
        <w:t>No. 302, párr. 28, y Caso Gutiérrez Hernández y otros Vs.  Guatemala,  párr.</w:t>
        <w:br/>
        <w:t>22.</w:t>
        <w:br/>
        <w:br/>
        <w:br/>
        <w:t>[49]   Cfr.  Caso  Galindo  Cárdenas   y   otros   Vs.   Perú.   Excepciones</w:t>
        <w:br/>
        <w:t>Preliminares, Fondo, Reparaciones y Costas. Sentencia de  2  de  octubre  de</w:t>
        <w:br/>
        <w:t>2015. Serie C No. 301., párr. 53.</w:t>
        <w:br/>
        <w:br/>
        <w:br/>
        <w:t>[50]  Cfr. Carta Democrática  Interamericana,  aprobada  por  aclamación  en</w:t>
        <w:br/>
        <w:t>Asamblea General extraordinaria de  la  OEA  celebrada  en  Lima  el  11  de</w:t>
        <w:br/>
        <w:t>septiembre de 2001, artículo 3. “Son elementos esenciales de  la  democracia</w:t>
        <w:br/>
        <w:t>representativa, entre otros,  el  respeto  a  los  derechos  humanos  y  las</w:t>
        <w:br/>
        <w:t>libertades fundamentales; el acceso al poder y su ejercicio con sujeción  al</w:t>
        <w:br/>
        <w:t>estado de derecho; la celebración de elecciones periódicas,  libres,  justas</w:t>
        <w:br/>
        <w:t>y basadas en el sufragio universal y secreto como expresión de la  soberanía</w:t>
        <w:br/>
        <w:t>del pueblo; el régimen plural de partidos y organizaciones políticas;  y  la</w:t>
        <w:br/>
        <w:t>separación e independencia de los poderes públicos.”</w:t>
        <w:br/>
        <w:br/>
        <w:br/>
        <w:t>[51]  Cfr. Caso del Tribunal Constitucional Vs. Perú. Fondo, Reparaciones  y</w:t>
        <w:br/>
        <w:t>Costas. Sentencia de 31 de enero de 2001. Serie C No. 71,  párr.  112;  Caso</w:t>
        <w:br/>
        <w:t>Trabajadores  Cesados  del  Congreso  (Aguado  Alfaro  y  otros)  Vs.  Perú,</w:t>
        <w:br/>
        <w:t>Excepciones Preliminares, Fondo, Reparaciones y Costas. Sentencia de  24  de</w:t>
        <w:br/>
        <w:t>noviembre de 2006. Serie C No. 158, párr. 109, inciso g);  Caso  La  Cantuta</w:t>
        <w:br/>
        <w:t>Vs. Perú. Fondo, Reparaciones y Costas. Sentencia  de  29  de  noviembre  de</w:t>
        <w:br/>
        <w:t>2006. Serie C No. 162, párr. 92; Caso Canales  Huapaya  y  otros  Vs.  Perú.</w:t>
        <w:br/>
        <w:t>Excepciones Preliminares, Fondo, Reparaciones y Costas. Sentencia de  24  de</w:t>
        <w:br/>
        <w:t>junio de 2015. Serie C No. 296, párr. 103.</w:t>
        <w:br/>
        <w:br/>
        <w:br/>
        <w:t>[52]  Cfr. Caso Galindo Cárdenas y otros Vs. Perú, párr. 53.</w:t>
        <w:br/>
        <w:br/>
        <w:br/>
        <w:t>[53]  El Artículo 19 del  Protocolo  Adicional  a  la  Convención  Americana</w:t>
        <w:br/>
        <w:t>sobre Derechos  Humanos  en  Materia  de  Derechos  Económicos,  Sociales  y</w:t>
        <w:br/>
        <w:t>Culturales “Protocolo de San Salvador”, establece en el inciso 6) que  “[e]n</w:t>
        <w:br/>
        <w:t>el caso de que los derechos establecidos en el párrafo a) del artículo  8  y</w:t>
        <w:br/>
        <w:t>en el artículo 13 fuesen violados por una acción  imputable  directamente  a</w:t>
        <w:br/>
        <w:t>un Estado Parte del presente Protocolo,  tal  situación  podría  dar  lugar,</w:t>
        <w:br/>
        <w:t>mediante  la  participación  de  la  Comisión  Interamericana  de   Derechos</w:t>
        <w:br/>
        <w:t>Humanos, y cuando proceda de la Corte Interamericana de Derechos Humanos,  a</w:t>
        <w:br/>
        <w:t>la aplicación del  sistema  de  peticiones  individuales  regulado  por  los</w:t>
        <w:br/>
        <w:t>artículos 44 a 51 y 61 a  69  de  la  Convención  Americana  sobre  Derechos</w:t>
        <w:br/>
        <w:t>Humanos.”</w:t>
        <w:br/>
        <w:br/>
        <w:br/>
        <w:t>[54]        Cfr. Control de Legalidad en el Ejercicio  de  las  Atribuciones</w:t>
        <w:br/>
        <w:t>de la Comisión Interamericana de Derechos Humanos  (arts.  41  y  44  de  la</w:t>
        <w:br/>
        <w:t>Convención Americana sobre Derechos Humanos).  Opinión  Consultiva  OC-19/05</w:t>
        <w:br/>
        <w:t>de 28 de noviembre de 2005. Serie A No. 19,  puntos  resolutivos  primero  y</w:t>
        <w:br/>
        <w:t>tercero,  y  Caso  Valencia  Hinojosa  y  otra  Vs.   Ecuador.   Excepciones</w:t>
        <w:br/>
        <w:t>Preliminares, Fondo, Reparaciones y Costas. Sentencia de 29 de noviembre  de</w:t>
        <w:br/>
        <w:t>2016. Serie C No. 327, párr. 28.</w:t>
        <w:br/>
        <w:br/>
        <w:br/>
        <w:t>[55]  Cfr. Caso Castañeda Gutman Vs. Estados Unidos  Mexicanos.  Excepciones</w:t>
        <w:br/>
        <w:t>Preliminares, Fondo, Reparaciones y Costas. Sentencia  de  6  de  agosto  de</w:t>
        <w:br/>
        <w:t>2008. Serie C No. 184, párr.  42,  y  Caso  Valencia  Hinojosa  y  otra  Vs.</w:t>
        <w:br/>
        <w:t>Ecuador, párr. 28.</w:t>
        <w:br/>
        <w:br/>
        <w:br/>
        <w:t>[56]  Cfr. Caso Cayara Vs. Perú. Excepciones Preliminares.  Sentencia  de  3</w:t>
        <w:br/>
        <w:t>de febrero de 1993. Serie C No. 14, párr. 63, y  Caso  Valencia  Hinojosa  y</w:t>
        <w:br/>
        <w:t>otra Vs. Ecuador, párr. 28.</w:t>
        <w:br/>
        <w:br/>
        <w:br/>
        <w:t>[57]  Cfr. Caso del Pueblo Saramaka Vs. Suriname. Excepciones  Preliminares,</w:t>
        <w:br/>
        <w:t>Fondo, Reparaciones y Costas. Sentencia de 28 de noviembre de 2007. Serie  C</w:t>
        <w:br/>
        <w:t>No. 172, párr. 32, y Caso Valencia Hinojosa y otra Vs. Ecuador, párr. 29.</w:t>
        <w:br/>
        <w:br/>
        <w:br/>
        <w:t>[58]  Adoptado 19 de marzo de 2009.</w:t>
        <w:br/>
        <w:br/>
        <w:br/>
        <w:t>[59]  Comunicación de la representante Carolina Loayza Tamayo  de  fecha  19</w:t>
        <w:br/>
        <w:t>de junio de 2009 (expediente de prueba,  trámite  ante  la  Comisión,  folio</w:t>
        <w:br/>
        <w:t>10433).</w:t>
        <w:br/>
        <w:br/>
        <w:br/>
        <w:t>[60]  Comunicación de la representante Carolina Loayza Tamayo de fecha 3  de</w:t>
        <w:br/>
        <w:t>agosto de 2009 (expediente  de  prueba,  trámite  ante  la  Comisión,  folio</w:t>
        <w:br/>
        <w:t>10439).</w:t>
        <w:br/>
        <w:br/>
        <w:br/>
        <w:t>[61]  Comunicación de la Gerente del Departamento Legal de Petroperú,  LEGL-</w:t>
        <w:br/>
        <w:t>OP-109-2010, de fecha 16 de junio de 2010.</w:t>
        <w:br/>
        <w:br/>
        <w:br/>
        <w:t>[62]  Comunicación del señor Federico Aurelio Antón Antón ante  la  Comisión</w:t>
        <w:br/>
        <w:t>Interamericana de Derechos Humanos de fecha 30 de marzo de  2010.  En  dicha</w:t>
        <w:br/>
        <w:t>comunicación, el señor Antón Antón manifestó lo siguiente “es  el  caso  que</w:t>
        <w:br/>
        <w:t>para poder materializarse mi reposición se me exige una resolución  judicial</w:t>
        <w:br/>
        <w:t>firme que aprueba el desistimiento de no cumplir con este  requisito  no  se</w:t>
        <w:br/>
        <w:t>ejecuta mi reposición” (expediente de  prueba,  trámite  ante  la  Comisión,</w:t>
        <w:br/>
        <w:t>folio 11151).</w:t>
        <w:br/>
        <w:br/>
        <w:br/>
        <w:t>[63]  Comunicación del señor Federico Aurelio Antón Antón ante  la  Comisión</w:t>
        <w:br/>
        <w:t>Interamericana de Derechos Humanos de fecha 31 de marzo de 2010  (expediente</w:t>
        <w:br/>
        <w:t>de prueba, trámite ante la Comisión, folio 11151), y Comunicación del  señor</w:t>
        <w:br/>
        <w:t>Federico Aurelio Anton Anton ante la  Comisión  Interamericana  de  Derechos</w:t>
        <w:br/>
        <w:t>Humanos el 31 de julio de  2009  (expediente  de  prueba,  trámite  ante  la</w:t>
        <w:br/>
        <w:t>Comisión, folio 11153).</w:t>
        <w:br/>
        <w:br/>
        <w:br/>
        <w:t>[64]  Comunicación de la representante Carolina Loayza Tamayo  de  fecha  23</w:t>
        <w:br/>
        <w:t>de febrero de 2010 (expediente de prueba, trámite ante la  Comisión,  folios</w:t>
        <w:br/>
        <w:t>11200 a 11202).</w:t>
        <w:br/>
        <w:br/>
        <w:br/>
        <w:t>[65]  Informe 56/11 de la Comisión Interamericana de  Derechos  Humanos  con</w:t>
        <w:br/>
        <w:t>fecha de 23 de  marzo  de  2011  (expediente  de  prueba,  trámite  ante  la</w:t>
        <w:br/>
        <w:t>Comisión, folios 10909 a 10910).</w:t>
        <w:br/>
        <w:br/>
        <w:br/>
        <w:t>[66]  Cfr. Caso de las Masacres de Ituango Vs. Colombia. Sentencia de  1  de</w:t>
        <w:br/>
        <w:t>julio de 2006. Serie C No. 148, párr. 98, y Caso Favela  Nova  Brasília  Vs.</w:t>
        <w:br/>
        <w:t>Brasil, párr. 36.</w:t>
        <w:br/>
        <w:br/>
        <w:br/>
        <w:t>[67]  Cfr.  Caso  Radilla  Pacheco  Vs.  México.  Excepciones  Preliminares,</w:t>
        <w:br/>
        <w:t>Fondo, Reparaciones y Costas. Sentencia de 23 de noviembre de 2009. Serie  C</w:t>
        <w:br/>
        <w:t>No. 209., párr. 110, y Caso I.V. Vs. Bolivia, párr. 41.</w:t>
        <w:br/>
        <w:br/>
        <w:br/>
        <w:t>[68]  Reglamento de la Corte Interamericana de  Derechos  Humanos,  artículo</w:t>
        <w:br/>
        <w:t>35.2. Cfr. Caso Masacres de Río Negro Vs. Guatemala.  Excepción  Preliminar,</w:t>
        <w:br/>
        <w:t>Fondo, Reparaciones y Costas. Sentencia de 4 de septiembre de 2012. Serie  C</w:t>
        <w:br/>
        <w:t>No. 250, párr. 48, y Caso Favela Nova Brasília Vs. Brasil, párr. 36.</w:t>
        <w:br/>
        <w:br/>
        <w:br/>
        <w:t>[69]  Cfr. Caso García y familiares  Vs.  Guatemala.  Fondo  Reparaciones  y</w:t>
        <w:br/>
        <w:t>Costas. Sentencia de 29 noviembre de 2012 Serie C  No.  258.,  párr.  35,  y</w:t>
        <w:br/>
        <w:t>Caso Canales Huapaya y otros Vs. Perú, párr. 31.</w:t>
        <w:br/>
        <w:br/>
        <w:br/>
        <w:t>[70]  Cfr. Caso García y familiares Vs. Guatemala, párr. 35, y Caso  Canales</w:t>
        <w:br/>
        <w:t>Huapaya y otros Vs. Perú, párr. 31.</w:t>
        <w:br/>
        <w:br/>
        <w:br/>
        <w:t>[71]  Cfr.  Caso  "Cinco  Pensionistas"  Vs.  Perú.  Fondo,  Reparaciones  y</w:t>
        <w:br/>
        <w:t>Costas. Sentencia de 28 de febrero de 2003. Serie C No.  98,  párr.  153,  y</w:t>
        <w:br/>
        <w:t>Caso Lagos del Campo Vs. Perú, párr. 24.</w:t>
        <w:br/>
        <w:br/>
        <w:br/>
        <w:t>[72]   Cfr.  Caso  García  Ibarra   y   otros   Vs.   Ecuador.   Excepciones</w:t>
        <w:br/>
        <w:t>Preliminares, Fondo, Reparaciones y Costas. Sentencia de 17 de noviembre  de</w:t>
        <w:br/>
        <w:t>2015. Serie C No. 306., párr. 48.</w:t>
        <w:br/>
        <w:br/>
        <w:br/>
        <w:t>[73]  Cfr. Caso de la "Masacre de Mapiripán" Vs. Colombia. Sentencia  de  15</w:t>
        <w:br/>
        <w:t>de septiembre de 2005. Serie C No. 134, párr. 59, y Caso Acosta y otros  Vs.</w:t>
        <w:br/>
        <w:t>Nicaragua.  Excepciones  Preliminares,   Fondo,   Reparaciones   y   Costas.</w:t>
        <w:br/>
        <w:t>Sentencia de 25 de marzo de 2017. Serie C No. 334, párr. 30.</w:t>
        <w:br/>
        <w:br/>
        <w:br/>
        <w:t>[74]  Caso J. Vs. Perú. Excepción Preliminar, Fondo, Reparaciones y  Costas.</w:t>
        <w:br/>
        <w:t>Sentencia de 27 de noviembre de 2013. Serie C No. 275.,  párr.  53,  y  Caso</w:t>
        <w:br/>
        <w:t>Yarce y otras Vs. Colombia.  Excepción  Preliminar,  Fondo,  Reparaciones  y</w:t>
        <w:br/>
        <w:t>Costas. Sentencia de 22 de noviembre de 2016. Serie C No. 325, párr. 75.</w:t>
        <w:br/>
        <w:br/>
        <w:br/>
        <w:t>[75]  Caso Trabajadores Cesados del Congreso (Aguado  Alfaro  y  otros)  Vs.</w:t>
        <w:br/>
        <w:t>Perú, párr. 136, y Caso Canales Huapaya y otros Vs. Perú, párr. 114.</w:t>
        <w:br/>
        <w:br/>
        <w:br/>
        <w:t>[76]  Cfr. Caso Nadege Dorzema y  otros  Vs.  República  Dominicana.  Fondo,</w:t>
        <w:br/>
        <w:t>Reparaciones y Costas. Sentencia de 24 de octubre de 2012. Serie C No.  251,</w:t>
        <w:br/>
        <w:t>párrs. 19 y 22; Caso J. Vs. Perú, párr.  32;  Caso  Liakat  Ali  Alibux  Vs.</w:t>
        <w:br/>
        <w:t>Surinam. Excepciones Preliminares, Fondo, Reparaciones y  Costas.  Sentencia</w:t>
        <w:br/>
        <w:t>de 30 de enero de 2014. Serie C No. 276, párr. 29; y  Caso  Pollo  Rivera  y</w:t>
        <w:br/>
        <w:t>otros Vs. Perú. Fondo, Reparaciones y Costas. Sentencia de 21 de octubre  de</w:t>
        <w:br/>
        <w:t>2016. Serie C No. 319, párr. 23.</w:t>
        <w:br/>
        <w:br/>
        <w:br/>
        <w:t>[77]  Cfr. Caso Velásquez Rodríguez Vs. Honduras. Fondo, párr. 140,  y  Caso</w:t>
        <w:br/>
        <w:t>Vereda  La  Esperanza  Vs.  Colombia.   Excepciones   Preliminares,   Fondo,</w:t>
        <w:br/>
        <w:t>Reparaciones y Costas. Sentencia de 31 de agosto de 2017. Serie C  No.  341,</w:t>
        <w:br/>
        <w:t>párr. 43.</w:t>
        <w:br/>
        <w:br/>
        <w:br/>
        <w:t>[78]  Cfr. Caso Barbani Duarte y otros Vs.  Uruguay.  Fondo  Reparaciones  y</w:t>
        <w:br/>
        <w:t>Costas. Sentencia de 13 de octubre de 2011. Serie C No.  234,  párr.  22,  y</w:t>
        <w:br/>
        <w:t>Caso Vereda La Esperanza Vs. Colombia, párr. 44.</w:t>
        <w:br/>
        <w:br/>
        <w:br/>
        <w:t>[79]  El anexo 2 corresponde al Proyecto de  Ley  No.  3264/2001  del  Poder</w:t>
        <w:br/>
        <w:t>Ejecutivo, presentado al Congreso el  25  de  junio  de  2002.  El  anexo  3</w:t>
        <w:br/>
        <w:t>corresponde al Diario de los Debates del Congreso peruano  de  fecha  27  de</w:t>
        <w:br/>
        <w:t>junio de 2002. El anexo 4 corresponde al Diario de los Debates del  Congreso</w:t>
        <w:br/>
        <w:t>peruano de fecha 27 de julio de 2002.  El  anexo  5  corresponde  al  Cuadro</w:t>
        <w:br/>
        <w:t>comparativo de beneficios considerados en los  proyectos  tramitados  en  el</w:t>
        <w:br/>
        <w:t>Congreso, para la aprobación de la Ley Nº 27803.</w:t>
        <w:br/>
        <w:br/>
        <w:br/>
        <w:t>[80]  El 10 de octubre de 2016 los intervinientes comunes  Gregorio  Paredes</w:t>
        <w:br/>
        <w:t>y  Manuel  Paiba  presentaron  varios  documentos  aportados   como   prueba</w:t>
        <w:br/>
        <w:t>superviniente. Estos documentos corresponden a antecedentes a la  Resolución</w:t>
        <w:br/>
        <w:t>Defensorial No. 006/97 DP, de los cuales se entregó copia a  la  Comisión  y</w:t>
        <w:br/>
        <w:t>al Estado al final de la primera parte de la audiencia  pública  del  11  de</w:t>
        <w:br/>
        <w:t>octubre de 2016. La admisibilidad de los documentos fue cuestionada  por  el</w:t>
        <w:br/>
        <w:t>Estado en sus alegatos finales escritos, en virtud de que  no  se  trata  de</w:t>
        <w:br/>
        <w:t>una prueba superviniente en términos del artículo 57.2 del Reglamento de  la</w:t>
        <w:br/>
        <w:t>Corte, ya que alega que estos documentos se refieren a hechos  que  tuvieron</w:t>
        <w:br/>
        <w:t>lugar  entre  1996  y  1997,  y  que  los  representantes  no  habrían  sido</w:t>
        <w:br/>
        <w:t>entregados con anterioridad de conformidad  con  las  excepciones  previstas</w:t>
        <w:br/>
        <w:t>por el artículo 57.2 del Reglamento de la Corte.</w:t>
        <w:br/>
        <w:br/>
        <w:br/>
        <w:t>[81]  El anexo 8 corresponde al compendio de Convenios  Colectivos  al  2011</w:t>
        <w:br/>
        <w:t>de Enapu, Gerencia de Recursos  Humanos.  El  anexo  10  corresponde  a  los</w:t>
        <w:br/>
        <w:t>cuadros de daños de las presuntas  víctimas.  El  anexo  15  corresponde  al</w:t>
        <w:br/>
        <w:t>Testimonio del señor Acta de defunción de  la  hija  del  sr.  Jorge  Carlos</w:t>
        <w:br/>
        <w:t>Tinedo Puell.</w:t>
        <w:br/>
        <w:br/>
        <w:br/>
        <w:t>[82]  El  Estado  alegó  que  el  anexo  8  denominado  ENAPU  Compendio  de</w:t>
        <w:br/>
        <w:t>Convenios Colectivos al 2011 – Gerencia de Recursos Humanos,  “no  debe  ser</w:t>
        <w:br/>
        <w:t>tomado en cuenta por la honorable Corte al momento de analizar y evaluar  la</w:t>
        <w:br/>
        <w:t>respuesta brindada por la  representación  de  las  presuntas  víctimas  por</w:t>
        <w:br/>
        <w:t>constituir un documento que no  acredita  ser  oficial  de  la  Gerencia  de</w:t>
        <w:br/>
        <w:t>Recursos Humanos de la  Empresa  Nacional  de  Puertos”,  que  el  anexo  15</w:t>
        <w:br/>
        <w:t>denominado “Testimonio del señor […] Jorge Carlos  Tinedo  Puell”  pudo  ser</w:t>
        <w:br/>
        <w:t>aportado como prueba del escrito de solicitudes y argumentos, por lo que  su</w:t>
        <w:br/>
        <w:t>presentación posterior resulta ser extemporánea y por lo  tanto  inadmisible</w:t>
        <w:br/>
        <w:t>y que el anexo 10 denominado cuadro  de  daños  de  víctimas,  no  debe  ser</w:t>
        <w:br/>
        <w:t>considerado en tanto no presenta “información o datos comprobables”.</w:t>
        <w:br/>
        <w:br/>
        <w:br/>
        <w:t>[83]  Los anexos del 1 al 7 corresponden a  los  Anuarios  Estadísticos  del</w:t>
        <w:br/>
        <w:t>Ministerio de Trabajo desde 1993 hasta 1999. El  anexo  9  corresponde  a  3</w:t>
        <w:br/>
        <w:t>documentos de memorias de Enapu de 1995. El anexo 11 corresponde a fotos  de</w:t>
        <w:br/>
        <w:t>las presuntas víctimas del caso Petroperú del antes (12 fotos),  durante  (4</w:t>
        <w:br/>
        <w:t>fotos) y Después (11 fotos). El anexo 13 corresponde al Acta  de  reposición</w:t>
        <w:br/>
        <w:t>Provisional del señor Gregorio Alburqueque Carrillo, emitida  por  la  Corte</w:t>
        <w:br/>
        <w:t>Superior de Justicia de Lima de fecha 21 de diciembre de 2015. El  anexo  14</w:t>
        <w:br/>
        <w:t>corresponde a la Sentencia N° 190-2015-11°JETPL del señor  Tinedo  Puell  de</w:t>
        <w:br/>
        <w:t>26 de Junio de 2015.</w:t>
        <w:br/>
        <w:br/>
        <w:br/>
        <w:t>[84]  La Ley No. 30484 fue publicada el 6 de julio de 2016 en el  diario  El</w:t>
        <w:br/>
        <w:t>Peruano.</w:t>
        <w:br/>
        <w:br/>
        <w:br/>
        <w:t>[85]  El Estado hace referencia a lo señalado por  esta  Corte  en  el  caso</w:t>
        <w:br/>
        <w:t>Pollo Rivera y otros Vs. Perú, oponiéndose a la prueba, pues señala  que  la</w:t>
        <w:br/>
        <w:t>misma fue presentada fuera del  tiempo  procesal  oportuno,  siendo  que  la</w:t>
        <w:br/>
        <w:t>representante no presentó el escrito de solicitudes, argumentos  y  pruebas.</w:t>
        <w:br/>
        <w:t>Por su parte, una representante señaló que  el  anexo  1  corresponde  a  un</w:t>
        <w:br/>
        <w:t>documento que da respuesta a la duda presentada  por  el  Presidente  de  la</w:t>
        <w:br/>
        <w:t>Corte Roberto F. Caldas durante la audiencia pública.</w:t>
        <w:br/>
        <w:br/>
        <w:br/>
        <w:t>[86]  En lo que respecta al anexo 1 remitido por la misma representante,  en</w:t>
        <w:br/>
        <w:t>la cual alega que responde a la pregunta realizada por el  Juez  Roberto  F.</w:t>
        <w:br/>
        <w:t>Caldas durante la audiencia del presente caso,  la  Corte  constata  que  la</w:t>
        <w:br/>
        <w:t>solicitud  realizada  por  el  Presidente  se  refiere  a  la  remisión  del</w:t>
        <w:br/>
        <w:t>documento de trabajo 124 de la  OIT  [pág.  101,  transcripción  de  la  AP]</w:t>
        <w:br/>
        <w:t>mencionado en sus  alegatos  por  la  interviniente  común  Roxana  Palomino</w:t>
        <w:br/>
        <w:t>Mayta, el cual no corresponde al anexo remitido por la misma.</w:t>
        <w:br/>
        <w:br/>
        <w:br/>
        <w:t>[87]  El anexo 5 corresponde a  la  lista  de  víctimas  del  presente  caso</w:t>
        <w:br/>
        <w:t>enviada por la CIDH. El anexo 6 corresponde a  una  copia  del  Informe  del</w:t>
        <w:br/>
        <w:t>Estado peruano remitido mediante Nota Diplomática No. 7-5/120.  El  anexo  7</w:t>
        <w:br/>
        <w:t>corresponde a una copia del Informe del  Estado  peruano  remitido  mediante</w:t>
        <w:br/>
        <w:t>Nota Diplomática No. 7-5M/074. El  anexo  8  corresponde  a  una  copia  del</w:t>
        <w:br/>
        <w:t>Informe del Estado peruano remitido mediante Nota Diplomática No. 7-5M/466.</w:t>
        <w:br/>
        <w:br/>
        <w:br/>
        <w:t>[88]  El anexo 1 corresponde al Informe No. 012-2015-MINEDU/SG-OGRH-OBIR  de</w:t>
        <w:br/>
        <w:t>19 de junio de 2015. El anexo 2 corresponde a la Resolución Ministerial  No.</w:t>
        <w:br/>
        <w:t>123-97-EF/10 publicada en el Diario Oficial el Peruano  el  4  de  julio  de</w:t>
        <w:br/>
        <w:t>1997. Los anexos 3 y 4 corresponden a los  reportes  del  2009  y  2012   de</w:t>
        <w:br/>
        <w:t>Fotunato Crispín respectivamente.  El  anexo  9  corresponde  a  información</w:t>
        <w:br/>
        <w:t>complementaria referida al señor Carlos Alberto Galán Castillo.</w:t>
        <w:br/>
        <w:br/>
        <w:br/>
        <w:t>[89]  Última lista de ex trabajadores que, conforme a  las  atribuciones  de</w:t>
        <w:br/>
        <w:t>la Comisión Ejecutiva creada por la Ley N° 27803 y reactivada por la Ley  N°</w:t>
        <w:br/>
        <w:t>30484, deben ser inscritos en el Registro Nacional de  Trabajadores  Cesados</w:t>
        <w:br/>
        <w:t>Irregularmente.  Aprobada  por  resolución   Ministerial   N°   142-2017-TR,</w:t>
        <w:br/>
        <w:t>publicada en el Diario Oficial “El Peruano” 17 de agosto de 2017.</w:t>
        <w:br/>
        <w:br/>
        <w:br/>
        <w:t>[90]  Cfr. Caso  Díaz  Peña  Vs.  Venezuela.  Excepción  Preliminar,  Fondo,</w:t>
        <w:br/>
        <w:t>Reparaciones y Costas. Sentencia de 26 de junio de 2012. Serie  C  No.  244,</w:t>
        <w:br/>
        <w:t>párr. 33, y Caso Lagos del Campo Vs. Perú, párr. 29.</w:t>
        <w:br/>
        <w:br/>
        <w:br/>
        <w:t>[91]  Cfr. Caso  de  la  “Panel  Blanca”  (Paniagua  Morales  y  otros)  Vs.</w:t>
        <w:br/>
        <w:t>Guatemala. Fondo. Sentencia de 8 de marzo de 1998. Serie C  No.  37,  párrs.</w:t>
        <w:br/>
        <w:t>69 a 76, y Caso Lagos del Campo Vs. Perú, párr. 39.</w:t>
        <w:br/>
        <w:br/>
        <w:br/>
        <w:t>[92]  Cfr. Caso Trabajadores Cesados del Congreso (Aguado  Alfaro  y  otros)</w:t>
        <w:br/>
        <w:t>Vs. Perú, párr. 89.1.</w:t>
        <w:br/>
        <w:br/>
        <w:br/>
        <w:t>[93]  Ley No. 25327, Delegan en el Poder Ejecutivo facultades  legislativas,</w:t>
        <w:br/>
        <w:t>promulgada el 14 de junio de 1991, artículo 1° (expediente de prueba,  Anexo</w:t>
        <w:br/>
        <w:t>9 al escrito de  solicitudes,  argumentos  y  pruebas  de  la  representante</w:t>
        <w:br/>
        <w:t>Loayza Tamayo, folio 13130).</w:t>
        <w:br/>
        <w:br/>
        <w:br/>
        <w:t>[94]  Ley No. 25327, Delegan en el Poder Ejecutivo facultades  legislativas,</w:t>
        <w:br/>
        <w:t>promulgada el 14 de junio de 1991, artículo 1° (expediente de prueba,  Anexo</w:t>
        <w:br/>
        <w:t>9 al escrito de  solicitudes,  argumentos  y  pruebas  de  la  representante</w:t>
        <w:br/>
        <w:t>Loayza Tamayo, folio 13130).</w:t>
        <w:br/>
        <w:br/>
        <w:br/>
        <w:t>[95]  Decreto Legislativo No. 674 mediante el  cual  se  emitió  la  Ley  de</w:t>
        <w:br/>
        <w:t>promoción de la inversión privada en las empresas del Estado,  publicado  el</w:t>
        <w:br/>
        <w:t>27 de septiembre de 1991, artículo 4.3 (expediente de  prueba,  Anexo  1  al</w:t>
        <w:br/>
        <w:t>Informe de Fondo, folio 6).</w:t>
        <w:br/>
        <w:br/>
        <w:br/>
        <w:t>[96]  Decreto Ley No. 26120 por el que se modifica la Ley  de  Promoción  de</w:t>
        <w:br/>
        <w:t>la Inversión Privada  en  las  Empresas  del  Estado,  publicado  el  30  de</w:t>
        <w:br/>
        <w:t>diciembre de 1992,  artículo  7  (expediente  de  prueba,  trámite  ante  la</w:t>
        <w:br/>
        <w:t>Comisión, folios 912 al 914).</w:t>
        <w:br/>
        <w:br/>
        <w:br/>
        <w:t>[97]  Decreto  Ley  No.  26093,  publicado  el  28  de  diciembre  de  1992,</w:t>
        <w:br/>
        <w:t>artículos 1 y 2 (expediente de prueba, anexo 9 al Informe de Fondo)</w:t>
        <w:br/>
        <w:br/>
        <w:br/>
        <w:t>[98]  Decreto Legislativo No. 25882 de 18 de noviembre de 1992, artículo  1º</w:t>
        <w:br/>
        <w:t>(expediente de prueba, Anexo E5 al  escrito  de  solicitudes,  argumentos  y</w:t>
        <w:br/>
        <w:t>pruebas de la representante Loayza Tamayo, folios 13810 al 13811).</w:t>
        <w:br/>
        <w:br/>
        <w:br/>
        <w:t>[99]  Acuerdo No. 03/01/96/D, Racionalización del personal, adoptado por  la</w:t>
        <w:br/>
        <w:t>Empresa Nacional de Puertos (expediente de prueba, Anexo 1-ENAPU al  escrito</w:t>
        <w:br/>
        <w:t>de contestación del Estado, folios 20532 al 20533).</w:t>
        <w:br/>
        <w:br/>
        <w:br/>
        <w:t>[100]       Directiva No. 001-96 ENAPUSA/GRRHH de 22  de  enero  de  1996  y</w:t>
        <w:br/>
        <w:t>Directiva No. 002-96 ENAPUSA/GRRHH  del 5 de marzo de 1996, emitidas por  la</w:t>
        <w:br/>
        <w:t>Enapu (expediente de prueba, Anexo 2-ENAPU y Anexo  3-ENAPU  al  escrito  de</w:t>
        <w:br/>
        <w:t>contestación del Estado, folios 20534 a 20537 y 20538 al 20545).</w:t>
        <w:br/>
        <w:br/>
        <w:br/>
        <w:t>[101]       Directiva No. 001-96 ENAPUSA/GRRHH de 22  de  enero  de  1996  y</w:t>
        <w:br/>
        <w:t>Directiva No. 002-96 ENAPUSA/GRRHH  del 5 de marzo de 1996, emitidas por  la</w:t>
        <w:br/>
        <w:t>Enapu (expediente de prueba, Anexo 2-ENAPU y Anexo  3-ENAPU  al  escrito  de</w:t>
        <w:br/>
        <w:t>contestación del Estado, folios 20601 y 20606).</w:t>
        <w:br/>
        <w:br/>
        <w:br/>
        <w:t>[102]       Cartas Notariales del 22 de enero de  1996  dirigidas  a  Víctor</w:t>
        <w:br/>
        <w:t>Acuña  Dávila,  Alberto  Esteban  Antonio  Chala,  Justo  Esteban   Azcárate</w:t>
        <w:br/>
        <w:t>Noguera,  Marco  Antonio  Castro  Martínez,  Abraham  Cano   Rebaza,   David</w:t>
        <w:br/>
        <w:t>Desiglioli Sánchez, María Gladis Delgado Arriola, Rogelio  Delgado  Quijano,</w:t>
        <w:br/>
        <w:t>Juan Leslie  Espinoza  Eyzaguirre,  Jorge  Federico  García  Farías,  Rufino</w:t>
        <w:br/>
        <w:t>Isique Reque, Carlos Alberto Lizarbe Nieto, Nancy Giomar Mac  Gregor  Alvis,</w:t>
        <w:br/>
        <w:t>Juan Carlos  Marraguerra  Ayllon,  Honorato  Mayorga  Blanco,  Ernesto  Meza</w:t>
        <w:br/>
        <w:t>Vargas, José  Ricardo  Nolasco  Milla,  Fernando  Antonio  Padilla  Cancino,</w:t>
        <w:br/>
        <w:t>Cecilio Alberto Ríos Rodríguez, Eduardo Rivadeneyra Alva, Isi Antonio  Rosas</w:t>
        <w:br/>
        <w:t>Meléndez, Renzo Renato Torero Lizarbe y  José  Fermín  Urcia  Cruzado,   por</w:t>
        <w:br/>
        <w:t>medio de las cuales se les invitó a solicitar la disolución  de  su  vínculo</w:t>
        <w:br/>
        <w:t>laboral con la Enapu (expediente de prueba,  Anexo  7-ENAPU  al  escrito  de</w:t>
        <w:br/>
        <w:t>contestación del Estado, folios 20614, 20689, 20753,  20816,  20864,  20933,</w:t>
        <w:br/>
        <w:t>20981, 21041, 21114,  21203,  21277,  21337,  21400,  21448,  21514,  21584,</w:t>
        <w:br/>
        <w:t>21656, 21729, 21775, 21843, 21950, 22030 y 22102).</w:t>
        <w:br/>
        <w:br/>
        <w:br/>
        <w:t>[103]       Denuncia  de  la  Federación  Nacional  de  Trabajadores  de  la</w:t>
        <w:br/>
        <w:t>Empresa Nacional de Puertos ante  la  Comisión  Interamericana  de  Derechos</w:t>
        <w:br/>
        <w:t>Humanos del 2 de noviembre  de  1998  (expediente  de  prueba,  Anexo  3  al</w:t>
        <w:br/>
        <w:t>Informe de Fondo, folios 19 al 57).</w:t>
        <w:br/>
        <w:br/>
        <w:br/>
        <w:t>[104]       Decreto Ley No. 26120,  por el que se  Modifica  la  Ley  de  la</w:t>
        <w:br/>
        <w:t>Inversión Privada en las Empresas del Estado, publicado el 30  de  diciembre</w:t>
        <w:br/>
        <w:t>de 1992, artículo 7 (expediente de prueba, trámite ante la Comisión,  folios</w:t>
        <w:br/>
        <w:t>7761 al 7762).</w:t>
        <w:br/>
        <w:br/>
        <w:br/>
        <w:t>[105]       Cartas Notariales de 15 y 29 de  febrero  de  1996  dirigidas  a</w:t>
        <w:br/>
        <w:t>Víctor Acuña Dávila, Alberto Esteban Antonio Chala, Justo  Esteban  Azcarate</w:t>
        <w:br/>
        <w:t>Noguera,  Marco  Antonio  Castro  Martínez,  Abraham  Cano   Rebaza,   David</w:t>
        <w:br/>
        <w:t>Desiglioli Sánchez, María Gladis Delgado Arriola, Rogelio  Delgado  Quijano,</w:t>
        <w:br/>
        <w:t>Juan Leslie  Espinoza  Eyzaguirre,  Jorge  Federico  García  Farías,  Rufino</w:t>
        <w:br/>
        <w:t>Isique Reque, Carlos Alberto Lizarbe Nieto, Nancy Giomar Mac  Gregor  Alvis,</w:t>
        <w:br/>
        <w:t>Juan Carlos  Marraguerra  Ayllon,  Honorato  Mayorga  Blanco,  Ernesto  Meza</w:t>
        <w:br/>
        <w:t>Vargas, José  Ricardo  Nolasco  Milla,  Fernando  Antonio  Padilla  Cancino,</w:t>
        <w:br/>
        <w:t>Cecilio Alberto Ríos Rodríguez, Eduardo Rivadeneyra Alva, Isi Antonio  Rosas</w:t>
        <w:br/>
        <w:t>Meléndez, Renzo Renato Torero Lizarbe, José Fermín Urcia Cruzado  y  Alfredo</w:t>
        <w:br/>
        <w:t>Pio Vasquez Colacci, por medio de las cuales se les invitó  a  solicitar  la</w:t>
        <w:br/>
        <w:t>disolución de su vínculo laboral con la Enapu (expediente de  prueba,  Anexo</w:t>
        <w:br/>
        <w:t>7- ENAPU,  al escrito de contestación del  Estado  ,  folios  20616,  20691,</w:t>
        <w:br/>
        <w:t>20755, 20819, 20868,  20934,  20983,  21043,  21116,  21205,  21278,  21340,</w:t>
        <w:br/>
        <w:t>21402, 21451, 21517, 21585, 21659, 21731, 21777, 21844, 21951, 22032,  22104</w:t>
        <w:br/>
        <w:t>y 22159).</w:t>
        <w:br/>
        <w:br/>
        <w:br/>
        <w:t>[106]       Oficio N° 623-96 ENAPU  S.A./TMC/DIPER  del  16  de  febrero  de</w:t>
        <w:br/>
        <w:t>1996, por medio  del  cual  Enapu  notifica  al  Ministerio  del  Trabajo  y</w:t>
        <w:br/>
        <w:t>Promoción Social un listado de  los  trabajadores  cesados  en  sujeción  al</w:t>
        <w:br/>
        <w:t>procedimiento que establece el D.L. 26120 (expediente de  prueba,  Anexo  7-</w:t>
        <w:br/>
        <w:t>ENAPU al escrito de contestación del Estado, folio 20694).</w:t>
        <w:br/>
        <w:br/>
        <w:br/>
        <w:t>[107]       Comprobantes de depósitos judiciales realizados por Enapu en  el</w:t>
        <w:br/>
        <w:t>Banco de la Nación, por concepto de liquidación de los beneficios  sociales,</w:t>
        <w:br/>
        <w:t>correspondientes a los siguientes empleados cesados por Enapu: Víctor  Acuña</w:t>
        <w:br/>
        <w:t>Dávila, Alberto Esteban  Antonio  Chala,  Justo  Esteban  Azcarate  Noguera,</w:t>
        <w:br/>
        <w:t>Abraham  Cano  Rebaza,  Marco  Antonio  Castro  Martínez,  David  Desiglioli</w:t>
        <w:br/>
        <w:t>Sánchez,  María  Gladis  Delgado  Arriola,  Rogelio  Delgado  Quijano,  Juan</w:t>
        <w:br/>
        <w:t>Espinoza Eyzaguirre, Jorge Federico  García  Farías,  Rufino  Isique  Reque,</w:t>
        <w:br/>
        <w:t>Carlos Alberto Lizarbe Nieto, Nancy Giomar Mac  Gregor  Alvis,  Juan  Carlos</w:t>
        <w:br/>
        <w:t>Marraguerra Ayllon, Honorato  Mayorga  Blanco,  Ernesto  Meza  Vargas,  José</w:t>
        <w:br/>
        <w:t>Ricardo Nolasco Milla, Fernando Antonio  Padilla  Cancino,  Cecilio  Alberto</w:t>
        <w:br/>
        <w:t>Ríos Rodríguez, Eduardo Rivadeneyra Alva, Antonio Tomás Rodríguez  Valdivia,</w:t>
        <w:br/>
        <w:t>Isi Antonia Rosas Meléndez, Renzo Renato Torero Lizarbe, José  Fermín  Urcia</w:t>
        <w:br/>
        <w:t>Cruzado y Alfredo Pío Vásquez Colacci (expediente de prueba, Anexo 7-  ENAPU</w:t>
        <w:br/>
        <w:t>al escrito de contestación del Estado, folios 20620,  20695,  20758,  20822,</w:t>
        <w:br/>
        <w:t>20871, 20938, 20989,  21047,  21119,  21208,  21281,  21343,  21405,  21455,</w:t>
        <w:br/>
        <w:t>21521, 21589, 21662, 21735, 21781, 21848, 21891,  21956  y  22036,  22108  y</w:t>
        <w:br/>
        <w:t>22162).</w:t>
        <w:br/>
        <w:br/>
        <w:br/>
        <w:t>[108]       Resolución Ministerial No. 123-97-EF/10,  “Aprueban  el  Sistema</w:t>
        <w:br/>
        <w:t>de Evaluación de Desempeño del personal del  Ministerio”,  publicada  en  el</w:t>
        <w:br/>
        <w:t>Diario Oficial “El Peruano” el 3 de  julio  de  1997,  artículos  1°  y  2°.</w:t>
        <w:br/>
        <w:t>(expediente de prueba, Anexo 10 al Informe de Fondo, folios 111 al 112).</w:t>
        <w:br/>
        <w:br/>
        <w:br/>
        <w:t>[109]       Resolución Ministerial No. 123-97-EF/10,  “Aprueban  el  Sistema</w:t>
        <w:br/>
        <w:t>de Evaluación de Desempeño del personal del  Ministerio”,  publicada  en  el</w:t>
        <w:br/>
        <w:t>Diario Oficial “El Peruano” el 3 de julio de 1997, artículo  3°  (expediente</w:t>
        <w:br/>
        <w:t>de prueba, folio 112).</w:t>
        <w:br/>
        <w:br/>
        <w:br/>
        <w:t>[110]       Resolución Ministerial No. 123-97-EF/10,  “Aprueban  el  Sistema</w:t>
        <w:br/>
        <w:t>de Evaluación de Desempeño del personal del  Ministerio”,  publicada  en  el</w:t>
        <w:br/>
        <w:t>Diario Oficial “El Peruano” el 3 de julio de 1997  artículo  4°  (expediente</w:t>
        <w:br/>
        <w:t>de prueba, Anexo 10 al Informe de Fondo, folios 111 al 112).</w:t>
        <w:br/>
        <w:br/>
        <w:br/>
        <w:t>[111]       Resolución Ministerial No. 123-97-EF/10,  “Aprueban  el  Sistema</w:t>
        <w:br/>
        <w:t>de Evaluación de Desempeño del personal del  Ministerio”,  publicada  en  el</w:t>
        <w:br/>
        <w:t>Diario Oficial “El Peruano” el 3 de julio de 1997  artículo  4°  (expediente</w:t>
        <w:br/>
        <w:t>de prueba, Anexo 10 al Informe de Fondo, folios 111 al 112).</w:t>
        <w:br/>
        <w:br/>
        <w:br/>
        <w:t>[112]       Resolución Ministerial No. 123-97-EF/10,  “Aprueban  el  Sistema</w:t>
        <w:br/>
        <w:t>de Evaluación de Desempeño del personal del  Ministerio”,  publicada  en  el</w:t>
        <w:br/>
        <w:t>Diario Oficial “El Peruano” el 3 de julio de 1997  artículo  4°  (expediente</w:t>
        <w:br/>
        <w:t>de prueba, Anexo 10 al Informe de Fondo, folios 111 al 112).</w:t>
        <w:br/>
        <w:br/>
        <w:br/>
        <w:t>[113]       Oficio N° 01473-97-EF/43.40 del 6 de agosto de 1997, dirigido  a</w:t>
        <w:br/>
        <w:t>Gloria Nila Amabelia  Moreno  Cueva  (expediente  de  prueba,  Anexo  11  al</w:t>
        <w:br/>
        <w:t>Informe de Fondo, folio 114).</w:t>
        <w:br/>
        <w:br/>
        <w:br/>
        <w:t>[114]       Oficios de récord académico del  programa  de  capacitación  del</w:t>
        <w:br/>
        <w:t>IPAE, de los señores Gloria Nila Amabelia   Moreno  Cueva,  Susana  Patricia</w:t>
        <w:br/>
        <w:t>Chávez Sifuentes, Eduardo  Bernardo  Colán  Vargas,  Marissa  Paulina  Human</w:t>
        <w:br/>
        <w:t>Valle, Lorenzo Hernán Suárez Aparcana, Fanny Rosa Pinto Loaces, Nidia  Luisa</w:t>
        <w:br/>
        <w:t>Blanco Castro, Fortunato Crispin Crispin,  Eliana  Zavala  Urbiola,  Segundo</w:t>
        <w:br/>
        <w:t>Gilberto León Barturén, Luis Anatolio del Castillo  Florian  y  Rafael  Poma</w:t>
        <w:br/>
        <w:t>Guerra, (expediente de prueba, Anexo 12 al Informe de Fondo, folios  116  al</w:t>
        <w:br/>
        <w:t>127).</w:t>
        <w:br/>
        <w:br/>
        <w:br/>
        <w:t>[115]       Resolución Viceministerial 037-97-EF/13 del 22 de  diciembre  de</w:t>
        <w:br/>
        <w:t>1997 (expediente de prueba, trámite ante la Comisión, folios 2369 al  2370).</w:t>
        <w:br/>
        <w:br/>
        <w:br/>
        <w:br/>
        <w:t>[116]       Memorando Circular No. 023-97-EF/43.01 del 23  de  diciembre  de</w:t>
        <w:br/>
        <w:t>1997 (expediente de prueba, Anexo 13 al Informe  de  Fondo,  folios  129  al</w:t>
        <w:br/>
        <w:t>140).</w:t>
        <w:br/>
        <w:br/>
        <w:br/>
        <w:t>[117]       Memorando Circular No. 023-97-EF/43.01 del 23  de  diciembre  de</w:t>
        <w:br/>
        <w:t>1997 (expediente de prueba folios,  Anexo 13 al Informe  de  Fondo,  129  al</w:t>
        <w:br/>
        <w:t>140).</w:t>
        <w:br/>
        <w:br/>
        <w:br/>
        <w:t>[118]       Oficio Circular No. 065-97-EF/43.40 emitido por el MEF,  del  31</w:t>
        <w:br/>
        <w:t>de diciembre de 1997 (expediente de prueba, Anexo 14 al  Informe  de  Fondo,</w:t>
        <w:br/>
        <w:t>folios 142 al 154).</w:t>
        <w:br/>
        <w:br/>
        <w:br/>
        <w:t>[119]       Resolución Ministerial 234-97-EF/10 del 31 de diciembre de  1997</w:t>
        <w:br/>
        <w:t>(expediente de prueba, Anexo 15 al Informe de Fondo, folios 156 al 158).</w:t>
        <w:br/>
        <w:br/>
        <w:br/>
        <w:t>[120]        Resolución  Suprema  No.  290-92-PCM.  “Ratifica   el   Acuerdo</w:t>
        <w:br/>
        <w:t>adoptado por la Comisión  de  promoción  de  la   Inversión  Privada  COPRI,</w:t>
        <w:br/>
        <w:t>conforme al cual se aprueba el Plan  de  Promoción  de  Petróleos  del  Perú</w:t>
        <w:br/>
        <w:t>S.A.” de 23 de  mayo  de  1992   (expediente  de  prueba,  trámite  ante  la</w:t>
        <w:br/>
        <w:t>Comisión, folio 8216 al 8217).</w:t>
        <w:br/>
        <w:br/>
        <w:br/>
        <w:t>[121]       Decreto Supremo No. 72-95-PCM, del  29  de  diciembre  de  1995,</w:t>
        <w:br/>
        <w:t>publicado el 3 de enero de 1996,  “Autoriza  al  Directorio  de  la  empresa</w:t>
        <w:br/>
        <w:t>Petróleos del Perú S.A. (Petroperú) para que ejecute  el  programa  aprobado</w:t>
        <w:br/>
        <w:t>por  la  Comisión  de  Promoción  de  la  Inversión  Privada”,  artículo   1</w:t>
        <w:br/>
        <w:t>(expediente de prueba, Anexo 22 al Informe de Fondo, folio 256).</w:t>
        <w:br/>
        <w:br/>
        <w:br/>
        <w:t>[122]        Informe  GCTH-SSER-RI-0066-2016  del  Jefe  de  la  Unidad   de</w:t>
        <w:br/>
        <w:t>Relaciones Industriales de Petroperú, del 12 de mayo de 2016 (expediente  de</w:t>
        <w:br/>
        <w:t>prueba, Anexo 1-Petroerú al  escrito  de  contestación  del  Estado,  folios</w:t>
        <w:br/>
        <w:t>17905 al 17908) [“El incentivo  propuesto  por  PETROPERÚ  consistía  en  lo</w:t>
        <w:br/>
        <w:t>siguiente: a) Un incentivo pecuniario individual, afecto al  impuesto  a  la</w:t>
        <w:br/>
        <w:t>renta. En aquellos casos que el trabajador manifestase  expresamente  en  su</w:t>
        <w:br/>
        <w:t>carta de renuncia su intencionalidad de formar empresas, de acuerdo  a  ley,</w:t>
        <w:br/>
        <w:t>el incentivo estuvo inafecto al impuesto a la renta de quinta categoría,  en</w:t>
        <w:br/>
        <w:t>la parte que  se  encuentre  dentro  de  los  límites  de  la  indemnización</w:t>
        <w:br/>
        <w:t>especial 728, tal como está precisado en la segunda parte del artículo  18°,</w:t>
        <w:br/>
        <w:t>inciso a) del Decreto Legislativo N° 774. Cabe precisar  que  el  mencionado</w:t>
        <w:br/>
        <w:t>incentivo pecuniario fue otorgado en adición a los beneficios  sociales  que</w:t>
        <w:br/>
        <w:t>por ley le correspondía a cada trabajador. b) Continuación del  Programa  de</w:t>
        <w:br/>
        <w:t>Asistencia Médica Familiar- PAMF, por el lapso de un  año  a  partir  de  la</w:t>
        <w:br/>
        <w:t>fecha  de  cese,  en  las  mismas  condiciones   al   programa   que   viene</w:t>
        <w:br/>
        <w:t>usufructuando sin opción a cambio. Este beneficio no incluyó  a  los  padres</w:t>
        <w:br/>
        <w:t>ni el Programa de Asistencia Dental. El pago de la prima mensual  del  PAMF,</w:t>
        <w:br/>
        <w:t>fue asumido por la Empresa por el lapso de un año, a partir de la  fecha  de</w:t>
        <w:br/>
        <w:t>cese del trabajador. El pago de deducibles por consulta, coaseguros,  gastos</w:t>
        <w:br/>
        <w:t>no cubiertos por el PAMF, así como todo exceso  a  los  topes  establecidos,</w:t>
        <w:br/>
        <w:t>serían asumidos directamente por  el  trabajador,  sin  intervención  de  la</w:t>
        <w:br/>
        <w:t>empresa. Se dejó establecido que el programa iba a  ser  reajustado  en  las</w:t>
        <w:br/>
        <w:t>mismas  oportunidades  y  montos  en  que  se  reajuste  para  el   personal</w:t>
        <w:br/>
        <w:t>estable.”]</w:t>
        <w:br/>
        <w:br/>
        <w:br/>
        <w:t>[123]       Escrito signado por el Secretario General  y  el  Secretario  de</w:t>
        <w:br/>
        <w:t>Defensa del Sutpedarg del 30 de enero de 1996, dirigido al Jefe de  la  Zona</w:t>
        <w:br/>
        <w:t>Regional de Trabajo de Talara (expediente de prueba, Anexo 23 al Informe  de</w:t>
        <w:br/>
        <w:t>Fondo, folios 258 al 259).</w:t>
        <w:br/>
        <w:br/>
        <w:br/>
        <w:t>[124]        Comunicación  ante  la  Comisión  Interamericana  de   Derechos</w:t>
        <w:br/>
        <w:t>Humanos de 19 de febrero de 1996 (expediente de prueba, Anexo 24 al  Informe</w:t>
        <w:br/>
        <w:t>de Fondo, folios 260 al 265).</w:t>
        <w:br/>
        <w:br/>
        <w:br/>
        <w:t>[125]       Carta notarial de fecha  6  de  febrero  de  1996.  Anexo  a  la</w:t>
        <w:br/>
        <w:t>comunicación de los peticionarios de 12 de diciembre de 1996 (expediente  de</w:t>
        <w:br/>
        <w:t>prueba, Anexo 26 al Informe de Fondo, folios 282 al 285).</w:t>
        <w:br/>
        <w:br/>
        <w:br/>
        <w:t>[126]       Carta notarial de fecha  6  de  febrero  de  1996.  Anexo  a  la</w:t>
        <w:br/>
        <w:t>comunicación de los peticionarios de 12 de diciembre de 1996 (expediente  de</w:t>
        <w:br/>
        <w:t>prueba, Anexo 26 al Informe de Fondo, folios 282 al 285).</w:t>
        <w:br/>
        <w:br/>
        <w:br/>
        <w:t>[127]        Informe  GCTH-SSER-RI-0066-2016  de  12   de   mayo   de   2016</w:t>
        <w:br/>
        <w:t>(expediente de prueba, anexo 1-Petroperú  al  escrito  de  contestación  del</w:t>
        <w:br/>
        <w:t>Estado, folio 17907).</w:t>
        <w:br/>
        <w:br/>
        <w:br/>
        <w:t>[128]       Cartas notariales emitidas por Petroperú el 6 y  14  de  febrero</w:t>
        <w:br/>
        <w:t>de 1996, por las que se notificó a los trabajadores su cese  (expediente  de</w:t>
        <w:br/>
        <w:t>prueba, trámite ante la Comisión, folios 7315,  7852  y  7884  y  anexos  al</w:t>
        <w:br/>
        <w:t>escrito  de  solicitudes,  argumentos  y   pruebas   de   la   representante</w:t>
        <w:br/>
        <w:t>Loayza,14810, 14835, 14865, 14874, 14901, 15510, 15019,15041, 15053,  15081,</w:t>
        <w:br/>
        <w:t>15099, 15114, 15125,  15134,  15191,  15209,  15246,  15285,  15298,  15327,</w:t>
        <w:br/>
        <w:t>15357, 15383, 15393,  15409,  15424,  15442,  15454,  15456,  15510,  15591,</w:t>
        <w:br/>
        <w:t>15609,, 15633, 15635, 15640,  15667,  15686,  15748,  15766,  15811,  15822,</w:t>
        <w:br/>
        <w:t>15847, 15862, 15884, 15898 y 15908).</w:t>
        <w:br/>
        <w:br/>
        <w:br/>
        <w:t>[129]       Escrito de apelación de  resolución  ficta,  presentado  por  el</w:t>
        <w:br/>
        <w:t>Sindicato Único de Trabajadores de Petróleos  del  Perú  ante  la  Autoridad</w:t>
        <w:br/>
        <w:t>Administrativa del Trabajo, el 6 de febrero de 1996 (expediente  de  prueba,</w:t>
        <w:br/>
        <w:t>trámite ante la Comisión, folios 8275 al 8277).</w:t>
        <w:br/>
        <w:br/>
        <w:br/>
        <w:t>[130]       Escrito de apelación de  resolución  ficta,  presentado  por  el</w:t>
        <w:br/>
        <w:t>Sindicato Único de Trabajadores de Petróleos  del  Perú  ante  la  Autoridad</w:t>
        <w:br/>
        <w:t>Administrativa del Trabajo, el 6 de febrero de 1996 (expediente  de  prueba,</w:t>
        <w:br/>
        <w:t>trámite ante la Comisión, folios 8275 al 8277).</w:t>
        <w:br/>
        <w:br/>
        <w:br/>
        <w:t>[131]        Escrito  de  ampliación   de   fundamentación   de   apelación,</w:t>
        <w:br/>
        <w:t>presentado por el Sindicato Único de Trabajadores  de  Petróleos  del  Perú,</w:t>
        <w:br/>
        <w:t>ante la Autoridad Administrativa del Trabajo,  del  7  de  febrero  de  1996</w:t>
        <w:br/>
        <w:t>(expediente de prueba, Anexo 27 al Informe de Fondo, folios 287 al 288).</w:t>
        <w:br/>
        <w:br/>
        <w:br/>
        <w:t>[132]       Resolución Ministerial No. 218-96-ED, por la que  se  aprobó  el</w:t>
        <w:br/>
        <w:t>Reglamento que norma el programa de evaluación del  rendimiento  laboral  de</w:t>
        <w:br/>
        <w:t>los trabajadores del Ministerio de Educación, publicado el 13 de  septiembre</w:t>
        <w:br/>
        <w:t>de 1996, artículo 3° (expediente de prueba, anexo 32 al  Informe  de  Fondo,</w:t>
        <w:br/>
        <w:t>folios 307 al 309).</w:t>
        <w:br/>
        <w:br/>
        <w:br/>
        <w:t>[133]       Resolución Ministerial No. 218-96-ED, por la que  se  aprobó  el</w:t>
        <w:br/>
        <w:t>Reglamento que norma el programa de evaluación del  rendimiento  laboral  de</w:t>
        <w:br/>
        <w:t>los trabajadores del Ministerio de Educación, publicado el 13 de  septiembre</w:t>
        <w:br/>
        <w:t>de 1996, artículos  4°  y  5°  del  Reglamento  que  norma  el  programa  de</w:t>
        <w:br/>
        <w:t>evaluación del rendimiento laboral de los  trabajadores  del  Ministerio  de</w:t>
        <w:br/>
        <w:t>Educación (expediente de prueba, anexo 32 al Informe de  Fondo,  folios  307</w:t>
        <w:br/>
        <w:t>al 309).</w:t>
        <w:br/>
        <w:br/>
        <w:br/>
        <w:t>[134]       Resolución Ministerial No. 218-96-ED, por la que  se  aprobó  el</w:t>
        <w:br/>
        <w:t>Reglamento que norma el programa de evaluación del  rendimiento  laboral  de</w:t>
        <w:br/>
        <w:t>los trabajadores del Ministerio de Educación, publicado el 13 de  septiembre</w:t>
        <w:br/>
        <w:t>de 1996, artículo 8° (expediente de prueba, anexo 32 al  Informe  de  Fondo,</w:t>
        <w:br/>
        <w:t>folios 307 al 309).</w:t>
        <w:br/>
        <w:br/>
        <w:br/>
        <w:t>[135]       Resolución Ministerial No. 218-96-ED, por la que  se  aprobó  el</w:t>
        <w:br/>
        <w:t>Reglamento que norma el programa de evaluación del  rendimiento  laboral  de</w:t>
        <w:br/>
        <w:t>los trabajadores del Ministerio de Educación, publicado el 13 de  septiembre</w:t>
        <w:br/>
        <w:t>de 1996, artículo 9° del Reglamento que norma el programa de evaluación  del</w:t>
        <w:br/>
        <w:t>rendimiento  laboral  de  los  trabajadores  del  Ministerio  de   educación</w:t>
        <w:br/>
        <w:t>(expediente de prueba, anexo 32 al Informe de Fondo, folios 307 al 309).</w:t>
        <w:br/>
        <w:br/>
        <w:br/>
        <w:t>[136]       Resolución Ministerial No. 218-96-ED, por la que  se  aprobó  el</w:t>
        <w:br/>
        <w:t>Reglamento que norma el programa de evaluación del  rendimiento  laboral  de</w:t>
        <w:br/>
        <w:t>los trabajadores del Ministerio de Educación, publicado el 13 de  septiembre</w:t>
        <w:br/>
        <w:t>de 1996, artículo 12° del Reglamento que norma  el  programa  de  evaluación</w:t>
        <w:br/>
        <w:t>del rendimiento laboral de los  trabajadores  del  Ministerio  de  Educación</w:t>
        <w:br/>
        <w:t>(expediente de prueba, anexo 32 al Informe de Fondo, folios 307 al 309).</w:t>
        <w:br/>
        <w:br/>
        <w:br/>
        <w:t>[137]       Directiva No. 001-96-CE-ED, emitida  por  la  Presidenta  de  la</w:t>
        <w:br/>
        <w:t>Comisión de Evaluación  del  Minedu  (expediente  de  prueba,  anexo  33  al</w:t>
        <w:br/>
        <w:t>Informe de Fondo, folios 310 al 312).</w:t>
        <w:br/>
        <w:br/>
        <w:br/>
        <w:t>[138]       Directiva No. 001-96-CE-ED, emitida  por  la  Presidenta  de  la</w:t>
        <w:br/>
        <w:t>Comisión de Evaluación del  Minedu.  Artículo  5.2  (expediente  de  prueba,</w:t>
        <w:br/>
        <w:t>anexo 33 al Informe de Fondo, folios 310 al 312).</w:t>
        <w:br/>
        <w:br/>
        <w:br/>
        <w:t>[139]       Directiva No. 001-96-CE-ED, emitida  por  la  Presidenta  de  la</w:t>
        <w:br/>
        <w:t>Comisión de Evaluación del Minedu.  Artículo  5.3   (expediente  de  prueba,</w:t>
        <w:br/>
        <w:t>anexo 33 al Informe de Fondo, folios 310 al 312).</w:t>
        <w:br/>
        <w:br/>
        <w:br/>
        <w:t>[140]       Directiva No. 001-96-CE-ED, emitida por la Presidenta de la</w:t>
        <w:br/>
        <w:t>Comisión de Evaluación del Minedu. Artículo 6.2 (expediente de prueba,</w:t>
        <w:br/>
        <w:t>anexo 33 al Informe de Fondo, folios 310 al 312).</w:t>
        <w:br/>
        <w:br/>
        <w:br/>
        <w:t>[141]       Oficio suscrito por Manuel Paiba Cossios y otros, dirigido al</w:t>
        <w:br/>
        <w:t>Ministro de Educación (expediente de prueba, anexo 34 al Informe de Fondo,</w:t>
        <w:br/>
        <w:t>folios 313 al 315).</w:t>
        <w:br/>
        <w:br/>
        <w:br/>
        <w:t>[142]       Escrito de solicitud del 10 de  octubre  de  1996,  signado  por</w:t>
        <w:br/>
        <w:t>Manuel Paiba  Cossios,  por  el  que  pidió  a  la  Comisión  de  Evaluación</w:t>
        <w:br/>
        <w:t>información oficial desagregada sobre resultados de  evaluación  (expediente</w:t>
        <w:br/>
        <w:t>de prueba, trámite ante la Comisión, folio 4679).</w:t>
        <w:br/>
        <w:br/>
        <w:br/>
        <w:t>[143]       Oficio suscrito por Manuel Paiba Cossios  y  otros,  del  15  de</w:t>
        <w:br/>
        <w:t>octubre de 1996, dirigido al Ministro de Educación  (expediente  de  prueba,</w:t>
        <w:br/>
        <w:t>anexo 34 al Informe de fondo, folios 313 al 315).</w:t>
        <w:br/>
        <w:br/>
        <w:br/>
        <w:t>[144]       Resolución  Ministerial  No.  245-96-ED,   publicada  el  19  de</w:t>
        <w:br/>
        <w:t>octubre de 1996 en el Diario Oficial “El Peruano”, pág.  143644  (expediente</w:t>
        <w:br/>
        <w:t>de prueba, anexo 35 al Informe de Fondo, folios 316 al 318).</w:t>
        <w:br/>
        <w:br/>
        <w:br/>
        <w:t>[145]       Resolución Suprema No. 003-97-ED  del  14  de  febrero  de  1997</w:t>
        <w:br/>
        <w:t>(expediente de prueba, anexo 36 al Informe de Fondo, folios 320 al 322).</w:t>
        <w:br/>
        <w:br/>
        <w:br/>
        <w:t>[146]       Resolución Suprema No. 003-97-ED  del  14  de  febrero  de  1997</w:t>
        <w:br/>
        <w:t>(expediente de prueba, anexo 36 al Informe de Fondo, folios 320 al 322).</w:t>
        <w:br/>
        <w:br/>
        <w:br/>
        <w:t>[147]       Escrito  de  demanda  de  acción  de  amparo  promovida  por  la</w:t>
        <w:br/>
        <w:t>Federación Nacional de Trabajadores de la Enapu, del 31  de  enero  de  1996</w:t>
        <w:br/>
        <w:t>(expediente de prueba, anexo 5 al Informe de Fondo, folios 60 al 97).</w:t>
        <w:br/>
        <w:br/>
        <w:br/>
        <w:t>[148]       Escrito  de  demanda  de  acción  de  amparo  promovida  por  la</w:t>
        <w:br/>
        <w:t>Federación Nacional de Trabajadores de la Enapu, del 31  de  enero  de  1996</w:t>
        <w:br/>
        <w:t>(expediente de prueba, anexo 5 al Informe de Fondo, folio 60 al 97).</w:t>
        <w:br/>
        <w:br/>
        <w:br/>
        <w:t>[149]       Resolución No. 12 del Primer Juzgado Civil del Callao, de  fecha</w:t>
        <w:br/>
        <w:t>6 de diciembre de 1996 (expediente de prueba, anexo 6 al Informe  de  Fondo,</w:t>
        <w:br/>
        <w:t>folios 99 al 101).</w:t>
        <w:br/>
        <w:br/>
        <w:br/>
        <w:t>[150]       Resolución No. 12 del Primer Juzgado Civil del Callao, de  fecha</w:t>
        <w:br/>
        <w:t>6 de diciembre de 1996 (expediente de prueba, anexo 6 al Informe  de  Fondo,</w:t>
        <w:br/>
        <w:t>folios 99 al 101).</w:t>
        <w:br/>
        <w:br/>
        <w:br/>
        <w:t>[151]       Recurso de Apelación del 19 de diciembre  de  1996,  interpuesto</w:t>
        <w:br/>
        <w:t>por la Fentenapu ante el Primer Juzgado  Civil  del  Callao  (expediente  de</w:t>
        <w:br/>
        <w:t>prueba, trámite ante la Comisión, folios 775 al 778).</w:t>
        <w:br/>
        <w:br/>
        <w:br/>
        <w:t>[152]       Resolución No. 21 de la Sala  Civil  de  la  Corte  Superior  de</w:t>
        <w:br/>
        <w:t>Justicia del Callao de fecha 18 de marzo  de  1997  (expediente  de  prueba,</w:t>
        <w:br/>
        <w:t>anexo 7 al Informe de Fondo, folios 102 al 103).</w:t>
        <w:br/>
        <w:br/>
        <w:br/>
        <w:t>[153]       Resolución No. 21 de la Sala  Civil  de  la  Corte  Superior  de</w:t>
        <w:br/>
        <w:t>Justicia del Callao,  de fecha 18 de marzo de 1997  (expediente  de  prueba,</w:t>
        <w:br/>
        <w:t>anexo 7 al Informe de Fondo, folios 102 al 103).</w:t>
        <w:br/>
        <w:br/>
        <w:br/>
        <w:t>[154]       Resolución No. 21 de la Sala  Civil  de  la  Corte  Superior  de</w:t>
        <w:br/>
        <w:t>Justicia del Callao,  de fecha 18 de marzo de 1997  (expediente  de  prueba,</w:t>
        <w:br/>
        <w:t>anexo 7 al Informe de Fondo, folios 102 al 103).</w:t>
        <w:br/>
        <w:br/>
        <w:br/>
        <w:t>[155]       Sentencia del Tribunal Constitucional de fecha  3  de  marzo  de</w:t>
        <w:br/>
        <w:t>1998 (expediente de prueba, anexo 8 al  Informe  de  Fondo,  folios  104  al</w:t>
        <w:br/>
        <w:t>110).</w:t>
        <w:br/>
        <w:br/>
        <w:br/>
        <w:t>[156]       Sentencia del Tribunal Constitucional de fecha  3  de  marzo  de</w:t>
        <w:br/>
        <w:t>1998 (expediente de prueba, anexo 8 al Informe de Fondo, folios 104-110).</w:t>
        <w:br/>
        <w:br/>
        <w:br/>
        <w:t>[157]       Sentencia del Tribunal Constitucional de fecha  3  de  marzo  de</w:t>
        <w:br/>
        <w:t>1998 (expediente de prueba, anexo 8 al  Informe  de  Fondo,  folios  104  al</w:t>
        <w:br/>
        <w:t>110).</w:t>
        <w:br/>
        <w:br/>
        <w:br/>
        <w:t>[158]       Escrito de demanda de amparo presentada el 23 de marzo  de  1998</w:t>
        <w:br/>
        <w:t>ante el Juez  Especializado  de  Derecho  Público  de  Lima  (expediente  de</w:t>
        <w:br/>
        <w:t>prueba, anexo 16 al Informe de Fondo, folios 159 al 198).</w:t>
        <w:br/>
        <w:br/>
        <w:br/>
        <w:t>[159]       Escrito de demanda de amparo presentada el 23 de marzo  de  1998</w:t>
        <w:br/>
        <w:t>ante el Juez  Especializado  de  Derecho  Público  de  Lima  (expediente  de</w:t>
        <w:br/>
        <w:t>prueba, anexo 16 al Informe de Fondo, folios 159 al 198).</w:t>
        <w:br/>
        <w:br/>
        <w:br/>
        <w:t>[160]       Escrito de demanda de amparo, presentada el 23 de marzo de  1998</w:t>
        <w:br/>
        <w:t>ante el Juez  Especializado  de  Derecho  Público  de  Lima  (expediente  de</w:t>
        <w:br/>
        <w:t>prueba, anexo 16 al Informe de Fondo, folios 159 al 198).</w:t>
        <w:br/>
        <w:br/>
        <w:br/>
        <w:t>[161]         Sentencia   del   Primer   Juzgado   Corporativo   Transitorio</w:t>
        <w:br/>
        <w:t>Especializado en Derecho Público, del 11 de septiembre de  1998  (expediente</w:t>
        <w:br/>
        <w:t>de prueba, anexo 6-Minedu, al escrito de  contestación  del  Estado,  folios</w:t>
        <w:br/>
        <w:t>17188 al 17194).</w:t>
        <w:br/>
        <w:br/>
        <w:br/>
        <w:t>[162]       Sentencia de la Sala Corporativa Transitoria Especializada en</w:t>
        <w:br/>
        <w:t>Derecho Público, de fecha 29 de enero de 1999 (expediente de prueba, anexo</w:t>
        <w:br/>
        <w:t>7-Minedu, al escrito de contestación del Estado, folios 17195 al 17197).</w:t>
        <w:br/>
        <w:br/>
        <w:br/>
        <w:t>[163]       Resolución No. 16 del  Primer  Juzgado  Corporativo  Transitorio</w:t>
        <w:br/>
        <w:t>Especializado en Derecho Público del 21 de  julio  de  1999  (expediente  de</w:t>
        <w:br/>
        <w:t>prueba, anexo 17 al Informe de Fondo, folios 199 al 203).</w:t>
        <w:br/>
        <w:br/>
        <w:br/>
        <w:t>[164]       Resolución No. 16 del  Primer  Juzgado  Corporativo  Transitorio</w:t>
        <w:br/>
        <w:t>Especializado en Derecho Público del 21 de  julio  de  1999  (expediente  de</w:t>
        <w:br/>
        <w:t>prueba, anexo 17 al Informe de Fondo, folios 199 al 203)</w:t>
        <w:br/>
        <w:br/>
        <w:br/>
        <w:t>[165]       Escrito de apelación del 5 de agosto de  1999,  presentado  ante</w:t>
        <w:br/>
        <w:t>el Primer Juzgado Corporativo Transitorio Especializado en  Derecho  Público</w:t>
        <w:br/>
        <w:t>(expediente de prueba, trámite ante la Comisión, folios 2473 al 2479)</w:t>
        <w:br/>
        <w:br/>
        <w:br/>
        <w:t>[166]       Escrito de apelación del 5 de agosto de  1999,  presentado  ante</w:t>
        <w:br/>
        <w:t>el Primer Juzgado Corporativo Transitorio Especializado en  Derecho  Público</w:t>
        <w:br/>
        <w:t>(expediente de prueba, trámite ante la Comisión, folios 2473 al 2479)</w:t>
        <w:br/>
        <w:br/>
        <w:br/>
        <w:t>[167]       Sentencia de la Sala Corporativa  Transitoria  Especializada  en</w:t>
        <w:br/>
        <w:t>Derecho Público, de fecha 13 de diciembre de  1999  (expediente  de  prueba,</w:t>
        <w:br/>
        <w:t>anexo 18 al Informe de Fondo, folios 204 al 205).</w:t>
        <w:br/>
        <w:br/>
        <w:br/>
        <w:t>[168]       Sentencia de la Sala Corporativa  Transitoria  Especializada  en</w:t>
        <w:br/>
        <w:t>Derecho Público, de fecha 13 de diciembre de  1999  (expediente  de  prueba,</w:t>
        <w:br/>
        <w:t>anexo 18 al Informe de Fondo, folios 204 al 205).</w:t>
        <w:br/>
        <w:br/>
        <w:br/>
        <w:t>[169]       Sentencia del Tribunal Constitucional, de fecha 29 de  enero  de</w:t>
        <w:br/>
        <w:t>2001 (expediente de prueba, anexo 19 al Informe  de  Fondo,  folios  206  al</w:t>
        <w:br/>
        <w:t>209).</w:t>
        <w:br/>
        <w:br/>
        <w:br/>
        <w:t>[170]       Sentencia del Tribunal Constitucional, de fecha 29 de  enero  de</w:t>
        <w:br/>
        <w:t>2001 (expediente de prueba, anexo 19 al Informe  de  Fondo,  folios  206  al</w:t>
        <w:br/>
        <w:t>209). Al respecto, el  Tribunal  Constitucional  consideró  que:  “De  fojas</w:t>
        <w:br/>
        <w:t>cuatrocientos ochenta a cuatrocientos ochenta y dos obra el  certificado  de</w:t>
        <w:br/>
        <w:t>incapacidad temporal para el trabajo de doña Mirtha  Jesús  Ruiz  Domínguez,</w:t>
        <w:br/>
        <w:t>la tarjeta de identificación neo-natal  y  la  solicitud  de  reembolso  del</w:t>
        <w:br/>
        <w:t>periodo  de  incapacidad  correspondiente  al  mes  de  diciembre   de   mil</w:t>
        <w:br/>
        <w:t>novecientos noventa y siete, lo cual establece que la  demandante  tenía  en</w:t>
        <w:br/>
        <w:t>suspenso  su   contrato,   por   estar   incapacitada   para   el   trabajo,</w:t>
        <w:br/>
        <w:t>evidenciándose de esta manera la violación a sus  derechos  constitucionales</w:t>
        <w:br/>
        <w:t>invocados, ya que fue cesada  cuando  se  encontraba  con  licencia  por  su</w:t>
        <w:br/>
        <w:t>estado de gravidez.”</w:t>
        <w:br/>
        <w:br/>
        <w:br/>
        <w:t>[171]       Sentencia del Tribunal Constitucional, de fecha 29 de  enero  de</w:t>
        <w:br/>
        <w:t>2001 (expediente de prueba, anexo 19 al Informe  de  Fondo,  folios  206  al</w:t>
        <w:br/>
        <w:t>209).</w:t>
        <w:br/>
        <w:br/>
        <w:br/>
        <w:t>[172]       Escrito de acción contenciosa administrativa del  1  de  octubre</w:t>
        <w:br/>
        <w:t>de 2001, presentada ante la Sala Laboral de la Corte  Superior  de  Justicia</w:t>
        <w:br/>
        <w:t>de Lima (expediente de prueba, anexo 20 al Informe de Fondo, folios  210  al</w:t>
        <w:br/>
        <w:t>226).</w:t>
        <w:br/>
        <w:br/>
        <w:br/>
        <w:t>[173]       Comunicación de  los  peticionarios  del  4  de  marzo  de  2002</w:t>
        <w:br/>
        <w:t>(expediente de prueba, anexo 21 al Informe de Fondo, folios 227 al 254).</w:t>
        <w:br/>
        <w:br/>
        <w:br/>
        <w:t>[174]       Resolución No. 7 del 9  de  febrero  de  1996,  emitida  por  el</w:t>
        <w:br/>
        <w:t>Juzgado Especializado en lo Civil  de  Talara,  que  resolvió  el  incidente</w:t>
        <w:br/>
        <w:t>precautelatorio promovido  con  la  acción  de  amparo  interpuesta  por  el</w:t>
        <w:br/>
        <w:t>Sutpedarg  (expediente de prueba, anexo 28 al Informe de Fondo,  folios  289</w:t>
        <w:br/>
        <w:t>al 295).</w:t>
        <w:br/>
        <w:br/>
        <w:br/>
        <w:t>[175]       Resolución No. 7 del 9  de  febrero  de  1996,  emitida  por  el</w:t>
        <w:br/>
        <w:t>Juzgado Especializado en lo Civil  de  Talara,  que  resolvió  el  incidente</w:t>
        <w:br/>
        <w:t>precautelatorio promovido  con  la  acción  de  amparo  interpuesta  por  el</w:t>
        <w:br/>
        <w:t>Sutpedarg  (expediente de prueba, anexo 28 al Informe de Fondo,  folios  289</w:t>
        <w:br/>
        <w:t>al 295).</w:t>
        <w:br/>
        <w:br/>
        <w:br/>
        <w:t>[176]       Resolución No. 7 del 9  de  febrero  de  1996,  emitida  por  el</w:t>
        <w:br/>
        <w:t>Juzgado Especializado en lo Civil  de  Talara,  que  resolvió  el  incidente</w:t>
        <w:br/>
        <w:t>precautelatorio  promovido  en  la  acción  de  amparo  interpuesta  por  el</w:t>
        <w:br/>
        <w:t>Sutpedarg  (expediente de prueba, anexo 28 al Informe de Fondo,  folios  289</w:t>
        <w:br/>
        <w:t>al 295).</w:t>
        <w:br/>
        <w:br/>
        <w:br/>
        <w:t>[177]       Resolución del 29 de febrero de 1996, emitida por la Sala  Civil</w:t>
        <w:br/>
        <w:t>de  la  Corte  Superior  de  Piura,  que  declaró  improcedente  la   medida</w:t>
        <w:br/>
        <w:t>precautelatoria interpuesta por el Sutpedarg (expediente  de  prueba,  anexo</w:t>
        <w:br/>
        <w:t>P19 al escrito de solicitudes, argumentos  y  pruebas  de  la  representante</w:t>
        <w:br/>
        <w:t>Loayza, folios 14654 al 14656).</w:t>
        <w:br/>
        <w:br/>
        <w:br/>
        <w:t>[178]       Sentencia No. 66-96 del Juzgado Especializado  en  lo  Civil  de</w:t>
        <w:br/>
        <w:t>Talara, del 18 de marzo de 1996 (expediente de prueba, anexo 29  al  Informe</w:t>
        <w:br/>
        <w:t>de Fondo, folios 296 al 301).</w:t>
        <w:br/>
        <w:br/>
        <w:br/>
        <w:t>[179]       Sentencia No. 66-96 del Juzgado Especializado  en  lo  Civil  de</w:t>
        <w:br/>
        <w:t>Talara, del 18 de marzo de 1996 (expediente de prueba, anexo 29  al  Informe</w:t>
        <w:br/>
        <w:t>de Fondo, folios 296 al 301).</w:t>
        <w:br/>
        <w:br/>
        <w:br/>
        <w:t>[180]       Resolución No. 26 de la Corte Superior de Piura, del 3 de  julio</w:t>
        <w:br/>
        <w:t>de 1996 (expediente de prueba, anexo 30 al Informe de Fondo, folios  302  al</w:t>
        <w:br/>
        <w:t>304).</w:t>
        <w:br/>
        <w:br/>
        <w:br/>
        <w:t>[181]       Resolución No. 1 de la Segunda Sala  de  la  Corte  Superior  de</w:t>
        <w:br/>
        <w:t>Piura, del 26 de febrero de 1996 (expediente de prueba, anexo 31 al  Informe</w:t>
        <w:br/>
        <w:t>de Fondo, folios 305 al 306).</w:t>
        <w:br/>
        <w:br/>
        <w:br/>
        <w:t>[182]       Resolución No. 1 de la Segunda Sala  de  la  Corte  Superior  de</w:t>
        <w:br/>
        <w:t>Piura, del 26 de febrero de 1996 (expediente de prueba, anexo 31 al  Informe</w:t>
        <w:br/>
        <w:t>de Fondo, folios 305 al 306).</w:t>
        <w:br/>
        <w:br/>
        <w:br/>
        <w:t>[183]        Resolución  No.  3  del  25  de  marzo  de  1996  que   declara</w:t>
        <w:br/>
        <w:t>inadmisible   la   apelación   interpuesta   en   la   demanda   contenciosa</w:t>
        <w:br/>
        <w:t>administrativa (expediente de prueba, anexo P24 al escrito  de  solicitudes,</w:t>
        <w:br/>
        <w:t>argumentos y pruebas de la representante Loayza, folios 14672 al 14673).</w:t>
        <w:br/>
        <w:br/>
        <w:br/>
        <w:t>[184]       Escrito del 13 de  mayo  de  1997,  por  el  que  las  presuntas</w:t>
        <w:br/>
        <w:t>víctimas presentaron una demanda de amparo ante  el  Juez  Especializado  en</w:t>
        <w:br/>
        <w:t>Derecho Público de Lima (expediente  de  prueba,  anexo  37  al  Informe  de</w:t>
        <w:br/>
        <w:t>Fondo, folios 323 al 366).</w:t>
        <w:br/>
        <w:br/>
        <w:br/>
        <w:t>[185]       Escrito del 13 de  mayo  de  1997,  por  el  que  las  presuntas</w:t>
        <w:br/>
        <w:t>víctimas presentaron una demanda de amparo ante  el  Juez  Especializado  en</w:t>
        <w:br/>
        <w:t>Derecho Público de Lima (expediente  de  prueba,  anexo  37  al  Informe  de</w:t>
        <w:br/>
        <w:t>Fondo, folios 323 al 366).</w:t>
        <w:br/>
        <w:br/>
        <w:br/>
        <w:t>[186]       Resolución número seis del 30 de septiembre de 1997, del  Primer</w:t>
        <w:br/>
        <w:t>Juzgado Corporativo Transitorio Especializado de Derecho  Público  de  Lima,</w:t>
        <w:br/>
        <w:t>(expediente de prueba, anexo 38 al Informe de Fondo, folios 367 al 377).</w:t>
        <w:br/>
        <w:br/>
        <w:br/>
        <w:t>[187]       Sentencia  de  la  Sala  Corporativa  Especializada  Transitoria</w:t>
        <w:br/>
        <w:t>Especializada en Derecho Público, del 19 de marzo  de  1998  (expediente  de</w:t>
        <w:br/>
        <w:t>prueba, anexo 39 al Informe de Fondo, folios 378 al 380).</w:t>
        <w:br/>
        <w:br/>
        <w:br/>
        <w:t>[188]       Escrito de Manuel Paiba  y  otros,  del  22  de  abril  de  1998</w:t>
        <w:br/>
        <w:t>(expediente de prueba, anexo 40 al Informe de Fondo, folios 381 al 387).</w:t>
        <w:br/>
        <w:br/>
        <w:br/>
        <w:t>[189]       Sentencia del Tribunal Constitucional, del 19  de  noviembre  de</w:t>
        <w:br/>
        <w:t>1999 (expediente de prueba, anexo 41 al Informe  de  Fondo,  folios  388  al</w:t>
        <w:br/>
        <w:t>390).</w:t>
        <w:br/>
        <w:br/>
        <w:br/>
        <w:t>[190]       Cfr. Caso Trabajadores Cesados del  Congreso  (Aguado  Alfaro  y</w:t>
        <w:br/>
        <w:t>otros) Vs. Perú, párr. 89.31, y Caso  Canales  Huapaya  y  otros  Vs.  Perú,</w:t>
        <w:br/>
        <w:t>párr. 76.</w:t>
        <w:br/>
        <w:br/>
        <w:br/>
        <w:t>[191]       Ley No. 27452 “Ley  que  dispone  la  creación  de  la  Comisión</w:t>
        <w:br/>
        <w:t>Especial encargada de la revisión de los ceses colectivos efectuados en  las</w:t>
        <w:br/>
        <w:t>empresas del Estado, sometidas a  procesos  de  inversión  de  la  inversión</w:t>
        <w:br/>
        <w:t>privada”, publicada en el Diario Oficial “El Peruano”,  el  22  de  mayo  de</w:t>
        <w:br/>
        <w:t>2001 (expediente de prueba, trámite ante la Comisión, folios 802 al 804).</w:t>
        <w:br/>
        <w:br/>
        <w:br/>
        <w:t>[192] Cfr. Ley No. 27487  “Ley  que  deroga  el  Decreto  Ley  No.  26093  y</w:t>
        <w:br/>
        <w:t>autoriza la conformación de  comisiones  encargadas  de  revisar  los  ceses</w:t>
        <w:br/>
        <w:t>colectivos en el Sector  Público”,   publicada  en  el  Diario  Oficial  “El</w:t>
        <w:br/>
        <w:t>Peruano”, el 23 de junio de 2001, (expediente de  prueba,  trámite  ante  la</w:t>
        <w:br/>
        <w:t>Comisión, folio 2367) y  Caso  Trabajadores  Cesados  del  Congreso  (Aguado</w:t>
        <w:br/>
        <w:t>Alfaro y otros Vs. Perú), párr. 89.32, y Caso Canales Huapaya  y  otros  Vs.</w:t>
        <w:br/>
        <w:t>Perú, párr. 76.</w:t>
        <w:br/>
        <w:br/>
        <w:br/>
        <w:t>[193]       Cfr. Decretos supremos 021 y 022-2001-TR de 4 y 15 de  julio  de</w:t>
        <w:br/>
        <w:t>2001,  respectivamente,  Caso  Trabajadores  Cesados  del  Congreso  (Aguado</w:t>
        <w:br/>
        <w:t>Alfaro y otros Vs. Perú), párr. 89.33 y Caso Canales  Huapaya  y  otros  Vs.</w:t>
        <w:br/>
        <w:t>Perú, párr. 76).</w:t>
        <w:br/>
        <w:br/>
        <w:br/>
        <w:t>[194]       Cfr. Ley No. 27586, “Ley que regula complementariamente  la  Ley</w:t>
        <w:br/>
        <w:t>No. 27487”, publicada el 12 de diciembre  de  2001  (expediente  de  prueba,</w:t>
        <w:br/>
        <w:t>folios 5121 al 5123) Caso Trabajadores Cesados del Congreso  (Aguado  Alfaro</w:t>
        <w:br/>
        <w:t>y otros) Vs. Perú, párr. 89.33.</w:t>
        <w:br/>
        <w:br/>
        <w:br/>
        <w:t>[195]       Ley No. 27586, “Ley que regula complementariamente  la  Ley  No.</w:t>
        <w:br/>
        <w:t>27487”, publicada el 12 de diciembre de 2001 (expediente  de  prueba,  folio</w:t>
        <w:br/>
        <w:t>5121 al 5123); Caso Trabajadores  cesados  del  Congreso  (Aguado  Alfaro  y</w:t>
        <w:br/>
        <w:t>otros) Vs. Perú, párr.89.34 y Caso Canales Huapaya y otros Vs.  Perú,  párr.</w:t>
        <w:br/>
        <w:t>76.</w:t>
        <w:br/>
        <w:br/>
        <w:br/>
        <w:t>[196]       Ley No. 27586, “Ley que regula complementariamente  la  Ley  No.</w:t>
        <w:br/>
        <w:t>27487”, publicada el 12 de diciembre de 2001 (expediente  de  prueba,  folio</w:t>
        <w:br/>
        <w:t>5121 al 5123); Caso Trabajadores  cesados  del  Congreso  (Aguado  Alfaro  y</w:t>
        <w:br/>
        <w:t>otros) Vs. Perú, párr.89.34, y Caso Canales Huapaya y otros Vs. Perú,  párr.</w:t>
        <w:br/>
        <w:t>76.</w:t>
        <w:br/>
        <w:br/>
        <w:br/>
        <w:t>[197]       Caso Trabajadores Cesados del Congreso (Aguado Alfaro  y  otros)</w:t>
        <w:br/>
        <w:t>Vs. Perú, párr. 89.35, y Caso Canales Huapaya y otros Vs. Perú, párr. 76.</w:t>
        <w:br/>
        <w:br/>
        <w:br/>
        <w:t>[198]       Cfr. Ley No. 27803,  “Ley  que  implementa  las  recomendaciones</w:t>
        <w:br/>
        <w:t>derivadas de las comisiones [especiales] creadas por las leyes No.  27452  y</w:t>
        <w:br/>
        <w:t>No. 27586, encargadas de revisar los  ceses  colectivos  efectuados  en  las</w:t>
        <w:br/>
        <w:t>Empresas del Estado sujetas a Procesos de Promoción de la Inversión  Privada</w:t>
        <w:br/>
        <w:t>y en las entidades del Sector Público y Gobiernos  Locales”  (expediente  de</w:t>
        <w:br/>
        <w:t>prueba, folios 5124 al 5134) y Caso Canales Huapaya y otros Vs. Perú,  párr.</w:t>
        <w:br/>
        <w:t>77.</w:t>
        <w:br/>
        <w:br/>
        <w:br/>
        <w:t>[199]       De conformidad con la Décimo Tercera  Disposición  Final  de  la</w:t>
        <w:br/>
        <w:t>Ley N° 28426, publicado el 21 de diciembre de 2004, vigente a partir del  01</w:t>
        <w:br/>
        <w:t>de enero  de  2005,  se  faculta  al  Gobierno  Nacional,  a  los  Gobiernos</w:t>
        <w:br/>
        <w:t>Regionales  y  a  los  Gobiernos  Locales,   a   ejecutar   los   beneficios</w:t>
        <w:br/>
        <w:t>contemplados en los numerales 1  y  4  del  artículo  3  de  la  Ley  27803,</w:t>
        <w:br/>
        <w:t>conforme a la normatividad vigente.</w:t>
        <w:br/>
        <w:br/>
        <w:br/>
        <w:t>[200]       De conformidad con la Única Disposición Complementaria  y  Final</w:t>
        <w:br/>
        <w:t>de la Ley N° 28299, publicada el 22  de  julio  de  2004,  para  efectos  de</w:t>
        <w:br/>
        <w:t>acogerse al Beneficio de Jubilación Adelantada a que se contrae el  presente</w:t>
        <w:br/>
        <w:t>artículo, inciso 2), podrán acceder los ex trabajadores comprendidos en  los</w:t>
        <w:br/>
        <w:t>alcances del Decreto Ley Nº 19990, Ley Nº 25009, Decreto Ley Nº 25967 y  Ley</w:t>
        <w:br/>
        <w:t>Nº 25897, cumpliendo los requisitos  de  edad  y  aportaciones  establecidos</w:t>
        <w:br/>
        <w:t>para el otorgamiento de una pensión, a la fecha de publicación de la  última</w:t>
        <w:br/>
        <w:t>relación de ex trabajadores cesados irregularmente.</w:t>
        <w:br/>
        <w:br/>
        <w:br/>
        <w:t>[201]       De conformidad con la Décimo Tercera  Disposición  Final  de  la</w:t>
        <w:br/>
        <w:t>Ley N° 28426, publicada el 21 de diciembre de 2004, vigente a partir del  01</w:t>
        <w:br/>
        <w:t>de enero  de  2005,  se  faculta  al  Gobierno  Nacional,  a  los  Gobiernos</w:t>
        <w:br/>
        <w:t>Regionales y a los Gobiernos Locales a ejecutar los beneficios  contemplados</w:t>
        <w:br/>
        <w:t>en los numerales 1 y 4 del artículo  3  de  la  Ley  27803,  conforme  a  la</w:t>
        <w:br/>
        <w:t>normatividad vigente.</w:t>
        <w:br/>
        <w:br/>
        <w:br/>
        <w:t>[202]       Disposición Complementaria CUARTA de la Ley No. 27803, “Ley  que</w:t>
        <w:br/>
        <w:t>implementa las recomendaciones  derivadas  de  las  comisiones  [especiales]</w:t>
        <w:br/>
        <w:t>creadas por las leyes No. 27452 y  No.  27586,  encargadas  de  revisar  los</w:t>
        <w:br/>
        <w:t>ceses colectivos efectuados en las Empresas del Estado  sujetas  a  Procesos</w:t>
        <w:br/>
        <w:t>de Promoción de la Inversión Privada y en las entidades del  Sector  Público</w:t>
        <w:br/>
        <w:t>y Gobiernos Locales”  (expediente  de  prueba,  trámite  ante  la  Comisión,</w:t>
        <w:br/>
        <w:t>folios 5124 al 5134).</w:t>
        <w:br/>
        <w:br/>
        <w:br/>
        <w:t>[203]       Artículos 3 y 4 de la Ley No. 27803,  “Ley  que  implementa  las</w:t>
        <w:br/>
        <w:t>recomendaciones derivadas de las comisiones  [especiales]  creadas  por  las</w:t>
        <w:br/>
        <w:t>leyes No. 27452 y No. 27586, encargadas  de  revisar  los  ceses  colectivos</w:t>
        <w:br/>
        <w:t>efectuados en las Empresas del Estado sujetas a Procesos de Promoción de  la</w:t>
        <w:br/>
        <w:t>Inversión Privada  y  en  las  entidades  del  Sector  Público  y  Gobiernos</w:t>
        <w:br/>
        <w:t>Locales”, promulgada el 29 de julio de 2002 (expediente de  prueba,  trámite</w:t>
        <w:br/>
        <w:t>ante la Comisión, folios 5124 al 5134).</w:t>
        <w:br/>
        <w:br/>
        <w:br/>
        <w:t>[204]       Artículo 5  de  la  Ley  No.  27803,  “Ley  que  implementa  las</w:t>
        <w:br/>
        <w:t>recomendaciones derivadas de las comisiones  [especiales]  creadas  por  las</w:t>
        <w:br/>
        <w:t>leyes No. 27452 y No. 27586, encargadas  de  revisar  los  ceses  colectivos</w:t>
        <w:br/>
        <w:t>efectuados en las Empresas del Estado sujetas a Procesos de Promoción de  la</w:t>
        <w:br/>
        <w:t>Inversión Privada  y  en  las  entidades  del  Sector  Público  y  Gobiernos</w:t>
        <w:br/>
        <w:t>Locales”, promulgada el 29 de julio de 2002, (expediente de prueba,  trámite</w:t>
        <w:br/>
        <w:t>ante la Comisión, folios 5124 al 5134).</w:t>
        <w:br/>
        <w:br/>
        <w:br/>
        <w:t>[205]       Artículo 2  de  la  Ley  No.  27803,  “Ley  que  implementa  las</w:t>
        <w:br/>
        <w:t>recomendaciones derivadas de las comisiones  [especiales]  creadas  por  las</w:t>
        <w:br/>
        <w:t>leyes No. 27452 y No. 27586, encargadas  de  revisar  los  ceses  colectivos</w:t>
        <w:br/>
        <w:t>efectuados en las Empresas del Estado sujetas a Procesos de Promoción de  la</w:t>
        <w:br/>
        <w:t>Inversión Privada  y  en  las  entidades  del  Sector  Público  y  Gobiernos</w:t>
        <w:br/>
        <w:t>Locales”, promulgada el 29 de julio de 2002 (expediente de  prueba,  trámite</w:t>
        <w:br/>
        <w:t>ante la Comisión, folios 5124 al 5134).</w:t>
        <w:br/>
        <w:br/>
        <w:br/>
        <w:t>[206]             Los       listados       están       disponibles        en</w:t>
        <w:br/>
        <w:t>www.mintra.gob.pe/mostrarContenido.php?id=196&amp;tip=195.    (Expediente     de</w:t>
        <w:br/>
        <w:t>prueba, anexo 43 del informe de fondo de la CIDH).</w:t>
        <w:br/>
        <w:br/>
        <w:br/>
        <w:t>[207]       “Segundo listado de ex trabajadores  cesados  irregularmente  de</w:t>
        <w:br/>
        <w:t>acuerdo con lo dispuesto en las Leyes Nos. 27452, 27586 y  27803”.  Aprobado</w:t>
        <w:br/>
        <w:t>por Resolución Ministerial No. 059-2003-TR, publicada en el  Diario  Oficial</w:t>
        <w:br/>
        <w:t>“El Peruano”, el 27 de marzo de 2003 (expediente de prueba, trámite ante  la</w:t>
        <w:br/>
        <w:t>Comisión, folios 1443 al 1446).</w:t>
        <w:br/>
        <w:br/>
        <w:br/>
        <w:t>[208]       “Última lista de ex trabajadores que deben ser inscritos  en  el</w:t>
        <w:br/>
        <w:t>Registro  de  Trabajadores  Cesados   Irregularmente”.   Aprobada   por   la</w:t>
        <w:br/>
        <w:t>Resolución Suprema No. 034 – 2004- TR (expediente de  prueba,  trámite  ante</w:t>
        <w:br/>
        <w:t>la Comisión, folios 3786 al 3788).</w:t>
        <w:br/>
        <w:br/>
        <w:br/>
        <w:t>[209]        “Última  lista  de  ex  trabajadores  que,   conforme   a   las</w:t>
        <w:br/>
        <w:t>atribuciones de  la  Comisión  Ejecutiva  creada  por  la  Ley  N°  27803  y</w:t>
        <w:br/>
        <w:t>reactivada por la Ley N° 30484, deben ser inscritos en el Registro  Nacional</w:t>
        <w:br/>
        <w:t>de   Trabajadores   Cesados   Irregularmente”.   Aprobada   por   resolución</w:t>
        <w:br/>
        <w:t>Ministerial N° 142-2017-TR, publicada en el Diario Oficial “El  Peruano”  17</w:t>
        <w:br/>
        <w:t>de         agosto          de          2017.          Disponible          en</w:t>
        <w:br/>
        <w:t>www.mintra.gob.pe/mostrarContenido.php?id=196&amp;tip=195     (expediente     de</w:t>
        <w:br/>
        <w:t>prueba, anexo 43 del informe de fondo de la CIDH).</w:t>
        <w:br/>
        <w:br/>
        <w:br/>
        <w:t>[210]       Ley N° 30484 “Ley  de  reactivación  de  la  Comisión  Ejecutiva</w:t>
        <w:br/>
        <w:t>creada  por  la  Ley  N°  27803,  Ley  que  implementa  las  recomendaciones</w:t>
        <w:br/>
        <w:t>derivadas de las comisiones creadas  por  las  Leyes  N°  27452  y  N°27586,</w:t>
        <w:br/>
        <w:t>encargadas de revisar los ceses colectivos efectuados en  las  empresas  del</w:t>
        <w:br/>
        <w:t>Estado sujetas a procesos de promoción de la  inversión  privada  y  en  las</w:t>
        <w:br/>
        <w:t>entidades del sector público y gobierno locales”,  publicada  en  el  Diario</w:t>
        <w:br/>
        <w:t>Oficial “El Peruano” el 6 de julio de 2016 (expediente de prueba,  Anexo  12</w:t>
        <w:br/>
        <w:t>al escrito de alegatos finales de la  representante  Loayza  Tamayo,  folios</w:t>
        <w:br/>
        <w:t>24151 al 24153).</w:t>
        <w:br/>
        <w:br/>
        <w:br/>
        <w:t>[211]       Oficio No. 767-2002-MTC/15.02 del Vice Ministro  de  Transportes</w:t>
        <w:br/>
        <w:t>y Comunicaciones, de fecha 15 de octubre  de  2002  (expediente  de  prueba,</w:t>
        <w:br/>
        <w:t>anexo 45 al Informe de Fondo, folio 391 al 392).</w:t>
        <w:br/>
        <w:br/>
        <w:br/>
        <w:t>[212]       “Segundo listado de ex trabajadores  cesados  irregularmente  de</w:t>
        <w:br/>
        <w:t>acuerdo con lo dispuesto en las Leyes Nos. 27452, 27586 y  27803”.  Aprobado</w:t>
        <w:br/>
        <w:t>por Resolución Ministerial No. 059-2003-TR, publicada en el  Diario  Oficial</w:t>
        <w:br/>
        <w:t>“El Peruano”, el 27 de marzo de 2003 (expediente de prueba, trámite ante  la</w:t>
        <w:br/>
        <w:t>Comisión, folios 1443 al 1446).</w:t>
        <w:br/>
        <w:br/>
        <w:br/>
        <w:t>[213]        Víctor  Acuña  Ávila,  Alberto  Esteban  Antonio  Chala,  Justo</w:t>
        <w:br/>
        <w:t>Esteban Azcárate  Noguera,  Marco  Antonio  Castro  Martínez,  María  Gladis</w:t>
        <w:br/>
        <w:t>Delgado Arriola, Rogelio Delgado Quijano, Juan Leslie  Espinoza  Eyzaguirre,</w:t>
        <w:br/>
        <w:t>Jorge Federico García Farías, Carlos  Alberto  Lizarbe  Nieto,  Juan  Carlos</w:t>
        <w:br/>
        <w:t>Marraguerra Ayllón, Honorato  Mayorga  Blanco,  Ernesto  Meza  Vargas,  José</w:t>
        <w:br/>
        <w:t>Ricardo  Nolasco  Milla,  Cecilio  Alberto  Ríos  Rodríguez,  Antonio  Tomás</w:t>
        <w:br/>
        <w:t>Rodríguez  Valdivia,  Isi  Antonia  Rosas  Meléndez,  Renzo  Renato   Torero</w:t>
        <w:br/>
        <w:t>Lizarbe, José Fermín Urcia Cruzado,  Alfredo  Pío  Vásquez  Colacci,  Rufino</w:t>
        <w:br/>
        <w:t>Isique  Reque.  Cfr.  Comunicación  del  Estado  de  26  de  enero  de  2015</w:t>
        <w:br/>
        <w:t>(expediente de prueba,  Anexo  7-  Enapu  al  escrito  de  contestación  del</w:t>
        <w:br/>
        <w:t>Estado, folios 20583 al 22209).</w:t>
        <w:br/>
        <w:br/>
        <w:br/>
        <w:t>[214]        Los  señores  Alberto  Esteban  Antonio  Chala,  Justo  Esteban</w:t>
        <w:br/>
        <w:t>Azcárate Noguera,  Marco  Antonio  Castro  Martínez,  María  Gladys  Delgado</w:t>
        <w:br/>
        <w:t>Arriola, Jorge Federico García Farías, Carlos Alberto  Lizarbe  Nieto,  Juan</w:t>
        <w:br/>
        <w:t>Carlos Marraguerra Ayllón, Honorato Mayorga  Blanco,  José  Ricardo  Nolasco</w:t>
        <w:br/>
        <w:t>Milla, Isi Antonia Rosas Meléndez, continuaban laborando en Enapu al día  10</w:t>
        <w:br/>
        <w:t>de mayo de 2016  (expediente  de  prueba,  Anexo  7-  Enapu  al  escrito  de</w:t>
        <w:br/>
        <w:t>contestación del Estado, folios 20583 al 22209).</w:t>
        <w:br/>
        <w:br/>
        <w:br/>
        <w:t>[215]       Cecilio Alberto Ríos Rodríguez (expediente de prueba,  Anexo  7-</w:t>
        <w:br/>
        <w:t>Enapu al escrito  de  contestación  del  Estado,  folios  21744  al  21813);</w:t>
        <w:br/>
        <w:t>Ernesto Meza Vargas, (expediente de prueba, Anexo 7-  Enapu  al  escrito  de</w:t>
        <w:br/>
        <w:t>contestación del  Estado,  folios  21554  al  21624);  Víctor  Acuña  Dávila</w:t>
        <w:br/>
        <w:t>(expediente de prueba,  Anexo  7-  Enapu  al  escrito  de  contestación  del</w:t>
        <w:br/>
        <w:t>Estado, folios 20583 al 20657); Gloria Cahua  Ríos  (expediente  de  prueba,</w:t>
        <w:br/>
        <w:t>Anexo 7- Enapu al escrito de contestación del Estado,  folio  415);  Rogelio</w:t>
        <w:br/>
        <w:t>Delgado Quijano  (expediente  de  prueba,  Anexo  7-  Enapu  al  escrito  de</w:t>
        <w:br/>
        <w:t>contestación del  Estado,  folios  21011  al  21083);  Renzo  Renato  Torero</w:t>
        <w:br/>
        <w:t>Lizarbe (expediente de prueba, Anexo 7- Enapu  al  escrito  de  contestación</w:t>
        <w:br/>
        <w:t>del  Estado,  folios  21999  al  22071);  Juan  Leslie  Espinoza  Eyzaguirre</w:t>
        <w:br/>
        <w:t>(expediente de prueba,  Anexo  7-  Enapu  al  escrito  de  contestación  del</w:t>
        <w:br/>
        <w:t>Estado,  folios,  21084  al  21172);  Antonio   Tomás   Rodríguez   Valdivia</w:t>
        <w:br/>
        <w:t>(expediente de prueba,  Anexo  7-  Enapu  al  escrito  de  contestación  del</w:t>
        <w:br/>
        <w:t>Estado,folios 21856 al 21918); Alfredo Pio Vázquez  Colacci  (expediente  de</w:t>
        <w:br/>
        <w:t>prueba, folios 22128 al 22209) y Oficio 008-2012-ENAPU S.A./OAJ/SPJ  del  10</w:t>
        <w:br/>
        <w:t>de febrero de 2012 (expediente de prueba, Anexo  51  al  Informe  de  Fondo,</w:t>
        <w:br/>
        <w:t>folios 414 al 416).</w:t>
        <w:br/>
        <w:br/>
        <w:br/>
        <w:t>[216]       Abraham Cano Rebaza, Nancy Giomar Mac Gregor  Alvis  y  Fernando</w:t>
        <w:br/>
        <w:t>Antonio  Padilla  Cancino  mencionados  en  el  Oficio  N°  1920-2005  ENAPU</w:t>
        <w:br/>
        <w:t>S.A./GCA/GPDH de 7 de junio de 2005  (expediente  de  prueba,  Anexo  50  al</w:t>
        <w:br/>
        <w:t>Informe de Fondo, folios 408 al 410);  Eduardo Rivadeneyra Alva  (expediente</w:t>
        <w:br/>
        <w:t>de prueba, Anexo 7-Enapu al escrito de contestación del Estado, folio  21814</w:t>
        <w:br/>
        <w:t>al 21855) y David Desiglioli Sánchez  (expediente  de  prueba,  Anexo  7  al</w:t>
        <w:br/>
        <w:t>Escrito de contestación del Estado, folios 20901 al 20949).</w:t>
        <w:br/>
        <w:br/>
        <w:br/>
        <w:t>[217]       Cfr. “Última lista de ex trabajadores que  deben  ser  inscritos</w:t>
        <w:br/>
        <w:t>en el Registro de Trabajadores  Cesados  Irregularmente”.  Aprobada  por  la</w:t>
        <w:br/>
        <w:t>Resolución Suprema No. 034–2004-TR,  publicada  en  el  Diario  Oficial  “El</w:t>
        <w:br/>
        <w:t>Peruano”, el 2 de octubre de 2004 (expediente de  prueba,  trámite  ante  la</w:t>
        <w:br/>
        <w:t>Comisión, folios 3786 al 3788).</w:t>
        <w:br/>
        <w:br/>
        <w:br/>
        <w:t>[218]       Gloria Nila Amabelia Moreno Cueva, Eliana Zavala Urbiola,  Nidia</w:t>
        <w:br/>
        <w:t>Luisa Blanco  Castro,  Fortunato  Crispín  Crispín,  Lorenzo  Hernán  Suárez</w:t>
        <w:br/>
        <w:t>Aparcana, Fanny  Rosa  Pinto  Loaces,  Rafael  Fritz  Poma  Guerra,  Marissa</w:t>
        <w:br/>
        <w:t>Paulina Huamán Valle, Hugo Walter  Neyra  Huamanchumo,  Jaime  Díaz  Idrogo,</w:t>
        <w:br/>
        <w:t>Luís Anatolio Del Castillo Florián y Julia Myriam Flores Hilario</w:t>
        <w:br/>
        <w:br/>
        <w:br/>
        <w:t>[219]       Cfr. Escrito de Contestación del Estado de 10 de junio  de  2016</w:t>
        <w:br/>
        <w:t>(expediente de fondo, folio 1309).</w:t>
        <w:br/>
        <w:br/>
        <w:br/>
        <w:t>[220]       Carlos Alberto  Galán  Castillo,  Felito  Vitonera  Saldarriaga,</w:t>
        <w:br/>
        <w:t>Carlos Garcés Solís,  Neptalí  Aguirre  Maldonado,  Juan  Antonio  Echeandía</w:t>
        <w:br/>
        <w:t>Ochoa, Asunción Mechato Sernaque,  Eduardo  Panta  Valladares,  José  Torres</w:t>
        <w:br/>
        <w:t>Namuche, Luís Abad Saldarriaga,  Gregorio  Albuquerque  Carrillo,  Sebastián</w:t>
        <w:br/>
        <w:t>Amaya Fiestas,  Jorge  Cabanillas  De  Dios,  Santos  Calderón  Ávila,  Luís</w:t>
        <w:br/>
        <w:t>Carrasco Lozada, Alberto Chira Guerrero, Mario Duque Mogollón, Jaime  Garcés</w:t>
        <w:br/>
        <w:t>Sandoval, Gonzalo Ginocchio Guerrero,  Pedro  Infante  Antón,  José  William</w:t>
        <w:br/>
        <w:t>Jacinto Zavala, Pedro López Antón, Abraham Montero Ramírez,  Emilio  Augusto</w:t>
        <w:br/>
        <w:t>Morales Silva, Miguel Hugo Morán García, Gregorio  Jaime  Noriega  Gonzáles,</w:t>
        <w:br/>
        <w:t>Ricardo  Quevedo  Herrera,  Edwin  Quevedo  Saavedra,  José  Félix  Saavedra</w:t>
        <w:br/>
        <w:t>Medina,  Catalino  Sandoval  Ancajima,  Dionisio  Sandoval  Flores,  Joaquín</w:t>
        <w:br/>
        <w:t>Santillán Zavala, Luís Tavara Ramírez, Jorge Carlos  Tinedo  Puell  y  Oscar</w:t>
        <w:br/>
        <w:t>Valiente Paico.</w:t>
        <w:br/>
        <w:br/>
        <w:br/>
        <w:t>[221]       Las presuntas víctimas fueron: Neptalí Aguirre  Maldonado,  Juan</w:t>
        <w:br/>
        <w:t>Antonio  Echeandía  Ochoa,  Asunción   Mechado   Sernaqué,   Eduardo   Panta</w:t>
        <w:br/>
        <w:t>Valladares,  José  Torres   Namuche,   Luis   Abad   Saldarriaga,   Gregorio</w:t>
        <w:br/>
        <w:t>Alburquerque Carrillo,  Sebastián Amaya Fiestas, Jorge Cabanillas  De  Dios,</w:t>
        <w:br/>
        <w:t>Santos Calderón Ávila, Luis Carrasco Lozada, Alberto Chira  Guerrero,  Mario</w:t>
        <w:br/>
        <w:t>Alberto Duque Mogollón, Jaime Garcés Sandoval, Gonzalo  Ginocchio  Guerrero,</w:t>
        <w:br/>
        <w:t>Pedro Infante  Antón,  José  William  Jacinto  Zavala,  Pedro  López  Antón,</w:t>
        <w:br/>
        <w:t>Abraham Montero Ramírez, Emilio Augusto Morales  Silva,  Miguel  Hugo  Morán</w:t>
        <w:br/>
        <w:t>García, Gregorio Jaime Noriega  Gonzáles,  Ricardo  Quevedo  Herrera,  Edwin</w:t>
        <w:br/>
        <w:t>Quevedo Saavedra, José Félix Saavedra Medina,  Catalino  Sandoval  Ancajima,</w:t>
        <w:br/>
        <w:t>Dionisio Sandoval Flores, Joaquín Santillán  Zavala,  Luis  Tavara  Ramírez,</w:t>
        <w:br/>
        <w:t>Jorge Carlos Tinedo Puell y Oscar Valiente  Paico.  (expediente  de  prueba,</w:t>
        <w:br/>
        <w:t>Anexo 18-Petroperú, al escrito de contestación del Estado, folios  18411  al</w:t>
        <w:br/>
        <w:t>18747).</w:t>
        <w:br/>
        <w:br/>
        <w:br/>
        <w:t>[222]       Ficha de la Comisión Evaluadora de  Ceses  Colectivos  sobre  la</w:t>
        <w:br/>
        <w:t>situación del señor José Torres Namuche. Informe N°  107-2016-JUS/CDJE-PPES,</w:t>
        <w:br/>
        <w:t>de 10 de junio de  2016   (expediente  de  prueba,  Anexo  18-Petroperú,  al</w:t>
        <w:br/>
        <w:t>escrito de contestación del Estado, folios 18716 al 18719).</w:t>
        <w:br/>
        <w:br/>
        <w:br/>
        <w:t>[223]        Juan  Félix  Benites  Gómez,  Victor  Manuel  Garay   Espinoza,</w:t>
        <w:br/>
        <w:t>Leonarda Montero Silupú, Cfr. Comunicación de  los  peticionarios  de  4  de</w:t>
        <w:br/>
        <w:t>enero de 2013 (expediente de prueba, Anexo 66 al  infome  de  Fondo,  folios</w:t>
        <w:br/>
        <w:t>489 al 490), Alberto Chira Guerrero, Juan Antonio Echeandía  Ochoa,  Eduardo</w:t>
        <w:br/>
        <w:t>Panta Valladares, María Eusebia Sancarranco Barrientos, Luís  Oswaldo  Duque</w:t>
        <w:br/>
        <w:t>Morán,  Pedro  Rogelio  Carrasco   Talledo,   Cfr.   Comunicación   de   los</w:t>
        <w:br/>
        <w:t>peticionario de 07 de enero de 2013  (expediente  de  prueba,  Anexo  65  al</w:t>
        <w:br/>
        <w:t>Informe de Fondo, folios 486 al 488), Neptalí  Aguirre  Maldonado,  Asunción</w:t>
        <w:br/>
        <w:t>Mechato  Sernaque,  Ricardo  Quevedo  Herrera  Cfr.  Comunicación   de   los</w:t>
        <w:br/>
        <w:t>peticionarios de 10 de marzo de 2010 (expediente de prueba, trámite ante  la</w:t>
        <w:br/>
        <w:t>Comisión, folios 11246 al 11263).</w:t>
        <w:br/>
        <w:br/>
        <w:br/>
        <w:t>[224]       “Segundo listado de ex trabajadores  cesados  irregularmente  de</w:t>
        <w:br/>
        <w:t>acuerdo con lo dispuesto en las Leyes N°s. 27452, 27586 y  27803”,  aprobada</w:t>
        <w:br/>
        <w:t>por Resolución Ministerial N° 059-2003-TR, publicada en  el  Diario  Oficial</w:t>
        <w:br/>
        <w:t>“El Peruano”, el 27 de marzo de 2003 (expediente de prueba, trámite ante  la</w:t>
        <w:br/>
        <w:t>Comisión, folios 572 al 575).</w:t>
        <w:br/>
        <w:br/>
        <w:br/>
        <w:t>[225]       “Última lista de ex trabajadores que deben ser inscritos  en  el</w:t>
        <w:br/>
        <w:t>Registro  de  Trabajadores  Cesados   Irregularmente”.   Aprobada   por   la</w:t>
        <w:br/>
        <w:t>Resolución Suprema No. 034 – 2004- TR (expediente de  prueba,  trámite  ante</w:t>
        <w:br/>
        <w:t>la Comisión, folios 3786 al 3788).</w:t>
        <w:br/>
        <w:br/>
        <w:br/>
        <w:t>[226]       Sonia Noemí Peralta Roca, Judith  Reyes  Campana,  Rosa  Belinda</w:t>
        <w:br/>
        <w:t>Gayoso Tapia, Luis Eduardo  Arditto  Paganini,  Julio  Cesar  Chávez  López,</w:t>
        <w:br/>
        <w:t>Nilson Severo Chirinos Chirinos,  Luz  Caridad  Mena  Sánchez,  Flora  María</w:t>
        <w:br/>
        <w:t>Porras Aquino, Víctor Montalván  Domínguez,  Alcides  Corcino  Tacuri  Vega,</w:t>
        <w:br/>
        <w:t>Herminio García  Gómez,  Manuel  Eduardo  Coz  Orellana,  Alejandro  Rogelio</w:t>
        <w:br/>
        <w:t>Collantes Lavado, Jorge Emiliano Palomino Huamani, Marina  Tarazona  Tinoco,</w:t>
        <w:br/>
        <w:t>Margarita Teodolinda Avalos  Navarro,  Natividad  Guardia  Vargas,  Fernando</w:t>
        <w:br/>
        <w:t>Eulogio Valdivia Altamirano, Ernesto Arauco  Perez,  Elva  Rosario  Mauricio</w:t>
        <w:br/>
        <w:t>Alvarado, Aída Nery Loroña  Córdova,  Nelson  Enrique  Rosas  Martel,  Frida</w:t>
        <w:br/>
        <w:t>Hortencia  Villanueva  Cauti,  Leoncio  Gamarra  Cholan,   Gloria   Alvarado</w:t>
        <w:br/>
        <w:t>Castillo Fernández Baca, y Aida Rosana Centeno Manrique.  Cfr.  Comunicación</w:t>
        <w:br/>
        <w:t>de los peticionarios de 5 de diciembre de 2013 (expediente de prueba,  Anexo</w:t>
        <w:br/>
        <w:t>72 al Informe de Fondo, folios 498 al 506) y Comunicación del Estado  de  26</w:t>
        <w:br/>
        <w:t>de junio de 2013 (expediente de  prueba,  Anexo  74  al  Informe  de  Fondo,</w:t>
        <w:br/>
        <w:t>folios 507 al 537).</w:t>
        <w:br/>
        <w:br/>
        <w:br/>
        <w:br/>
        <w:br/>
        <w:br/>
        <w:t>[227]       Nila Acuña Díaz, Luis Armando  Arditto  Paganni,  Juana  Adriana</w:t>
        <w:br/>
        <w:t>del Carpio Lagunas, Norma Soto Caballero,  Carlos  Alberto  Sotomayor  Blas,</w:t>
        <w:br/>
        <w:t>Eduardo Guillermo Zavala Villar. Cfr. Tabla de  cesados  del  Ministerio  de</w:t>
        <w:br/>
        <w:t>Educación,  según  beneficio  de  la  Ley  No.  27803,  precisados   en   la</w:t>
        <w:br/>
        <w:t>Comunicación de los Peticionarios del 16 de julio  de  2011  (expediente  de</w:t>
        <w:br/>
        <w:t>prueba, Anexo 72 al Informe de Fondo, folios 498 al 506)</w:t>
        <w:br/>
        <w:br/>
        <w:br/>
        <w:t>[228]       Comunicación de los peticionarios de 5  de  diciembre  de  2013.</w:t>
        <w:br/>
        <w:t>Comunicación del Estado de 26 de junio de 2013 (Expediente de prueba,  Anexo</w:t>
        <w:br/>
        <w:t>74 al Informe de Fondo, folios 507 al 537).</w:t>
        <w:br/>
        <w:br/>
        <w:br/>
        <w:t>[229]       Nila  Acuña  Díaz,  Cristina  Felicitas  Molina  Córdova,  Norma</w:t>
        <w:br/>
        <w:t>Yolanda Soto Caballero, Blanca Flor Ayala  Cuya  de  Pérez,  Carlos  Alberto</w:t>
        <w:br/>
        <w:t>Sotomayor Blas, Eduardo  Guillermo  Zavala  Villar  y  Frida  Ramírez  Caja.</w:t>
        <w:br/>
        <w:t>Comunicación del Estado de 26 de junio de 2013 (expediente de prueba,  Anexo</w:t>
        <w:br/>
        <w:t>74 al Informe de fondo, folios 507 al 537).</w:t>
        <w:br/>
        <w:br/>
        <w:br/>
        <w:t>[230]       Blanca Flor Ayala Cuya de Pérez,  Villy  Cancino  Quesada,  Eloy</w:t>
        <w:br/>
        <w:t>Abel Huapaya Quispe, Cristina Felícita Molina Córdova, Manuel Eugenio  Paiba</w:t>
        <w:br/>
        <w:t>Cossios, Gregorio Paredes Chipana,  Frida  Ramírez  Caja  y  Ermith  Trigozo</w:t>
        <w:br/>
        <w:t>Lozano. Cfr. Tabla de cesados del Ministerio de Educación,  según  beneficio</w:t>
        <w:br/>
        <w:t>de la  Ley  No.  27803  (Expediente  de  fondo,  folios.  2301  al  2302)  y</w:t>
        <w:br/>
        <w:t>Comunicación de los peticionarios de 16 de  julio  de  2011  (expediente  de</w:t>
        <w:br/>
        <w:t>prueba, Anexo 72 al Informe de Fondo, folios 498 al 506)</w:t>
        <w:br/>
        <w:br/>
        <w:br/>
        <w:t>[231] El artículo 8 establece lo siguiente: 1. Toda persona tiene derecho  a</w:t>
        <w:br/>
        <w:t>ser oída, con las debidas garantías y dentro de un plazo razonable,  por  un</w:t>
        <w:br/>
        <w:t>juez o tribunal  competente,  independiente  e  imparcial,  establecido  con</w:t>
        <w:br/>
        <w:t>anterioridad por la ley, en la sustanciación de  cualquier  acusación  penal</w:t>
        <w:br/>
        <w:t>formulada  contra  ella,  o  para  la  determinación  de  sus   derechos   y</w:t>
        <w:br/>
        <w:t>obligaciones de orden civil, laboral, fiscal o de cualquier  otro  carácter.</w:t>
        <w:br/>
        <w:t>2. Toda persona inculpada de delito  tiene  derecho  a  que  se  presuma  su</w:t>
        <w:br/>
        <w:t>inocencia mientras no se establezca legalmente su culpabilidad.  Durante  el</w:t>
        <w:br/>
        <w:t>proceso, toda persona tiene derecho, en plena  igualdad,  a  las  siguientes</w:t>
        <w:br/>
        <w:t>garantías mínimas: a) derecho del inculpado de  ser  asistido  gratuitamente</w:t>
        <w:br/>
        <w:t>por el traductor o intérprete, si no comprende o  no  habla  el  idioma  del</w:t>
        <w:br/>
        <w:t>juzgado o tribunal; b) comunicación previa y detallada al  inculpado  de  la</w:t>
        <w:br/>
        <w:t>acusación formulada; c) concesión al inculpado del tiempo y  de  los  medios</w:t>
        <w:br/>
        <w:t>adecuados para la preparación de su  defensa;d)  derecho  del  inculpado  de</w:t>
        <w:br/>
        <w:t>defenderse personalmente o de ser asistido por un defensor de su elección  y</w:t>
        <w:br/>
        <w:t>de  comunicarse  libre  y  privadamente  con   su   defensor;   e)   derecho</w:t>
        <w:br/>
        <w:t>irrenunciable de ser asistido por un defensor proporcionado por  el  Estado,</w:t>
        <w:br/>
        <w:t>remunerado o no  según  la  legislación  interna,  si  el  inculpado  no  se</w:t>
        <w:br/>
        <w:t>defendiere por sí mismo ni nombrare defensor dentro  del  plazo  establecido</w:t>
        <w:br/>
        <w:t>por la ley; f) derecho de la defensa de interrogar a los testigos  presentes</w:t>
        <w:br/>
        <w:t>en el tribunal y de obtener la comparecencia, como testigos  o  peritos,  de</w:t>
        <w:br/>
        <w:t>otras personas que puedan arrojar luz sobre los hechos; g) derecho a no  ser</w:t>
        <w:br/>
        <w:t>obligado a declarar contra sí mismo ni a declararse culpable, y  h)  derecho</w:t>
        <w:br/>
        <w:t>de recurrir del fallo ante juez o tribunal superior.  3.  La  confesión  del</w:t>
        <w:br/>
        <w:t>inculpado  solamente  es  válida  si  es  hecha  sin  coacción  de   ninguna</w:t>
        <w:br/>
        <w:t>naturaleza. 4. El inculpado absuelto por una sentencia firme  no  podrá  ser</w:t>
        <w:br/>
        <w:t>sometido a nuevo juicio por los mismos hechos. 5. El proceso penal debe  ser</w:t>
        <w:br/>
        <w:t>público, salvo en lo que sea necesario para preservar los  intereses  de  la</w:t>
        <w:br/>
        <w:t>justicia.</w:t>
        <w:br/>
        <w:br/>
        <w:br/>
        <w:t>[232] El artículo 25 establece lo siguiente: 1. Toda persona  tiene  derecho</w:t>
        <w:br/>
        <w:t>a un recurso sencillo y rápido o a cualquier otro recurso efectivo ante  los</w:t>
        <w:br/>
        <w:t>jueces o tribunales competentes, que la ampare contra actos que  violen  sus</w:t>
        <w:br/>
        <w:t>derechos  fundamentales  reconocidos  por  la  Constitución,  la  ley  o  la</w:t>
        <w:br/>
        <w:t>presente Convención, aun cuando tal violación sea cometida por personas  que</w:t>
        <w:br/>
        <w:t>actúen en ejercicio de sus funciones oficiales. 2.  Los  Estados  Partes  se</w:t>
        <w:br/>
        <w:t>comprometen: a) a garantizar que la autoridad  competente  prevista  por  el</w:t>
        <w:br/>
        <w:t>sistema legal del Estado decidirá sobre los derechos  de  toda  persona  que</w:t>
        <w:br/>
        <w:t>interponga tal recurso;  b)  a  desarrollar  las  posibilidades  de  recurso</w:t>
        <w:br/>
        <w:t>judicial,  y  c)  a  garantizar  el  cumplimiento,   por   las   autoridades</w:t>
        <w:br/>
        <w:t>competentes, de  toda  decisión  en  que  se  haya  estimado  procedente  el</w:t>
        <w:br/>
        <w:t>recurso.</w:t>
        <w:br/>
        <w:br/>
        <w:br/>
        <w:t>[233] El artículo 1.1 establece lo siguiente: 1. Los Estados Partes en  esta</w:t>
        <w:br/>
        <w:t>Convención se comprometen a respetar los derechos y  libertades  reconocidos</w:t>
        <w:br/>
        <w:t>en ella y a garantizar su libre y pleno ejercicio a toda  persona  que  esté</w:t>
        <w:br/>
        <w:t>sujeta a su jurisdicción, sin discriminación alguna  por  motivos  de  raza,</w:t>
        <w:br/>
        <w:t>color, sexo, idioma, religión,  opiniones  políticas  o  de  cualquier  otra</w:t>
        <w:br/>
        <w:t>índole,  origen  nacional  o  social,  posición  económica,   nacimiento   o</w:t>
        <w:br/>
        <w:t>cualquier otra condición social.</w:t>
        <w:br/>
        <w:br/>
        <w:br/>
        <w:t>[234] El artículo 2 establece lo siguiente: Si el ejercicio de los  derechos</w:t>
        <w:br/>
        <w:t>y libertades mencionados en el artículo 1 no estuviere  ya  garantizado  por</w:t>
        <w:br/>
        <w:t>disposiciones legislativas  o  de  otro  carácter,  los  Estados  Partes  se</w:t>
        <w:br/>
        <w:t>comprometen a adoptar, con arreglo a sus procedimientos  constitucionales  y</w:t>
        <w:br/>
        <w:t>a las disposiciones de esta Convención, las medidas legislativas o  de  otro</w:t>
        <w:br/>
        <w:t>carácter que  fueren  necesarias  para  hacer  efectivos  tales  derechos  y</w:t>
        <w:br/>
        <w:t>libertades.</w:t>
        <w:br/>
        <w:br/>
        <w:br/>
        <w:br/>
        <w:br/>
        <w:br/>
        <w:t>[235] Cfr. Caso Barbani Duarte y otros Vs. Uruguay, párr. 122, y  Caso  I.V.</w:t>
        <w:br/>
        <w:t>Vs. Bolivia, párr. 293.</w:t>
        <w:br/>
        <w:br/>
        <w:br/>
        <w:t>[236] Cfr. Caso Abrill Alosilla y otros  Vs.  Perú.  Fondo,  Reparaciones  y</w:t>
        <w:br/>
        <w:t>Costas. Sentencia de 4 de marzo de 2011. Serie C No. 223, párr. 75,  y  Caso</w:t>
        <w:br/>
        <w:t>Canales Huapaya y otros Vs. Perú, párr. 98.</w:t>
        <w:br/>
        <w:br/>
        <w:br/>
        <w:t>[237] Cfr. Caso Velásquez Rodríguez Vs. Honduras. Fondo, párr. 62  y  63,  y</w:t>
        <w:br/>
        <w:t>Caso I.V. Vs. Bolivia, párr. 294.</w:t>
        <w:br/>
        <w:br/>
        <w:br/>
        <w:t>[238]       Cfr. Caso Maritza Urrutia Vs. Guatemala. Fondo,  Reparaciones  y</w:t>
        <w:br/>
        <w:t>Costas. Sentencia de 27 de noviembre de 2003. Serie C No. 103, párr. 117,  y</w:t>
        <w:br/>
        <w:t>Caso Lagos del Campo Vs. Perú, párr. 176.</w:t>
        <w:br/>
        <w:br/>
        <w:br/>
        <w:t>[239]       Cfr. Caso López Álvarez  Vs.  Honduras.  Fondo,  Reparaciones  y</w:t>
        <w:br/>
        <w:t>Costas. Sentencia de 1 de febrero de 2006. Serie C No.  141,  párr.  196,  y</w:t>
        <w:br/>
        <w:t>Caso Lagos del Campo Vs. Perú, párr. 176.</w:t>
        <w:br/>
        <w:br/>
        <w:br/>
        <w:t>[240]       Cfr. Caso Velásquez Rodríguez Vs. Honduras. Fondo, párr.  67,  y</w:t>
        <w:br/>
        <w:t>Caso Barbani Duarte y otros Vs. Uruguay, párr. 201.</w:t>
        <w:br/>
        <w:br/>
        <w:br/>
        <w:t>[241] Cfr. Caso Trabajadores Cesados del Congreso (Aguado  Alfaro  y  otros)</w:t>
        <w:br/>
        <w:t>Vs. Perú, párr. 126, y Caso Canales Huapaya y otros Vs. Perú, párr. 99.</w:t>
        <w:br/>
        <w:br/>
        <w:br/>
        <w:t>[242]       Cfr. Caso del Tribunal Constitucional Vs. Perú, párr. 56.25.</w:t>
        <w:br/>
        <w:br/>
        <w:br/>
        <w:t>[243]       Cfr. Caso del Tribunal Constitucional Vs. Perú, párr. 56.30.</w:t>
        <w:br/>
        <w:br/>
        <w:br/>
        <w:t>[244]       Caso Trabajadores Cesados del Congreso (Aguado Alfaro  y  otros)</w:t>
        <w:br/>
        <w:t>Vs. Perú, párrs. 108 a 110, y Caso Canales Huapaya y otros Vs.  Perú,  párr.</w:t>
        <w:br/>
        <w:t>107.</w:t>
        <w:br/>
        <w:br/>
        <w:br/>
        <w:t>[245]        Cfr.  Caso  Herrera   Ulloa   Vs.   Costa   Rica.   Excepciones</w:t>
        <w:br/>
        <w:t>Preliminares, Fondo, Reparaciones y Costas.  Sentencia  de  2  de  julio  de</w:t>
        <w:br/>
        <w:t>2004. Serie C No. 107, párr. 171, y Caso  Duque  Vs.  Colombia.  Excepciones</w:t>
        <w:br/>
        <w:t>Preliminares, Fondo, Reparaciones y Costas. Sentencia de 26  de  febrero  de</w:t>
        <w:br/>
        <w:t>2016. Serie C No. 310, párr. 162.</w:t>
        <w:br/>
        <w:br/>
        <w:br/>
        <w:t>[246]       Cfr. Caso Herrera Ulloa Vs. Costa Rica, párr. 171, y Caso  Duque</w:t>
        <w:br/>
        <w:t>Vs. Colombia, párr. 162.</w:t>
        <w:br/>
        <w:br/>
        <w:br/>
        <w:t>[247]       Cfr. Caso Palamara Iribarne Vs.  Chile.  Fondo,  Reparaciones  y</w:t>
        <w:br/>
        <w:t>Costas. Sentencia de 22 de noviembre de 2005. Serie C No. 135, párr. 146,  y</w:t>
        <w:br/>
        <w:t>Caso Duque Vs. Colombia, párr. 162.</w:t>
        <w:br/>
        <w:br/>
        <w:br/>
        <w:t>[248]       Cfr. Caso Caso Apitz Barbera  y  otros  (“Corte  Primera  de  lo</w:t>
        <w:br/>
        <w:t>Contencioso Administrativo”) Vs.  Venezuela.  Excepción  Preliminar,  Fondo,</w:t>
        <w:br/>
        <w:t>Reparaciones y Costas. Sentencia de 5 de agosto de 2008. Serie  C  No.  182,</w:t>
        <w:br/>
        <w:t>párr. 56, y Caso Duque Vs. Colombia, párr. 162.</w:t>
        <w:br/>
        <w:br/>
        <w:br/>
        <w:t>[249] Cfr. Caso del Tribunal Constitucional Vs. Perú, párr. 188.</w:t>
        <w:br/>
        <w:br/>
        <w:br/>
        <w:t>[250]       Cfr. Caso Barbani Duarte y Otros Vs. Uruguay, párr. 122, y  Caso</w:t>
        <w:br/>
        <w:t>Duque Vs. Colombia, párr. 155.</w:t>
        <w:br/>
        <w:br/>
        <w:br/>
        <w:t>[251]        Cfr.  Caso  Apitz  Barbera  y  otros  (“Corte  Primera  de   lo</w:t>
        <w:br/>
        <w:t>Contencioso Administrativo”) Vs. Venezuela, párr. 77 y 78,  y  Caso  Zegarra</w:t>
        <w:br/>
        <w:t>Marín Vs. Perú. Excepciones  Preliminares,  Fondo,  Reparaciones  y  Costas.</w:t>
        <w:br/>
        <w:t>Sentencia de 15 de febrero de 2017. Serie C No. 331, párr. 146.</w:t>
        <w:br/>
        <w:br/>
        <w:br/>
        <w:t>[252]        Cfr.  Caso  Apitz  Barbera  y  otros  (“Corte  Primera  de   lo</w:t>
        <w:br/>
        <w:t>Contencioso Administrativo”) Vs. Venezuela, párr. 78, y Caso  Zegarra  Marín</w:t>
        <w:br/>
        <w:t>Vs. Perú, párr. 146.</w:t>
        <w:br/>
        <w:br/>
        <w:br/>
        <w:t>[253]        Cfr.  Caso  Chaparro  Álvarez  y  Lapo  Íñiguez  Vs.   Ecuador.</w:t>
        <w:br/>
        <w:t>Excepciones Preliminares, Fondo, Reparaciones y Costas. Sentencia de  21  de</w:t>
        <w:br/>
        <w:t>noviembre de 2007. Serie C No. 170,  párr.  107,  y  Caso  Flor  Freire  Vs.</w:t>
        <w:br/>
        <w:t>Ecuador. Excepción Preliminar, Fondo, Reparaciones y  Costas.  Sentencia  de</w:t>
        <w:br/>
        <w:t>31 de agosto de 2016. Serie C No. 315, párr. 182.</w:t>
        <w:br/>
        <w:br/>
        <w:br/>
        <w:t>[254]        Cfr.  Caso  Apitz  Barbera  y  otros  (“Corte  Primera  de   lo</w:t>
        <w:br/>
        <w:t>Contencioso Administrativo”) Vs. Venezuela, párr. 77,  y  Caso  Flor  Freire</w:t>
        <w:br/>
        <w:t>Vs. Ecuador, párr. 182.</w:t>
        <w:br/>
        <w:br/>
        <w:br/>
        <w:t>[255]        Cfr.  Caso  Yatama  Vs.  Nicaragua.  Excepciones  Preliminares,</w:t>
        <w:br/>
        <w:t>Fondo, Reparaciones y Costas. Sentencia de 23 de junio de 2005. Serie C  No.</w:t>
        <w:br/>
        <w:t>127, párr. 152, y Caso Flor Freire Vs. Ecuador, párr. 182.</w:t>
        <w:br/>
        <w:br/>
        <w:br/>
        <w:t>[256]       Cfr. Caso Claude Reyes y otros Vs. Chile. Fondo, Reparaciones  y</w:t>
        <w:br/>
        <w:t>Costas. Sentencia de 19 de septiembre de 2006. Serie C No. 151,  párr.  122,</w:t>
        <w:br/>
        <w:t>y Caso Flor Freire Vs. Ecuador, párr. 182.</w:t>
        <w:br/>
        <w:br/>
        <w:br/>
        <w:t>[257]        Cfr.  Caso  Apitz  Barbera  y  otros  (“Corte  Primera  de   lo</w:t>
        <w:br/>
        <w:t>Contencioso Administrativo”) Vs. Venezuela, párr. 78,  y  Caso  Flor  Freire</w:t>
        <w:br/>
        <w:t>Vs. Ecuador, párr. 182.</w:t>
        <w:br/>
        <w:br/>
        <w:br/>
        <w:t>[258]       Resolución No. 26 de la Corte Superior de Piura, del 3 de julio</w:t>
        <w:br/>
        <w:t>de 1996 (expediente de prueba, anexo 30 al Informe de Fondo, folios 302 al</w:t>
        <w:br/>
        <w:t>304).</w:t>
        <w:br/>
        <w:br/>
        <w:br/>
        <w:t>[259]       Cfr. Caso Castañeda Gutman Vs. México, párr.94.</w:t>
        <w:br/>
        <w:br/>
        <w:br/>
        <w:t>[260]       Cfr. Caso Barbani Duarte y  otros  Vs.  Uruguay,  párr.  210,  y</w:t>
        <w:br/>
        <w:t>ECHR, Case of Sigma Radio Television Ltd. v. Cyprus.  Judgment  of  21  July</w:t>
        <w:br/>
        <w:t>2011. App. Nos. 32181/04 and 35122/05, parr. 154.</w:t>
        <w:br/>
        <w:br/>
        <w:br/>
        <w:t>[261]       Cfr. Caso Lagos del Campo Vs. Perú, párr. 184.</w:t>
        <w:br/>
        <w:br/>
        <w:br/>
        <w:t>[262]       Cfr. Caso Barbani Duarte y otros Vs. Uruguay, párr. 204.</w:t>
        <w:br/>
        <w:br/>
        <w:br/>
        <w:t>[263]       Cfr. Párrafo 3º del Preámbulo de la Convención Americana sobre</w:t>
        <w:br/>
        <w:t>Derechos Humanos.</w:t>
        <w:br/>
        <w:br/>
        <w:br/>
        <w:t>[264]       Cfr. Caso  Acevedo  Jaramillo  y  otros  Vs.  Perú.  Excepciones</w:t>
        <w:br/>
        <w:t>Preliminares, Fondo, Reparaciones y Costas. Sentencia de  7  de  febrero  de</w:t>
        <w:br/>
        <w:t>2006. Serie C No. 144, párr. 66, y Caso Andrade Salmón Vs.  Bolivia.  Fondo,</w:t>
        <w:br/>
        <w:t>Reparaciones y Costas. Sentencia de 1 de diciembre  de  2016.  Serie  C  No.</w:t>
        <w:br/>
        <w:t>330, párr. 93.</w:t>
        <w:br/>
        <w:br/>
        <w:br/>
        <w:t>[265]        Cfr.  Caso  Valle  Jaramillo  y  otros  Vs.  Colombia.   Fondo,</w:t>
        <w:br/>
        <w:t>Reparaciones y Costas. Sentencia de 27 de noviembre de  2008.  Serie  C  No.</w:t>
        <w:br/>
        <w:t>192, párr. 155, y Caso Gutiérrez Hernández  y  otros  Vs.  Guatemala,  párr.</w:t>
        <w:br/>
        <w:t>183.</w:t>
        <w:br/>
        <w:br/>
        <w:br/>
        <w:t>[266]       Cfr.  Caso  Anzualdo  Castro  Vs.  Perú.  Excepción  Preliminar,</w:t>
        <w:br/>
        <w:t>Fondo, Reparaciones y Costas. Sentencia de 22 de septiembre de  2009.  Serie</w:t>
        <w:br/>
        <w:t>C No. 202, párr. 156, y Caso Vereda La Esperanza Vs. Colombia, párr. 193.</w:t>
        <w:br/>
        <w:br/>
        <w:br/>
        <w:t>[267]        Cfr.  Caso  Castillo  Petruzzi  y  otros   Vs.   Perú.   Fondo,</w:t>
        <w:br/>
        <w:t>Reparaciones y Costas. Sentencia de 30 de mayo de  1999.  Serie  C  No.  52,</w:t>
        <w:br/>
        <w:t>párr. 207, y Caso Andrade Salmón Vs. Bolivia, párr. 186.</w:t>
        <w:br/>
        <w:br/>
        <w:br/>
        <w:t>[268]        Cfr.  Caso  Garibaldi  Vs.  Brasil.  Excepciones  Preliminares,</w:t>
        <w:br/>
        <w:t>Fondo, Reparaciones y Costas. Sentencia de 23 de septiembre de  2009.  Serie</w:t>
        <w:br/>
        <w:t>C No. 203, párr. 173.</w:t>
        <w:br/>
        <w:br/>
        <w:br/>
        <w:t>[269]       Cfr. Caso Escher y otros Vs. Brasil.  Excepciones  Preliminares,</w:t>
        <w:br/>
        <w:t>Fondo, Reparaciones y Costas. Sentencia de 6 de julio de 2009. Serie  C  No.</w:t>
        <w:br/>
        <w:t>200, párr. 254, y Caso Garibaldi Vs. Brasil, párr. 173.</w:t>
        <w:br/>
        <w:br/>
        <w:br/>
        <w:t>[270]       Cfr. Responsabilidad internacional por expedición  y  aplicación</w:t>
        <w:br/>
        <w:t>de leyes violatorias de la Convención (Arts.  1  y  2  Convención  Americana</w:t>
        <w:br/>
        <w:t>sobre Derechos Humanos). Opinión Consultiva OC-14/94 de 9  de  diciembre  de</w:t>
        <w:br/>
        <w:t>1994. Serie A No. 14, párr. 48, y Caso Manuel Cepeda  Vargas  Vs.  Colombia.</w:t>
        <w:br/>
        <w:t>Excepciones Preliminares, Fondo, Reparaciones y Costas. Sentencia de  26  de</w:t>
        <w:br/>
        <w:t>mayo de 2010. Serie C No. 213, párr. 51.</w:t>
        <w:br/>
        <w:br/>
        <w:br/>
        <w:t>[271]  El  artículo  26  establece  lo  siguiente:  Los  Estados  Partes  se</w:t>
        <w:br/>
        <w:t>comprometen a adoptar providencias, tanto a nivel interno como  mediante  la</w:t>
        <w:br/>
        <w:t>cooperación internacional, especialmente económica y  técnica,  para  lograr</w:t>
        <w:br/>
        <w:t>progresivamente la plena efectividad de los derechos que se derivan  de  las</w:t>
        <w:br/>
        <w:t>normas  económicas,  sociales  y  sobre  educación,   ciencia   y   cultura,</w:t>
        <w:br/>
        <w:t>contenidas en la  Carta  de  la  Organización  de  los  Estados  Americanos,</w:t>
        <w:br/>
        <w:t>reformada por el Protocolo de Buenos Aires, en la  medida  de  los  recursos</w:t>
        <w:br/>
        <w:t>disponibles, por vía legislativa u otros medios apropiados.</w:t>
        <w:br/>
        <w:br/>
        <w:br/>
        <w:t>[272]       El artículo 63.1 establece  lo  siguiente:  “Cuando  decida  que</w:t>
        <w:br/>
        <w:t>hubo violación de un derecho o libertad protegidos en  [la]  Convención,  la</w:t>
        <w:br/>
        <w:t>Corte dispondrá que se garantice al lesionado en el goce  de  su 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br/>
        <w:br/>
        <w:br/>
        <w:br/>
        <w:t>[273]       Cfr. Caso  Velásquez  Rodríguez  Vs.  Honduras.  Reparaciones  y</w:t>
        <w:br/>
        <w:t>Costas. Sentencia de 21 de julio de 1989. Serie C No. 7, párr.  25,  y  Caso</w:t>
        <w:br/>
        <w:t>Vereda La Esperanza Vs. Colombia, párr. 253.</w:t>
        <w:br/>
        <w:br/>
        <w:br/>
        <w:t>[274]            Cfr. Caso Velásquez Rodríguez Vs. Honduras. Reparaciones  y</w:t>
        <w:br/>
        <w:t>Costas, párr. 26, y Caso Lagos del Campo Vs. Perú, párr. 193.</w:t>
        <w:br/>
        <w:br/>
        <w:br/>
        <w:t>[275]            Cfr. Caso  Cantoral  Benavides  Vs.  Perú.  Reparaciones  y</w:t>
        <w:br/>
        <w:t>Costas. Sentencia de 3 de diciembre de 2001. Serie C No.  88,  párrs.  79  a</w:t>
        <w:br/>
        <w:t>81, y Caso Ortiz Hernández y otros  Vs.  Venezuela.  Fondo,  Reparaciones  y</w:t>
        <w:br/>
        <w:t>Costas. Sentencia de 22 de agosto de 2017. Serie C No. 338, párr. 184.</w:t>
        <w:br/>
        <w:br/>
        <w:br/>
        <w:t>[276]            Cfr. Caso  Ticona  Estrada  y  otros  Vs.  Bolivia.  Fondo,</w:t>
        <w:br/>
        <w:t>Reparaciones y Costas. Sentencia de 27 de noviembre de  2008.  Serie  C  No.</w:t>
        <w:br/>
        <w:t>191, párr. 110, y Caso Ortiz Hernández y otros Vs. Venezuela, párr. 185.</w:t>
        <w:br/>
        <w:br/>
        <w:br/>
        <w:br/>
        <w:br/>
        <w:br/>
        <w:t>[277] Cfr. Caso Ticona Estrada y otros Vs. Bolivia, párr. 110, y Caso  Ortiz</w:t>
        <w:br/>
        <w:t>Hernández y otros Vs. Venezuela, párr. 185.</w:t>
        <w:br/>
        <w:br/>
        <w:br/>
        <w:t>[278]            Cfr. Caso Velásquez Rodríguez Vs. Honduras. Reparaciones  y</w:t>
        <w:br/>
        <w:t>Costas, párrs. 25 a 27, y Caso Lagos del Campo Vs. Perú, párr. 195.</w:t>
        <w:br/>
        <w:br/>
        <w:br/>
        <w:br/>
        <w:br/>
        <w:br/>
        <w:t>[279]       Cfr. Caso Velásquez Rodríguez Vs. Honduras. Reparaciones y</w:t>
        <w:br/>
        <w:t>Costas, párr. 36, y Caso Favela Nova Brasília Vs. Brasil, párr. 297.</w:t>
        <w:br/>
        <w:br/>
        <w:br/>
        <w:t>[280]        Cfr.  Caso  Tarazona  Arrieta  y  Otros  Vs.  Perú.   Excepción</w:t>
        <w:br/>
        <w:t>Preliminar, Fondo, Reparaciones y Costas. Sentencia  de  15  de  octubre  de</w:t>
        <w:br/>
        <w:t>2014. Serie C No. 286, párr. 137, y Caso Vereda La Esperanza  Vs.  Colombia,</w:t>
        <w:br/>
        <w:t>párr. 260.</w:t>
        <w:br/>
        <w:br/>
        <w:br/>
        <w:t>[281]       Cfr. Caso Acevedo Jaramillo y otros Vs. Perú. Interpretación  de</w:t>
        <w:br/>
        <w:t>la Sentencia de Excepciones  Preliminares,  Fondo,  Reparaciones  y  Costas.</w:t>
        <w:br/>
        <w:t>Sentencia de 24 de noviembre de 2006. Serie C No.  157,  párr.  66,  y  Caso</w:t>
        <w:br/>
        <w:t>Vereda La Esperanza Vs. Colombia, párr. 260.</w:t>
        <w:br/>
        <w:br/>
        <w:br/>
        <w:t>[282]       Cfr. Caso Masacre de Santo  Domingo  Vs.  Colombia.  Excepciones</w:t>
        <w:br/>
        <w:t>Preliminares, Fondo y Reparaciones. Sentencia de 30 de  noviembre  de  2012.</w:t>
        <w:br/>
        <w:t>Serie C No. 259, párr. 143, y Caso Vereda La Esperanza Vs.  Colombia,  párr.</w:t>
        <w:br/>
        <w:t>261.</w:t>
        <w:br/>
        <w:br/>
        <w:br/>
        <w:t>[283]       Cfr. Caso Masacre de Santo Domingo Vs. Colombia,  párr.  143,  y</w:t>
        <w:br/>
        <w:t>Caso Vereda La Esperanza Vs. Colombia, párr. 263.</w:t>
        <w:br/>
        <w:br/>
        <w:br/>
        <w:t>[284]       Cfr. Caso Yarce y otras Vs. Colombia, párr. 328.</w:t>
        <w:br/>
        <w:br/>
        <w:br/>
        <w:t>[285]            Mutatis mutandi, Caso de  la  "Masacre  de  Mapiripán"  Vs.</w:t>
        <w:br/>
        <w:t>Colombia, párr. 214; Caso de la Masacre de La Rochela Vs.  Colombia.  Fondo,</w:t>
        <w:br/>
        <w:t>Reparaciones y Costas. Sentencia de 11 de mayo de 2007.  Serie  C  No.  163,</w:t>
        <w:br/>
        <w:t>párr. 219; Caso de las Masacres de Ituango Vs. Colombia, párr. 339,  y  Caso</w:t>
        <w:br/>
        <w:t>de la Masacre de Pueblo Bello Vs. Colombia. Fondo,  Reparaciones  y  Costas.</w:t>
        <w:br/>
        <w:t>Sentencia de 31 de  enero  de  2006.  Serie  C  No.  140,  párr.  206,  Caso</w:t>
        <w:br/>
        <w:t>Rodríguez  Vera  y  otros  (Desaparecidos  del  Palacio  de  Justicia)   Vs.</w:t>
        <w:br/>
        <w:t>Colombia. Excepciones Preliminares, Fondo, Reparaciones y Costas.  Sentencia</w:t>
        <w:br/>
        <w:t>de 14 de noviembre de 2014. Serie C No. 287, párr. 548.</w:t>
        <w:br/>
        <w:br/>
        <w:br/>
        <w:t>[286]            Cfr. Caso de las Masacres de Ituango  Vs.  Colombia,  párr.</w:t>
        <w:br/>
        <w:t>343, y Caso Vásquez Durand y otros Vs.  Ecuador.  Excepciones  Preliminares,</w:t>
        <w:br/>
        <w:t>Fondo, Reparaciones y Costas. Sentencia de 15 de febrero de  2017.  Serie  C</w:t>
        <w:br/>
        <w:t>No. 332, párr. 198.</w:t>
        <w:br/>
        <w:br/>
        <w:br/>
        <w:t>[287]       Cfr. Caso Cantoral Benavides Vs. Perú, párr. 79, y  Caso  Vereda</w:t>
        <w:br/>
        <w:t>La Esperanza Vs. Colombia, párr. 281.</w:t>
        <w:br/>
        <w:br/>
        <w:br/>
        <w:br/>
        <w:br/>
        <w:br/>
        <w:t>[288]       Cfr.  Caso  Cantoral  Benavides  Vs.  Perú,  párr.  79,  y  Caso</w:t>
        <w:br/>
        <w:t>Gutiérrez Hernández y otros Vs. Guatemala, párr. 212.</w:t>
        <w:br/>
        <w:br/>
        <w:t>[289]       Mutatis mutandi, Caso Canales Huapaya y otros  Vs.  Perú,  párr.</w:t>
        <w:br/>
        <w:t>190, y Caso Lagos del Campo Vs. Perú, párr. 216.</w:t>
        <w:br/>
        <w:br/>
        <w:t>[290]        Cfr.  Caso  Bámaca  Velásquez  Vs.  Guatemala.  Reparaciones  y</w:t>
        <w:br/>
        <w:t>Costas. Sentencia de 22 de febrero de 2002. Serie C  No.  91,  párr.  43,  y</w:t>
        <w:br/>
        <w:t>Caso Lagos del Campo Vs. Perú, párr. 216.</w:t>
        <w:br/>
        <w:br/>
        <w:br/>
        <w:t>[291]       Cfr. Caso Suárez Rosero  Vs.  Ecuador.  Reparaciones  y  Costas.</w:t>
        <w:br/>
        <w:t>Sentencia de 20 de enero de 1999. Serie C No. 44, párr. 72,  y  Caso  Vereda</w:t>
        <w:br/>
        <w:t>La Esperanza Vs. Colombia, párr. 306.</w:t>
        <w:br/>
        <w:br/>
        <w:br/>
        <w:br/>
        <w:br/>
        <w:br/>
        <w:t>[292]       Cfr. Caso de los  “Niños  de  la  Calle”  (Villagrán  Morales  y</w:t>
        <w:br/>
        <w:t>otros) Vs. Guatemala. Reparaciones y Costas. Sentencia  de  26  de  mayo  de</w:t>
        <w:br/>
        <w:t>2001. Serie C No. 77, párr. 84, y Caso Vereda  La  Esperanza  Vs.  Colombia,</w:t>
        <w:br/>
        <w:t>párr. 306.</w:t>
        <w:br/>
        <w:br/>
        <w:br/>
        <w:t>[293]       Cfr. Caso de los  “Niños  de  la  Calle”  (Villagrán  Morales  y</w:t>
        <w:br/>
        <w:t>otros) Vs. Guatemala. Reparaciones y Costas, y Caso  Gutiérrez  Hernández  y</w:t>
        <w:br/>
        <w:t>otros Vs. Guatemala, párr. 218.</w:t>
        <w:br/>
        <w:br/>
        <w:br/>
        <w:t>[294]        AG/RES.  2426  (XXXVIII-O/08),  Resolución  adoptada  por  la</w:t>
        <w:br/>
        <w:t>Asamblea General de la OEA durante  la  celebración  del  XXXVIII  Período</w:t>
        <w:br/>
        <w:t>Ordinario de Sesiones de la OEA, en la cuarta sesión  plenaria,  celebrada</w:t>
        <w:br/>
        <w:t>el 3 de junio de 2008, “Creación del Fondo de Asistencia Legal del Sistema</w:t>
        <w:br/>
        <w:t>Interamericano de Derechos Humanos”, Punto Resolutivo 2.a), y CP/RES.  963</w:t>
        <w:br/>
        <w:t>(1728/09), Resolución adoptada el 11 de noviembre de 2009 por  el  Consejo</w:t>
        <w:br/>
        <w:t>Permanente de la OEA, “Reglamento para  el  Funcionamiento  del  Fondo  de</w:t>
        <w:br/>
        <w:t>Asistencia Legal del Sistema Interamericano de Derechos Humanos”, artículo</w:t>
        <w:br/>
        <w:t>1.1.</w:t>
        <w:br/>
        <w:br/>
        <w:br/>
        <w:t>[295]       El Fondo de Asistencia de Víctimas fue aplicado por primera  vez</w:t>
        <w:br/>
        <w:t>en el caso Caso Contreras y otros Vs. El  Salvador.  Fondo,  Reparaciones  y</w:t>
        <w:br/>
        <w:t>Costas. Sentencia de 31 de agosto de 2011. Serie C No. 232, párrs. 8 y 240.</w:t>
        <w:br/>
        <w:br/>
        <w:br/>
        <w:br/>
        <w:br/>
        <w:br/>
        <w:t>[296]       Cfr. Caso Garrido y  Baigorria  Vs.  Argentina.  Reparaciones  y</w:t>
        <w:br/>
        <w:t>Costas. Sentencia de 27 de agosto de 1998. Serie C No. 39, párr. 79, y  Caso</w:t>
        <w:br/>
        <w:t>Vereda La Esperanza Vs. Colombia, párr. 314.</w:t>
        <w:br/>
        <w:br/>
        <w:br/>
        <w:t>[297]       Cfr. Caso Garrido y  Baigorria  Vs.  Argentina.  Reparaciones  y</w:t>
        <w:br/>
        <w:t>Costas, párr. 82, y Caso Lagos del Campo Vs. Perú, párr. 225.</w:t>
        <w:br/>
        <w:br/>
        <w:br/>
        <w:t>[298]       Caso Garrido y Baigorria Vs. Argentina. Reparaciones  y  Costas,</w:t>
        <w:br/>
        <w:t>párr. 82, y Caso Lagos del Campo Vs. Perú, párr. 226.</w:t>
        <w:br/>
        <w:br/>
        <w:br/>
        <w:t>[299]       Cfr. Caso Chaparro Álvarez y Lapo  Íñiguez  Vs.  Ecuador,  párr.</w:t>
        <w:br/>
        <w:t>277, y Caso Vereda La Esperanza Vs. Colombia, párr. 314.</w:t>
        <w:br/>
        <w:br/>
        <w:br/>
        <w:t>[300]       Art. 66.2 de la Convención: “Si el fallo no expresare en todo  o</w:t>
        <w:br/>
        <w:t>en parte la opinión unánime  de  los  jueces,  cualquiera  de  éstos  tendrá</w:t>
        <w:br/>
        <w:t>derecho a que se agregue al fallo su opinión disidente o individual.”</w:t>
        <w:br/>
        <w:br/>
        <w:br/>
        <w:t xml:space="preserve">      Art. 24.3 de los Estatutos de la Corte:  “Las  decisiones,  juicios  y</w:t>
        <w:br/>
        <w:t>opiniones de la Corte se comunicarán en sesiones públicas y  se  notificarán</w:t>
        <w:br/>
        <w:t>por escrito a las partes. Además, se publicarán conjuntamente con los  votos</w:t>
        <w:br/>
        <w:t>y opiniones separados de  los  jueces  y  con  cualesquiera  otros  datos  o</w:t>
        <w:br/>
        <w:t>antecedentes que la Corte considere conveniente.”</w:t>
        <w:br/>
        <w:br/>
        <w:br/>
        <w:t xml:space="preserve">      Art.75.3 del Reglamento de la Corte: “Todo Juez que  haya  participado</w:t>
        <w:br/>
        <w:t>en la emisión de una opinión consultiva tiene derecho a  unir  a  la  de  la</w:t>
        <w:br/>
        <w:t>Corte, su voto concurrente o disidente, el cual deberá ser  razonado.  Estos</w:t>
        <w:br/>
        <w:t>votos deberán ser presentados dentro del plazo fijado  por  la  Presidencia,</w:t>
        <w:br/>
        <w:t>de modo que puedan ser conocidos por los Jueces antes de la comunicación  de</w:t>
        <w:br/>
        <w:t>la opinión consultiva. Para su publicación se aplicará lo  dispuesto  en  el</w:t>
        <w:br/>
        <w:t>artículo 32.1.a de este Reglamento.”</w:t>
        <w:br/>
        <w:br/>
        <w:br/>
        <w:t>[301]       En adelante, la Sentencia.</w:t>
        <w:br/>
        <w:br/>
        <w:br/>
        <w:t>[302]       En adelante, la Convención.</w:t>
        <w:br/>
        <w:br/>
        <w:br/>
        <w:t>[303]       Cfr. Caso Lagos del Campo Vs.  Perú.  Excepciones  Preliminares,</w:t>
        <w:br/>
        <w:t>Fondo, Reparaciones y Costas. Sentencia de 31 de agosto  de  2017.  Serie  C</w:t>
        <w:br/>
        <w:t>No. 340. Voto parcialmente disidente del Juez Eduardo Vio Grossi.</w:t>
        <w:br/>
        <w:br/>
        <w:br/>
        <w:t>[304]       En adelante, la Corte.</w:t>
        <w:br/>
        <w:br/>
        <w:br/>
        <w:t>[305]       Párrs. 195 y 196. Cada  vez  que,  en  lo  sucesivo,  se  señale</w:t>
        <w:br/>
        <w:t>“párr.” o “párrs.”, se entenderá que se hace referencia al párrafo o  a  los</w:t>
        <w:br/>
        <w:t>párrafos que indica de la Sentencia.</w:t>
        <w:br/>
        <w:br/>
        <w:br/>
        <w:t>[306]       “El Estado es responsable por  la  violación  del  derecho  al</w:t>
        <w:br/>
        <w:t>trabajo, consagrado en el artículo 26 de  la  Convención  Americana  sobre</w:t>
        <w:br/>
        <w:t>Derechos Humanos, en relación con el artículo 1.1 del  mismo  instrumento,</w:t>
        <w:br/>
        <w:t>en perjuicio de los 85 trabajadores de Petroperú, los 25  trabajadores  de</w:t>
        <w:br/>
        <w:t>Enapu, los 39 trabajadores de Minedu, los  15  trabajadores  del  MEF,  de</w:t>
        <w:br/>
        <w:t>conformidad con los párrafos 192 y 193 de la presente Sentencia.”</w:t>
        <w:br/>
        <w:br/>
        <w:br/>
        <w:t>[307]       Cfr. Caso Lagos del Campo Vs.  Perú.  Excepciones  Preliminares,</w:t>
        <w:br/>
        <w:t>Fondo, Reparaciones y Costas. Sentencia de 31 de agosto  de  2017.  Serie  C</w:t>
        <w:br/>
        <w:t>No. 340. Voto parcialmente disidente del Juez Eduardo Vio Grossi.</w:t>
        <w:br/>
        <w:br/>
        <w:br/>
        <w:t>[308]        Art.  26.  “Los  Estados  Partes  se  comprometen   a   adoptar</w:t>
        <w:br/>
        <w:t>providencias,  tanto  a  nivel  interno   como   mediante   la   cooperación</w:t>
        <w:br/>
        <w:t>internacional,   especialmente   económica   y    técnica,    para    lograr</w:t>
        <w:br/>
        <w:t>progresivamente la plena efectividad de los derechos que se derivan  de  las</w:t>
        <w:br/>
        <w:t>normas  económicas,  sociales  y  sobre  educación,   ciencia   y   cultura,</w:t>
        <w:br/>
        <w:t>contenidas en la  Carta  de  la  Organización  de  los  Estados  Americanos,</w:t>
        <w:br/>
        <w:t>reformada por el Protocolo de Buenos Aires, en la  medida  de  los  recursos</w:t>
        <w:br/>
        <w:t>disponibles, por vía legislativa u otros medios apropiados”.</w:t>
        <w:br/>
        <w:br/>
        <w:br/>
        <w:t>[309]       Cfr. Caso Lagos del Campo Vs.  Perú.  Excepciones  Preliminares,</w:t>
        <w:br/>
        <w:t>Fondo, Reparaciones y Costas. Sentencia de 31 de agosto  de  2017.  Serie  C</w:t>
        <w:br/>
        <w:t>No. 340. Voto  parcialmente  disidente  del  Juez  Antonio  Humberto  Sierra</w:t>
        <w:br/>
        <w:t>Porto. En este voto se trataron las siguientes cuestiones: A.  Introducción.</w:t>
        <w:br/>
        <w:t>B. Argumentos principales en contra de la  justiciabilidad  directa  de  los</w:t>
        <w:br/>
        <w:t>DESC a partir del  artículo  26  de  la  CADH.  C.  Impertinencia  del  caso</w:t>
        <w:br/>
        <w:t>concreto. D. Falencias  argumentativas  de  las  sentencias.  E.  Conclusión</w:t>
        <w:br/>
        <w:t>general.</w:t>
        <w:br/>
        <w:br/>
        <w:br/>
        <w:t>[310]       Cfr.  Caso  Gonzales  Lluy  y  otros  Vs.  Ecuador.  Excepciones</w:t>
        <w:br/>
        <w:t>Preliminares, Fondo, Reparaciones y Costas. Sentencia de 1 de septiembre  de</w:t>
        <w:br/>
        <w:t>2015. Serie C No. 298. Voto Concurrente del  Juez  Humberto  Antonio  Sierra</w:t>
        <w:br/>
        <w:t>Porto.</w:t>
        <w:br/>
        <w:br/>
        <w:br/>
        <w:t>[311]        Cfr.  Caso  del  Tribunal  Constitucional  Vs.   Perú.   Fondo,</w:t>
        <w:br/>
        <w:t>Reparaciones y Costas. Sentencia de 31 de enero de 2001.  Serie  C  No.  71,</w:t>
        <w:br/>
        <w:t>párr. 112, Caso Trabajadores Cesados del Congreso (Aguado  Alfaro  y  otros)</w:t>
        <w:br/>
        <w:t>Vs. Perú. Excepciones Preliminares, Fondo, Reparaciones y Costas.  Sentencia</w:t>
        <w:br/>
        <w:t>de 24 de noviembre de 2006. Serie C No.  158,  párr.  109,  y  Caso  Canales</w:t>
        <w:br/>
        <w:t>Huapaya y otros Vs. Perú. Excepciones Preliminares,  Fondo,  Reparaciones  y</w:t>
        <w:br/>
        <w:t>Costas. Sentencia del 24 de junio de 2015. Serie C No. 296, párr. 107.</w:t>
        <w:br/>
        <w:br/>
        <w:br/>
        <w:t>[312]       Cfr. Caso del Tribunal Constitucional Vs. Perú, párrs.  56.25  y</w:t>
        <w:br/>
        <w:t>56.30.</w:t>
        <w:br/>
        <w:br/>
        <w:br/>
        <w:t>[313]       La Corte, haciendo referencia al caso  Aguado  Alfaro  y  otros,</w:t>
        <w:br/>
        <w:t>determinó que: “este caso ocurrió en un contexto de impedimentos  normativos</w:t>
        <w:br/>
        <w:t>y prácticos para asegurar un acceso real a la justicia y  de  una  situación</w:t>
        <w:br/>
        <w:t>generalizada de ausencia de garantías  e  ineficacia  de  las  instituciones</w:t>
        <w:br/>
        <w:t>judiciales para afrontar hechos como los  del  presente  caso  [...]  En  el</w:t>
        <w:br/>
        <w:t>presente caso, los recursos internos  existentes  no  fueron  efectivos,  ni</w:t>
        <w:br/>
        <w:t>individual ni en conjunto, para los  efectos  de  una  adecuada  y  efectiva</w:t>
        <w:br/>
        <w:t>garantía del derecho de acceso a  la  justicia  de  las  presuntas  víctimas</w:t>
        <w:br/>
        <w:t>cesadas del Congreso peruano, en los términos de la  Convención  Americana”.</w:t>
        <w:br/>
        <w:t>Cfr. Caso Canales Huapaya y otros Vs. Perú, párr. 105.</w:t>
        <w:br/>
        <w:br/>
        <w:br/>
        <w:t>[314]       El artículo  46.2a  de  la  Convención  Americana  establece  lo</w:t>
        <w:br/>
        <w:t>siguiente: 1. Para que una petición o  comunicación  presentada  conforme  a</w:t>
        <w:br/>
        <w:t>los artículos 44 ó 45 sea admitida por la Comisión, se requerirá: a) que  se</w:t>
        <w:br/>
        <w:t>hayan interpuesto y agotado los recursos de jurisdicción  interna,  conforme</w:t>
        <w:br/>
        <w:t>a los principios del Derecho Internacional generalmente reconocidos.</w:t>
        <w:br/>
        <w:br/>
        <w:br/>
        <w:t>[315]       Caso Brewer  Carías  Vs.  Venezuela.  Excepciones  Preliminares.</w:t>
        <w:br/>
        <w:t>Sentencia de 26 de mayo de 2014. Serie C No. 278., párr. 105.</w:t>
        <w:br/>
        <w:br/>
        <w:br/>
        <w:t>[316]       Caso Brewer  Carías  Vs.  Venezuela.  Excepciones  Preliminares,</w:t>
        <w:br/>
        <w:t>párr. 104.</w:t>
        <w:br/>
        <w:br/>
        <w:br/>
        <w:t>[317]       Caso Brewer  Carías  Vs.  Venezuela.  Excepciones  Preliminares,</w:t>
        <w:br/>
        <w:t>párr. 98.</w:t>
        <w:br/>
        <w:br/>
        <w:br/>
        <w:t>[318]        El  artículo  46  de  la  Convención  Americana  establece   lo</w:t>
        <w:br/>
        <w:t>siguiente: 1. Para que una petición o  comunicación  presentada  conforme  a</w:t>
        <w:br/>
        <w:t>los artículos 44 ó 45 sea admitida por la Comisión, se requerirá: a) que  se</w:t>
        <w:br/>
        <w:t>hayan interpuesto y agotado los recursos de jurisdicción  interna,  conforme</w:t>
        <w:br/>
        <w:t>a los principios del Derecho Internacional generalmente reconocidos; b)  que</w:t>
        <w:br/>
        <w:t>sea presentada dentro del plazo de seis meses, a partir de la fecha  en  que</w:t>
        <w:br/>
        <w:t>el presunto lesionado en sus derechos haya sido notificado  de  la  decisión</w:t>
        <w:br/>
        <w:t>definitiva; c) que  la  materia  de  la  petición  o  comunicación  no  esté</w:t>
        <w:br/>
        <w:t>pendiente de otro procedimiento de arreglo internacional, y  d)  que  en  el</w:t>
        <w:br/>
        <w:t>caso del artículo 44 la petición contenga el  nombre,  la  nacionalidad,  la</w:t>
        <w:br/>
        <w:t>profesión, el  domicilio  y  la  firma  de  la  persona  o  personas  o  del</w:t>
        <w:br/>
        <w:t>representante  legal  de  la  entidad  que  somete  la  petición.   2.   Las</w:t>
        <w:br/>
        <w:t>disposiciones de los incisos  1.a.  y  1.b.  del  presente  artículo  no  se</w:t>
        <w:br/>
        <w:t>aplicarán cuando: a) no exista en la legislación interna del Estado  de  que</w:t>
        <w:br/>
        <w:t>se trata el debido proceso legal para la protección del derecho  o  derechos</w:t>
        <w:br/>
        <w:t>que se alega han  sido  violados;  b)  no  se  haya  permitido  al  presunto</w:t>
        <w:br/>
        <w:t>lesionado en sus derechos el  acceso  a  los  recursos  de  la  jurisdicción</w:t>
        <w:br/>
        <w:t>interna, o haya sido impedido de agotarlos, y c) haya retardo  injustificado</w:t>
        <w:br/>
        <w:t>en la decisión sobre los mencionados recursos.</w:t>
        <w:br/>
        <w:br/>
        <w:br/>
        <w:t>[319]       Cfr. Caso Lagos del Campo Vs. Perú, párr. 154.</w:t>
        <w:br/>
        <w:br/>
        <w:br/>
        <w:t>[320]       Cfr. Caso “Otros tratados" objeto de la  función  consultiva  de</w:t>
        <w:br/>
        <w:t>la Corte (Art. 64 Convención  Americana  sobre  Derechos  Humanos).  Opinión</w:t>
        <w:br/>
        <w:t>Consultiva OC-1/82 de 24 de septiembre de 1982. Serie A No. 1, párr.  33,  y</w:t>
        <w:br/>
        <w:t>Restricciones a la pena de muerte (Arts.  4.2  y  4.4  Convención  Americana</w:t>
        <w:br/>
        <w:t>sobre Derechos Humanos). Opinión Consultiva OC-3/83 de 8  de  septiembre  de</w:t>
        <w:br/>
        <w:t>1983. Serie A No. 3, párrs. 48 y 49.</w:t>
        <w:br/>
        <w:br/>
        <w:br/>
        <w:t>[321]        El  artículo  29  de  la  Convención  Americana  establece   lo</w:t>
        <w:br/>
        <w:t>siguiente:  Ninguna  disposición  de  la  presente  Convención   puede   ser</w:t>
        <w:br/>
        <w:t>interpretada en el sentido de: a) permitir a alguno de los  Estados  Partes,</w:t>
        <w:br/>
        <w:t>grupo o persona, suprimir el goce y ejercicio de los derechos  y  libertades</w:t>
        <w:br/>
        <w:t>reconocidos en la Convención o limitarlos en mayor medida  que  la  prevista</w:t>
        <w:br/>
        <w:t>en ella; b) limitar el goce y ejercicio de cualquier derecho o libertad  que</w:t>
        <w:br/>
        <w:t>pueda estar reconocido de  acuerdo  con  las  leyes  de  cualquiera  de  los</w:t>
        <w:br/>
        <w:t>Estados Partes o de acuerdo con otra convención en  que  sea  parte  uno  de</w:t>
        <w:br/>
        <w:t>dichos Estados; c) excluir otros derechos y garantías que son inherentes  al</w:t>
        <w:br/>
        <w:t>ser humano o que se  derivan  de  la  forma  democrática  representativa  de</w:t>
        <w:br/>
        <w:t>gobierno,  y  d)  excluir  o  limitar  el  efecto  que  puedan  producir  la</w:t>
        <w:br/>
        <w:t>Declaración Americana de  Derechos  y  Deberes  del  Hombre  y  otros  actos</w:t>
        <w:br/>
        <w:t>internacionales de la misma naturaleza.</w:t>
        <w:br/>
        <w:br/>
        <w:br/>
        <w:t>[322]       Cfr. Propuesta de Modificación a  la  Constitución  Política  de</w:t>
        <w:br/>
        <w:t>Costa Rica relacionada con la naturalización.  Opinión  Consultiva  OC-4/84.</w:t>
        <w:br/>
        <w:t>Serie A No. 4, párr. 20, y Derechos y garantías  de  niñas  y  niños  en  el</w:t>
        <w:br/>
        <w:t>contexto de la migración  y/o  en  necesidad  de  protección  internacional.</w:t>
        <w:br/>
        <w:t>Opinión Consultiva OC-21/14. Serie A No. 21, párr. 54.</w:t>
        <w:br/>
        <w:br/>
        <w:br/>
        <w:t>[323]            El artículo 31 de la CVDT  establece  lo  siguiente:  Regla</w:t>
        <w:br/>
        <w:t>general de interpretación. I. Un tratado deberá interpretarse  de  buena  fe</w:t>
        <w:br/>
        <w:t>conforme al sentido corriente que haya de  atribuirse  a  los  términos  del</w:t>
        <w:br/>
        <w:t>tratado en el contexto de estos y teniendo en cuenta su  objeto  y  fin.  2.</w:t>
        <w:br/>
        <w:t>Para  los  efectos  de  la  interpretación  de  un  tratado.   El   contexto</w:t>
        <w:br/>
        <w:t>comprenderá, además del texto, incluidos su  preámbulo  y  anexos:  a)  todo</w:t>
        <w:br/>
        <w:t>acuerdo que se refiera al tratado y haya sido  concertado  entre  todas  las</w:t>
        <w:br/>
        <w:t>partes con motivo  de  la  celebración  del  tratado:  b)  todo  instrumento</w:t>
        <w:br/>
        <w:t>formulado por una o más partes con motivo de la celebración  del  tratado  y</w:t>
        <w:br/>
        <w:t>aceptado por las demás como instrumento referente al tratado; 3.  Juntamente</w:t>
        <w:br/>
        <w:t>con el contexto, habrá de tenerse en cuenta: a) todo acuerdo ulterior  entre</w:t>
        <w:br/>
        <w:t>las partes acerca de la interpretación del tratado o  de  la  aplicación  de</w:t>
        <w:br/>
        <w:t>sus disposiciones: b) toda práctica ulteriormente seguida en  la  aplicación</w:t>
        <w:br/>
        <w:t>del tratado por la cual conste  el  acuerdo  de  las  partes  acerca  de  la</w:t>
        <w:br/>
        <w:t>interpretación  del  tratado:  c)   toda   forma   pertinente   de   derecho</w:t>
        <w:br/>
        <w:t>internacional aplicable en las relaciones entre las partes. 4. Se dará a  un</w:t>
        <w:br/>
        <w:t>término un sentido especial si consta  que  tal  fue  la  intención  de  las</w:t>
        <w:br/>
        <w:t>partes.</w:t>
        <w:br/>
        <w:br/>
        <w:br/>
        <w:t>[324]       El artículo 32 de la CVDT establece  lo  siguiente:  "Medios  de</w:t>
        <w:br/>
        <w:t>interpretación complementarios. Se podrán acudir a medios de  interpretación</w:t>
        <w:br/>
        <w:t>complementarios, en particular a los trabajos preparatorios del tratado y  a</w:t>
        <w:br/>
        <w:t>las circunstancias de su celebración, para confirmar el  sentido  resultante</w:t>
        <w:br/>
        <w:t>de la aplicación del artículo 31, o para determinar  el  sentido  cuando  la</w:t>
        <w:br/>
        <w:t>interpretación dada de conformidad con el artículo 31:  a)  deje  ambiguo  u</w:t>
        <w:br/>
        <w:t>oscuro el sentido; o b) conduzca a un resultado  manifiestamente  absurdo  o</w:t>
        <w:br/>
        <w:t>irrazonable."</w:t>
        <w:br/>
        <w:br/>
        <w:br/>
        <w:t>[325]       Cfr. Restricciones  a  la  pena  de  muerte  (Arts.  4.2  y  4.4</w:t>
        <w:br/>
        <w:t>Convención Americana sobre Derechos Humanos),  Opinión  Consultiva  OC-3/83,</w:t>
        <w:br/>
        <w:t>párr. 50, y Artículo 55 de la Convención Americana sobre  Derechos  Humanos.</w:t>
        <w:br/>
        <w:t>Opinión Consultiva OC-20/09 de 29 de septiembre de 2001.  Serie  A  No.  20,</w:t>
        <w:br/>
        <w:t>párr. 41.</w:t>
        <w:br/>
        <w:br/>
        <w:br/>
        <w:t>[326]       Cfr. El efecto de las reservas sobre la entrada en  vigencia  de</w:t>
        <w:br/>
        <w:t>la Convención Americana sobre Derechos Humanos. Opinión  Consultiva  OC-2/82</w:t>
        <w:br/>
        <w:t>de 24 de septiembre de 1982. Serie A No.  2,  párr.  29,  y  Titularidad  de</w:t>
        <w:br/>
        <w:t>derechos de las personas jurídicas en el sistema interamericano de  derechos</w:t>
        <w:br/>
        <w:t>humanos (Interpretación y alcance del artículo  1.2,  en  relación  con  los</w:t>
        <w:br/>
        <w:t>artículos 1.1, 8, 11.2, 13, 16, 21, 24, 25, 29, 30, 44, 46,  y  62.3  de  la</w:t>
        <w:br/>
        <w:t>Convención Americana sobre Derechos Humanos, así como del artículo 8.1  A  y</w:t>
        <w:br/>
        <w:t>B del Protocolo de San Salvador).  Opinión  Consultiva  OC-22/16  de  26  de</w:t>
        <w:br/>
        <w:t>febrero de 2016. Serie A No. 22, párr. 43.</w:t>
        <w:br/>
        <w:br/>
        <w:br/>
        <w:t>[327]       Cfr. Sentencia arbitral del 31 de julio de  1989  (Guinea-Bissau</w:t>
        <w:br/>
        <w:t>v. Senegal). Corte Internacional de Justicia, fallo del 12 de  noviembre  de</w:t>
        <w:br/>
        <w:t>1991, párr. 48. Traducción propia.</w:t>
        <w:br/>
        <w:br/>
        <w:br/>
        <w:t>[328]       Cfr. El hábeas corpus bajo suspensión de garantías (Arts.  27.2,</w:t>
        <w:br/>
        <w:t>25.1 y 7.6 Convención Americana sobre Derechos Humanos). Opinión  Consultiva</w:t>
        <w:br/>
        <w:t>OC-8/87 de 30 de enero de 1987. Serie A No.  8.,  párr.  16,  y  Derechos  y</w:t>
        <w:br/>
        <w:t>garantías de niñas y niños en el contexto de la migración y/o  en  necesidad</w:t>
        <w:br/>
        <w:t>de protección internacional, Opinión Consultiva OC-21/14, párr. 54.</w:t>
        <w:br/>
        <w:br/>
        <w:br/>
        <w:t>[329]       Cfr. La Colegiación obligatoria de periodistas (Arts.  13  y  29</w:t>
        <w:br/>
        <w:t>Convención Americana Sobre Derechos Humanos. Opinión Consultiva  OC-5/85  de</w:t>
        <w:br/>
        <w:t>13 de noviembre de 1985. Serie A No. 5, párr. 41, y Titularidad de  derechos</w:t>
        <w:br/>
        <w:t>de las personas jurídicas en el sistema interamericano de  derechos  humanos</w:t>
        <w:br/>
        <w:t>(Interpretación y alcance del artículo 1.2, en relación  con  los  artículos</w:t>
        <w:br/>
        <w:t>1.1, 8, 11.2, 13, 16, 21, 24, 25, 29, 30, 44, 46, y 62.3  de  la  Convención</w:t>
        <w:br/>
        <w:t>Americana sobre Derechos Humanos, así como  del  artículo  8.1  A  y  B  del</w:t>
        <w:br/>
        <w:t>Protocolo de San Salvador), Opinión Consultiva OC-22/16, párr. 42.</w:t>
        <w:br/>
        <w:br/>
        <w:br/>
        <w:t>[330]       Cfr. "Otros tratados" objeto de  la  función  consultiva  de  la</w:t>
        <w:br/>
        <w:t>Corte (art. 64 Convención Americana de Derechos Humanos, Opinión  Consultiva</w:t>
        <w:br/>
        <w:t>OC-1/82, párrs. 41  al  43,  y  Titularidad  de  derechos  de  las  personas</w:t>
        <w:br/>
        <w:t>jurídicas en el sistema interamericano de derechos  humanos  (Interpretación</w:t>
        <w:br/>
        <w:t>y alcance del artículo 1.2, en relación con los artículos 1.1, 8, 11.2,  13,</w:t>
        <w:br/>
        <w:t>16, 21, 24, 25, 29, 30, 44, 46, y 62.3  de  la  Convención  Americana  sobre</w:t>
        <w:br/>
        <w:t>Derechos Humanos, así como del artículo 8.1 A  y  B  del  Protocolo  de  San</w:t>
        <w:br/>
        <w:t>Salvador), Opinión Consultiva OC-22/16 de 26 de febrero  de  2016.  Serie  A</w:t>
        <w:br/>
        <w:t>No. 22., párr. 45.</w:t>
        <w:br/>
        <w:br/>
        <w:br/>
        <w:t>[331]       Cfr. El derecho a la información sobre  la  asistencia  consular</w:t>
        <w:br/>
        <w:t>en el marco de las garantías del debido proceso  legal.  Opinión  Consultiva</w:t>
        <w:br/>
        <w:t>OC-16/99 de 1 de octubre de 1999. Serie A No. 16, parr. 42.</w:t>
        <w:br/>
        <w:br/>
        <w:br/>
        <w:t>[332]       Cfr. Caso I.V. Vs.  Bolivia.  Excepciones  Preliminares,  Fondo,</w:t>
        <w:br/>
        <w:t>Reparaciones y Costas. Sentencia de 30 de noviembre de  2016.  Serie  C  No.</w:t>
        <w:br/>
        <w:t>329, párr. 168.</w:t>
        <w:br/>
        <w:br/>
        <w:br/>
        <w:t>[333]       Cfr. El derecho a la información sobre  la  asistencia  consular</w:t>
        <w:br/>
        <w:t>en el marco de las garantías del debido proceso  legal,  Opinión  Consultiva</w:t>
        <w:br/>
        <w:t>OC-16/99, párr. 114, y Caso Trabajadores de la  Hacienda  Brasil  Verde  Vs.</w:t>
        <w:br/>
        <w:t>Brasil. Excepciones Preliminares, Fondo, Reparaciones  y  Costas.  Sentencia</w:t>
        <w:br/>
        <w:t>de 20 de octubre de 2016. Serie C No. 318., párr. 245.</w:t>
        <w:br/>
        <w:br/>
        <w:br/>
        <w:t>[334]       Cfr. "Otros tratados" objeto de  la  función  consultiva  de  la</w:t>
        <w:br/>
        <w:t>Corte (art. 64 Convención Americana de Derechos Humanos, Opinión  Consultiva</w:t>
        <w:br/>
        <w:t>OC-1/82, párrs. 41 al 43,  e  Informes  de  la  Comisión  Interamericana  de</w:t>
        <w:br/>
        <w:t>Derechos Humanos (Art. 51  Convención  Americana  sobre  Derechos  Humanos).</w:t>
        <w:br/>
        <w:t>Opinión Consultiva OC-15/97 de 14 de noviembre de 1997.  Serie  A  No.  15.,</w:t>
        <w:br/>
        <w:t>párr. 29.</w:t>
        <w:br/>
        <w:br/>
        <w:br/>
        <w:t>[335]       Cfr. El derecho a la información sobre  la  asistencia  consular</w:t>
        <w:br/>
        <w:t>en el marco de las garantías del debido proceso  legal,  Opinión  Consultiva</w:t>
        <w:br/>
        <w:t>OC-16/99, párr. 114, y Caso Trabajadores de la  Hacienda  Brasil  Verde  Vs.</w:t>
        <w:br/>
        <w:t>Brasil, párr. 245.</w:t>
        <w:br/>
        <w:br/>
        <w:br/>
        <w:t>[336]       Cfr. El derecho a la Información sobre  la  asistencia  consular</w:t>
        <w:br/>
        <w:t>en el marco de las garantías del debido proceso  legal.  Opinión  Consultiva</w:t>
        <w:br/>
        <w:t>OC-16/99, párr. 114, y Titularidad de derechos de las personas jurídicas  en</w:t>
        <w:br/>
        <w:t>el sistema interamericano de derechos humanos (Interpretación y alcance  del</w:t>
        <w:br/>
        <w:t>artículo 1.2, en relación con los artículos 1.1, 8, 11.2, 13,  16,  21,  24,</w:t>
        <w:br/>
        <w:t>25, 29, 30, 44, 46,  y  62.3  de  la  Convención  Americana  sobre  Derechos</w:t>
        <w:br/>
        <w:t>Humanos, así como del artículo 8.1 A y B del  Protocolo  de  San  Salvador),</w:t>
        <w:br/>
        <w:t>Opinión Consultiva OC-22/16, párr. 49.</w:t>
        <w:br/>
        <w:br/>
        <w:br/>
        <w:t>[337]       Cfr. El Derecho a la información sobres asistencia  consular  en</w:t>
        <w:br/>
        <w:t>el marco de las garantías del debido proceso legal. Opinión  Consultiva  OC-</w:t>
        <w:br/>
        <w:t>16/99 de 1 de octubre de 1999. Serie A No. 16,  párr.  113,  y  Caso  Pueblo</w:t>
        <w:br/>
        <w:t>Indígena Kichwa de Sarayaku Vs. Ecuador. Fondo y reparaciones. Sentencia  de</w:t>
        <w:br/>
        <w:t>27 de junio de 2012. Serie C No. 245, párr. 161.</w:t>
        <w:br/>
        <w:br/>
        <w:br/>
        <w:t>[338]       Cfr. Caso I.V. Vs. Bolivia, párr. 168.</w:t>
        <w:br/>
        <w:br/>
        <w:br/>
        <w:t>[339]       En los casos Heliodoro Portugal  Vs.  Panamá  y  Tiu  Tojín  Vs.</w:t>
        <w:br/>
        <w:t>Guatemala, la Corte tuvo en cuenta  sentencias  de  tribunales  internos  de</w:t>
        <w:br/>
        <w:t>Bolivia,  Colombia,   México,   Panamá,   Perú,   y   Venezuela   sobre   la</w:t>
        <w:br/>
        <w:t>imprescriptibilidad de delitos permanentes  como  la  desaparición  forzada.</w:t>
        <w:br/>
        <w:t>Además,  en  el  Caso  Anzualdo  Castro   Vs.   Perú,   la   Corte   utilizó</w:t>
        <w:br/>
        <w:t>pronunciamientos de tribunales constitucionales de  países  americanos  para</w:t>
        <w:br/>
        <w:t>apoyar  la  delimitación  que  ha  realizado  al  concepto  de  desaparición</w:t>
        <w:br/>
        <w:t>forzada. Otros ejemplos son los casos Atala Riffo y Niñas  Vs.  Chile  y  el</w:t>
        <w:br/>
        <w:t>Caso Pueblo Indígena Kichwa de Sarayaku Vs. Ecuador.</w:t>
        <w:br/>
        <w:br/>
        <w:br/>
        <w:t>[340]       Cfr. El derecho a la información sobre  la  asistencia  consular</w:t>
        <w:br/>
        <w:t>en el marco de las garantías del debido proceso  legal,  Opinión  Consultiva</w:t>
        <w:br/>
        <w:t>OC-16/99, párr. 115, y Caso familia Pacheco Tineo Vs.  Bolivia.  Excepciones</w:t>
        <w:br/>
        <w:t>Preliminares, Fondo, Reparaciones y Costas. Sentencia de 25 de noviembre  de</w:t>
        <w:br/>
        <w:t>2013. Serie C No. 272, párr. 143.</w:t>
        <w:br/>
        <w:br/>
        <w:br/>
        <w:t>[341]       Cfr. Caso  Vásquez  Durand  y  otros  Vs.  Ecuador.  Excepciones</w:t>
        <w:br/>
        <w:t>Preliminares, Fondo, Reparaciones y Costas. Sentencia de 15  de  febrero  de</w:t>
        <w:br/>
        <w:t>2017. Serie C No. 332, párrs. 30 a 32.</w:t>
        <w:br/>
        <w:br/>
        <w:br/>
        <w:t>[342]       Por ejemplo, en Colombia  el  artículo  93  de  la  Constitución</w:t>
        <w:br/>
        <w:t>Política de 1993 establece que los tratados de Derechos Humanos,  prevalecen</w:t>
        <w:br/>
        <w:t>en   el   orden   interno,   formando   así   el    llamado    “bloque    de</w:t>
        <w:br/>
        <w:t>constitucionalidad”;  mientras  que  en  Ecuador,  el  artículo  417  de  la</w:t>
        <w:br/>
        <w:t>Constitución Política del 2008 establece que los  tratados  internacionales,</w:t>
        <w:br/>
        <w:t>incluso de materia de Derechos Humanos, se deben subordinar a lo  dicho  por</w:t>
        <w:br/>
        <w:t>la Constitución y no adquieren el mismo rango que ésta.</w:t>
        <w:br/>
        <w:br/>
        <w:br/>
        <w:t>[343]       En Ecuador, el artículo 417  de  la  Constitución  Política  del</w:t>
        <w:br/>
        <w:t>2008  establece  que  los  tratados  internacionales,  incluso  de  Derechos</w:t>
        <w:br/>
        <w:t>Humanos, se deben subordinar a lo dicho por la Constitución y  no  adquieren</w:t>
        <w:br/>
        <w:t>el mismo rango que ésta, pero prevé que  la  interpretación  de  las  normas</w:t>
        <w:br/>
        <w:t>debe hacerse con base  en  el  principio  pro  personae.  En  cambio  en  la</w:t>
        <w:br/>
        <w:t>Constitución Nacional de Paraguay, en su artículo  145,  establece  que  los</w:t>
        <w:br/>
        <w:t>tratados  de  Derechos  Humanos   hacen   parte   de   un   orden   jurídico</w:t>
        <w:br/>
        <w:t>supranacional, pero no prevé una interpretación pro personae.</w:t>
        <w:br/>
        <w:br/>
        <w:br/>
        <w:t>[344]       El artículo 55 de la Constitución Política  del  Perú  establece</w:t>
        <w:br/>
        <w:t>que los Tratados Internacionales hacen parte  del  Derecho  Nacional,  y  en</w:t>
        <w:br/>
        <w:t>principio no le da un rango especial a los  Tratados  de  Derechos  Humanos.</w:t>
        <w:br/>
        <w:t>Sin embargo, vía jurisprudencia a través de la sentencia del Exp. No.  0025-</w:t>
        <w:br/>
        <w:t>2005-Pl/TC y 0026-2005-PI/TC, el Tribunal  Constitucional  le  otorga  rango</w:t>
        <w:br/>
        <w:t>constitucional a los tratados sobre Derechos Humanos.</w:t>
        <w:br/>
        <w:br/>
        <w:br/>
        <w:t>[345]       Cfr. Caso Almonacid Arellano  y  otros  Vs.  Chile.  Excepciones</w:t>
        <w:br/>
        <w:t>Preliminares, Fondo, Reparaciones y Costas. Sentencia de  26  de  septiembre</w:t>
        <w:br/>
        <w:t>de 2006. Serie C No. 154., párr. 124, y Caso  Andrade  Salmón  Vs.  Bolivia.</w:t>
        <w:br/>
        <w:t>Fondo, Reparaciones y Costas. Sentencia de 1 de diciembre de 2016.  Serie  C</w:t>
        <w:br/>
        <w:t>No. 330., párr. 93.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