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    CASO MUELLE FLORES VS. PERÚ</w:t>
        <w:br/>
        <w:br/>
        <w:t xml:space="preserve">                      SENTENCIA DE 06 DE MARZO DE 2019</w:t>
        <w:br/>
        <w:br/>
        <w:br/>
        <w:t xml:space="preserve">          (Excepciones Preliminares, Fondo, Reparaciones y Costas)</w:t>
        <w:br/>
        <w:br/>
        <w:br/>
        <w:br/>
        <w:br/>
        <w:br/>
        <w:t>En el caso Muelle Flores,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>Eduardo Ferrer Mac-Gregor Poisot, Presidente;</w:t>
        <w:br/>
        <w:t>Eduardo Vio Grossi, Vicepresidente;</w:t>
        <w:br/>
        <w:t>Humberto Antonio Sierra Porto, Juez;</w:t>
        <w:br/>
        <w:t>Elizabeth Odio Benito, Jueza;</w:t>
        <w:br/>
        <w:t>Eugenio Raúl Zaffaroni, Juez, y</w:t>
        <w:br/>
        <w:t>Patricio Pazmiño Freire, Juez,</w:t>
        <w:br/>
        <w:br/>
        <w:t>presente además,</w:t>
        <w:br/>
        <w:br/>
        <w:t>Pablo Saavedra Alessandri, Secretario,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42, 65 y 67  del  Reglamento  de  la</w:t>
        <w:br/>
        <w:t>Corte (en adelante “el Reglamento”), dicta la  presente  Sentencia,  que  se</w:t>
        <w:br/>
        <w:t>estructura en el siguiente orden:</w:t>
        <w:br/>
        <w:br/>
        <w:br/>
        <w:br/>
        <w:t xml:space="preserve">                                  Contenido</w:t>
        <w:br/>
        <w:br/>
        <w:t>I INTRODUCCIÓN DE LA CAUSA Y OBJETO DE LA CONTROVERSIA  4</w:t>
        <w:br/>
        <w:t>II PROCEDIMIENTO ANTE LA CORTE    5</w:t>
        <w:br/>
        <w:t>III COMPETENCIA  7</w:t>
        <w:br/>
        <w:t>IV EXCEPCIONES PRELIMINARES 7</w:t>
        <w:br/>
        <w:t>A.    Excepción sobre la  alegada  falta  de  agotamiento  de  los  recursos</w:t>
        <w:br/>
        <w:t>internos    8</w:t>
        <w:br/>
        <w:t>A.1 Alegatos del Estado y observaciones de la Comisión y las  representantes</w:t>
        <w:br/>
        <w:t>8</w:t>
        <w:br/>
        <w:t>A.2 Consideraciones de la Corte   9</w:t>
        <w:br/>
        <w:t>B.    Excepción sobre la  alegada  falta  de  competencia  en  razón  de  la</w:t>
        <w:br/>
        <w:t>materia y justiciabilidad directa del artículo 26 de la Convención 10</w:t>
        <w:br/>
        <w:t>B.1 Alegatos del Estado y observaciones de la Comisión y las  representantes</w:t>
        <w:br/>
        <w:t>10</w:t>
        <w:br/>
        <w:t>B.2 Consideraciones de la Corte   11</w:t>
        <w:br/>
        <w:t>V PRUEBA    13</w:t>
        <w:br/>
        <w:t>A.    Admisibilidad de la prueba documental  13</w:t>
        <w:br/>
        <w:t>B.    Admisibilidad de la prueba testimonial y pericial 14</w:t>
        <w:br/>
        <w:t>Vi HECHOS   14</w:t>
        <w:br/>
        <w:t>C.    Antecedentes     14</w:t>
        <w:br/>
        <w:t>D.    Primer proceso de amparo    17</w:t>
        <w:br/>
        <w:t>E.    Privatización de la empresa estatal Minera Especial Tintaya S.A.  18</w:t>
        <w:br/>
        <w:t>F.    Segundo proceso de amparo   19</w:t>
        <w:br/>
        <w:t>G.    Proceso contencioso administrativo     20</w:t>
        <w:br/>
        <w:t>H.    Procedimiento de ejecución de la sentencia de amparo de 2  de  febrero</w:t>
        <w:br/>
        <w:t>de 1993     21</w:t>
        <w:br/>
        <w:t>I.    Normativa sobre pensiones y privatizaciones a partir de 2002 27</w:t>
        <w:br/>
        <w:t>vIi FONDO   28</w:t>
        <w:br/>
        <w:t>VII derechoS A LAS GARANTÍAS JUDICIALES, A  LA  PROTECCIÓN  JUDICIAL,  A  LA</w:t>
        <w:br/>
        <w:t>SEGURIDAD SOCIAL, A LA INTEGRIDAD PERSONAL, A LA DIGNIDAD,  a  la  propiedad</w:t>
        <w:br/>
        <w:t>PRIVADA, y  el  deber  de  adoptar  disposiciones  de  derecho  interno,  EN</w:t>
        <w:br/>
        <w:t>RELACIÓN  CON  LAS  OBLIGACIONES  DE  RESPETAR  Y  GARANTIZAR  LOS  DERECHOS</w:t>
        <w:br/>
        <w:t>(artículos 8.1, 25.1, 25.2.C), 26, 5, 11.1, 21, 1.1 y  2  de  la  convención</w:t>
        <w:br/>
        <w:t>americana)  29</w:t>
        <w:br/>
        <w:t>A.    Derecho a la tutela judicial efectiva en la ejecución de sentencias  y</w:t>
        <w:br/>
        <w:t>privatización de empresas   30</w:t>
        <w:br/>
        <w:t>A.1 Argumentos de las partes y de la Comisión     30</w:t>
        <w:br/>
        <w:t>A.2 Consideraciones de la Corte   32</w:t>
        <w:br/>
        <w:t>A.3 Conclusión   40</w:t>
        <w:br/>
        <w:t>B.    Plazo Razonable  40</w:t>
        <w:br/>
        <w:t>B.1 Argumentos de las partes y de la Comisión     40</w:t>
        <w:br/>
        <w:t>B.2 Consideraciones de la Corte   42</w:t>
        <w:br/>
        <w:t>C.    Derecho a la seguridad social    45</w:t>
        <w:br/>
        <w:t>C.1 Argumentos de las partes y de la Comisión     45</w:t>
        <w:br/>
        <w:t>C.2 Consideraciones de la Corte   46</w:t>
        <w:br/>
        <w:t>C.3 Conclusión   58</w:t>
        <w:br/>
        <w:t>D.    Derecho a la propiedad      58</w:t>
        <w:br/>
        <w:t>D.1 Argumentos de las partes y de la Comisión     58</w:t>
        <w:br/>
        <w:t>D.2 Consideraciones de la Corte   59</w:t>
        <w:br/>
        <w:t>E.    Conclusión del capítulo     60</w:t>
        <w:br/>
        <w:t>VIII REPARACIONES (Aplicación del artículo 63.1 de la Convención  Americana)</w:t>
        <w:br/>
        <w:t>61</w:t>
        <w:br/>
        <w:t>A.    Parte Lesionada  61</w:t>
        <w:br/>
        <w:t>B.    Restitución de la pensión del señor  Muelle  Flores:  cumplimiento  de</w:t>
        <w:br/>
        <w:t>las sentencias definitivas dictadas a nivel interno     62</w:t>
        <w:br/>
        <w:t>B.1. Argumentos de la Comisión y de las partes    62</w:t>
        <w:br/>
        <w:t>B.2. Consideraciones de la Corte  63</w:t>
        <w:br/>
        <w:t>C.    Medidas de satisfacción     65</w:t>
        <w:br/>
        <w:t>a) Publicación de la Sentencia    65</w:t>
        <w:br/>
        <w:t>D.    Otras medidas solicitadas   65</w:t>
        <w:br/>
        <w:t>E.    Indemnizaciones compensatorias   66</w:t>
        <w:br/>
        <w:t>D.1 Daño material      66</w:t>
        <w:br/>
        <w:t>D.2.Dañoinmaterial     70</w:t>
        <w:br/>
        <w:t>F.    Costas y Gastos  72</w:t>
        <w:br/>
        <w:t>G.    Reintegro de los gastos al Fondo de Asistencia Legal de Víctimas  73</w:t>
        <w:br/>
        <w:t>H.    Modalidad de cumplimiento de los pagos ordenados  74</w:t>
        <w:br/>
        <w:t>IX PUNTOS RESOLUTIVOS  74</w:t>
        <w:br/>
        <w:br/>
        <w:br/>
        <w:br/>
        <w:br/>
        <w:br/>
        <w:t>I</w:t>
        <w:br/>
        <w:t>INTRODUCCIÓN DE LA CAUSA Y OBJETO DE LA CONTROVERSIA</w:t>
        <w:br/>
        <w:br/>
        <w:t xml:space="preserve">      1. El caso sometido a la Corte. – El 13 de julio de 2017  la  Comisión</w:t>
        <w:br/>
        <w:t xml:space="preserve">         Interamericana de Derechos Humanos (en adelante “la Comisión” o “la</w:t>
        <w:br/>
        <w:t xml:space="preserve">         Comisión Interamericana” o “la CIDH”) sometió a la jurisdicción  de</w:t>
        <w:br/>
        <w:t xml:space="preserve">         la Corte el caso Muelle Flores contra la  República  del  Perú  (en</w:t>
        <w:br/>
        <w:t xml:space="preserve">         adelante “el Estado” o “Perú”) ante la  jurisdicción  de  la  Corte</w:t>
        <w:br/>
        <w:t xml:space="preserve">         Interamericana. De acuerdo con la Comisión, el  caso  se  relaciona</w:t>
        <w:br/>
        <w:t xml:space="preserve">         con la alegada violación del derecho a la tutela judicial  efectiva</w:t>
        <w:br/>
        <w:t xml:space="preserve">         como consecuencia del  incumplimiento,  durante  24  años,  de  una</w:t>
        <w:br/>
        <w:t xml:space="preserve">         sentencia judicial a favor del señor Muelle Flores en el  marco  de</w:t>
        <w:br/>
        <w:t xml:space="preserve">         un recurso de amparo en el que  se  ordenó  su  reincorporación  al</w:t>
        <w:br/>
        <w:t xml:space="preserve">         régimen pensionario del Decreto Ley N° 20530. La Comisión determinó</w:t>
        <w:br/>
        <w:t xml:space="preserve">         que el Estado peruano incurrió en responsabilidad internacional, en</w:t>
        <w:br/>
        <w:t xml:space="preserve">         primer lugar, debido a que sus propias autoridades incumplieron  el</w:t>
        <w:br/>
        <w:t xml:space="preserve">         fallo judicial favorable al  señor  Muelle  y,  en  segundo  lugar,</w:t>
        <w:br/>
        <w:t xml:space="preserve">         debido a la inefectividad de los  mecanismos  judiciales  activados</w:t>
        <w:br/>
        <w:t xml:space="preserve">         posteriormente  para  lograr  dicho  cumplimiento.   Asimismo,   la</w:t>
        <w:br/>
        <w:t xml:space="preserve">         Comisión declaró que los hechos del presente caso constituyeron una</w:t>
        <w:br/>
        <w:t xml:space="preserve">         violación a la garantía de  plazo  razonable  y  al  derecho  a  la</w:t>
        <w:br/>
        <w:t xml:space="preserve">         propiedad privada, pues las pensiones niveladas conforme al Decreto</w:t>
        <w:br/>
        <w:t xml:space="preserve">         referido, entraron al patrimonio del señor Muelle  Flores  mediante</w:t>
        <w:br/>
        <w:t xml:space="preserve">         la decisión judicial que  le  fue  favorable,  pero  no  ha  podido</w:t>
        <w:br/>
        <w:t xml:space="preserve">         ejercer tal derecho.</w:t>
        <w:br/>
        <w:br/>
        <w:t xml:space="preserve">      2. Trámite ante la Comisión. – El trámite  ante  la  Comisión  fue  el</w:t>
        <w:br/>
        <w:t xml:space="preserve">         siguiente:</w:t>
        <w:br/>
        <w:br/>
        <w:t xml:space="preserve">     a) Petición. – El 8 de abril de 1998 la Comisión recibió una  petición</w:t>
        <w:br/>
        <w:t xml:space="preserve">        presentada por la presunta víctima Oscar Muelle Flores en  la  cual</w:t>
        <w:br/>
        <w:t xml:space="preserve">        se alegó la responsabilidad del Estado por el incumplimiento de dos</w:t>
        <w:br/>
        <w:t xml:space="preserve">        sentencias  de  amparo   que   le   reconocían   ciertos   derechos</w:t>
        <w:br/>
        <w:t xml:space="preserve">        pensionarios  como  extrabajador  de  la  empresa  estatal   minera</w:t>
        <w:br/>
        <w:t xml:space="preserve">        Tintaya, así como  su  incorporación  al  régimen  de  pensiones  y</w:t>
        <w:br/>
        <w:t xml:space="preserve">        compensaciones del Decreto Ley No. 20530 y al pago renovable de  su</w:t>
        <w:br/>
        <w:t xml:space="preserve">        pensión de cesantía. El peticionario alegó que el Estado peruano no</w:t>
        <w:br/>
        <w:t xml:space="preserve">        había cumplido con su obligación de ejecutar las sentencias  de  la</w:t>
        <w:br/>
        <w:t xml:space="preserve">        Corte Suprema de Justicia y del Tribunal Constitucional.  Asimismo,</w:t>
        <w:br/>
        <w:t xml:space="preserve">        se alegó la presunta violación de los derechos consagrados  en  los</w:t>
        <w:br/>
        <w:t xml:space="preserve">        artículos 24 y 25 de la Convención Americana.</w:t>
        <w:br/>
        <w:br/>
        <w:t xml:space="preserve">     b) Informe de Admisibilidad. – El 16 de  julio  de  2010  la  Comisión</w:t>
        <w:br/>
        <w:t xml:space="preserve">        emitió el Informe de Admisibilidad No.106/10 (en adelante  “Informe</w:t>
        <w:br/>
        <w:t xml:space="preserve">        de Admisibilidad”), en el que concluyó que la Petición  No.  147-98</w:t>
        <w:br/>
        <w:t xml:space="preserve">        era admisible en relación con los artículos  artículos  8.1,  21  y</w:t>
        <w:br/>
        <w:t xml:space="preserve">        25.2.c)  de  la  Convención.  Asimismo,  declaró   inadmisible   la</w:t>
        <w:br/>
        <w:t xml:space="preserve">        petición, con relación al artículo 24 de la misma.</w:t>
        <w:br/>
        <w:br/>
        <w:t xml:space="preserve">     c) Informe de Fondo. – El 27 de enero de 2017 la  Comisión  aprobó  el</w:t>
        <w:br/>
        <w:t xml:space="preserve">        Informe de Fondo No. 3/17, en los términos del artículo  50  de  la</w:t>
        <w:br/>
        <w:t xml:space="preserve">        Convención Americana (en adelante “Informe de Fondo” o “Informe No.</w:t>
        <w:br/>
        <w:t xml:space="preserve">        3/17”), en el cual concluyó que el Estado del Perú era  responsable</w:t>
        <w:br/>
        <w:t xml:space="preserve">        por la violación  de  los  derechos  a  las  garantías  judiciales,</w:t>
        <w:br/>
        <w:t xml:space="preserve">        propiedad  privada  y  protección  judicial,  establecido  en   los</w:t>
        <w:br/>
        <w:t xml:space="preserve">        artículos 8.1, 21, 25.1 y 25.2.c) de la  Convención  Americana,  en</w:t>
        <w:br/>
        <w:t xml:space="preserve">        relación con las obligaciones establecidas en el artículo  1.1  del</w:t>
        <w:br/>
        <w:t xml:space="preserve">        mismo instrumento, en perjuicio de Oscar Muelle  Flores.  Asimismo,</w:t>
        <w:br/>
        <w:t xml:space="preserve">        la Comisión concluyó  que  el  Estado  incumplió  las  obligaciones</w:t>
        <w:br/>
        <w:t xml:space="preserve">        establecidas en el artículo  2  del  mismo  instrumento  y  formuló</w:t>
        <w:br/>
        <w:t xml:space="preserve">        varias recomendaciones al Estado[1].</w:t>
        <w:br/>
        <w:t xml:space="preserve">     d) Notificación al Estado. – El 13 de  febrero  de  2017  la  Comisión</w:t>
        <w:br/>
        <w:t xml:space="preserve">        notificó el Informe de Fondo al Estado, otorgándosele un  plazo  de</w:t>
        <w:br/>
        <w:t xml:space="preserve">        dos  meses   para   informar   sobre   el   cumplimiento   de   las</w:t>
        <w:br/>
        <w:t xml:space="preserve">        recomendaciones. El Estado solicitó  una  primera  prórroga  de  60</w:t>
        <w:br/>
        <w:t xml:space="preserve">        días, la cual fue otorgada por la  Comisión.  Sin  embargo,  al  no</w:t>
        <w:br/>
        <w:t xml:space="preserve">        presentar información sustantiva sobre los avances relevantes en el</w:t>
        <w:br/>
        <w:t xml:space="preserve">        cumplimiento de  las  recomendaciones  del  Informe  de  Fondo,  la</w:t>
        <w:br/>
        <w:t xml:space="preserve">        Comisión decidió no otorgar la segunda prórroga solicitada  y,  por</w:t>
        <w:br/>
        <w:t xml:space="preserve">        ende, someter el caso a la jurisdicción de la Corte.</w:t>
        <w:br/>
        <w:br/>
        <w:br/>
        <w:t xml:space="preserve">      3. Sometimiento a la Corte. – El 13 de  julio  de  2017,  la  Comisión</w:t>
        <w:br/>
        <w:t xml:space="preserve">         decidió someter el caso a la Corte Interamericana ante la necesidad</w:t>
        <w:br/>
        <w:t xml:space="preserve">         de obtención de justicia para la víctima.</w:t>
        <w:br/>
        <w:br/>
        <w:t xml:space="preserve">      4. Solicitudes de  la  Comisión  Interamericana.  –  Con  base  en  lo</w:t>
        <w:br/>
        <w:t xml:space="preserve">         anterior,  la  Comisión  solicitó  a  la  Corte  que  declarara  la</w:t>
        <w:br/>
        <w:t xml:space="preserve">         responsabilidad internacional del Estado por las mismas violaciones</w:t>
        <w:br/>
        <w:t xml:space="preserve">         señaladas en su Informe de Fondo (supra párr. 1), en perjuicio  del</w:t>
        <w:br/>
        <w:t xml:space="preserve">         señor Oscar Muelle Flores. Además, solicitó a la Corte que ordenara</w:t>
        <w:br/>
        <w:t xml:space="preserve">         al  Estado  determinadas  medidas  de  reparación,  las  cuales  se</w:t>
        <w:br/>
        <w:t xml:space="preserve">         detallan y analizan en el Capítulo VIII de la presente Sentencia.</w:t>
        <w:br/>
        <w:br/>
        <w:t>II</w:t>
        <w:br/>
        <w:t>PROCEDIMIENTO ANTE LA CORTE</w:t>
        <w:br/>
        <w:br/>
        <w:t xml:space="preserve">      5. Designación  de  Defensores  Públicos  Interamericanos.  –El  8  de</w:t>
        <w:br/>
        <w:t xml:space="preserve">         septiembre de 2017 el señor Oscar Muelle solicitó la designación de</w:t>
        <w:br/>
        <w:t xml:space="preserve">         un Defensor Interamericano. Luego de las respectivas comunicaciones</w:t>
        <w:br/>
        <w:t xml:space="preserve">         con  la  Asociación  Interamericana  de  Defensorías  Públicas  (en</w:t>
        <w:br/>
        <w:t xml:space="preserve">         adelante “AIDEF”)[2], el 20 de septiembre de  2017  el  Coordinador</w:t>
        <w:br/>
        <w:t xml:space="preserve">         General de dicha Asociación comunicó a la  Corte  que  las  señoras</w:t>
        <w:br/>
        <w:t xml:space="preserve">         Renée Mariño Álvarez (Uruguay) e Isabel Penido  de  Campos  Machado</w:t>
        <w:br/>
        <w:t xml:space="preserve">         (Brasil)  habían   sido   designadas   como   defensoras   públicas</w:t>
        <w:br/>
        <w:t xml:space="preserve">         interamericanas  para  ejercer  la  representación  legal  de   las</w:t>
        <w:br/>
        <w:t xml:space="preserve">         presuntas   víctimas   en   este    caso    (en    adelante    “las</w:t>
        <w:br/>
        <w:t xml:space="preserve">         representantes”)[3] .</w:t>
        <w:br/>
        <w:br/>
        <w:br/>
        <w:t xml:space="preserve">      6. Notificación a las representantes y al Estado.  –  El  sometimiento</w:t>
        <w:br/>
        <w:t xml:space="preserve">         del caso por parte de la Comisión fue notificado por  la  Corte  al</w:t>
        <w:br/>
        <w:t xml:space="preserve">         Estado del Perú el 9 de octubre de 2017 y a las defensoras públicas</w:t>
        <w:br/>
        <w:t xml:space="preserve">         interamericanas de la presunta víctima el 17 de octubre de 2017.</w:t>
        <w:br/>
        <w:br/>
        <w:t xml:space="preserve">      7. Escrito de solicitudes, argumentos y pruebas. – El 10 de  diciembre</w:t>
        <w:br/>
        <w:t xml:space="preserve">         de 2017, las representantes presentaron su escrito de  solicitudes,</w:t>
        <w:br/>
        <w:t xml:space="preserve">         argumentos  y  pruebas  (en  adelante  “escrito  de  solicitudes  y</w:t>
        <w:br/>
        <w:t xml:space="preserve">         argumentos”). Las representantes coincidieron  sustancialmente  con</w:t>
        <w:br/>
        <w:t xml:space="preserve">         los alegatos de la Comisión. Además de los derechos alegados por la</w:t>
        <w:br/>
        <w:t xml:space="preserve">         Comisión, presentaron  argumentos  adicionales  sobre  la  presunta</w:t>
        <w:br/>
        <w:t xml:space="preserve">         violación de los derechos a las garantías judiciales  y  protección</w:t>
        <w:br/>
        <w:t xml:space="preserve">         judicial de la Convención (artículos 8.1 y 25.1), en  relación  con</w:t>
        <w:br/>
        <w:t xml:space="preserve">         los artículos 1.1 y 2 del mismo  instrumento,  así  como  sobre  la</w:t>
        <w:br/>
        <w:t xml:space="preserve">         presunta  violación  de  los  derechos   económicos,   sociales   y</w:t>
        <w:br/>
        <w:t xml:space="preserve">         culturales  (artículo  26),   en   particular   de   los   derechos</w:t>
        <w:br/>
        <w:t xml:space="preserve">         previsionales, en relación con el artículo 1.1 de la Convención.</w:t>
        <w:br/>
        <w:br/>
        <w:t xml:space="preserve">      8. Escrito de contestación. – El 2  de  abril  de  2018  el  Estado[4]</w:t>
        <w:br/>
        <w:t xml:space="preserve">         presentó ante la Corte su contestación al escrito  de  sometimiento</w:t>
        <w:br/>
        <w:t xml:space="preserve">         del caso y de observaciones al escrito de solicitudes, argumentos y</w:t>
        <w:br/>
        <w:t xml:space="preserve">         pruebas (en adelante “escrito de contestación”). En  dicho  escrito</w:t>
        <w:br/>
        <w:t xml:space="preserve">         el Estado alegó una serie de “cuestiones procesales”,  entre  ellas</w:t>
        <w:br/>
        <w:t xml:space="preserve">         “la falta de agotamiento de recursos internos” y  “observaciones  a</w:t>
        <w:br/>
        <w:t xml:space="preserve">         la indebida inclusión del artículo 26” por  las  representantes,  y</w:t>
        <w:br/>
        <w:t xml:space="preserve">         alegó ausencia de responsabilidad estatal por la presunta violación</w:t>
        <w:br/>
        <w:t xml:space="preserve">         de los derechos alegados por la Comisión y por las representantes.</w:t>
        <w:br/>
        <w:br/>
        <w:t xml:space="preserve">      9. Observaciones a las excepciones preliminares. – El 4 y 5  de  junio</w:t>
        <w:br/>
        <w:t xml:space="preserve">         de  2018,  la  Comisión  y  las   representantes   remitieron   sus</w:t>
        <w:br/>
        <w:t xml:space="preserve">         observaciones  a  las  excepciones  preliminares  opuestas  por  el</w:t>
        <w:br/>
        <w:t xml:space="preserve">         Estado, respectivamente. Las representantes se refirieron también a</w:t>
        <w:br/>
        <w:t xml:space="preserve">         otros aspectos del escrito de contestación del Estado, lo  cual  no</w:t>
        <w:br/>
        <w:t xml:space="preserve">         había sido solicitado, por lo que no será tomado en cuenta  por  la</w:t>
        <w:br/>
        <w:t xml:space="preserve">         Corte, por  no  haberse  presentado  durante  el  momento  procesal</w:t>
        <w:br/>
        <w:t xml:space="preserve">         oportuno, con excepción de los  alegatos  referidos  a  excepciones</w:t>
        <w:br/>
        <w:t xml:space="preserve">         preliminares.</w:t>
        <w:br/>
        <w:br/>
        <w:t xml:space="preserve">     10. Procedimiento final escrito. –Tras evaluar los escritos principales</w:t>
        <w:br/>
        <w:t xml:space="preserve">         presentados por la Comisión y por las partes, y  a  la  luz  de  lo</w:t>
        <w:br/>
        <w:t xml:space="preserve">         dispuesto en los artículos 15, 45  y  50.1  del  Reglamento  de  la</w:t>
        <w:br/>
        <w:t xml:space="preserve">         Corte, el Presidente en consulta con el pleno de la  Corte  decidió</w:t>
        <w:br/>
        <w:t xml:space="preserve">         que no era necesario convocar una audiencia pública en el  presente</w:t>
        <w:br/>
        <w:t xml:space="preserve">         caso por razones de economía procesal. La decisión  fue  comunicada</w:t>
        <w:br/>
        <w:t xml:space="preserve">         mediante Resolución del Presidente de 27 de julio de 2018[5].</w:t>
        <w:br/>
        <w:br/>
        <w:t xml:space="preserve">     11. Alegatos y observaciones finales escritas. – El 27 de septiembre de</w:t>
        <w:br/>
        <w:t xml:space="preserve">         2018 las representantes y  el  Estado  remitieron  sus  respectivos</w:t>
        <w:br/>
        <w:t xml:space="preserve">         alegatos finales escritos, y la Comisión presentó sus observaciones</w:t>
        <w:br/>
        <w:t xml:space="preserve">         finales  escritas.  Con  su  escrito  de  alegatos   finales,   las</w:t>
        <w:br/>
        <w:t xml:space="preserve">         representantes presentaron anexos (infra párr. 39).</w:t>
        <w:br/>
        <w:br/>
        <w:t xml:space="preserve">     12. Solicitud de medidas provisionales. – El 27 de septiembre  de  2018</w:t>
        <w:br/>
        <w:t xml:space="preserve">         las representantes solicitaron al Tribunal, de conformidad  con  el</w:t>
        <w:br/>
        <w:t xml:space="preserve">         artículo  63.2  de  la   Convención,   la   adopción   de   medidas</w:t>
        <w:br/>
        <w:t xml:space="preserve">         provisionales por la alegada extrema gravedad y urgencia en la  que</w:t>
        <w:br/>
        <w:t xml:space="preserve">         se  encontraría  el  señor  Muelle  Flores  para  evitar  un   daño</w:t>
        <w:br/>
        <w:t xml:space="preserve">         irreparable en su perjuicio. El 23 de noviembre de 2018,  el  Pleno</w:t>
        <w:br/>
        <w:t xml:space="preserve">         de la Corte decidió postergar la decisión sobre dicha solicitud.</w:t>
        <w:br/>
        <w:br/>
        <w:t xml:space="preserve">     13. Observaciones a los anexos de las representantes – El 12 de octubre</w:t>
        <w:br/>
        <w:t xml:space="preserve">         de 2018, el Estado remitió sus observaciones a los anexos remitidos</w:t>
        <w:br/>
        <w:t xml:space="preserve">         por las representantes.</w:t>
        <w:br/>
        <w:br/>
        <w:t xml:space="preserve">     14. Prueba para mejor resolver.  –  El  16  de  noviembre  y  el  3  de</w:t>
        <w:br/>
        <w:t xml:space="preserve">         diciembre de 2018, el Presidente de la  Corte  solicitó  al  Estado</w:t>
        <w:br/>
        <w:t xml:space="preserve">         prueba para mejor resolver. Perú presentó dicha documentación el 30</w:t>
        <w:br/>
        <w:t xml:space="preserve">         de noviembre  y  el  11  de  diciembre  de  2018,  respectivamente.</w:t>
        <w:br/>
        <w:t xml:space="preserve">         Asimismo, mediante escrito de 20 de diciembre de 2018 informó sobre</w:t>
        <w:br/>
        <w:t xml:space="preserve">         su decisión de reestablecer de oficio, y de forma  provisional,  la</w:t>
        <w:br/>
        <w:t xml:space="preserve">         pensión del señor Muelle Flores, así como la  atención  médica  del</w:t>
        <w:br/>
        <w:t xml:space="preserve">         señor Muelle Flores a través del seguro social de salud, e  informó</w:t>
        <w:br/>
        <w:t xml:space="preserve">         sobre  su  decisión  de  realizar  un  pago  anticipado  de  montos</w:t>
        <w:br/>
        <w:t xml:space="preserve">         devengados por concepto de pensiones al señor Muelle Flores.</w:t>
        <w:br/>
        <w:br/>
        <w:t xml:space="preserve">     15. Observaciones de las representantes y la Comisión. – El  Presidente</w:t>
        <w:br/>
        <w:t xml:space="preserve">         otorgó un plazo a las representantes  y  a  la  Comisión  para  que</w:t>
        <w:br/>
        <w:t xml:space="preserve">         presentaran las observaciones que estimaran pertinentes a la prueba</w:t>
        <w:br/>
        <w:t xml:space="preserve">         para mejor resolver remitida por el Estado y al informe  de  20  de</w:t>
        <w:br/>
        <w:t xml:space="preserve">         diciembre de 2018. El 5 y 17 de diciembre de 2018, así como el 7 de</w:t>
        <w:br/>
        <w:t xml:space="preserve">         enero de 2019, la Comisión señaló que no  tenía  observaciones  que</w:t>
        <w:br/>
        <w:t xml:space="preserve">         formular. Las representantes, luego de una solicitud de prórroga el</w:t>
        <w:br/>
        <w:t xml:space="preserve">         18 de diciembre de 2018, presentaron  sus  observaciones  sobre  la</w:t>
        <w:br/>
        <w:t xml:space="preserve">         documentación para mejor resolver presentada por el Estado y  sobre</w:t>
        <w:br/>
        <w:t xml:space="preserve">         el informe de 20 de diciembre de 2018.</w:t>
        <w:br/>
        <w:br/>
        <w:t xml:space="preserve">     16. Erogaciones en aplicación del Fondo  de  Asistencia.  –  El  14  de</w:t>
        <w:br/>
        <w:t xml:space="preserve">         noviembre  de  2018  la  Secretaría,  siguiendo  instrucciones  del</w:t>
        <w:br/>
        <w:t xml:space="preserve">         Presidente de la Corte, remitió información  al  Estado  sobre  las</w:t>
        <w:br/>
        <w:t xml:space="preserve">         erogaciones efectuadas en aplicación del Fondo de Asistencia  Legal</w:t>
        <w:br/>
        <w:t xml:space="preserve">         de Víctimas de la Corte Interamericana (en adelante  el  “Fondo  de</w:t>
        <w:br/>
        <w:t xml:space="preserve">         Asistencia de la Corte” o el “Fondo”) en el presente caso y,  según</w:t>
        <w:br/>
        <w:t xml:space="preserve">         lo dispuesto en el artículo 5 del Reglamento de la Corte  sobre  el</w:t>
        <w:br/>
        <w:t xml:space="preserve">         Funcionamiento  del  referido  Fondo,  le  otorgó  un  plazo   para</w:t>
        <w:br/>
        <w:t xml:space="preserve">         presentar las observaciones que  estimara  pertinentes.  El  28  de</w:t>
        <w:br/>
        <w:t xml:space="preserve">         noviembre de 2018 el Estado señaló que no tenía  observaciones  que</w:t>
        <w:br/>
        <w:t xml:space="preserve">         formular respecto al citado informe.</w:t>
        <w:br/>
        <w:br/>
        <w:t xml:space="preserve">     17. Deliberación del presente caso. – La Corte inició  la  deliberación</w:t>
        <w:br/>
        <w:t xml:space="preserve">         de la presente Sentencia el 5 de febrero de 2019.</w:t>
        <w:br/>
        <w:br/>
        <w:t>III</w:t>
        <w:br/>
        <w:t>COMPETENCIA</w:t>
        <w:br/>
        <w:br/>
        <w:t xml:space="preserve">     18. La Corte es competente  para  conocer  del  presente  caso  en  los</w:t>
        <w:br/>
        <w:t xml:space="preserve">         términos del artículo 62.3 de la Convención Americana,  puesto  que</w:t>
        <w:br/>
        <w:t xml:space="preserve">         Perú ratificó la Convención Americana el 28 de  julio  de  1978,  y</w:t>
        <w:br/>
        <w:t xml:space="preserve">         reconoció la competencia contenciosa de la Corte el 21 de enero  de</w:t>
        <w:br/>
        <w:t xml:space="preserve">         1981.</w:t>
        <w:br/>
        <w:br/>
        <w:t>IV</w:t>
        <w:br/>
        <w:t>EXCEPCIONES PRELIMINARES</w:t>
        <w:br/>
        <w:br/>
        <w:br/>
        <w:br/>
        <w:t xml:space="preserve">     19. El Estado interpuso en su escrito  de  contestación  una  excepción</w:t>
        <w:br/>
        <w:t xml:space="preserve">         preliminar respecto a la  presunta  falta  de  agotamiento  de  los</w:t>
        <w:br/>
        <w:t xml:space="preserve">         recursos  internos.  Asimismo,  bajo  el  apartado  de  “cuestiones</w:t>
        <w:br/>
        <w:t xml:space="preserve">         procesales” presentó “observaciones a  la  indebida  inclusión  del</w:t>
        <w:br/>
        <w:t xml:space="preserve">         artículo 26 por  parte  de  l[a]s  [representantes]”  mediante  las</w:t>
        <w:br/>
        <w:t xml:space="preserve">         cuales argumentó su desacuerdo en cuanto a  la  interpretación  que</w:t>
        <w:br/>
        <w:t xml:space="preserve">         esta Corte ha realizado sobre el artículo 26 de la Convención,  así</w:t>
        <w:br/>
        <w:t xml:space="preserve">         como a la competencia de este órgano para analizarlo.</w:t>
        <w:br/>
        <w:br/>
        <w:t xml:space="preserve">     20. La Corte recuerda que las excepciones preliminares son objeciones a</w:t>
        <w:br/>
        <w:t xml:space="preserve">         la admisibilidad de una demanda o a  la  competencia  del  Tribunal</w:t>
        <w:br/>
        <w:t xml:space="preserve">         para conocer de un determinado caso o de alguno de sus aspectos, ya</w:t>
        <w:br/>
        <w:t xml:space="preserve">         sea en razón de la persona, materia,  tiempo  o  lugar,  siempre  y</w:t>
        <w:br/>
        <w:t xml:space="preserve">         cuando dichos planteamientos tengan el carácter de preliminares[6].</w:t>
        <w:br/>
        <w:t xml:space="preserve">         Si estos planteamientos no pudieran ser considerados sin  entrar  a</w:t>
        <w:br/>
        <w:t xml:space="preserve">         analizar previamente el fondo de un caso, no pueden ser  analizados</w:t>
        <w:br/>
        <w:t xml:space="preserve">         mediante una excepción preliminar[7]. Por ello,  independientemente</w:t>
        <w:br/>
        <w:t xml:space="preserve">         de la denominación que sea dada por el Estado en sus  escritos,  si</w:t>
        <w:br/>
        <w:t xml:space="preserve">         al  analizar  los  planteamientos  se  determinara  que  tienen  la</w:t>
        <w:br/>
        <w:t xml:space="preserve">         naturaleza  de  excepción  preliminar,  es  decir  que  objeten  la</w:t>
        <w:br/>
        <w:t xml:space="preserve">         admisibilidad de la demanda o  la  competencia  de  la  Corte  para</w:t>
        <w:br/>
        <w:t xml:space="preserve">         conocer del caso o de alguno de sus aspectos, entonces deberán  ser</w:t>
        <w:br/>
        <w:t xml:space="preserve">         resueltos como tal[8].</w:t>
        <w:br/>
        <w:br/>
        <w:t xml:space="preserve">     21. Con base en lo señalado anteriormente, y atendiendo a la naturaleza</w:t>
        <w:br/>
        <w:t xml:space="preserve">         diversa de los argumentos formulados por el  Estado,  dirigida  por</w:t>
        <w:br/>
        <w:t xml:space="preserve">         una parte a sostener que no se han agotado los recursos internos  y</w:t>
        <w:br/>
        <w:t xml:space="preserve">         por otra parte a argumentar que la Corte no tiene competencia  para</w:t>
        <w:br/>
        <w:t xml:space="preserve">         la justiciabilidad directa del derecho  a  la  seguridad  social  a</w:t>
        <w:br/>
        <w:t xml:space="preserve">         partir de la interpretación del artículo 26  de  la  Convención[9],</w:t>
        <w:br/>
        <w:t xml:space="preserve">         este Tribunal entiende que estos planteamientos tiene la naturaleza</w:t>
        <w:br/>
        <w:t xml:space="preserve">         de una excepción preliminar.</w:t>
        <w:br/>
        <w:br/>
        <w:br/>
        <w:t>Excepción sobre la alegada falta de agotamiento de los recursos internos</w:t>
        <w:br/>
        <w:br/>
        <w:br/>
        <w:t>A.1 Alegatos del Estado y observaciones de la Comisión y las representantes</w:t>
        <w:br/>
        <w:br/>
        <w:br/>
        <w:t xml:space="preserve">     22. El Estado presentó la excepción de  falta  de  agotamiento  de  los</w:t>
        <w:br/>
        <w:t xml:space="preserve">         recursos internos con base en el artículo 46.1.a) de la Convención.</w:t>
        <w:br/>
        <w:t xml:space="preserve">         Sostuvo que al momento  de  presentar  la  petición  no  se  habían</w:t>
        <w:br/>
        <w:t xml:space="preserve">         agotado los recursos internos por  cuanto  el  segundo  proceso  de</w:t>
        <w:br/>
        <w:t xml:space="preserve">         amparo se encontraba  en  trámite,  el  cual  se  resolvió  por  el</w:t>
        <w:br/>
        <w:t xml:space="preserve">         Tribunal Constitucional el 10 de noviembre de 1999. Además,  señaló</w:t>
        <w:br/>
        <w:t xml:space="preserve">         que la controversia del caso radicaba en el proceso de ejecución de</w:t>
        <w:br/>
        <w:t xml:space="preserve">         la sentencia judicial de amparo de 2 de febrero  de  1993,  el  que</w:t>
        <w:br/>
        <w:t xml:space="preserve">         tampoco había finalizado al momento de presentación de la petición,</w:t>
        <w:br/>
        <w:t xml:space="preserve">         por lo que el agotamiento de recursos internos  se  debía  analizar</w:t>
        <w:br/>
        <w:t xml:space="preserve">         respecto de dicho proceso de ejecución. Por otra  parte,  manifestó</w:t>
        <w:br/>
        <w:t xml:space="preserve">         que en el presente caso no se configuró un  retardo  injustificado,</w:t>
        <w:br/>
        <w:t xml:space="preserve">         al considerar que la petición fue presentada tan sólo  dos  años  y</w:t>
        <w:br/>
        <w:t xml:space="preserve">         cuatro meses después de iniciado el proceso de ejecución el  18  de</w:t>
        <w:br/>
        <w:t xml:space="preserve">         diciembre  de  1995.  Asimismo,  aclaró  que  este  proceso  estuvo</w:t>
        <w:br/>
        <w:t xml:space="preserve">         archivado desde 1999 por  la  falta  de  impulso  procesal  de  las</w:t>
        <w:br/>
        <w:t xml:space="preserve">         partes, y que recién en 2008 se reanudaron las  actuaciones,  fecha</w:t>
        <w:br/>
        <w:t xml:space="preserve">         desde la cual debería, en todo caso,  contarse  el  plazo.  Por  lo</w:t>
        <w:br/>
        <w:t xml:space="preserve">         expuesto, concluyó que no se  agotaron  los  recursos  internos  al</w:t>
        <w:br/>
        <w:t xml:space="preserve">         momento de presentar la petición y  que  no  se  configuró  ninguna</w:t>
        <w:br/>
        <w:t xml:space="preserve">         excepción de las previstas en el art. 46.2 de la Convención.</w:t>
        <w:br/>
        <w:br/>
        <w:t xml:space="preserve">     23.  La  Comisión  señaló  que  la   excepción   preliminar   resultaba</w:t>
        <w:br/>
        <w:t xml:space="preserve">         improcedente por extemporánea, pues no fue interpuesta  durante  la</w:t>
        <w:br/>
        <w:t xml:space="preserve">         etapa de admisibilidad. Sostuvo que el Estado presentó  un  escrito</w:t>
        <w:br/>
        <w:t xml:space="preserve">         en esa etapa de fecha 1 de marzo de  2010,  en  el  cual  hizo  una</w:t>
        <w:br/>
        <w:t xml:space="preserve">         descripción  de  los  procesos   internos,   pero   no   alegó   el</w:t>
        <w:br/>
        <w:t xml:space="preserve">         incumplimiento  del  requisito  de  agotamiento  de  los   recursos</w:t>
        <w:br/>
        <w:t xml:space="preserve">         internos. En forma subsidiaria, la Comisión alegó que, a diferencia</w:t>
        <w:br/>
        <w:t xml:space="preserve">         del  criterio  sostenido  por  el  Estado  y  de   acuerdo   a   la</w:t>
        <w:br/>
        <w:t xml:space="preserve">         jurisprudencia reiterada de la Corte, el análisis de agotamiento de</w:t>
        <w:br/>
        <w:t xml:space="preserve">         los recursos internos o la aplicación de alguna de las  excepciones</w:t>
        <w:br/>
        <w:t xml:space="preserve">         a  este,  debía  efectuarse  al  momento  del  pronunciamiento   de</w:t>
        <w:br/>
        <w:t xml:space="preserve">         admisibilidad, y no al momento de la presentación de  la  petición.</w:t>
        <w:br/>
        <w:t xml:space="preserve">         La Comisión argumentó que en el presente caso, cuando se adoptó  el</w:t>
        <w:br/>
        <w:t xml:space="preserve">         Informe de Admisibilidad el 16  de  julio  de  2010,  ya  se  había</w:t>
        <w:br/>
        <w:t xml:space="preserve">         configurado un retardo injustificado  de  más  de  17  años  en  el</w:t>
        <w:br/>
        <w:t xml:space="preserve">         proceso de cumplimiento de la  sentencia  de  amparo,  por  lo  que</w:t>
        <w:br/>
        <w:t xml:space="preserve">         resultaba aplicable la excepción contemplada en el artículo 46.2.c)</w:t>
        <w:br/>
        <w:t xml:space="preserve">         de la Convención.</w:t>
        <w:br/>
        <w:br/>
        <w:t xml:space="preserve">     24. Las representantes coincidieron con la  Comisión  en  cuanto  a  la</w:t>
        <w:br/>
        <w:t xml:space="preserve">         extemporaneidad de la  excepción  preliminar  argumentando  que  el</w:t>
        <w:br/>
        <w:t xml:space="preserve">         Estado peruano renunció tácitamente a la objeción al no  invocarla,</w:t>
        <w:br/>
        <w:t xml:space="preserve">         de forma clara  y  precisa,  en  la  primera  oportunidad  procesal</w:t>
        <w:br/>
        <w:t xml:space="preserve">         oportuna, es decir  durante  la  etapa  de  admisibilidad  ante  la</w:t>
        <w:br/>
        <w:t xml:space="preserve">         Comisión. Afirmaron que el Estado, “en su  comunicación  de  26  de</w:t>
        <w:br/>
        <w:t xml:space="preserve">         febrero de 2010 (previa al Informe de Admisibilidad)” se  limitó  a</w:t>
        <w:br/>
        <w:t xml:space="preserve">         presentar informes y documentos sobre los  hechos  relacionados  al</w:t>
        <w:br/>
        <w:t xml:space="preserve">         caso, omitiendo invocar excepción alguna. Por otra parte, al  igual</w:t>
        <w:br/>
        <w:t xml:space="preserve">         que la Comisión, sostuvieron que el análisis de agotamiento de  los</w:t>
        <w:br/>
        <w:t xml:space="preserve">         recursos internos como el de la configuración  de  sus  excepciones</w:t>
        <w:br/>
        <w:t xml:space="preserve">         debía efectuarse teniendo en cuenta al momento de la  adopción  del</w:t>
        <w:br/>
        <w:t xml:space="preserve">         Informe de Admisibilidad. En  este  sentido,  manifestaron  que  al</w:t>
        <w:br/>
        <w:t xml:space="preserve">         momento de emitirse el mencionado informe  se  habían  agotado  los</w:t>
        <w:br/>
        <w:t xml:space="preserve">         recursos internos, considerando que en ese entonces  ya  se  habían</w:t>
        <w:br/>
        <w:t xml:space="preserve">         adoptado dos fallos con calidad cosa  juzgada  a  favor  del  señor</w:t>
        <w:br/>
        <w:t xml:space="preserve">         Muelle Flores. Además, alegaron que al momento de la  adopción  del</w:t>
        <w:br/>
        <w:t xml:space="preserve">         Informe de Admisibilidad también existió una demora irrazonable  en</w:t>
        <w:br/>
        <w:t xml:space="preserve">         el proceso de ejecución de los fallos judiciales,  por  lo  que  se</w:t>
        <w:br/>
        <w:t xml:space="preserve">         configuró la excepción a esta regla bajo el artículo 46.2.c) de  la</w:t>
        <w:br/>
        <w:t xml:space="preserve">         CADH”.</w:t>
        <w:br/>
        <w:br/>
        <w:t>A.2 Consideraciones de la Corte</w:t>
        <w:br/>
        <w:br/>
        <w:br/>
        <w:t xml:space="preserve">     25. El artículo 46.1.a) de la Convención Americana  dispone  que,  para</w:t>
        <w:br/>
        <w:t xml:space="preserve">         determinar  la  admisibilidad  de  una  petición   o   comunicación</w:t>
        <w:br/>
        <w:t xml:space="preserve">         presentada ante la Comisión Interamericana, de conformidad con  los</w:t>
        <w:br/>
        <w:t xml:space="preserve">         artículos 44 o 45 de la  Convención,  es  necesario  que  se  hayan</w:t>
        <w:br/>
        <w:t xml:space="preserve">         interpuesto y agotado los  recursos  de  la  jurisdicción  interna,</w:t>
        <w:br/>
        <w:t xml:space="preserve">         según  los  principios  del  Derecho   Internacional   generalmente</w:t>
        <w:br/>
        <w:t xml:space="preserve">         reconocidos[10].  La  Corte  recuerda  que  la  regla  del   previo</w:t>
        <w:br/>
        <w:t xml:space="preserve">         agotamiento de los recursos internos está concebida en interés  del</w:t>
        <w:br/>
        <w:t xml:space="preserve">         Estado,  pues  busca  dispensarlo  de  responder  ante  un   órgano</w:t>
        <w:br/>
        <w:t xml:space="preserve">         internacional por actos que se le imputen, antes de haber tenido la</w:t>
        <w:br/>
        <w:t xml:space="preserve">         ocasión de remediarlos con  sus  propios  medios[11].  Lo  anterior</w:t>
        <w:br/>
        <w:t xml:space="preserve">         significa que no sólo deben existir formalmente esos recursos, sino</w:t>
        <w:br/>
        <w:t xml:space="preserve">         que también deben ser adecuados y efectivos, como  resulta  de  las</w:t>
        <w:br/>
        <w:t xml:space="preserve">         excepciones contempladas en el artículo 46.2 de la Convención[12].</w:t>
        <w:br/>
        <w:br/>
        <w:t xml:space="preserve">     26. Asimismo, esta Corte ha sostenido de  manera  consistente  que  una</w:t>
        <w:br/>
        <w:t xml:space="preserve">         objeción al ejercicio de la jurisdicción de la Corte basada  en  la</w:t>
        <w:br/>
        <w:t xml:space="preserve">         supuesta falta de agotamiento de los  recursos  internos  debe  ser</w:t>
        <w:br/>
        <w:t xml:space="preserve">         presentada en el momento procesal oportuno,  esto  es,  durante  el</w:t>
        <w:br/>
        <w:t xml:space="preserve">         procedimiento de admisibilidad ante la Comisión[13],  luego  de  lo</w:t>
        <w:br/>
        <w:t xml:space="preserve">         cual opera el principio de preclusión procesal[14].  Al  alegar  la</w:t>
        <w:br/>
        <w:t xml:space="preserve">         falta de agotamiento  de  los  recursos  internos,  corresponde  al</w:t>
        <w:br/>
        <w:t xml:space="preserve">         Estado especificar los recursos  que  aún  no  se  han  agotado,  y</w:t>
        <w:br/>
        <w:t xml:space="preserve">         demostrar que éstos se encontraban disponibles  y  eran  adecuados,</w:t>
        <w:br/>
        <w:t xml:space="preserve">         idóneos y efectivos[15]. Al respecto, el Tribunal reitera que no es</w:t>
        <w:br/>
        <w:t xml:space="preserve">         tarea de la Corte, ni de la Comisión, identificar ex officio cuáles</w:t>
        <w:br/>
        <w:t xml:space="preserve">         son los recursos internos pendientes de agotamiento,  de  modo  tal</w:t>
        <w:br/>
        <w:t xml:space="preserve">         que no compete a los órganos internacionales subsanar la  falta  de</w:t>
        <w:br/>
        <w:t xml:space="preserve">         precisión de  los  alegatos  del  Estado[16].  De  lo  anterior  se</w:t>
        <w:br/>
        <w:t xml:space="preserve">         desprende que la invocación por el Estado de la  existencia  de  un</w:t>
        <w:br/>
        <w:t xml:space="preserve">         recurso no agotado debe no sólo ser oportuna, sino  también  clara,</w:t>
        <w:br/>
        <w:t xml:space="preserve">         identificando el recurso en cuestión y también cómo el mismo, en el</w:t>
        <w:br/>
        <w:t xml:space="preserve">         caso, sería adecuado y efectivo para proteger a las personas en  la</w:t>
        <w:br/>
        <w:t xml:space="preserve">         situación que se hubiere denunciado[17].</w:t>
        <w:br/>
        <w:br/>
        <w:t xml:space="preserve">     27. La Corte  recuerda  que  lo  primero  que  procede  determinar,  en</w:t>
        <w:br/>
        <w:t xml:space="preserve">         relación con una excepción preliminar de esta naturaleza, es si  la</w:t>
        <w:br/>
        <w:t xml:space="preserve">         objeción fue presentada en el momento procesal oportuno.  La  Corte</w:t>
        <w:br/>
        <w:t xml:space="preserve">         nota que el único escrito presentado por el Estado durante la etapa</w:t>
        <w:br/>
        <w:t xml:space="preserve">         de admisibilidad ante la  Comisión  fue  el  Informe  No.  48-2010-</w:t>
        <w:br/>
        <w:t xml:space="preserve">         JUS/PPES de 1 de marzo de 2010, en el cual realizó una  descripción</w:t>
        <w:br/>
        <w:t xml:space="preserve">         de los procesos internos llevados a cabo por los hechos denunciados</w:t>
        <w:br/>
        <w:t xml:space="preserve">         por el señor Oscar Muelle Flores[18]. En dicho escrito el Estado no</w:t>
        <w:br/>
        <w:t xml:space="preserve">         invocó en ningún momento el  artículo  46.1  de  la  Convención  ni</w:t>
        <w:br/>
        <w:t xml:space="preserve">         señaló que no se hubieran agotado los recursos internos, o  que  la</w:t>
        <w:br/>
        <w:t xml:space="preserve">         petición fuera inadmisible y únicamente se limitó  a  describir  el</w:t>
        <w:br/>
        <w:t xml:space="preserve">         estado del proceso[19]. En este sentido, la Corte ha  señalado  que</w:t>
        <w:br/>
        <w:t xml:space="preserve">         “el mero recuento de actuaciones procesales no es  suficiente  para</w:t>
        <w:br/>
        <w:t xml:space="preserve">         tener por opuesta una excepción preliminar, siendo que a  falta  de</w:t>
        <w:br/>
        <w:t xml:space="preserve">         un alegato claro y oportuno por parte del  Estado,  se  colige  que</w:t>
        <w:br/>
        <w:t xml:space="preserve">         éste no alegó la falta de agotamiento de recursos internos  durante</w:t>
        <w:br/>
        <w:t xml:space="preserve">         la etapa de admisibilidad ante  la  Comisión”[20].  Asimismo,  esta</w:t>
        <w:br/>
        <w:t xml:space="preserve">         Corte ha entendido que “esa  manifestación  clara”  deriva  aún  de</w:t>
        <w:br/>
        <w:t xml:space="preserve">         expresiones generales tales como que “no se  ha[bían]  agotado  los</w:t>
        <w:br/>
        <w:t xml:space="preserve">         recursos internos existentes”[21], sin embargo,  en  este  caso  ni</w:t>
        <w:br/>
        <w:t xml:space="preserve">         siquiera fueron expresadas en esos términos. En  este  sentido,  la</w:t>
        <w:br/>
        <w:t xml:space="preserve">         Corte considera que el Estado no ha opuesto la defensa  aludida  de</w:t>
        <w:br/>
        <w:t xml:space="preserve">         manera oportuna.</w:t>
        <w:br/>
        <w:br/>
        <w:t xml:space="preserve">     28. Con base en lo anteriormente expuesto, la  Corte  concluye  que  la</w:t>
        <w:br/>
        <w:t xml:space="preserve">         excepción de no agotamiento de los recursos internos alegada por el</w:t>
        <w:br/>
        <w:t xml:space="preserve">         Estado  es  extemporánea.  Por  ende,  se  desestima  la  excepción</w:t>
        <w:br/>
        <w:t xml:space="preserve">         preliminar opuesta por el Estado. En virtud de ello,  la  Corte  no</w:t>
        <w:br/>
        <w:t xml:space="preserve">         considera necesario pronunciarse sobre los  alegatos  referidos  al</w:t>
        <w:br/>
        <w:t xml:space="preserve">         momento en el cual debe analizarse el agotamiento de  los  recursos</w:t>
        <w:br/>
        <w:t xml:space="preserve">         internos ni sobre la excepción de retardo injustificado.</w:t>
        <w:br/>
        <w:br/>
        <w:br/>
        <w:t>Excepción sobre la alegada falta de competencia en razón  de  la  materia  y</w:t>
        <w:br/>
        <w:t>justiciabilidad directa del artículo 26 de la Convención</w:t>
        <w:br/>
        <w:br/>
        <w:br/>
        <w:t>B.1 Alegatos del Estado y observaciones de la Comisión y las representantes</w:t>
        <w:br/>
        <w:br/>
        <w:br/>
        <w:t xml:space="preserve">     29.  El  Estado  señaló  que  las  representantes  no   pretendían   la</w:t>
        <w:br/>
        <w:t xml:space="preserve">         justiciabilidad de los derechos de la Convención, sino  la  de  los</w:t>
        <w:br/>
        <w:t xml:space="preserve">         derechos  económicos,  sociales,  culturales  y   ambientales   (en</w:t>
        <w:br/>
        <w:t xml:space="preserve">         adelante “DESCA”),  específicamente  del  derecho  a  la  seguridad</w:t>
        <w:br/>
        <w:t xml:space="preserve">         social.  El  Estado  alegó  que  el  artículo  19.6  del  Protocolo</w:t>
        <w:br/>
        <w:t xml:space="preserve">         Adicional a la  Convención  Americana  sobre  Derechos  Humanos  en</w:t>
        <w:br/>
        <w:t xml:space="preserve">         Materia de Derechos Económicos, Sociales y Culturales “Protocolo de</w:t>
        <w:br/>
        <w:t xml:space="preserve">         San Salvador” (en adelante “Protocolo de San Salvador”), delimitaba</w:t>
        <w:br/>
        <w:t xml:space="preserve">         claramente la competencia de la Comisión y de la Corte en  relación</w:t>
        <w:br/>
        <w:t xml:space="preserve">         con la temática,  estableciendo  que  solo  podían  ser  objeto  de</w:t>
        <w:br/>
        <w:t xml:space="preserve">         análisis, por medio del mecanismo de  peticiones  ante  el  sistema</w:t>
        <w:br/>
        <w:t xml:space="preserve">         interamericano,  la  protección  de  los  derechos  a  la  libertad</w:t>
        <w:br/>
        <w:t xml:space="preserve">         sindical y el derecho a la educación, pero no respecto al derecho a</w:t>
        <w:br/>
        <w:t xml:space="preserve">         la seguridad social. Consideró que no resultaba  atendible  que  se</w:t>
        <w:br/>
        <w:t xml:space="preserve">         pueda vaciar de contenido a lo establecido por el artículo 19.6 del</w:t>
        <w:br/>
        <w:t xml:space="preserve">         Protocolo de  San  Salvador,  que  era  una  norma  de  competencia</w:t>
        <w:br/>
        <w:t xml:space="preserve">         vinculante para los órganos del sistema, y  que  el  principio  pro</w:t>
        <w:br/>
        <w:t xml:space="preserve">         persona solo sería aplicable cuando se estuviere dentro  del  marco</w:t>
        <w:br/>
        <w:t xml:space="preserve">         de competencias establecido en el orden interamericano.</w:t>
        <w:br/>
        <w:br/>
        <w:t xml:space="preserve">     30. El Estado resaltó las  posiciones  opuestas  a  la  justiciabilidad</w:t>
        <w:br/>
        <w:t xml:space="preserve">         directa de los DESCA de algunos de los Jueces de la Corte, con  las</w:t>
        <w:br/>
        <w:t xml:space="preserve">         cuales manifestó coincidir en todos sus extremos. A este  respecto,</w:t>
        <w:br/>
        <w:t xml:space="preserve">         destacó que los derechos incluidos en el régimen de  protección  de</w:t>
        <w:br/>
        <w:t xml:space="preserve">         la Convención eran los establecidos hasta el artículo 25, y que  si</w:t>
        <w:br/>
        <w:t xml:space="preserve">         bien podían existir otros derechos y libertades, estos  debían  ser</w:t>
        <w:br/>
        <w:t xml:space="preserve">         incluidos en dicho régimen de protección a través de los mecanismos</w:t>
        <w:br/>
        <w:t xml:space="preserve">         previstos en los artículos 31, 76 y 77 de la  Convención.  En  este</w:t>
        <w:br/>
        <w:t xml:space="preserve">         sentido, destacó que añadir  derechos  no  era  competencia  de  la</w:t>
        <w:br/>
        <w:t xml:space="preserve">         Corte, sino de los Estados. Sostuvo que la justiciabilidad  de  los</w:t>
        <w:br/>
        <w:t xml:space="preserve">         DESCA no debía realizarse por medio de la  aplicación  directa  del</w:t>
        <w:br/>
        <w:t xml:space="preserve">         artículo 26 de la Convención, debido a que el  citado  artículo  no</w:t>
        <w:br/>
        <w:t xml:space="preserve">         enumeraba un catálogo de derechos, ni reconocía o consagraba a  los</w:t>
        <w:br/>
        <w:t xml:space="preserve">         DESCA, sino que establecía el compromiso de los Estados  de  lograr</w:t>
        <w:br/>
        <w:t xml:space="preserve">         progresivamente  la  plena  efectividad  de  los  derechos  que  se</w:t>
        <w:br/>
        <w:t xml:space="preserve">         pudieran  derivar  de  la  Carta  de  la  Organización  de  Estados</w:t>
        <w:br/>
        <w:t xml:space="preserve">         Americanos (en adelante “Carta de la OEA”), en  la  medida  de  los</w:t>
        <w:br/>
        <w:t xml:space="preserve">         recursos disponibles. En este sentido, la obligación  derivada  del</w:t>
        <w:br/>
        <w:t xml:space="preserve">         artículo 26 que podía ser supervisada  de  manera  directa  era  el</w:t>
        <w:br/>
        <w:t xml:space="preserve">         cumplimiento de la obligación de desarrollo progresivo y  el  deber</w:t>
        <w:br/>
        <w:t xml:space="preserve">         de no regresividad, por lo que no se podía sostener  que  se  podía</w:t>
        <w:br/>
        <w:t xml:space="preserve">         someter a la Corte un caso atingente a  la  presunta  violación  de</w:t>
        <w:br/>
        <w:t xml:space="preserve">         algunos de los derechos a que se remite. Dicha falta de competencia</w:t>
        <w:br/>
        <w:t xml:space="preserve">         fue confirmada a través del Protocolo de San Salvador, en donde los</w:t>
        <w:br/>
        <w:t xml:space="preserve">         Estados decidieron la justiciabilidad solo en dos  casos,  lo  cual</w:t>
        <w:br/>
        <w:t xml:space="preserve">         constituía un acuerdo y práctica ulterior entre los Estados partes.</w:t>
        <w:br/>
        <w:t xml:space="preserve">         En este sentido, el Estado se adhirió al criterio que señalaba  que</w:t>
        <w:br/>
        <w:t xml:space="preserve">         la Corte no podía arrogarse competencia  respecto  de  la  presunta</w:t>
        <w:br/>
        <w:t xml:space="preserve">         violación  de  un  derecho  o  libertad  “no  incluido  ni  por  la</w:t>
        <w:br/>
        <w:t xml:space="preserve">         Convención ni por el Protocolo  de  San  Salvador”  y  que  no  era</w:t>
        <w:br/>
        <w:t xml:space="preserve">         posible invocar el principio de interpretación  progresiva  de  los</w:t>
        <w:br/>
        <w:t xml:space="preserve">         instrumentos internacionales para añadir  derechos  al  régimen  de</w:t>
        <w:br/>
        <w:t xml:space="preserve">         protección, ya que aquel se aplicaba para atribuirle a  un  derecho</w:t>
        <w:br/>
        <w:t xml:space="preserve">         ya existente e incluido en dicho régimen,  un  sentido  distinto  y</w:t>
        <w:br/>
        <w:t xml:space="preserve">         generalmente más amplio al originalmente dado.</w:t>
        <w:br/>
        <w:br/>
        <w:t xml:space="preserve">     31. La Comisión alegó que el sometimiento del  presente  caso  ante  la</w:t>
        <w:br/>
        <w:t xml:space="preserve">         Corte se produjo con anterioridad a los  avances  jurisprudenciales</w:t>
        <w:br/>
        <w:t xml:space="preserve">         en torno al artículo 26 de la Convención Americana. En tal sentido,</w:t>
        <w:br/>
        <w:t xml:space="preserve">         consideró que el análisis del derecho a la seguridad social  en  el</w:t>
        <w:br/>
        <w:t xml:space="preserve">         marco  del  referido  artículo  26,  además  de  los  derechos   ya</w:t>
        <w:br/>
        <w:t xml:space="preserve">         invocados,  “contribuiría  a  insertarlo   precisamente   en   esta</w:t>
        <w:br/>
        <w:t xml:space="preserve">         evolución interamericana  y  a  una  compresión  más  integral  del</w:t>
        <w:br/>
        <w:t xml:space="preserve">         alcance de la responsabilidad internacional”.</w:t>
        <w:br/>
        <w:br/>
        <w:t xml:space="preserve">     32. Las representantes argumentaron que el artículo 26 de la Convención</w:t>
        <w:br/>
        <w:t xml:space="preserve">         debía ser justiciable con base al artículo 62.3  de  la  Convención</w:t>
        <w:br/>
        <w:t xml:space="preserve">         que establece la competencia de la Corte para conocer de  cualquier</w:t>
        <w:br/>
        <w:t xml:space="preserve">         caso relativo a la interpretación y aplicación de las disposiciones</w:t>
        <w:br/>
        <w:t xml:space="preserve">         de la Convención que le sea sometido, y que el referido dispositivo</w:t>
        <w:br/>
        <w:t xml:space="preserve">         era parte del  tratado.  Asimismo,  indicaron  que  no  había  sido</w:t>
        <w:br/>
        <w:t xml:space="preserve">         invocada la violación al Protocolo de San  Salvador,  sino  que  su</w:t>
        <w:br/>
        <w:t xml:space="preserve">         mención fue a manera ilustrativa, ya que el mismo hacía  parte  del</w:t>
        <w:br/>
        <w:t xml:space="preserve">         corpus juris interamericano que podía ser utilizado como  parámetro</w:t>
        <w:br/>
        <w:t xml:space="preserve">         de interpretación de la Convención. Finalmente, concluyeron que “el</w:t>
        <w:br/>
        <w:t xml:space="preserve">         derecho a la seguridad social era un derecho humano  protegido  por</w:t>
        <w:br/>
        <w:t xml:space="preserve">         el derecho internacional e implícitamente contenido en el  artículo</w:t>
        <w:br/>
        <w:t xml:space="preserve">         26 de la CADH”.</w:t>
        <w:br/>
        <w:br/>
        <w:br/>
        <w:t>B.2 Consideraciones de la Corte</w:t>
        <w:br/>
        <w:br/>
        <w:br/>
        <w:t xml:space="preserve">     33. Conforme al razonamiento expuesto anteriormente, en el  sentido  de</w:t>
        <w:br/>
        <w:t xml:space="preserve">         analizar los alegatos del  Estado  como  una  excepción  preliminar</w:t>
        <w:br/>
        <w:t xml:space="preserve">         sobre falta de competencia en razón de la materia (supra párrs.  20</w:t>
        <w:br/>
        <w:t xml:space="preserve">         y 30), le corresponde a la Corte determinar  si  tiene  competencia</w:t>
        <w:br/>
        <w:t xml:space="preserve">         para analizar de manera directa, el derecho a la seguridad social a</w:t>
        <w:br/>
        <w:t xml:space="preserve">         partir de la interpretación del artículo 26 la Convención.</w:t>
        <w:br/>
        <w:br/>
        <w:t xml:space="preserve">     34. La Corte destaca que ya desde  el  caso  Acevedo  Buendía  y  otros</w:t>
        <w:br/>
        <w:t xml:space="preserve">         (“Cesantes y Jubilados de la Contraloría”) Vs. Perú estuvo  llamada</w:t>
        <w:br/>
        <w:t xml:space="preserve">         a resolver una excepción preliminar en razón de la materia respecto</w:t>
        <w:br/>
        <w:t xml:space="preserve">         del derecho a la seguridad social a partir de la interpretación del</w:t>
        <w:br/>
        <w:t xml:space="preserve">         artículo 26 de la Convención. En dicha decisión, la Corte concluyó,</w:t>
        <w:br/>
        <w:t xml:space="preserve">         de manera general que, conforme al artículo 62.1 de la  Convención,</w:t>
        <w:br/>
        <w:t xml:space="preserve">         esta tendría competencia para decidir si el Estado había  incurrido</w:t>
        <w:br/>
        <w:t xml:space="preserve">         en una violación e incumplimiento de alguno de los derechos  de  la</w:t>
        <w:br/>
        <w:t xml:space="preserve">         Convención, incluido el artículo 26. Sin embargo,  el  Tribunal  no</w:t>
        <w:br/>
        <w:t xml:space="preserve">         hizo una interpretación en cuanto a si el derecho  a  la  seguridad</w:t>
        <w:br/>
        <w:t xml:space="preserve">         social derivaba de la Carta de la OEA ni tomó en  consideración  el</w:t>
        <w:br/>
        <w:t xml:space="preserve">         Protocolo de San Salvador con respecto al Perú, Estado parte en  el</w:t>
        <w:br/>
        <w:t xml:space="preserve">         mismo[22].</w:t>
        <w:br/>
        <w:br/>
        <w:t xml:space="preserve">     35. En la sentencia del  caso  Lagos  del  Campo  Vs.  Perú,  la  Corte</w:t>
        <w:br/>
        <w:t xml:space="preserve">         desarrolló y concretó por primera vez  una  condena  específica  en</w:t>
        <w:br/>
        <w:t xml:space="preserve">         forma autónoma del artículo  26  de  la  Convención  Americana[23],</w:t>
        <w:br/>
        <w:t xml:space="preserve">         dispuesto  en  el  Capítulo  III,  titulado  Derechos   Económicos,</w:t>
        <w:br/>
        <w:t xml:space="preserve">         Sociales  y  Culturales  de  este  tratado.  Así,   este   Tribunal</w:t>
        <w:br/>
        <w:t xml:space="preserve">         estableció de manera más clara[24], su competencia para  conocer  y</w:t>
        <w:br/>
        <w:t xml:space="preserve">         resolver controversias relativas al artículo 26  de  la  Convención</w:t>
        <w:br/>
        <w:t xml:space="preserve">         Americana, como parte integrante de los derechos enumerados  en  la</w:t>
        <w:br/>
        <w:t xml:space="preserve">         misma, respecto de los cuales el artículo 1.1 confiere obligaciones</w:t>
        <w:br/>
        <w:t xml:space="preserve">         generales de respeto y garantía a  los  Estados[25].  A  partir  de</w:t>
        <w:br/>
        <w:t xml:space="preserve">         dicha Sentencia,  la  Corte  ha  establecido  su  competencia  para</w:t>
        <w:br/>
        <w:t xml:space="preserve">         analizar violaciones autónomas del artículo 26  de  la  Convención,</w:t>
        <w:br/>
        <w:t xml:space="preserve">         por lo que ha  considerado  que  los  derechos  derivados  de  este</w:t>
        <w:br/>
        <w:t xml:space="preserve">         artículo pueden ser justiciables de manera  directa  a  través  del</w:t>
        <w:br/>
        <w:t xml:space="preserve">         mecanismo   de   peticiones   individuales    ante    el    sistema</w:t>
        <w:br/>
        <w:t xml:space="preserve">         interamericano. Esta postura jurisprudencial ha sido ratificada  en</w:t>
        <w:br/>
        <w:t xml:space="preserve">         una  diversidad  de  decisiones  posteriores  adoptadas  por   este</w:t>
        <w:br/>
        <w:t xml:space="preserve">         Tribunal[26]. En este sentido, este Tribunal ya ha  establecido  su</w:t>
        <w:br/>
        <w:t xml:space="preserve">         competencia para analizar  el  fondo  de  alegadas  violaciones  de</w:t>
        <w:br/>
        <w:t xml:space="preserve">         derechos económicos, sociales, culturales y ambientales que  puedan</w:t>
        <w:br/>
        <w:t xml:space="preserve">         derivarse del artículo 26 de la Convención.</w:t>
        <w:br/>
        <w:br/>
        <w:t xml:space="preserve">     36. En particular, en el caso Cuscul Pivaral  y  otros  Vs.  Guatemala,</w:t>
        <w:br/>
        <w:t xml:space="preserve">         debido a la importancia de la cuestión para la  seguridad  jurídica</w:t>
        <w:br/>
        <w:t xml:space="preserve">         en   el   sistema   interamericano,   el   Tribunal   efectuó   una</w:t>
        <w:br/>
        <w:t xml:space="preserve">         interpretación  literal,  sistemática,  teleológica   y   evolutiva</w:t>
        <w:br/>
        <w:t xml:space="preserve">         respecto al alcance de su competencia sobre el artículo  26  de  la</w:t>
        <w:br/>
        <w:t xml:space="preserve">         Convención. Con base en dichos métodos de interpretación  y  de  un</w:t>
        <w:br/>
        <w:t xml:space="preserve">         análisis de los trabajos preparatorios de la Convención,  así  como</w:t>
        <w:br/>
        <w:t xml:space="preserve">         de la naturaleza jurídica del Protocolo de San Salvador,  la  Corte</w:t>
        <w:br/>
        <w:t xml:space="preserve">         concluyó que “el artículo 26 de  la  Convención  Americana  protege</w:t>
        <w:br/>
        <w:t xml:space="preserve">         aquellos derechos que derivan de las normas económicas, sociales  y</w:t>
        <w:br/>
        <w:t xml:space="preserve">         de educación, ciencia y cultura contenidas en la Carta de  la  OEA.</w:t>
        <w:br/>
        <w:t xml:space="preserve">         Los alcances de estos derechos deben ser entendidos en relación con</w:t>
        <w:br/>
        <w:t xml:space="preserve">         el resto de las demás cláusulas de la Convención Americana, por  lo</w:t>
        <w:br/>
        <w:t xml:space="preserve">         que están sujetos a las obligaciones generales  contenidas  en  los</w:t>
        <w:br/>
        <w:t xml:space="preserve">         artículos 1.1 y  2  de  la  Convención  y  pueden  ser  sujetos  de</w:t>
        <w:br/>
        <w:t xml:space="preserve">         supervisión por parte de este Tribunal en términos de los artículos</w:t>
        <w:br/>
        <w:t xml:space="preserve">         62 y 63 del mismo instrumento. Esta  conclusión  se  fundamenta  no</w:t>
        <w:br/>
        <w:t xml:space="preserve">         sólo   en   cuestiones   formales,   sino   que   resulta   de   la</w:t>
        <w:br/>
        <w:t xml:space="preserve">         interdependencia  e  indivisibilidad  de  los  derechos  civiles  y</w:t>
        <w:br/>
        <w:t xml:space="preserve">         políticos  y  los  derechos  económicos,  sociales,  culturales   y</w:t>
        <w:br/>
        <w:t xml:space="preserve">         ambientales, así como de su compatibilidad con el objeto y  fin  de</w:t>
        <w:br/>
        <w:t xml:space="preserve">         la Convención, que es la protección de los  derechos  fundamentales</w:t>
        <w:br/>
        <w:t xml:space="preserve">         de los seres humanos. Corresponderá,  en  cada  caso  concreto  que</w:t>
        <w:br/>
        <w:t xml:space="preserve">         requiera un análisis de DESCA, determinar si de la Carta de la  OEA</w:t>
        <w:br/>
        <w:t xml:space="preserve">         se deriva explícita o implícitamente un  derecho  humano  protegido</w:t>
        <w:br/>
        <w:t xml:space="preserve">         por el artículo  26  de  la  Convención  Americana,  así  como  los</w:t>
        <w:br/>
        <w:t xml:space="preserve">         alcances de dicha protección”[27].</w:t>
        <w:br/>
        <w:br/>
        <w:t xml:space="preserve">     37. La  Corte  se  remite  a  los  criterios  adoptados  en  los  casos</w:t>
        <w:br/>
        <w:t xml:space="preserve">         previamente señalados y reitera su jurisprudencia constante  en  el</w:t>
        <w:br/>
        <w:t xml:space="preserve">         sentido de que es competente para examinar la pretendida  violación</w:t>
        <w:br/>
        <w:t xml:space="preserve">         del derecho a la seguridad  social  que  estaría  contenida  en  el</w:t>
        <w:br/>
        <w:t xml:space="preserve">         artículo 26 de la Convención. Con base en lo expuesto, el  Tribunal</w:t>
        <w:br/>
        <w:t xml:space="preserve">         desestima la excepción preliminar opuesta por el Estado, por lo que</w:t>
        <w:br/>
        <w:t xml:space="preserve">         se  pronunciará  sobre  el  fondo  del  asunto   en   el   apartado</w:t>
        <w:br/>
        <w:t xml:space="preserve">         correspondiente.</w:t>
        <w:br/>
        <w:br/>
        <w:t>V</w:t>
        <w:br/>
        <w:t>PRUEBA</w:t>
        <w:br/>
        <w:br/>
        <w:br/>
        <w:t xml:space="preserve">      Admisibilidad de la prueba documental</w:t>
        <w:br/>
        <w:br/>
        <w:br/>
        <w:br/>
        <w:t xml:space="preserve">     38. El Tribunal recibió diversos documentos presentados como prueba por</w:t>
        <w:br/>
        <w:t xml:space="preserve">         la Comisión,  las  representantes  y  el  Estado,  adjuntos  a  sus</w:t>
        <w:br/>
        <w:t xml:space="preserve">         escritos principales y  como  prueba  para  mejor  resolver  (supra</w:t>
        <w:br/>
        <w:t xml:space="preserve">         párrs. 6, 7, 8 y 14). En el presente caso, como  en  otros[28],  el</w:t>
        <w:br/>
        <w:t xml:space="preserve">         Tribunal  admite  el  valor  probatorio  de   aquellos   documentos</w:t>
        <w:br/>
        <w:t xml:space="preserve">         presentados en la debida oportunidad procesal por las partes  y  la</w:t>
        <w:br/>
        <w:t xml:space="preserve">         Comisión (artículo 57 del Reglamento)[29], así como  la  presentada</w:t>
        <w:br/>
        <w:t xml:space="preserve">         por el Estado a solicitud de  la  Corte,  como  prueba  para  mejor</w:t>
        <w:br/>
        <w:t xml:space="preserve">         resolver, de conformidad con  el  artículo  58.b),  que  no  fueron</w:t>
        <w:br/>
        <w:t xml:space="preserve">         controvertidos ni objetados[30], y cuya autenticidad no fue  puesta</w:t>
        <w:br/>
        <w:t xml:space="preserve">         en duda. Sin perjuicio de ello, se realizan algunas consideraciones</w:t>
        <w:br/>
        <w:t xml:space="preserve">         pertinentes.</w:t>
        <w:br/>
        <w:br/>
        <w:t xml:space="preserve">     39.  Junto  con  sus  alegatos  finales  escritos,  las  representantes</w:t>
        <w:br/>
        <w:t xml:space="preserve">         remitieron tres documentos y dos videos relacionados con  la  salud</w:t>
        <w:br/>
        <w:t xml:space="preserve">         física y mental del señor Muelle Flores así como con algunos gastos</w:t>
        <w:br/>
        <w:t xml:space="preserve">         en los que incurrieron. La Corte observa  que  el  Estado  presentó</w:t>
        <w:br/>
        <w:t xml:space="preserve">         observaciones y objetó algunos de  los  anexos  remitidos  por  las</w:t>
        <w:br/>
        <w:t xml:space="preserve">         representantes. Este Tribunal solo se referirá a los  alegatos  del</w:t>
        <w:br/>
        <w:t xml:space="preserve">         Estado relativos a la admisibilidad de  la  prueba  documental.  Al</w:t>
        <w:br/>
        <w:t xml:space="preserve">         respecto, el Estado sostuvo que el anexo I, relativo al certificado</w:t>
        <w:br/>
        <w:t xml:space="preserve">         del Hospital de la Fuerza Aérea, “resulta[ba] borroso e ilegible” y</w:t>
        <w:br/>
        <w:t xml:space="preserve">         que no contaba con la formalidad de la “firma del jefe  de  sección</w:t>
        <w:br/>
        <w:t xml:space="preserve">         del Hospital Central  de  la  F.A.P”.  La  Corte  constata  que  el</w:t>
        <w:br/>
        <w:t xml:space="preserve">         documento sí es legible y  que  cuenta  con  la  firma  del  médico</w:t>
        <w:br/>
        <w:t xml:space="preserve">         tratante, lo cual considera suficiente para su admisión. Además, el</w:t>
        <w:br/>
        <w:t xml:space="preserve">         referido documento fue expedido con  posterioridad  al  escrito  de</w:t>
        <w:br/>
        <w:t xml:space="preserve">         solicitudes y argumentos de las representantes, en relación con  un</w:t>
        <w:br/>
        <w:t xml:space="preserve">         hecho  superviniente.  En  consecuencia,  de  conformidad  con   el</w:t>
        <w:br/>
        <w:t xml:space="preserve">         artículo 57.2 del Reglamento del Tribunal el documento se admite.</w:t>
        <w:br/>
        <w:br/>
        <w:t xml:space="preserve">     40.  Asimismo,  el  Estado  señaló  que   la   transcripción   de   las</w:t>
        <w:br/>
        <w:t xml:space="preserve">         representantes del texto del certificado médico  del  cirujano  que</w:t>
        <w:br/>
        <w:t xml:space="preserve">         realizó la intervención quirúrgica del señor  Oscar  Muelle  Flores</w:t>
        <w:br/>
        <w:t xml:space="preserve">         por fractura de cadera femoral, “no guarda[ba] el carácter  formal,</w:t>
        <w:br/>
        <w:t xml:space="preserve">         pues no ha[bía] sido transcrito y suscrito por el médico  tratante;</w:t>
        <w:br/>
        <w:t xml:space="preserve">         por tanto, de trataría de un documento no idóneo”. Al respecto,  la</w:t>
        <w:br/>
        <w:t xml:space="preserve">         Corte admite la transcripción de las representantes  debido  a  que</w:t>
        <w:br/>
        <w:t xml:space="preserve">         considera que tiene por objetivo clarificar, de forma fidedigna, lo</w:t>
        <w:br/>
        <w:t xml:space="preserve">         señalado por el certificado médico oficial que también figura en la</w:t>
        <w:br/>
        <w:t xml:space="preserve">         prueba remitida  por  ellas,  el  cual  goza  de  las  formalidades</w:t>
        <w:br/>
        <w:t xml:space="preserve">         correspondientes.</w:t>
        <w:br/>
        <w:br/>
        <w:br/>
        <w:t>Admisibilidad de la prueba testimonial y pericial</w:t>
        <w:br/>
        <w:br/>
        <w:br/>
        <w:t xml:space="preserve">     41. La Corte estima  pertinente  admitir  los  testimonio  y  peritajes</w:t>
        <w:br/>
        <w:t xml:space="preserve">         rendidos mediante declaraciones ante fedatario público,  en  cuanto</w:t>
        <w:br/>
        <w:t xml:space="preserve">         se ajusten al objeto definido por el Presidente  en  la  Resolución</w:t>
        <w:br/>
        <w:t xml:space="preserve">         que ordenó recibirlos (supra párr. 10) y  al  objeto  del  presente</w:t>
        <w:br/>
        <w:t xml:space="preserve">         caso[31].</w:t>
        <w:br/>
        <w:br/>
        <w:br/>
        <w:t xml:space="preserve">     42. El Estado presentó distintas  observaciones,  las  cuales  solicitó</w:t>
        <w:br/>
        <w:t xml:space="preserve">         sean apreciadas  por  la  Corte,  en  particular,  respecto  a  los</w:t>
        <w:br/>
        <w:t xml:space="preserve">         peritajes trasladados al presente caso, así como  en  relación  con</w:t>
        <w:br/>
        <w:t xml:space="preserve">         los testimonios rendidos por  Vibeke  Ann  Muelle  y  Jesús  Aníbal</w:t>
        <w:br/>
        <w:t xml:space="preserve">         Flores mediante affidávit. En primer lugar, la Corte se remite a lo</w:t>
        <w:br/>
        <w:t xml:space="preserve">         resuelto en la Resolución del Presidente de Convocatoria de  27  de</w:t>
        <w:br/>
        <w:t xml:space="preserve">         julio de 2018 (supra párr. 10), en relación con la admisibilidad de</w:t>
        <w:br/>
        <w:t xml:space="preserve">         las declaraciones correspondientes y la pertinencia del traslado de</w:t>
        <w:br/>
        <w:t xml:space="preserve">         los peritajes. Asimismo, la Corte considera que  las  observaciones</w:t>
        <w:br/>
        <w:t xml:space="preserve">         del Estado cuestionan el peso probatorio de las  declaraciones,  lo</w:t>
        <w:br/>
        <w:t xml:space="preserve">         que no genera un problema en cuanto a  su  admisibilidad[32].  Este</w:t>
        <w:br/>
        <w:t xml:space="preserve">         Tribunal valorará las observaciones del Estado respecto  del  valor</w:t>
        <w:br/>
        <w:t xml:space="preserve">         probatorio de  las  declaraciones  y  peritajes  admitidos,  en  lo</w:t>
        <w:br/>
        <w:t xml:space="preserve">         pertinente, en conjunto con la totalidad del acervo  probatorio  en</w:t>
        <w:br/>
        <w:t xml:space="preserve">         el presente caso.</w:t>
        <w:br/>
        <w:br/>
        <w:t>Vi</w:t>
        <w:br/>
        <w:t>HECHOS</w:t>
        <w:br/>
        <w:br/>
        <w:br/>
        <w:t xml:space="preserve">      Antecedentes</w:t>
        <w:br/>
        <w:br/>
        <w:br/>
        <w:t xml:space="preserve">     43. Oscar Muelle Flores es un ingeniero civil[33] quien trabajó para la</w:t>
        <w:br/>
        <w:t xml:space="preserve">         Empresa Minera Especial Tintaya S.A. (en adelante “Tintaya S.A.”  o</w:t>
        <w:br/>
        <w:t xml:space="preserve">         “empresa Tintaya S.A.”), desde el 1 de junio de 1981 hasta el 30 de</w:t>
        <w:br/>
        <w:t xml:space="preserve">         septiembre de 1990[34]. Tintaya S.A. fue una empresa estatal  hasta</w:t>
        <w:br/>
        <w:t xml:space="preserve">         su privatización en noviembre de 1994  (infra  párr.  57).  Durante</w:t>
        <w:br/>
        <w:t xml:space="preserve">         dicho período, el señor Muelle ocupó diversos cargos dentro  de  la</w:t>
        <w:br/>
        <w:t xml:space="preserve">         empresa, siendo el cargo de Gerente General Adjunto el  último  que</w:t>
        <w:br/>
        <w:t xml:space="preserve">         ocupó, al momento de su jubilación[35].</w:t>
        <w:br/>
        <w:br/>
        <w:t xml:space="preserve">     44. El 15 de mayo de  1990  Oscar  Muelle  Flores  fue  incorporado  al</w:t>
        <w:br/>
        <w:t xml:space="preserve">         régimen  pensionario  establecido  en  el  Decreto  Ley  No.  20530</w:t>
        <w:br/>
        <w:t xml:space="preserve">         “Régimen  de  Pensiones  y  Compensaciones  por  Servicios  Civiles</w:t>
        <w:br/>
        <w:t xml:space="preserve">         prestados al Estado”, mediante Resolución No.  AD-0884/90-R  de  la</w:t>
        <w:br/>
        <w:t xml:space="preserve">         empresa estatal[36], en la cual se le reconoció 35 años, 10 meses y</w:t>
        <w:br/>
        <w:t xml:space="preserve">         27 días de servicios brindados al Estado[37].</w:t>
        <w:br/>
        <w:br/>
        <w:t xml:space="preserve">     45. La decisión de incorporar al señor  Muelle  Flores  en  el  régimen</w:t>
        <w:br/>
        <w:t xml:space="preserve">         pensionario anteriormente descrito tuvo su base en los Acuerdos  de</w:t>
        <w:br/>
        <w:t xml:space="preserve">         Directorio No. 155/88 de 22 de diciembre de 1988 y No. 029/90 de  8</w:t>
        <w:br/>
        <w:t xml:space="preserve">         de febrero de 1990[38], los cuales autorizaban a la  Administración</w:t>
        <w:br/>
        <w:t xml:space="preserve">         Pública  a  incorporar  a  servidores  al  régimen   de   pensiones</w:t>
        <w:br/>
        <w:t xml:space="preserve">         mencionado y establecía una serie de reglas para ello[39].</w:t>
        <w:br/>
        <w:br/>
        <w:t xml:space="preserve">     46. Con base en el régimen de jubilación del Decreto Ley No.  20530  se</w:t>
        <w:br/>
        <w:t xml:space="preserve">         regularon “las  pensiones  y  compensaciones  a  cargo  del  Estado</w:t>
        <w:br/>
        <w:t xml:space="preserve">         correspondientes a los servicios de carácter  civil  prestados  por</w:t>
        <w:br/>
        <w:t xml:space="preserve">         los trabajadores  del  sector  público  nacional”  que  no  estaban</w:t>
        <w:br/>
        <w:t xml:space="preserve">         incluidos en el Sistema  Nacional  de  Pensiones  del  Decreto  Ley</w:t>
        <w:br/>
        <w:t xml:space="preserve">         N°19990[40] de 1973. Dicho régimen fue creado para “retribuir a los</w:t>
        <w:br/>
        <w:t xml:space="preserve">         trabajadores del Estado que no alcanzaban  a  ingresar  al  Sistema</w:t>
        <w:br/>
        <w:t xml:space="preserve">         Nacional de Pensiones”[41], por lo que el  trabajador  adquiría  el</w:t>
        <w:br/>
        <w:t xml:space="preserve">         derecho a la pensión al alcanzar 15 años de servicios al Estado, si</w:t>
        <w:br/>
        <w:t xml:space="preserve">         se trataba de hombres y 12.5 años si se trataba de mujeres[42].  La</w:t>
        <w:br/>
        <w:t xml:space="preserve">         pensión era calculada “sobre las doce (12)  últimas  remuneraciones</w:t>
        <w:br/>
        <w:t xml:space="preserve">         percibidas y en razón de 1/30 por año de servicio para los  hombres</w:t>
        <w:br/>
        <w:t xml:space="preserve">         y 1/25 por año de servicio para las mujeres”[43].</w:t>
        <w:br/>
        <w:br/>
        <w:t xml:space="preserve">     47. Con la promulgación  de  la  Constitución  Política  de  1979,  con</w:t>
        <w:br/>
        <w:t xml:space="preserve">         posterioridad a la expedición del Decreto Ley No. 20530, se  señaló</w:t>
        <w:br/>
        <w:t xml:space="preserve">         en su Octava Disposición General y  Transitoria  el  derecho  a  la</w:t>
        <w:br/>
        <w:t xml:space="preserve">         nivelación  de  los  pensionistas  bajo  este   régimen   con   las</w:t>
        <w:br/>
        <w:t xml:space="preserve">         remuneraciones  actuales  de  los   funcionarios   y/o   servidores</w:t>
        <w:br/>
        <w:t xml:space="preserve">         públicos, siempre y cuando los pensionistas hubiesen  brindado  más</w:t>
        <w:br/>
        <w:t xml:space="preserve">         de 20 años de servicios al Estado[44]. Por ello, el Decreto Ley No.</w:t>
        <w:br/>
        <w:t xml:space="preserve">         20530 se conoció como el régimen  de  la  “cédula  viva”  o  de  la</w:t>
        <w:br/>
        <w:t xml:space="preserve">         “pensión renovable”,  debido  al  “efecto  espejo”  que  equiparaba</w:t>
        <w:br/>
        <w:t xml:space="preserve">         automáticamente las pensiones de cesantía a las  remuneraciones  de</w:t>
        <w:br/>
        <w:t xml:space="preserve">         los trabajadores en actividad (servidores públicos activos), siendo</w:t>
        <w:br/>
        <w:t xml:space="preserve">         la referencia, el último cargo ocupado por el  pensionista[45].  En</w:t>
        <w:br/>
        <w:t xml:space="preserve">         este sentido, la pensión recibida por el beneficiario era  igual  a</w:t>
        <w:br/>
        <w:t xml:space="preserve">         la del trabajador en actividad,  por  lo  que  el  reajuste  estaba</w:t>
        <w:br/>
        <w:t xml:space="preserve">         supeditado al incremento de la remuneración de este  último  (infra</w:t>
        <w:br/>
        <w:t xml:space="preserve">         párr. 48).</w:t>
        <w:br/>
        <w:br/>
        <w:t xml:space="preserve">     48. El beneficio de la nivelación pensionaria constituyó un  privilegio</w:t>
        <w:br/>
        <w:t xml:space="preserve">         ampliado por la Constitución para las personas sujetas  al  Decreto</w:t>
        <w:br/>
        <w:t xml:space="preserve">         Ley No. 20530, ya que no fue incorporado originalmente en el  texto</w:t>
        <w:br/>
        <w:t xml:space="preserve">         de dicho Decreto. Este beneficio fue desarrollado mediante  la  Ley</w:t>
        <w:br/>
        <w:t xml:space="preserve">         No. 23495 de noviembre de 1982 y su Reglamento Decreto Supremo  No.</w:t>
        <w:br/>
        <w:t xml:space="preserve">         015-83-PCM de marzo de 1983. El artículo 5  de  la  ley  establecía</w:t>
        <w:br/>
        <w:t xml:space="preserve">         que: “[c]ualquier incremento  posterior  a  la  nivelación  que  se</w:t>
        <w:br/>
        <w:t xml:space="preserve">         otorgue a los servidores públicos en actividad  que  desempeñen  el</w:t>
        <w:br/>
        <w:t xml:space="preserve">         cargo u otro similar al último cargo en  que  prestó  servicios  el</w:t>
        <w:br/>
        <w:t xml:space="preserve">         cesante o jubilado, dará lugar al incremento de la pensión en igual</w:t>
        <w:br/>
        <w:t xml:space="preserve">         monto al que corresponde al servidor en actividad”[46].</w:t>
        <w:br/>
        <w:br/>
        <w:t xml:space="preserve">     49. El 30 de septiembre de 1990 el señor Muelle Flores se jubiló de  la</w:t>
        <w:br/>
        <w:t xml:space="preserve">         empresa Tintaya, la cual hasta ese momento era una empresa  estatal</w:t>
        <w:br/>
        <w:t xml:space="preserve">         de derecho privado. El  señor  Muelle  Flores  recibió  su  pensión</w:t>
        <w:br/>
        <w:t xml:space="preserve">         conforme al Decreto Ley No. 20530, desde el 1 de  octubre  de  1990</w:t>
        <w:br/>
        <w:t xml:space="preserve">         hasta el mes de enero de 1991. El 27 de febrero de 1991 recibió  la</w:t>
        <w:br/>
        <w:t xml:space="preserve">         comunicación No. GA/0130/91 mediante la cual, de manera unilateral,</w:t>
        <w:br/>
        <w:t xml:space="preserve">         el gerente de administración de la empresa Tintaya le informó  que,</w:t>
        <w:br/>
        <w:t xml:space="preserve">         de acuerdo con la opinión  legal  del  asesor  externo,  se  acordó</w:t>
        <w:br/>
        <w:t xml:space="preserve">         suspender  la  aplicación  del  régimen  de  pensión  del   decreto</w:t>
        <w:br/>
        <w:t xml:space="preserve">         citado[47]. Se le comunicó al señor Muelle Flores que aquel decreto</w:t>
        <w:br/>
        <w:t xml:space="preserve">         no era de aplicación para el personal de la empresa ya que si  bien</w:t>
        <w:br/>
        <w:t xml:space="preserve">         era estatal, estaba regida por el derecho privado y  se  encontraba</w:t>
        <w:br/>
        <w:t xml:space="preserve">         dentro del régimen laboral de la actividad privada, por lo que  sus</w:t>
        <w:br/>
        <w:t xml:space="preserve">         trabajadores no podían ser considerados  como  servidores  públicos</w:t>
        <w:br/>
        <w:t xml:space="preserve">         sino trabajadores privados[48]. De igual manera, se le comunicó que</w:t>
        <w:br/>
        <w:t xml:space="preserve">         su incorporación contravenía el artículo 14  del  referido  Decreto</w:t>
        <w:br/>
        <w:t xml:space="preserve">         Ley, el cual prohibía la  acumulación  de  regímenes  laborales  de</w:t>
        <w:br/>
        <w:t xml:space="preserve">         distinta naturaleza (público y privado)[49].</w:t>
        <w:br/>
        <w:br/>
        <w:t xml:space="preserve">     50. Con el fin de revertir la suspensión del pago  de  su  pensión,  el</w:t>
        <w:br/>
        <w:t xml:space="preserve">         señor Muelle Flores interpuso y participó en una serie de  acciones</w:t>
        <w:br/>
        <w:t xml:space="preserve">         judiciales con  el  objeto  de  ser  reincorporado  al  régimen  de</w:t>
        <w:br/>
        <w:t xml:space="preserve">         pensiones del Decreto Ley No. 20530, entre ellas: dos  demandas  de</w:t>
        <w:br/>
        <w:t xml:space="preserve">         amparo;  un  procedimiento   contencioso   administrativo,   y   un</w:t>
        <w:br/>
        <w:t xml:space="preserve">         procedimiento de ejecución de sentencia[50].  Estos  procedimientos</w:t>
        <w:br/>
        <w:t xml:space="preserve">         serán descritos en los siguientes apartados.</w:t>
        <w:br/>
        <w:br/>
        <w:t xml:space="preserve">     51. Desde la fecha de suspensión del pago hasta la actualidad, el señor</w:t>
        <w:br/>
        <w:t xml:space="preserve">         Muelle Flores no ha recibido de  forma  completa,  el  pago  de  su</w:t>
        <w:br/>
        <w:t xml:space="preserve">         pensión, sin perjuicio de ciertos pagos parciales que se efectuaron</w:t>
        <w:br/>
        <w:t xml:space="preserve">         desde 1999 hasta 2001 (infra párrs. 79, 80 y 216).</w:t>
        <w:br/>
        <w:br/>
        <w:t xml:space="preserve">     52. En la actualidad, el señor Oscar Muelle Flores tiene 82 años[51]  y</w:t>
        <w:br/>
        <w:t xml:space="preserve">         sufre discapacidad auditiva severa (hipoacusia)  como  consecuencia</w:t>
        <w:br/>
        <w:t xml:space="preserve">         de la pérdida de su audición en uno de los oídos de  manera  total,</w:t>
        <w:br/>
        <w:t xml:space="preserve">         hace 15 años, así  como  de  la  disminución  de  la  audición  del</w:t>
        <w:br/>
        <w:t xml:space="preserve">         otro[52]. Asimismo, en mayo de 2018, el  señor  Muelle  Flores  fue</w:t>
        <w:br/>
        <w:t xml:space="preserve">         diagnosticado con “demencia senil tipo Alzheimer”  y  en  julio  de</w:t>
        <w:br/>
        <w:t xml:space="preserve">         2018 sufrió una fractura de la cadera femoral, por la  cual  se  le</w:t>
        <w:br/>
        <w:t xml:space="preserve">         debió colocar una prótesis[53].</w:t>
        <w:br/>
        <w:br/>
        <w:br/>
        <w:br/>
        <w:br/>
        <w:br/>
        <w:t>Primer proceso de amparo</w:t>
        <w:br/>
        <w:br/>
        <w:br/>
        <w:br/>
        <w:br/>
        <w:br/>
        <w:t xml:space="preserve">     53. El 18 de abril de 1991 el señor Muelle Flores interpuso un  recurso</w:t>
        <w:br/>
        <w:t xml:space="preserve">         de amparo por la vulneración de distintos derechos  reconocidos  en</w:t>
        <w:br/>
        <w:t xml:space="preserve">         la Constitución del Perú, entre ellos el  derecho  a  la  seguridad</w:t>
        <w:br/>
        <w:t xml:space="preserve">         social, y solicitó su reincorporación al  régimen  pensionario  del</w:t>
        <w:br/>
        <w:t xml:space="preserve">         Decreto Ley No. 20530, así como el pago de  los  montos  devengados</w:t>
        <w:br/>
        <w:t xml:space="preserve">         con intereses, no abonados en virtud de dicha suspensión[54].</w:t>
        <w:br/>
        <w:br/>
        <w:t xml:space="preserve">     54. El 19 de julio de 1991 el  Quinto  Juzgado  de  lo  Civil  de  Lima</w:t>
        <w:br/>
        <w:t xml:space="preserve">         declaró fundada la demanda y ordenó que se  dejara  sin  efecto  la</w:t>
        <w:br/>
        <w:t xml:space="preserve">         suspensión del régimen de pensiones y  compensaciones  del  Decreto</w:t>
        <w:br/>
        <w:t xml:space="preserve">         Ley No. 20530 en favor  del  señor  Muelle  Flores.  Esta  decisión</w:t>
        <w:br/>
        <w:t xml:space="preserve">         concluyó que la incorporación al citado régimen  de  pensiones  fue</w:t>
        <w:br/>
        <w:t xml:space="preserve">         llevada a cabo por la empresa como  su  empleadora,  es  decir  que</w:t>
        <w:br/>
        <w:t xml:space="preserve">         dicha incorporación creó una “relación  jurídica  sustantiva  entre</w:t>
        <w:br/>
        <w:t xml:space="preserve">         empleado y empleadora [con] derechos  y  obligaciones  de  carácter</w:t>
        <w:br/>
        <w:t xml:space="preserve">         material, que ambas partes deb[ían] cumplir”, por  lo  que  no  era</w:t>
        <w:br/>
        <w:t xml:space="preserve">         posible suspenderla unilateralmente, sino  que  la  modificación  o</w:t>
        <w:br/>
        <w:t xml:space="preserve">         extinción de los derechos debía obtenerse  por  acuerdo  entre  las</w:t>
        <w:br/>
        <w:t xml:space="preserve">         partes o por una decisión jurisdiccional. En este sentido, concluyó</w:t>
        <w:br/>
        <w:t xml:space="preserve">         que la suspensión del régimen de manera  unilateral  constituyó  un</w:t>
        <w:br/>
        <w:t xml:space="preserve">         acto  ilegítimo  y  arbitrario  que  trasgredió  el  derecho  a  la</w:t>
        <w:br/>
        <w:t xml:space="preserve">         seguridad social, a la igualdad y al trabajo[55].</w:t>
        <w:br/>
        <w:br/>
        <w:t xml:space="preserve">     55. Tal decisión fue apelada y el 29 de mayo de 1992  la  Segunda  Sala</w:t>
        <w:br/>
        <w:t xml:space="preserve">         Civil de la Corte  Superior  de  Lima  confirmó  la  resolución  de</w:t>
        <w:br/>
        <w:t xml:space="preserve">         primera instancia, al considerar que la suspensión de la aplicación</w:t>
        <w:br/>
        <w:t xml:space="preserve">         del régimen pensionario del  Decreto  Ley  No.  20530,  se  realizó</w:t>
        <w:br/>
        <w:t xml:space="preserve">         mediante  un  documento  de  mero  trámite  interno,   acción   que</w:t>
        <w:br/>
        <w:t xml:space="preserve">         “rev[estía] las características de lesión y agresión de  derecho[,]</w:t>
        <w:br/>
        <w:t xml:space="preserve">         concurriendo el requisito esencial de verosimilitud, vislumbrándose</w:t>
        <w:br/>
        <w:t xml:space="preserve">         la viabilización de la pretensión dentro del cauce ex[cep]cional  y</w:t>
        <w:br/>
        <w:t xml:space="preserve">         sumarísimo del amparo”[56].</w:t>
        <w:br/>
        <w:br/>
        <w:t xml:space="preserve">     56. El 2 de febrero de 1993 la Corte Suprema de  Justicia  confirmó  la</w:t>
        <w:br/>
        <w:t xml:space="preserve">         decisión de la Corte Superior y declaró “no haber  nulidad”  en  la</w:t>
        <w:br/>
        <w:t xml:space="preserve">         sentencia de la Segunda Sala Civil, declarando fundada la acción de</w:t>
        <w:br/>
        <w:t xml:space="preserve">         amparo y ordenando la inaplicabilidad  de  la  comunicación  de  la</w:t>
        <w:br/>
        <w:t xml:space="preserve">         Gerencia General No. GA/0130/91  de  27  de  febrero  de  1991  que</w:t>
        <w:br/>
        <w:t xml:space="preserve">         dispuso la suspensión de  la  incorporación  del  señor  Muelle  al</w:t>
        <w:br/>
        <w:t xml:space="preserve">         régimen de pensiones del Decreto Ley 20530 y al pago de su pensión,</w:t>
        <w:br/>
        <w:t xml:space="preserve">         restableciéndose sus derechos al estado  anterior  de  la  agresión</w:t>
        <w:br/>
        <w:t xml:space="preserve">         constitucional. La sentencia estableció que “tratándose de derechos</w:t>
        <w:br/>
        <w:t xml:space="preserve">         reconocidos  a  favor  del   empleado   que   la   propia   empresa</w:t>
        <w:br/>
        <w:t xml:space="preserve">         unilateralmente desconoció  con  posterioridad,  es  procedente  la</w:t>
        <w:br/>
        <w:t xml:space="preserve">         acción de [a]mparo”[57].</w:t>
        <w:br/>
        <w:br/>
        <w:br/>
        <w:t>Privatización de la empresa estatal Minera Especial Tintaya S.A.</w:t>
        <w:br/>
        <w:br/>
        <w:br/>
        <w:t xml:space="preserve">     57. La empresa Especial Minera Tintaya S.A fue privatizada en 1994,  en</w:t>
        <w:br/>
        <w:t xml:space="preserve">         el marco del Decreto Legislativo No. 674 “Ley de  Promoción  de  la</w:t>
        <w:br/>
        <w:t xml:space="preserve">         Inversión Privada de las Empresas del Estado” y  de  su  Reglamento</w:t>
        <w:br/>
        <w:t xml:space="preserve">         aprobado por el Decreto Supremo N°070-93-PCM.  El  artículo  1  del</w:t>
        <w:br/>
        <w:t xml:space="preserve">         decreto legislativo declaró de interés nacional la promoción de  la</w:t>
        <w:br/>
        <w:t xml:space="preserve">         inversión privada en el ámbito de las  empresas  que  conforman  la</w:t>
        <w:br/>
        <w:t xml:space="preserve">         actividad empresarial del Estado[58].</w:t>
        <w:br/>
        <w:br/>
        <w:t xml:space="preserve">     58.  El 29 de noviembre de 1994 se celebró un contrato  de  compraventa</w:t>
        <w:br/>
        <w:t xml:space="preserve">         de acciones suscrito entre la Empresa Minera del  Perú  S.A.  y  el</w:t>
        <w:br/>
        <w:t xml:space="preserve">         consorcio conformado por Magma Copper Company y Global  Magma  Ltd.</w:t>
        <w:br/>
        <w:t xml:space="preserve">         (denominado Magma Copper Corporation). Dicho consorcio adquirió  la</w:t>
        <w:br/>
        <w:t xml:space="preserve">         propiedad o domino total y absoluto, sin  restricción  alguna,  del</w:t>
        <w:br/>
        <w:t xml:space="preserve">         98.43%  del  capital  social  de  Tintaya,   y   los   trabajadores</w:t>
        <w:br/>
        <w:t xml:space="preserve">         adquirieron el restante 1.57%[59].</w:t>
        <w:br/>
        <w:br/>
        <w:t xml:space="preserve">     59. En el contrato de compra venta de acciones pactado por las  partes,</w:t>
        <w:br/>
        <w:t xml:space="preserve">         se estipuló en el numeral séptimo de la cláusula VI  “declaraciones</w:t>
        <w:br/>
        <w:t xml:space="preserve">         y  garantías  del  vendedor”,  que  el  vendedor   desconocía   “la</w:t>
        <w:br/>
        <w:t xml:space="preserve">         existencia de otros pasivos o  activos,  ni  contingencias  que  se</w:t>
        <w:br/>
        <w:t xml:space="preserve">         deriven de responsabilidades tributarias, laborales, legales  o  de</w:t>
        <w:br/>
        <w:t xml:space="preserve">         cualquier otra naturaleza  distintos  a  los  registrados”[60].  El</w:t>
        <w:br/>
        <w:t xml:space="preserve">         mismo  numeral   estableció   que   de   “presentarse   pasivos   o</w:t>
        <w:br/>
        <w:t xml:space="preserve">         contingencias no registrados, derivados de hechos anteriores  a  la</w:t>
        <w:br/>
        <w:t xml:space="preserve">         fecha de cierre [29 de noviembre de 1994], ellos ser[ían]  asumidos</w:t>
        <w:br/>
        <w:t xml:space="preserve">         por el [v]endedor[,]  en  la  medida  que  efectivamente  se  hayan</w:t>
        <w:br/>
        <w:t xml:space="preserve">         generado durante su gestión y los reclamos se hayan generado dentro</w:t>
        <w:br/>
        <w:t xml:space="preserve">         de  dos  años  a  partir  de  la  fecha  de  cierre,  excepto   las</w:t>
        <w:br/>
        <w:t xml:space="preserve">         contingencias tributarias […]”[61].</w:t>
        <w:br/>
        <w:br/>
        <w:t xml:space="preserve">     60.  El numeral décimo primero de la cláusula VI indicaba que el  anexo</w:t>
        <w:br/>
        <w:t xml:space="preserve">         “D”  de  dicho  contrato  contenía  “la  lista  completa   de   las</w:t>
        <w:br/>
        <w:t xml:space="preserve">         obligaciones económicas y pagos por jubilaciones, pensiones y otros</w:t>
        <w:br/>
        <w:t xml:space="preserve">         beneficios de los trabajadores […]  [y  que]  no  exist[ían]  otras</w:t>
        <w:br/>
        <w:t xml:space="preserve">         obligaciones  para   con   los   trabajadores   distintas   a   las</w:t>
        <w:br/>
        <w:t xml:space="preserve">         indicadas”[62].  El   anexo   D,   numerales   primero   “pago   de</w:t>
        <w:br/>
        <w:t xml:space="preserve">         jubilaciones”, y segundo “pensiones”, señalaron expresamente que la</w:t>
        <w:br/>
        <w:t xml:space="preserve">         empresa minera Tintaya S.A. no tenía jubilados  ni  pensionistas  a</w:t>
        <w:br/>
        <w:t xml:space="preserve">         cuenta   de   la   empresa,   pero   existía   litigio   con    dos</w:t>
        <w:br/>
        <w:t xml:space="preserve">         funcionarios[63].</w:t>
        <w:br/>
        <w:br/>
        <w:t xml:space="preserve">     61. Con posterioridad a la privatización, la propiedad  de  la  empresa</w:t>
        <w:br/>
        <w:t xml:space="preserve">         fue transferida  en  distintas  oportunidades  o  su  razón  social</w:t>
        <w:br/>
        <w:t xml:space="preserve">         cambió. En 1996, los activos y pasivos de Magma Copper  Corporation</w:t>
        <w:br/>
        <w:t xml:space="preserve">         fueron asumidos  por  la  Empresa  Minera  BHP  Tintaya  S.A.-  BHP</w:t>
        <w:br/>
        <w:t xml:space="preserve">         Billinton. En el 2001, producto de una fusión se creó BHP Billinton</w:t>
        <w:br/>
        <w:t xml:space="preserve">         Tintaya S.A., BHP adquirió la empresa minera suiza Xstrata  Copper,</w:t>
        <w:br/>
        <w:t xml:space="preserve">         pasando a denominarse  Xstrata  Tintaya  S.A.[64]  Actualmente,  la</w:t>
        <w:br/>
        <w:t xml:space="preserve">         empresa se identifica con la denominación de Antapaccay, S.A[65].</w:t>
        <w:br/>
        <w:br/>
        <w:br/>
        <w:t>Segundo proceso de amparo</w:t>
        <w:br/>
        <w:br/>
        <w:br/>
        <w:br/>
        <w:t xml:space="preserve">     62. En fecha 17 de febrero  de  1993  la  empresa  estatal  expidió  el</w:t>
        <w:br/>
        <w:t xml:space="preserve">         Acuerdo de Directorio No. 023/93, mediante el  cual  suspendió  los</w:t>
        <w:br/>
        <w:t xml:space="preserve">         acuerdos No. 155/88 y No. 029/90, donde se establecía  la  facultad</w:t>
        <w:br/>
        <w:t xml:space="preserve">         de incorporar a los trabajadores al régimen pensionario del Decreto</w:t>
        <w:br/>
        <w:t xml:space="preserve">         Ley No. 20530, por lo que se dispuso la suspensión del pago de  las</w:t>
        <w:br/>
        <w:t xml:space="preserve">         pensiones de jubilación a sus extrabajadores[66],  entre  ellos  el</w:t>
        <w:br/>
        <w:t xml:space="preserve">         señor Muelle Flores. Esta decisión le fue comunicada el 17 de  mayo</w:t>
        <w:br/>
        <w:t xml:space="preserve">         de 1993[67].</w:t>
        <w:br/>
        <w:br/>
        <w:t xml:space="preserve">     63. Con motivo de lo anterior, el señor  Muelle  Flores  interpuso  una</w:t>
        <w:br/>
        <w:t xml:space="preserve">         segunda  acción  de  amparo,   mediante   la   cual   solicitó   la</w:t>
        <w:br/>
        <w:t xml:space="preserve">         desaplicación  del  Acuerdo  Directivo  No.  023/93,  que   se   le</w:t>
        <w:br/>
        <w:t xml:space="preserve">         restituyera su  derecho  a  continuar  percibiendo  su  pensión  de</w:t>
        <w:br/>
        <w:t xml:space="preserve">         conformidad con el Decreto Ley No. 20530, la Ley  No.  25273  y  el</w:t>
        <w:br/>
        <w:t xml:space="preserve">         pago de una indemnización por el daño causado[68].</w:t>
        <w:br/>
        <w:br/>
        <w:t xml:space="preserve">     64. El 23 de febrero de 1995 el Décimo Séptimo Juzgado  Civil  de  Lima</w:t>
        <w:br/>
        <w:t xml:space="preserve">         declaró improcedente la demanda y señaló que el  Acuerdo  Directivo</w:t>
        <w:br/>
        <w:t xml:space="preserve">         No. 023/93 no vulneraba o amenazaba derecho constitucional  alguno,</w:t>
        <w:br/>
        <w:t xml:space="preserve">         al no extinguir su derecho de incorporación al régimen de pensiones</w:t>
        <w:br/>
        <w:t xml:space="preserve">         y compensaciones del Decreto Ley 20530. La  decisión  concluyó  que</w:t>
        <w:br/>
        <w:t xml:space="preserve">         dicho derecho se encontraba  plenamente  garantizado,  cautelado  y</w:t>
        <w:br/>
        <w:t xml:space="preserve">         protegido en virtud de  la  sentencia  definitiva  adoptada  en  el</w:t>
        <w:br/>
        <w:t xml:space="preserve">         proceso constitucional iniciado ante el  Quinto  Juzgado,  decisión</w:t>
        <w:br/>
        <w:t xml:space="preserve">         que se encontraba en fase de ejecución y  cuyo  cabal  cumplimiento</w:t>
        <w:br/>
        <w:t xml:space="preserve">         debía verificarse ante dicho juzgado[69].</w:t>
        <w:br/>
        <w:br/>
        <w:t xml:space="preserve">     65. El 14 de julio de 1995 la Primera Sala Civil de la  Corte  Superior</w:t>
        <w:br/>
        <w:t xml:space="preserve">         de Justicia de Lima confirmó la  sentencia  de  primera  instancia,</w:t>
        <w:br/>
        <w:t xml:space="preserve">         considerando que la decisión de 2 de febrero de 1993  de  la  Corte</w:t>
        <w:br/>
        <w:t xml:space="preserve">         Suprema tenía autoridad de cosa juzgada en favor del  señor  Muelle</w:t>
        <w:br/>
        <w:t xml:space="preserve">         Flores, por lo que podía  y  debía  oponerse  a  quien  pretendiera</w:t>
        <w:br/>
        <w:t xml:space="preserve">         ejecutar  una  agresión  contra  sus  derechos.  En  este  sentido,</w:t>
        <w:br/>
        <w:t xml:space="preserve">         concluyó que no podía iniciarse otra acción de garantía  contra  un</w:t>
        <w:br/>
        <w:t xml:space="preserve">         acto que expresa “clara e ilegal  resistencia  a  lo  resuelto  por</w:t>
        <w:br/>
        <w:t xml:space="preserve">         autoridad jurisdiccional” [70].</w:t>
        <w:br/>
        <w:br/>
        <w:t xml:space="preserve">     66. El 26 de agosto de 1997 la Sala de Derecho Constitucional y  Social</w:t>
        <w:br/>
        <w:t xml:space="preserve">         de la Corte Suprema  resolvió  un  recurso  de  nulidad  y  declaró</w:t>
        <w:br/>
        <w:t xml:space="preserve">         improcedente el recurso de amparo interpuesto por el  señor  Muelle</w:t>
        <w:br/>
        <w:t xml:space="preserve">         Flores[71].  El   señor   Muelle   Flores   presentó   un   recurso</w:t>
        <w:br/>
        <w:t xml:space="preserve">         extraordinario   contra   esta   decisión    ante    el    Tribunal</w:t>
        <w:br/>
        <w:t xml:space="preserve">         Constitucional.</w:t>
        <w:br/>
        <w:br/>
        <w:t xml:space="preserve">     67. El 10 de diciembre de 1999 el  Tribunal  Constitucional  revocó  la</w:t>
        <w:br/>
        <w:t xml:space="preserve">         resolución de la Corte Suprema de Justicia  y  declaró  fundado  el</w:t>
        <w:br/>
        <w:t xml:space="preserve">         recurso de  amparo,  considerando  que  los  derechos  pensionarios</w:t>
        <w:br/>
        <w:t xml:space="preserve">         adquiridos por el demandante de conformidad con el Decreto Ley  No.</w:t>
        <w:br/>
        <w:t xml:space="preserve">         20530  no  podían  ser  desconocidos  por  la  demandada  en  forma</w:t>
        <w:br/>
        <w:t xml:space="preserve">         unilateral y fuera del plazo de ley de  seis  meses  que  tenía  la</w:t>
        <w:br/>
        <w:t xml:space="preserve">         administración   para   declarar   la   nulidad   de   resoluciones</w:t>
        <w:br/>
        <w:t xml:space="preserve">         administrativas, desconociéndose con ello,  derechos  y  principios</w:t>
        <w:br/>
        <w:t xml:space="preserve">         laborales de jerarquía constitucional.  La  sentencia  destacó  que</w:t>
        <w:br/>
        <w:t xml:space="preserve">         frente a las resoluciones que constituían cosa  juzgada,  es  decir</w:t>
        <w:br/>
        <w:t xml:space="preserve">         que revestían de inmutabilidad, solo procedía determinar su nulidad</w:t>
        <w:br/>
        <w:t xml:space="preserve">         a través de un proceso regular en sede judicial[72].</w:t>
        <w:br/>
        <w:br/>
        <w:t xml:space="preserve">     68. El Tribunal  Constitucional  determinó  que  no  era  aplicable  el</w:t>
        <w:br/>
        <w:t xml:space="preserve">         Acuerdo No. 023/93 de 17 de febrero de 1993, ordenó que la  empresa</w:t>
        <w:br/>
        <w:t xml:space="preserve">         cumpla con el pago continuado de la pensión por cesantía  renovable</w:t>
        <w:br/>
        <w:t xml:space="preserve">         que percibía el señor Muelle Flores, y declaró improcedente el pago</w:t>
        <w:br/>
        <w:t xml:space="preserve">         de la indemnización solicitada[73].</w:t>
        <w:br/>
        <w:br/>
        <w:br/>
        <w:t>Proceso contencioso administrativo</w:t>
        <w:br/>
        <w:br/>
        <w:br/>
        <w:t xml:space="preserve">     69. La empresa estatal Tintaya S.A. interpuso una  demanda  en  la  vía</w:t>
        <w:br/>
        <w:t xml:space="preserve">         contencioso  administrativa  a  efectos  de  que  se  declarara  la</w:t>
        <w:br/>
        <w:t xml:space="preserve">         improcedencia de la reincorporación  del  señor  Muelle  Flores  al</w:t>
        <w:br/>
        <w:t xml:space="preserve">         régimen pensionario del Decreto Ley No. 20530[74]. El 21  de  enero</w:t>
        <w:br/>
        <w:t xml:space="preserve">         de 1994 la demanda fue declarada fundada en primera  instancia,  la</w:t>
        <w:br/>
        <w:t xml:space="preserve">         cual fue apelada y elevada a Sala Contencioso Administrativa de  la</w:t>
        <w:br/>
        <w:t xml:space="preserve">         Corte Superior de Lima.</w:t>
        <w:br/>
        <w:br/>
        <w:t xml:space="preserve">     70.  La  Sala  Contencioso  Administrativa,  con  base  en  la  Primera</w:t>
        <w:br/>
        <w:t xml:space="preserve">         Disposición Complementaria del  Decreto  Legislativo  No.  817[75],</w:t>
        <w:br/>
        <w:t xml:space="preserve">         solicitó  mediante  resolución  de  30  de  julio   de   1996,   el</w:t>
        <w:br/>
        <w:t xml:space="preserve">         apersonamiento de  la  Oficina  de  Normalización  Previsional  (en</w:t>
        <w:br/>
        <w:t xml:space="preserve">         adelante “ONP”) al proceso[76], ya que conforme a dicha norma, esta</w:t>
        <w:br/>
        <w:t xml:space="preserve">         entidad era el órgano  estatal  encargado  de  la  defensa  de  los</w:t>
        <w:br/>
        <w:t xml:space="preserve">         intereses  del  Estado  en  todos  los  procedimientos   judiciales</w:t>
        <w:br/>
        <w:t xml:space="preserve">         relativos a la aplicación de los derechos pensionarios.</w:t>
        <w:br/>
        <w:br/>
        <w:t xml:space="preserve">     71. La ONP se apersonó al  proceso  el  15  de  agosto  de  1996[77]  y</w:t>
        <w:br/>
        <w:t xml:space="preserve">         presentó un escrito de descargo, alegando por la  improcedencia  de</w:t>
        <w:br/>
        <w:t xml:space="preserve">         la reincorporación del señor Muelle Flores al régimen  del  Decreto</w:t>
        <w:br/>
        <w:t xml:space="preserve">         Ley  No.  20530,  por  no  cumplir  con  los   requisitos   legales</w:t>
        <w:br/>
        <w:t xml:space="preserve">         establecidos en diversa normativa[78].</w:t>
        <w:br/>
        <w:br/>
        <w:t xml:space="preserve">     72.  El 2 de septiembre de 1996 la Sala Contencioso  Administrativa  de</w:t>
        <w:br/>
        <w:t xml:space="preserve">         la  Corte  Superior  de  Lima  confirmó  la  sentencia  de  primera</w:t>
        <w:br/>
        <w:t xml:space="preserve">         instancia[79].</w:t>
        <w:br/>
        <w:br/>
        <w:t xml:space="preserve">     73. El señor Muelle Flores presentó un recurso  de  nulidad  contra  la</w:t>
        <w:br/>
        <w:t xml:space="preserve">         sentencia de  la  Sala  Contencioso  Administrativa,  el  cual  fue</w:t>
        <w:br/>
        <w:t xml:space="preserve">         decidido por la Corte Suprema el 29 de octubre de 1997,  declarando</w:t>
        <w:br/>
        <w:t xml:space="preserve">         la nulidad de dicha decisión y por ende, infundada la demanda de la</w:t>
        <w:br/>
        <w:t xml:space="preserve">         empresa Tintaya S.A. La decisión de la Corte Suprema coincidió  con</w:t>
        <w:br/>
        <w:t xml:space="preserve">         las razones esgrimidas por el dictamen del  Ministerio  Público[80]</w:t>
        <w:br/>
        <w:t xml:space="preserve">         en el sentido de declarar que la  reincorporación  al  régimen  del</w:t>
        <w:br/>
        <w:t xml:space="preserve">         Decreto Ley No.  20530  del  señor  Muelle  Flores,  se  encontraba</w:t>
        <w:br/>
        <w:t xml:space="preserve">         conforme a ley.</w:t>
        <w:br/>
        <w:br/>
        <w:t xml:space="preserve">     74. La sentencia de la Corte Suprema y el  dictamen  fiscal  destacaron</w:t>
        <w:br/>
        <w:t xml:space="preserve">         que  la  reincorporación  del  señor  Muelle  Flores   al   régimen</w:t>
        <w:br/>
        <w:t xml:space="preserve">         pensionario  a  cargo  del  Estado  se  produjo  al  cumplirse  los</w:t>
        <w:br/>
        <w:t xml:space="preserve">         requisitos exigidos por el Decreto Ley No. 20530, y que si bien  su</w:t>
        <w:br/>
        <w:t xml:space="preserve">         artículo 14.b) prohibía la acumulación de los  servicios  prestados</w:t>
        <w:br/>
        <w:t xml:space="preserve">         al sector público bajo regímenes laborales distintos,  también  era</w:t>
        <w:br/>
        <w:t xml:space="preserve">         cierto que su Quinta Disposición Transitoria y la Ley No. 25273  de</w:t>
        <w:br/>
        <w:t xml:space="preserve">         6 de julio de 1990 establecieron excepciones al artículo 14.b)  del</w:t>
        <w:br/>
        <w:t xml:space="preserve">         citado decreto, aplicables al caso  del  señor  Muelle  Flores,  en</w:t>
        <w:br/>
        <w:t xml:space="preserve">         virtud del principio de retroactividad benigna de  las  leyes.  Por</w:t>
        <w:br/>
        <w:t xml:space="preserve">         ello, la derogación de la Ley No.  25273  no  perjudicaba  en  modo</w:t>
        <w:br/>
        <w:t xml:space="preserve">         alguno el derecho adquirido por el señor Muelle[81].</w:t>
        <w:br/>
        <w:br/>
        <w:t xml:space="preserve">     75. El señor Muelle Flores remitió distintas cartas notariales a la ONP</w:t>
        <w:br/>
        <w:t xml:space="preserve">         con el fin de que se diera cumplimiento a la  sentencia  de  29  de</w:t>
        <w:br/>
        <w:t xml:space="preserve">         octubre de 1997 en la acción contenciosa administrativa interpuesta</w:t>
        <w:br/>
        <w:t xml:space="preserve">         por la empresa Tintaya S.A[82]. El 27 de noviembre de 1998  la  ONP</w:t>
        <w:br/>
        <w:t xml:space="preserve">         remitió una comunicación a dicha empresa,  la  que  ya  había  sido</w:t>
        <w:br/>
        <w:t xml:space="preserve">         privatizada (supra párr. 57), destacando la  obligación  que  tenía</w:t>
        <w:br/>
        <w:t xml:space="preserve">         toda persona y autoridad de cumplir con las decisiones  judiciales.</w:t>
        <w:br/>
        <w:t xml:space="preserve">         La comunicación concluyó que conforme  al  artículo  4  del  citado</w:t>
        <w:br/>
        <w:t xml:space="preserve">         Decreto Legislativo No. 817, “cada entidad continu[aba] manteniendo</w:t>
        <w:br/>
        <w:t xml:space="preserve">         la responsabilidad del pago de las pensiones que le correspond[ían]</w:t>
        <w:br/>
        <w:t xml:space="preserve">         de acuerdo a ley, con excepción de aquellas entidades que  mediante</w:t>
        <w:br/>
        <w:t xml:space="preserve">         Decreto Supremo han transferido los fondos y obligación a  la  ONP,</w:t>
        <w:br/>
        <w:t xml:space="preserve">         no siendo el caso de su empresa”[83]. En esa misma  fecha,  la  ONP</w:t>
        <w:br/>
        <w:t xml:space="preserve">         comunicó al señor Muelle Flores que cursó un  documento  a  Tintaya</w:t>
        <w:br/>
        <w:t xml:space="preserve">         S.A. indicando que debía dar cumplimiento  a  lo  ordenado  por  la</w:t>
        <w:br/>
        <w:t xml:space="preserve">         autoridad judicial[84].</w:t>
        <w:br/>
        <w:br/>
        <w:br/>
        <w:t>Procedimiento de ejecución de la sentencia de amparo  de  2  de  febrero  de</w:t>
        <w:br/>
        <w:t>1993</w:t>
        <w:br/>
        <w:br/>
        <w:br/>
        <w:br/>
        <w:t xml:space="preserve">     76. El 18 de diciembre de 1995 el Quinto Juzgado  Especializado  en  lo</w:t>
        <w:br/>
        <w:t xml:space="preserve">         Civil de Lima, emitió una  resolución  en  la  que  señaló  que  la</w:t>
        <w:br/>
        <w:t xml:space="preserve">         sentencia de 2 de febrero  de  1993  era  una  decisión  firme  que</w:t>
        <w:br/>
        <w:t xml:space="preserve">         conllevaba por su naturaleza, facultades de coerción y ejecución  y</w:t>
        <w:br/>
        <w:t xml:space="preserve">         que la empresa había  venido  obstaculizando  la  ejecución  de  la</w:t>
        <w:br/>
        <w:t xml:space="preserve">         misma. Destacó que la empresa “Magma Copper Corporation-Tintaya  no</w:t>
        <w:br/>
        <w:t xml:space="preserve">         ha[bía] desvirtuado los fundamentos  expuestos  por  el  demandante</w:t>
        <w:br/>
        <w:t xml:space="preserve">         respecto de la fusión con la entidad primigenia demandada, en tanto</w:t>
        <w:br/>
        <w:t xml:space="preserve">         al haber  asumido  la  universalidad  jurídica  del  patrimonio  de</w:t>
        <w:br/>
        <w:t xml:space="preserve">         Empresa Minera Especial Tintaya [S.A], […]  también  comprendió  su</w:t>
        <w:br/>
        <w:t xml:space="preserve">         pasivo”, por lo que le requirió que en el  término  de  tres  días,</w:t>
        <w:br/>
        <w:t xml:space="preserve">         cumpliera con la ejecutoria[85].</w:t>
        <w:br/>
        <w:br/>
        <w:t xml:space="preserve">     77. El 7 de abril de 1997, el Quinto Juzgado Especializado, expidió una</w:t>
        <w:br/>
        <w:t xml:space="preserve">         nueva resolución en la que requirió por última  vez  a  la  empresa</w:t>
        <w:br/>
        <w:t xml:space="preserve">         estatal “Tintaya Sociedad Anónima (hoy, BHP Tintaya, S.A)” para que</w:t>
        <w:br/>
        <w:t xml:space="preserve">         dentro del tercer día cumpliera sin restricción alguna lo  ordenado</w:t>
        <w:br/>
        <w:t xml:space="preserve">         por  la  Ejecutoria  Suprema  de  2  de  febrero  de   1993,   bajo</w:t>
        <w:br/>
        <w:t xml:space="preserve">         apercibimiento   de   que   se   formulara   la   denuncia    penal</w:t>
        <w:br/>
        <w:t xml:space="preserve">         correspondiente[86].</w:t>
        <w:br/>
        <w:br/>
        <w:t xml:space="preserve">     78.  El 20 de octubre de 1999 el Primer Juzgado Corporativo Transitorio</w:t>
        <w:br/>
        <w:t xml:space="preserve">         Especializado en Derecho Público ordenó el  archivo  del  caso  por</w:t>
        <w:br/>
        <w:t xml:space="preserve">         encontrarse paralizado por un período mayor a cuatro meses[87].</w:t>
        <w:br/>
        <w:br/>
        <w:t xml:space="preserve">     79. El 19 de septiembre de 2000 la Oficina de Normalización Previsional</w:t>
        <w:br/>
        <w:t xml:space="preserve">         recibió una comunicación del señor Muelle Flores de 24 de agosto de</w:t>
        <w:br/>
        <w:t xml:space="preserve">         2000, mediante la cual informó que a partir de 1999 la empresa  BHP</w:t>
        <w:br/>
        <w:t xml:space="preserve">         Tintaya S.A. había abonado mensualmente  S/800  nuevos  soles,  sin</w:t>
        <w:br/>
        <w:t xml:space="preserve">         haberle efectuado el cálculo nivelado y retroactivo  a  la  pensión</w:t>
        <w:br/>
        <w:t xml:space="preserve">         que legalmente le correspondía[88].</w:t>
        <w:br/>
        <w:br/>
        <w:t xml:space="preserve">     80. No existe controversia entre las partes respecto al  hecho  de  que</w:t>
        <w:br/>
        <w:t xml:space="preserve">         desde marzo de 1999 hasta junio de 2001 la empresa BHP Tintaya S.A.</w:t>
        <w:br/>
        <w:t xml:space="preserve">         realizó pagos de S/800  nuevos  soles  mensuales  al  señor  Muelle</w:t>
        <w:br/>
        <w:t xml:space="preserve">         Flores por las pensiones devengadas correspondientes a los meses de</w:t>
        <w:br/>
        <w:t xml:space="preserve">         febrero de 1991 a junio de 2001[89], excepto los meses de noviembre</w:t>
        <w:br/>
        <w:t xml:space="preserve">         de 1992 a enero de 1993, cuyo pago no ha sido acreditado ante  esta</w:t>
        <w:br/>
        <w:t xml:space="preserve">         Corte. Conforme al acta de entrega de  19  de  marzo  de  1999,  la</w:t>
        <w:br/>
        <w:t xml:space="preserve">         empresa  BHP  Tintaya  S.A.  estableció  que  el   importe   pagado</w:t>
        <w:br/>
        <w:t xml:space="preserve">         constituía “un pago provisional, en cumplimiento de  la  Ejecutoria</w:t>
        <w:br/>
        <w:t xml:space="preserve">         Suprema de fecha 2 de [f]ebrero de 1993 […]. El monto de la pensión</w:t>
        <w:br/>
        <w:t xml:space="preserve">         definitiva ser[ía] determinado por la Oficina de Cálculo  Actuarial</w:t>
        <w:br/>
        <w:t xml:space="preserve">         de la ONP. La empresa BHP Tintaya S.A. transferir[ía] a la [ONP] el</w:t>
        <w:br/>
        <w:t xml:space="preserve">         fondo correspondiente para el pago de las pensiones  a  partir  del</w:t>
        <w:br/>
        <w:t xml:space="preserve">         mes de abril del presente año”[90]. Con base en la prueba  aportada</w:t>
        <w:br/>
        <w:t xml:space="preserve">         por las partes, ello no ocurrió. El monto total  abonado  al  señor</w:t>
        <w:br/>
        <w:t xml:space="preserve">         Muelle Flores por concepto de pago  provisional  de  las  pensiones</w:t>
        <w:br/>
        <w:t xml:space="preserve">         devengadas asciende a la suma de S/97,600.00 soles.</w:t>
        <w:br/>
        <w:br/>
        <w:t xml:space="preserve">     81. El 26 de  octubre  de  2000,  la  ONP  respondió  que  “solo  e[ra]</w:t>
        <w:br/>
        <w:t xml:space="preserve">         competente para pronunciarse respecto a reclamos sobre el  pago  de</w:t>
        <w:br/>
        <w:t xml:space="preserve">         las pensiones de aquellas entidades cuya administración y  pago  de</w:t>
        <w:br/>
        <w:t xml:space="preserve">         las pensiones [le] haya sido transferida […]  mediante  dispositivo</w:t>
        <w:br/>
        <w:t xml:space="preserve">         legal expreso, situación que no se presenta[ba] en el  caso  de  su</w:t>
        <w:br/>
        <w:t xml:space="preserve">         entidad [referida a la empresa]”, y concluyó que debía presentar el</w:t>
        <w:br/>
        <w:t xml:space="preserve">         reclamo ante la empresa que le pagaba sus pensiones[91].</w:t>
        <w:br/>
        <w:br/>
        <w:t xml:space="preserve">     82. En noviembre de 2004 la ONP envió una nueva comunicación  al  señor</w:t>
        <w:br/>
        <w:t xml:space="preserve">         Muelle  Flores  con  motivo  de  una  carta  notarial  enviada  por</w:t>
        <w:br/>
        <w:t xml:space="preserve">         este[92]. En dicha comunicación la ONP señaló que “en [su]  Sistema</w:t>
        <w:br/>
        <w:t xml:space="preserve">         de Trámite Documentario del Decreto Ley N° 20530, no figura[ba]  su</w:t>
        <w:br/>
        <w:t xml:space="preserve">         nombre, […] [y que] [mediante  resolución  de  enero  de  2004]  se</w:t>
        <w:br/>
        <w:t xml:space="preserve">         ha[bía] delegado a la Oficina de Normalización  Previsional-ONP, el</w:t>
        <w:br/>
        <w:t xml:space="preserve">         reconocimiento, declaración, calificación y pago de  las  pensiones</w:t>
        <w:br/>
        <w:t xml:space="preserve">         de  las  entidades  privatizadas,  liquidadas,   desactivadas   y/o</w:t>
        <w:br/>
        <w:t xml:space="preserve">         disueltas, referidas al decreto Ley N° 20530 que [contaban] con sus</w:t>
        <w:br/>
        <w:t xml:space="preserve">         respectivos fondos económicos, en  las  cuales  no  figura[ba]  BHP</w:t>
        <w:br/>
        <w:t xml:space="preserve">         Tintaya S.A.  como  empresa  comprendida  dentro  del  universo  de</w:t>
        <w:br/>
        <w:t xml:space="preserve">         entidades a ser encargadas a la ONP”[93].</w:t>
        <w:br/>
        <w:br/>
        <w:t xml:space="preserve">     83. El señor Muelle Flores dirigió una carta notarial al Ministerio  de</w:t>
        <w:br/>
        <w:t xml:space="preserve">         Economía y Finanzas (en adelante el “MEF”), solicitando información</w:t>
        <w:br/>
        <w:t xml:space="preserve">         sobre si la Ley No. 28115 que establecía que el MEF era la  entidad</w:t>
        <w:br/>
        <w:t xml:space="preserve">         estatal encargada del pago de las pensiones con posterioridad a  la</w:t>
        <w:br/>
        <w:t xml:space="preserve">         privatización de empresas  estatales  (infra  párr.  102),  le  era</w:t>
        <w:br/>
        <w:t xml:space="preserve">         aplicable.  Asimismo,  el  señor  Muelle  Flores  solicitó  que  le</w:t>
        <w:br/>
        <w:t xml:space="preserve">         informara si  luego  de  la  privatización  de  la  empresa  Minera</w:t>
        <w:br/>
        <w:t xml:space="preserve">         Especial Tintaya S.A., los mandatos derivados  de  las  Ejecutorias</w:t>
        <w:br/>
        <w:t xml:space="preserve">         Supremas de 2 de febrero de 1993 y 29 de octubre de 1997, así  como</w:t>
        <w:br/>
        <w:t xml:space="preserve">         de la sentencia del Tribunal Constitucional de 10 de  diciembre  de</w:t>
        <w:br/>
        <w:t xml:space="preserve">         1999 fueron asumidos como una obligación por dicho Ministerio. Ante</w:t>
        <w:br/>
        <w:t xml:space="preserve">         ello, se informó al señor  Muelle  Flores  que  “el  Ministerio  de</w:t>
        <w:br/>
        <w:t xml:space="preserve">         Economía  y  Finanzas   no   ha[bía]   asumido   las   obligaciones</w:t>
        <w:br/>
        <w:t xml:space="preserve">         previsionales con relación a  [su]  pensión  […]  por  existir  una</w:t>
        <w:br/>
        <w:t xml:space="preserve">         sentencia  del  Tribunal  Constitucional  que  en   forma   expresa</w:t>
        <w:br/>
        <w:t xml:space="preserve">         dispu[so] la obligación a la empresa Minera Especial  Tintaya  S.A.</w:t>
        <w:br/>
        <w:t xml:space="preserve">         para que continúe con el pago de sus pensiones, por lo que no e[ra]</w:t>
        <w:br/>
        <w:t xml:space="preserve">         aplicable  los  alcances  de  la  Ley  No.  28115  para   su   caso</w:t>
        <w:br/>
        <w:t xml:space="preserve">         concreto”[94].</w:t>
        <w:br/>
        <w:br/>
        <w:t xml:space="preserve">     84. Durante el trámite ante la Comisión, el señor  Muelle  sostuvo  que</w:t>
        <w:br/>
        <w:t xml:space="preserve">         súbitamente perdió la audición en el año 1999 y que acudió  “a  los</w:t>
        <w:br/>
        <w:t xml:space="preserve">         más renombrados médicos especialistas” quienes  no  pudieron  hacer</w:t>
        <w:br/>
        <w:t xml:space="preserve">         nada por su problema auditivo y le “recomendaron hacer[se] examinar</w:t>
        <w:br/>
        <w:t xml:space="preserve">         en algunos centros o instituciones de los países más adelantados en</w:t>
        <w:br/>
        <w:t xml:space="preserve">         la materia [y] es así que cons[iguió] una cita para marzo del  2001</w:t>
        <w:br/>
        <w:t xml:space="preserve">         en el Instituto de Investigaciones de Audiología de la  Universidad</w:t>
        <w:br/>
        <w:t xml:space="preserve">         de Miami”[95]. Debido a ello, el señor Muelle Flores permaneció  en</w:t>
        <w:br/>
        <w:t xml:space="preserve">         el extranjero durante siete años,  aproximadamente[96].  Los  pagos</w:t>
        <w:br/>
        <w:t xml:space="preserve">         parciales referidos fueron suspendidos a partir de julio  de  2001,</w:t>
        <w:br/>
        <w:t xml:space="preserve">         luego de que la presunta víctima viajara a los  Estados  Unidos  de</w:t>
        <w:br/>
        <w:t xml:space="preserve">         América.</w:t>
        <w:br/>
        <w:br/>
        <w:t xml:space="preserve">     85.  Luego de que el señor Muelle Flores regresara al Perú, solicitó el</w:t>
        <w:br/>
        <w:t xml:space="preserve">         desarchivamiento del proceso[97] y el 5 de agosto de  2008  el  43°</w:t>
        <w:br/>
        <w:t xml:space="preserve">         Juzgado Especializado en lo Civil de la Corte Superior de  Justicia</w:t>
        <w:br/>
        <w:t xml:space="preserve">         de Lima asumió competencia respecto del proceso desarchivado.</w:t>
        <w:br/>
        <w:br/>
        <w:t xml:space="preserve">     86.  El 6 de abril de 2009 el 38° Juzgado Civil de Lima, que asumió  la</w:t>
        <w:br/>
        <w:t xml:space="preserve">         competencia respecto de la ejecución de  la  sentencia  dictada  en</w:t>
        <w:br/>
        <w:t xml:space="preserve">         febrero de 1993, notificó dos resoluciones de fechas 5 de  enero  y</w:t>
        <w:br/>
        <w:t xml:space="preserve">         el 23 de marzo de 2009, respectivamente, en las cuales ordenó a  la</w:t>
        <w:br/>
        <w:t xml:space="preserve">         empresa  el  cumplimiento  de  lo  dispuesto  en  la  sentencia  ya</w:t>
        <w:br/>
        <w:t xml:space="preserve">         mencionada y su ejecución en un plazo de tres días[98].</w:t>
        <w:br/>
        <w:br/>
        <w:t xml:space="preserve">     87. El 13 de abril de 2009 la empresa  Xstrata  Tintaya  S.A.  (ex  BHP</w:t>
        <w:br/>
        <w:t xml:space="preserve">         Billiton Tintaya S.A.) se apersonó al proceso ante el  38°  Juzgado</w:t>
        <w:br/>
        <w:t xml:space="preserve">         Civil de Lima y destacó que la empresa Especial  Tintaya  S.A.  fue</w:t>
        <w:br/>
        <w:t xml:space="preserve">         privatizada en el año 1994 y  que  la  misma  fue  comprada  en  el</w:t>
        <w:br/>
        <w:t xml:space="preserve">         transcurso del tiempo por distintas corporaciones, siendo su actual</w:t>
        <w:br/>
        <w:t xml:space="preserve">         propietaria Xstrata Tintaya S.A[99].</w:t>
        <w:br/>
        <w:br/>
        <w:t xml:space="preserve">     88. Xstrata Tintaya S.A. señaló que “[e]l  régimen  del  D.L  N°  20530</w:t>
        <w:br/>
        <w:t xml:space="preserve">         e[ra] un sistema que regula[ba] las pensiones  y  compensaciones  a</w:t>
        <w:br/>
        <w:t xml:space="preserve">         cargo del Estado correspondientes a los servicios de carácter civil</w:t>
        <w:br/>
        <w:t xml:space="preserve">         prestados por los trabajadores del Sector Público Nacional […]”. La</w:t>
        <w:br/>
        <w:t xml:space="preserve">         empresa destacó que “el régimen del D.L  N°  20530  genera[ba]  una</w:t>
        <w:br/>
        <w:t xml:space="preserve">         obligación pensionaria entre el Estado (entidad y/o empresa)  y  su</w:t>
        <w:br/>
        <w:t xml:space="preserve">         ex-trabajador del Estado, siempre y cuando  cumpla  los  requisitos</w:t>
        <w:br/>
        <w:t xml:space="preserve">         establecidos en dicho decreto. En  el  transcurso  del  tiempo  las</w:t>
        <w:br/>
        <w:t xml:space="preserve">         facultades para el reconocimiento del derecho y pago del  beneficio</w:t>
        <w:br/>
        <w:t xml:space="preserve">         pensionario del citado régimen fueron atribuidas, en un  inicio,  a</w:t>
        <w:br/>
        <w:t xml:space="preserve">         la entidad estatal donde laboró el pensionista, luego, a la Oficina</w:t>
        <w:br/>
        <w:t xml:space="preserve">         de Normalización Provisional, para finalmente regresar  al  esquema</w:t>
        <w:br/>
        <w:t xml:space="preserve">         inicial donde cada entidad era la encargada de  reconocer  y  pagar</w:t>
        <w:br/>
        <w:t xml:space="preserve">         los beneficios  pensionarios.  Asimismo,  se  dispuso  que  de  las</w:t>
        <w:br/>
        <w:t xml:space="preserve">         empresas privatizadas (donde el  Estado  no  tiene  participación),</w:t>
        <w:br/>
        <w:t xml:space="preserve">         disueltas o liquidadas, la entidad competente ser[ía] el Ministerio</w:t>
        <w:br/>
        <w:t xml:space="preserve">         de Economía y Finanzas [haciendo alusión a las leyes  No.  27719  y</w:t>
        <w:br/>
        <w:t xml:space="preserve">         28115] (infra párr. 138)”. En este  sentido  Xstrata  Tintaya  S.A.</w:t>
        <w:br/>
        <w:t xml:space="preserve">         concluyó  que  la  entidad  competente  era  el  MEF,  por  lo  que</w:t>
        <w:br/>
        <w:t xml:space="preserve">         solicitaron se apersonara al proceso de ejecución[100].</w:t>
        <w:br/>
        <w:br/>
        <w:t xml:space="preserve">     89. El 26 de abril de 2010 el 38° Juzgado  Civil  de  Lima  emitió  una</w:t>
        <w:br/>
        <w:t xml:space="preserve">         nueva  resolución  donde  estableció  que  pese  a  los  reiterados</w:t>
        <w:br/>
        <w:t xml:space="preserve">         requerimientos que se le  hicieran  a  la  empresa  demandada  para</w:t>
        <w:br/>
        <w:t xml:space="preserve">         ejecutar  lo  dispuesto  por  la  Corte  Suprema,  tal   pretensión</w:t>
        <w:br/>
        <w:t xml:space="preserve">         resultaba actualmente inviable debido al proceso  de  privatización</w:t>
        <w:br/>
        <w:t xml:space="preserve">         que sufriera la empresa estatal con posterioridad a  la  expedición</w:t>
        <w:br/>
        <w:t xml:space="preserve">         de la ejecutoria suprema, implicando la  extinción  de  la  persona</w:t>
        <w:br/>
        <w:t xml:space="preserve">         obligada al pago conforme a la ejecutoria de la Corte Suprema[101].</w:t>
        <w:br/>
        <w:t xml:space="preserve">         La decisión estableció que la empresa Xstrata Tintaya S.A. era  una</w:t>
        <w:br/>
        <w:t xml:space="preserve">         empresa privada, cuya obligación de pagar los derechos pensionarios</w:t>
        <w:br/>
        <w:t xml:space="preserve">         reclamados no había sido demostrada[102].</w:t>
        <w:br/>
        <w:br/>
        <w:t xml:space="preserve">     90.  El 17 de mayo de 2010, misma fecha en la que  fue  notificado,  el</w:t>
        <w:br/>
        <w:t xml:space="preserve">         señor Muelle Flores presentó un  recurso  de  apelación  contra  la</w:t>
        <w:br/>
        <w:t xml:space="preserve">         resolución anterior[103] y fue elevado a la Sala Civil[104]. En  su</w:t>
        <w:br/>
        <w:t xml:space="preserve">         escrito,  el  señor  Muelle  reconoció  los  pagos  efectuados  por</w:t>
        <w:br/>
        <w:t xml:space="preserve">         pensiones devengadas correspondientes a los  meses  de  febrero  de</w:t>
        <w:br/>
        <w:t xml:space="preserve">         1991 a diciembre de 2000, así como los realizados por los meses  de</w:t>
        <w:br/>
        <w:t xml:space="preserve">         enero a junio de 2001[105] (supra párr. 80).</w:t>
        <w:br/>
        <w:br/>
        <w:t xml:space="preserve">     91.  El 13 de abril de 2011 la Segunda Sala Civil de la Corte  Superior</w:t>
        <w:br/>
        <w:t xml:space="preserve">         de Lima declaró nula la resolución del 38° Juzgado Civil de Lima de</w:t>
        <w:br/>
        <w:t xml:space="preserve">         26 de  abril  de  2010  y  ordenó  reestablecer  el  acto  procesal</w:t>
        <w:br/>
        <w:t xml:space="preserve">         afectado. La Segunda Sala consideró que el 38° Juzgado Civil asumió</w:t>
        <w:br/>
        <w:t xml:space="preserve">         enteramente como ciertas las afirmaciones  de  la  empresa  Xstrata</w:t>
        <w:br/>
        <w:t xml:space="preserve">         Tintaya S.A., sin comprobar si la empresa “Magma Copper”  asumió  o</w:t>
        <w:br/>
        <w:t xml:space="preserve">         no los activos y pasivos de la primigenia demandada (empresa Minera</w:t>
        <w:br/>
        <w:t xml:space="preserve">         Especial Tintaya S.A.). La decisión concluyó que de  haber  asumido</w:t>
        <w:br/>
        <w:t xml:space="preserve">         en su totalidad dichos activos y pasivos, sería igualmente exigible</w:t>
        <w:br/>
        <w:t xml:space="preserve">         a la empresa privada el pago de la pensión del señor Muelle Flores.</w:t>
        <w:br/>
        <w:t xml:space="preserve">         La decisión destacó además que el 38° Juzgado Civil no precisó  los</w:t>
        <w:br/>
        <w:t xml:space="preserve">         hechos  y  normas  legales  correspondientes  que  sustentaron   su</w:t>
        <w:br/>
        <w:t xml:space="preserve">         decisión, en violación del derecho a la debida  motivación  de  las</w:t>
        <w:br/>
        <w:t xml:space="preserve">         resoluciones judiciales[106].</w:t>
        <w:br/>
        <w:br/>
        <w:t xml:space="preserve">     92.  El 17 de mayo de 2012 el 33° Juzgado  Civil  de  Lima  emitió  una</w:t>
        <w:br/>
        <w:t xml:space="preserve">         resolución en donde requirió a la empresa Xstrata  Tintaya  S.A.  a</w:t>
        <w:br/>
        <w:t xml:space="preserve">         dar cumplimiento a la sentencia de 2 de febrero  de  1993[107].  La</w:t>
        <w:br/>
        <w:t xml:space="preserve">         empresa   presentó   un   recurso   de   apelación   contra   dicha</w:t>
        <w:br/>
        <w:t xml:space="preserve">         resolución[108]. Mediante resolución de 30 de octubre de  2012,  el</w:t>
        <w:br/>
        <w:t xml:space="preserve">         33° Juzgado Civil  de  Lima  determinó  que  “[…]  e[ra]  razonable</w:t>
        <w:br/>
        <w:t xml:space="preserve">         disponer la suspensión temporal  del  proceso  [de  ejecución],  en</w:t>
        <w:br/>
        <w:t xml:space="preserve">         tanto el Colegiado, res[olviera] la apelación  interpuesta  por  el</w:t>
        <w:br/>
        <w:t xml:space="preserve">         demandado [la empresa]”[109]. El 20 de noviembre de 2012  el  señor</w:t>
        <w:br/>
        <w:t xml:space="preserve">         Muelle Flores interpuso recurso de  apelación  contra  esta  última</w:t>
        <w:br/>
        <w:t xml:space="preserve">         decisión, y alegó que afectaba su derecho a que el contenido de las</w:t>
        <w:br/>
        <w:t xml:space="preserve">         sentencias emitidas previamente que contaban con la calidad de cosa</w:t>
        <w:br/>
        <w:t xml:space="preserve">         juzgada,  no  sea  dejado  sin  efecto,  ni  modificado,  ni  pueda</w:t>
        <w:br/>
        <w:t xml:space="preserve">         retardarse su ejecución[110].</w:t>
        <w:br/>
        <w:br/>
        <w:t xml:space="preserve">     93. El 10 de octubre de 2013 la Segunda Sala Civil de la Corte Superior</w:t>
        <w:br/>
        <w:t xml:space="preserve">         de Justicia emitió una resolución que declaró  nula  la  resolución</w:t>
        <w:br/>
        <w:t xml:space="preserve">         del 17 de mayo de 2012 del 33° Juzgado Civil de  Lima.  La  Segunda</w:t>
        <w:br/>
        <w:t xml:space="preserve">         Sala evaluó el contrato de compraventa de la empresa  Tintaya  S.A.</w:t>
        <w:br/>
        <w:t xml:space="preserve">         de 29 de noviembre  de  1994  y  concluyó  que  al  momento  de  la</w:t>
        <w:br/>
        <w:t xml:space="preserve">         privatización de la empresa estatal, la  Corporación  Magma  Copper</w:t>
        <w:br/>
        <w:t xml:space="preserve">         Company  y  Global  Magma  Ltd.,  es  decir  la   empresa   privada</w:t>
        <w:br/>
        <w:t xml:space="preserve">         compradora, no asumió los pasivos de la estatal  ni  la  obligación</w:t>
        <w:br/>
        <w:t xml:space="preserve">         del pago de pensiones. Destacó que el régimen pensionario  previsto</w:t>
        <w:br/>
        <w:t xml:space="preserve">         en el Decreto Ley No. 20530 regulaba las pensiones y compensaciones</w:t>
        <w:br/>
        <w:t xml:space="preserve">         del Estado financiados con recursos  del  Estado,  por  lo  que  la</w:t>
        <w:br/>
        <w:t xml:space="preserve">         entidad privada no podía administrar fondos pensionarios y  resaltó</w:t>
        <w:br/>
        <w:t xml:space="preserve">         que además, no asumió dicha obligación,  sino  que  en  virtud  del</w:t>
        <w:br/>
        <w:t xml:space="preserve">         decreto citado, la  vinculación  jurídica  del  actor  fue  con  el</w:t>
        <w:br/>
        <w:t xml:space="preserve">         Estado[111]. En esa misma oportunidad, la  Segunda  Sala  consideró</w:t>
        <w:br/>
        <w:t xml:space="preserve">         que, para el caso de empresas privatizadas, la normativa  desde  el</w:t>
        <w:br/>
        <w:t xml:space="preserve">         2002  previó  qué  entidades  públicas   estarían   a   cargo   del</w:t>
        <w:br/>
        <w:t xml:space="preserve">         reconocimiento  y  pago  de  las  pensiones  bajo  el  régimen   en</w:t>
        <w:br/>
        <w:t xml:space="preserve">         cuestión[112].  La  decisión  ordenó  que  se  emitiera  una  nueva</w:t>
        <w:br/>
        <w:t xml:space="preserve">         resolución teniendo presente  las  consideraciones  realizadas  por</w:t>
        <w:br/>
        <w:t xml:space="preserve">         esta[113]. Al haberse declarado nula esta resolución, la suspensión</w:t>
        <w:br/>
        <w:t xml:space="preserve">         del proceso hasta que se resolviera la apelación  dictada  mediante</w:t>
        <w:br/>
        <w:t xml:space="preserve">         resolución de 30 de octubre de 2012 devino en ineficaz[114].</w:t>
        <w:br/>
        <w:br/>
        <w:t xml:space="preserve">     94. El 5 de septiembre de 2014 el 33° Juzgado Especializado en lo Civil</w:t>
        <w:br/>
        <w:t xml:space="preserve">         adoptó una resolución en la que se señaló que  se  hacía  necesario</w:t>
        <w:br/>
        <w:t xml:space="preserve">         que el MEF informara sobre el activo y  pasivo  que  asumió  la  ex</w:t>
        <w:br/>
        <w:t xml:space="preserve">         empresa estatal Tintaya S.A., por lo que mediante oficio  de  9  de</w:t>
        <w:br/>
        <w:t xml:space="preserve">         septiembre de 2014 se le solicitó dicha información[115].</w:t>
        <w:br/>
        <w:br/>
        <w:t xml:space="preserve">     95. El 11 de junio de 2015 el 33° Juzgado  Especializado  en  lo  Civil</w:t>
        <w:br/>
        <w:t xml:space="preserve">         emitió una resolución en la que declaró infundada la nulidad de  la</w:t>
        <w:br/>
        <w:t xml:space="preserve">         resolución de 5 de septiembre de 2014 y consideró  que  la  empresa</w:t>
        <w:br/>
        <w:t xml:space="preserve">         Xstrata Tintaya S.A. debía asumir  la  obligación  de  pago  de  la</w:t>
        <w:br/>
        <w:t xml:space="preserve">         pensión del señor Muelle Flores. El  33°  Juzgado  destacó  que  la</w:t>
        <w:br/>
        <w:t xml:space="preserve">         sentencia de 2 de febrero de 1993 se dictó con  anterioridad  a  la</w:t>
        <w:br/>
        <w:t xml:space="preserve">         privatización de la empresa Tintaya S.A.  y  basó  su  decisión  de</w:t>
        <w:br/>
        <w:t xml:space="preserve">         nulidad  en  los  siguientes  argumentos:  a)  el  MEF  y  la   ONP</w:t>
        <w:br/>
        <w:t xml:space="preserve">         concluyeron que no tenían la obligación del pago de la pensión  del</w:t>
        <w:br/>
        <w:t xml:space="preserve">         señor  Muelle  Flores,   ya   que   la   sentencia   del   Tribunal</w:t>
        <w:br/>
        <w:t xml:space="preserve">         Constitucional dispuso de forma expresa que la obligación  de  pago</w:t>
        <w:br/>
        <w:t xml:space="preserve">         era de la estatal Tintaya S.A. (supra párrs. 67 y 68); b)  “[había]</w:t>
        <w:br/>
        <w:t xml:space="preserve">         quedado acreditado que la Empresa Magma Copper Corporation  Tintaya</w:t>
        <w:br/>
        <w:t xml:space="preserve">         asumió la universalidad jurídica  del  patrimonio  de  [la  estatal</w:t>
        <w:br/>
        <w:t xml:space="preserve">         Tintaya S.A.]”; c) la empresa BHP  Billiton  Tintaya  S.A.  efectuó</w:t>
        <w:br/>
        <w:t xml:space="preserve">         pagos a cuenta por la pensión, y d) “[era] obvio que  la  [e]mpresa</w:t>
        <w:br/>
        <w:t xml:space="preserve">         Xstrata Tintaya S.A. también ha[bía] asumido los activos y  pasivos</w:t>
        <w:br/>
        <w:t xml:space="preserve">         de las anteriores empresas”[116]. Esta decisión fue apelada por  la</w:t>
        <w:br/>
        <w:t xml:space="preserve">         [e]mpresa Xstrata Tintaya S.A.</w:t>
        <w:br/>
        <w:br/>
        <w:t xml:space="preserve">     96. El 26 de octubre de 2015 el 33° Juzgado Civil requirió a la Agencia</w:t>
        <w:br/>
        <w:t xml:space="preserve">         de Promoción de la Inversión Privada (Proinversión) que  informara,</w:t>
        <w:br/>
        <w:t xml:space="preserve">         con carácter de urgente, respecto del activo y pasivo que asumió la</w:t>
        <w:br/>
        <w:t xml:space="preserve">         ex empresa estatal Tintaya S.A[117]. Debido a que dicha institución</w:t>
        <w:br/>
        <w:t xml:space="preserve">         no remitió  la  información  solicitada,  el  señor  Muelle  Flores</w:t>
        <w:br/>
        <w:t xml:space="preserve">         presentó un escrito de fecha 7 de junio de 2016, por medio del cual</w:t>
        <w:br/>
        <w:t xml:space="preserve">         solicitó se reitere a Proinversión el  envío  de  dicha  solicitud,</w:t>
        <w:br/>
        <w:t xml:space="preserve">         bajo apercibimiento de multa[118].</w:t>
        <w:br/>
        <w:br/>
        <w:t xml:space="preserve">     97. Mediante escrito de 3 de mayo  de  2017,  el  señor  Muelle  Flores</w:t>
        <w:br/>
        <w:t xml:space="preserve">         destacó que el 7 de julio de 2016, Proinversión  informó  sobre  lo</w:t>
        <w:br/>
        <w:t xml:space="preserve">         solicitado por el Juzgado. En dicho informe se destacó que el Anexo</w:t>
        <w:br/>
        <w:t xml:space="preserve">         F “Lista de Acciones Judiciales” del Informe Final  CEPRI  Tintaya,</w:t>
        <w:br/>
        <w:t xml:space="preserve">         se encontraba una carta dirigida a la ex empresa estatal  en  donde</w:t>
        <w:br/>
        <w:t xml:space="preserve">         se señalaba cuáles eran los procesos judiciales  existentes  en  su</w:t>
        <w:br/>
        <w:t xml:space="preserve">         contra, así como el pasivo contingente de cada proceso.  Por  ello,</w:t>
        <w:br/>
        <w:t xml:space="preserve">         en el escrito del señor  Muelle  Flores  se  expuso  que  “habiendo</w:t>
        <w:br/>
        <w:t xml:space="preserve">         quedado acreditado que exist[ía] un pasivo contingente a favor  del</w:t>
        <w:br/>
        <w:t xml:space="preserve">         demandante y que la Empresa XSTRATA TINTAYA S.A. EX  BHP  BILLINTON</w:t>
        <w:br/>
        <w:t xml:space="preserve">         TINTAYA S.A. ha asumido los activos y  pasivos  de  las  anteriores</w:t>
        <w:br/>
        <w:t xml:space="preserve">         empresas, el correlativo lógico  y  obvio,  es  que  dicha  empresa</w:t>
        <w:br/>
        <w:t xml:space="preserve">         cumpla con el pago de la pensión de cesantía que le corresponde  al</w:t>
        <w:br/>
        <w:t xml:space="preserve">         demandante”, y solicitó “se dé un TRATAMIENTO  PREFERENCIAL”  a  la</w:t>
        <w:br/>
        <w:t xml:space="preserve">         ejecución del proceso judicial, ya que contaba con 81 años de  edad</w:t>
        <w:br/>
        <w:t xml:space="preserve">         a la fecha[119].</w:t>
        <w:br/>
        <w:br/>
        <w:t xml:space="preserve">     98. El 14 de febrero de 2017, a partir de la apelación  presentada  por</w:t>
        <w:br/>
        <w:t xml:space="preserve">         Xstrata Tintaya, la Segunda Sala Civil declaró nula  la  resolución</w:t>
        <w:br/>
        <w:t xml:space="preserve">         de 11 de junio de 2015, al considerar que “adole[cía] de causal  de</w:t>
        <w:br/>
        <w:t xml:space="preserve">         nulidad por no haber sido expedida  de  acuerdo  al  mérito  de  lo</w:t>
        <w:br/>
        <w:t xml:space="preserve">         actuado”, dispuso que continuara la causa según  su  estado,  y  le</w:t>
        <w:br/>
        <w:t xml:space="preserve">         ordenó al a quo que renovase el acto procesal afectado,  expidiendo</w:t>
        <w:br/>
        <w:t xml:space="preserve">         nueva resolución con arreglo a la ley[120].  Esta  decisión  señaló</w:t>
        <w:br/>
        <w:t xml:space="preserve">         que el juez estableció que Xstrata Tintaya S.A. era responsable del</w:t>
        <w:br/>
        <w:t xml:space="preserve">         pago de la pensión, a pesar de que a la  fecha  de  emisión  de  la</w:t>
        <w:br/>
        <w:t xml:space="preserve">         resolución materia de alzada, aún no se contaba con la  información</w:t>
        <w:br/>
        <w:t xml:space="preserve">         solicitada al MEF el 9 de septiembre de 2014. Por  ello,  consideró</w:t>
        <w:br/>
        <w:t xml:space="preserve">         que resultaba incongruente que se haya emitido  un  pronunciamiento</w:t>
        <w:br/>
        <w:t xml:space="preserve">         sobre la controversia, sin contar con la información necesaria para</w:t>
        <w:br/>
        <w:t xml:space="preserve">         adoptar una decisión[121].</w:t>
        <w:br/>
        <w:br/>
        <w:t xml:space="preserve">     99. El 33° Juzgado Civil programó un informe oral para el 27  de  marzo</w:t>
        <w:br/>
        <w:t xml:space="preserve">         de 2018, al cual asistió la defensa del señor Muelle Flores pero no</w:t>
        <w:br/>
        <w:t xml:space="preserve">         la de la empresa privada. El Juzgado informó a las partes  que  los</w:t>
        <w:br/>
        <w:t xml:space="preserve">         autos se encontraban expeditos para ser resueltos[122]. Esta es  la</w:t>
        <w:br/>
        <w:t xml:space="preserve">         última actuación procesal que consta en el acervo  probatorio  ante</w:t>
        <w:br/>
        <w:t xml:space="preserve">         esta Corte.</w:t>
        <w:br/>
        <w:br/>
        <w:t xml:space="preserve">    100. A la fecha, el proceso de ejecución, iniciado en 1993, se encuentra</w:t>
        <w:br/>
        <w:t xml:space="preserve">         en trámite.</w:t>
        <w:br/>
        <w:br/>
        <w:br/>
        <w:t>Normativa sobre pensiones y privatizaciones a partir de 2002</w:t>
        <w:br/>
        <w:br/>
        <w:br/>
        <w:t xml:space="preserve">    101. El 12 de mayo de 2002[123]  se  publicó  la  Ley  No.  27719,  cuyo</w:t>
        <w:br/>
        <w:t xml:space="preserve">         artículo 7 estableció que “el pago de las pensiones cuyo  organismo</w:t>
        <w:br/>
        <w:t xml:space="preserve">         de origen del pensionista  hubiera  sido  privatizado  o  disuelto,</w:t>
        <w:br/>
        <w:t xml:space="preserve">         correrá a cargo del Ministerio de Economía y Finanzas”[124].</w:t>
        <w:br/>
        <w:br/>
        <w:t xml:space="preserve">    102. La norma anterior fue ampliada el 6 de diciembre de  2003  mediante</w:t>
        <w:br/>
        <w:t xml:space="preserve">         la Ley No. 28115. El artículo 1 de esta última estableció que “[e]l</w:t>
        <w:br/>
        <w:t xml:space="preserve">         reconocimiento, declaración, calificación y pago de  las  pensiones</w:t>
        <w:br/>
        <w:t xml:space="preserve">         cuya entidad de origen sea privatizada, liquidada, desactivada  y/o</w:t>
        <w:br/>
        <w:t xml:space="preserve">         disuelta, estará a cargo del Ministerio de Economía y Finanzas,  el</w:t>
        <w:br/>
        <w:t xml:space="preserve">         cual queda autorizado a delegar dichas funciones a  la  Oficina  de</w:t>
        <w:br/>
        <w:t xml:space="preserve">         Normalización Previsional”[125].</w:t>
        <w:br/>
        <w:br/>
        <w:t xml:space="preserve">    103. El 17 de noviembre de 2004 se publicó la Ley No.  28389[126],  cuyo</w:t>
        <w:br/>
        <w:t xml:space="preserve">         artículo 3 modificó la Primera Disposición Final y  Transitoria  de</w:t>
        <w:br/>
        <w:t xml:space="preserve">         la Constitución Política de 1993, y declaró cerrado definitivamente</w:t>
        <w:br/>
        <w:t xml:space="preserve">         el régimen pensionario  del  Decreto  Ley  No.  20530.  La  reforma</w:t>
        <w:br/>
        <w:t xml:space="preserve">         prohibió nuevas incorporaciones o reincorporaciones y exigió a  los</w:t>
        <w:br/>
        <w:t xml:space="preserve">         trabajadores que  aún  no  hubieran  cumplido  con  los  requisitos</w:t>
        <w:br/>
        <w:t xml:space="preserve">         correspondientes, elegir entre el Sistema Nacional de  Pensiones  o</w:t>
        <w:br/>
        <w:t xml:space="preserve">         el Sistema Privado. Dicho artículo dispuso, además,  su  aplicación</w:t>
        <w:br/>
        <w:t xml:space="preserve">         inmediata a los trabajadores y pensionistas de  regímenes  a  cargo</w:t>
        <w:br/>
        <w:t xml:space="preserve">         del Estado y prohibió la nivelación de pensiones[127].</w:t>
        <w:br/>
        <w:br/>
        <w:t xml:space="preserve">    104. El 30 de diciembre de 2004,  se  publicó  la  Ley  No.  28449,  que</w:t>
        <w:br/>
        <w:t xml:space="preserve">         estableció las nuevas reglas del régimen de pensiones  del  Decreto</w:t>
        <w:br/>
        <w:t xml:space="preserve">         Ley No. 20530, cuyo artículo 4, prohibió expresamente la nivelación</w:t>
        <w:br/>
        <w:t xml:space="preserve">         de  pensiones  con  las  remuneraciones  y  con  cualquier  ingreso</w:t>
        <w:br/>
        <w:t xml:space="preserve">         previsto  para   los   empleados   o   funcionarios   públicos   en</w:t>
        <w:br/>
        <w:t xml:space="preserve">         actividad[128].  Su  artículo  10  reiteró  que  el  Ministerio  de</w:t>
        <w:br/>
        <w:t xml:space="preserve">         Economía  y  Finanzas  sería  la  entidad  del  Gobierno   Nacional</w:t>
        <w:br/>
        <w:t xml:space="preserve">         responsable por la administración  del  régimen  de  pensiones  del</w:t>
        <w:br/>
        <w:t xml:space="preserve">         Decreto Ley No. 20530[129]. Esta reforma previsional fue  declarada</w:t>
        <w:br/>
        <w:t xml:space="preserve">         constitucional por el Tribunal Constitucional en el año 2005.</w:t>
        <w:br/>
        <w:br/>
        <w:t>vIi</w:t>
        <w:br/>
        <w:t>FONDO</w:t>
        <w:br/>
        <w:br/>
        <w:t xml:space="preserve">    105. En el presente capítulo, la Corte abordará el examen de  fondo  del</w:t>
        <w:br/>
        <w:t xml:space="preserve">         caso.  La  Corte  se  encuentra  llamada  a  analizar  la   alegada</w:t>
        <w:br/>
        <w:t xml:space="preserve">         responsabilidad  internacional  del  Estado   con   base   en   sus</w:t>
        <w:br/>
        <w:t xml:space="preserve">         obligaciones derivadas de la Convención Americana en el caso de  un</w:t>
        <w:br/>
        <w:t xml:space="preserve">         pensionista jubilado bajo el Decreto Ley No. 20530, quien  dejó  de</w:t>
        <w:br/>
        <w:t xml:space="preserve">         recibir el pago de sus pensiones desde febrero de 1991 por parte de</w:t>
        <w:br/>
        <w:t xml:space="preserve">         una empresa estatal que después fue privatizada, a pesar de  contar</w:t>
        <w:br/>
        <w:t xml:space="preserve">         con varias sentencias judiciales dictadas a su  favor,  las  cuales</w:t>
        <w:br/>
        <w:t xml:space="preserve">         ordenaron la restitución del pago.  De  acuerdo  con  los  alegatos</w:t>
        <w:br/>
        <w:t xml:space="preserve">         presentados, la responsabilidad internacional del Estado  del  Perú</w:t>
        <w:br/>
        <w:t xml:space="preserve">         se habría configurado por el incumplimiento  de  las  sentencias  a</w:t>
        <w:br/>
        <w:t xml:space="preserve">         nivel interno y por su falta de ejecución hasta la actualidad,  así</w:t>
        <w:br/>
        <w:t xml:space="preserve">         como por la violación del derecho a la  seguridad  social  derivado</w:t>
        <w:br/>
        <w:t xml:space="preserve">         del artículo 26 de la Convención y del derecho a la propiedad.</w:t>
        <w:br/>
        <w:br/>
        <w:t xml:space="preserve">    106. Por consiguiente, a fin de abordar  los  alegatos  presentados,  la</w:t>
        <w:br/>
        <w:t xml:space="preserve">         Corte analizará en primer lugar, todos los argumentos  referidos  a</w:t>
        <w:br/>
        <w:t xml:space="preserve">         la tutela  judicial  efectiva,  al  incumplimiento  de  los  fallos</w:t>
        <w:br/>
        <w:t xml:space="preserve">         internos y a su falta de ejecución, en circunstancias en las cuales</w:t>
        <w:br/>
        <w:t xml:space="preserve">         la  entidad  estatal,   inicialmente   encargada   de   los   pagos</w:t>
        <w:br/>
        <w:t xml:space="preserve">         pensionarios, es posteriormente privatizada, para luego analizar el</w:t>
        <w:br/>
        <w:t xml:space="preserve">         plazo razonable en  el  proceso  de  ejecución  de  sentencias,  la</w:t>
        <w:br/>
        <w:t xml:space="preserve">         alegada violación del derecho a la seguridad social en  virtud  del</w:t>
        <w:br/>
        <w:t xml:space="preserve">         artículo 26, y finalmente  evaluar  los  alegatos  relativos  a  la</w:t>
        <w:br/>
        <w:t xml:space="preserve">         violación del derecho a la propiedad del señor Oscar Muelle Flores.</w:t>
        <w:br/>
        <w:br/>
        <w:br/>
        <w:t>VII</w:t>
        <w:br/>
        <w:t>derechoS A LAS GARANTÍAS JUDICIALES[130], A LA PROTECCIÓN  JUDICIAL[131],  A</w:t>
        <w:br/>
        <w:t>LA  SEGURIDAD   SOCIAL[132],   A   LA   INTEGRIDAD   PERSONAL[133],   A   LA</w:t>
        <w:br/>
        <w:t>DIGNIDAD[134],  a  la  propiedad  PRIVADA[135],  y  el  deber   de   adoptar</w:t>
        <w:br/>
        <w:t>disposiciones de derecho interno[136], EN RELACIÓN CON LAS  OBLIGACIONES  DE</w:t>
        <w:br/>
        <w:t>RESPETAR Y GARANTIZAR LOS DERECHOS (artículos 8.1,  25.1,  25.2.C),  26,  5,</w:t>
        <w:br/>
        <w:t>11.1, 21, 1.1 y 2 de la convención americana)</w:t>
        <w:br/>
        <w:br/>
        <w:t xml:space="preserve">    107. La Corte destaca que en los casos “Cinco Pensionistas” Vs.  Perú  y</w:t>
        <w:br/>
        <w:t xml:space="preserve">         Acevedo Buendía y otros (“Cesantes y Jubilados de la  Contraloría”)</w:t>
        <w:br/>
        <w:t xml:space="preserve">         Vs. Perú, también  relacionados  con  temas  previsionales,  ya  ha</w:t>
        <w:br/>
        <w:t xml:space="preserve">         establecido  que  el  incumplimiento  por  parte  del   Estado   de</w:t>
        <w:br/>
        <w:t xml:space="preserve">         sentencias judiciales que ordenan el pago de pensiones, así como la</w:t>
        <w:br/>
        <w:t xml:space="preserve">         falta de ejecución de estas, vulnera el  derecho  a  la  protección</w:t>
        <w:br/>
        <w:t xml:space="preserve">         judicial (artículos 25.1 y 25.2.c) y  el  derecho  a  la  propiedad</w:t>
        <w:br/>
        <w:t xml:space="preserve">         (artículo 21). Por ende, corresponde a este  Tribunal  analizar  si</w:t>
        <w:br/>
        <w:t xml:space="preserve">         con base en los hechos del caso concreto  y  los  alegatos  de  las</w:t>
        <w:br/>
        <w:t xml:space="preserve">         partes y la Comisión, el Perú violó los derechos citados.  El  caso</w:t>
        <w:br/>
        <w:t xml:space="preserve">         que nos  ocupa,  sin  embargo,  presenta  algunas  particularidades</w:t>
        <w:br/>
        <w:t xml:space="preserve">         propias que lo diferencian de los decididos anteriormente por  este</w:t>
        <w:br/>
        <w:t xml:space="preserve">         Tribunal, ya que la ejecución de las sentencias judiciales dictadas</w:t>
        <w:br/>
        <w:t xml:space="preserve">         en amparo se habría visto dificultada por la  privatización  de  la</w:t>
        <w:br/>
        <w:t xml:space="preserve">         empresa estatal, originalmente encargada de los pagos de la pensión</w:t>
        <w:br/>
        <w:t xml:space="preserve">         del señor Muelle Flores. Asimismo, conforme a lo  alegado  por  las</w:t>
        <w:br/>
        <w:t xml:space="preserve">         representantes,  el  Tribunal  también  analizará  si  existió  una</w:t>
        <w:br/>
        <w:t xml:space="preserve">         violación autónoma del derecho a la seguridad social (derecho a  la</w:t>
        <w:br/>
        <w:t xml:space="preserve">         pensión)  a  partir  de  la  interpretación  del  artículo  26   la</w:t>
        <w:br/>
        <w:t xml:space="preserve">         Convención.</w:t>
        <w:br/>
        <w:br/>
        <w:t xml:space="preserve">    108. En este sentido, la controversia del caso se centra en el  presunto</w:t>
        <w:br/>
        <w:t xml:space="preserve">         incumplimiento de sentencias judiciales de amparo que  reconocieron</w:t>
        <w:br/>
        <w:t xml:space="preserve">         el derecho del  señor  Muelle  Flores  a  recibir  una  pensión  de</w:t>
        <w:br/>
        <w:t xml:space="preserve">         conformidad con el régimen pensionario del Decreto Ley  No.  20530,</w:t>
        <w:br/>
        <w:t xml:space="preserve">         así como en la alegada falta de  adopción  de  medidas  coercitivas</w:t>
        <w:br/>
        <w:t xml:space="preserve">         para lograr su ejecución y el impacto de ello en el  derecho  a  la</w:t>
        <w:br/>
        <w:t xml:space="preserve">         seguridad social y en el derecho a la propiedad. Por ello, la Corte</w:t>
        <w:br/>
        <w:t xml:space="preserve">         considera importante resaltar  que  no  corresponde  determinar  la</w:t>
        <w:br/>
        <w:t xml:space="preserve">         responsabilidad de  la  empresa  privatizada  en  relación  con  el</w:t>
        <w:br/>
        <w:t xml:space="preserve">         pensionista,  sino   la   responsabilidad   del   Estado   por   el</w:t>
        <w:br/>
        <w:t xml:space="preserve">         incumplimiento de las decisiones  judiciales  en  calidad  de  cosa</w:t>
        <w:br/>
        <w:t xml:space="preserve">         juzgada dictadas a favor del señor Muelle Flores a  nivel  interno,</w:t>
        <w:br/>
        <w:t xml:space="preserve">         por la  falta  de  ejecución  de  dichas  decisiones  en  un  plazo</w:t>
        <w:br/>
        <w:t xml:space="preserve">         razonable, por los efectos sobre el derecho a  la  pensión  que  se</w:t>
        <w:br/>
        <w:t xml:space="preserve">         generaron por la privatización de la empresa estatal Tintaya  S.A.,</w:t>
        <w:br/>
        <w:t xml:space="preserve">         así como por las consecuencias que todo ello habría generado en  su</w:t>
        <w:br/>
        <w:t xml:space="preserve">         derecho a la propiedad. En virtud de ello, en el presente  apartado</w:t>
        <w:br/>
        <w:t xml:space="preserve">         la Corte analizará: a) el derecho a la tutela judicial efectiva  en</w:t>
        <w:br/>
        <w:t xml:space="preserve">         la ejecución de sentencias y privatización de empresas; b) el plazo</w:t>
        <w:br/>
        <w:t xml:space="preserve">         razonable; c) el derecho a la seguridad social, y d) el  derecho  a</w:t>
        <w:br/>
        <w:t xml:space="preserve">         la propiedad privada.</w:t>
        <w:br/>
        <w:br/>
        <w:br/>
        <w:t xml:space="preserve">      Derecho a la tutela judicial efectiva en la ejecución de sentencias  y</w:t>
        <w:br/>
        <w:t xml:space="preserve">      privatización de empresas</w:t>
        <w:br/>
        <w:br/>
        <w:br/>
        <w:t>A.1 Argumentos de las partes y de la Comisión</w:t>
        <w:br/>
        <w:br/>
        <w:br/>
        <w:t xml:space="preserve">    109. La Comisión alegó que existieron dos sentencias de amparo  dictadas</w:t>
        <w:br/>
        <w:t xml:space="preserve">         en 1993 y 1999 que ordenaron la reincorporación  del  señor  Muelle</w:t>
        <w:br/>
        <w:t xml:space="preserve">         Flores al régimen pensionario del Decreto Ley No. 20530,  así  como</w:t>
        <w:br/>
        <w:t xml:space="preserve">         el pago de su  pensión.  Asimismo,  en  el  marco  de  una  demanda</w:t>
        <w:br/>
        <w:t xml:space="preserve">         interpuesta  por  la  empresa,  se  resolvió  la  legalidad  de  la</w:t>
        <w:br/>
        <w:t xml:space="preserve">         incorporación del señor Muelle Flores a dicho régimen. A  pesar  de</w:t>
        <w:br/>
        <w:t xml:space="preserve">         ello, la Comisión  indicó  que  los  fallos  fueron  incumplidos  y</w:t>
        <w:br/>
        <w:t xml:space="preserve">         “ninguna de las autoridades judiciales que conoció  el  proceso  de</w:t>
        <w:br/>
        <w:t xml:space="preserve">         ejecución de sentencia implementó ningún mecanismo coercitivo  para</w:t>
        <w:br/>
        <w:t xml:space="preserve">         asegurar  la  materialización  del  derecho  reconocido  al   señor</w:t>
        <w:br/>
        <w:t xml:space="preserve">         Muelle”, más allá de las órdenes de ejecución adoptadas  en  cuatro</w:t>
        <w:br/>
        <w:t xml:space="preserve">         ocasiones, las cuales tampoco fueron cumplidas.</w:t>
        <w:br/>
        <w:br/>
        <w:t xml:space="preserve">    110. Asimismo, argumentó que la empresa pública  incumplió  inicialmente</w:t>
        <w:br/>
        <w:t xml:space="preserve">         la sentencia de 2 de febrero de 1993,  favorable  al  señor  Muelle</w:t>
        <w:br/>
        <w:t xml:space="preserve">         Flores, antes de la  privatización.  Uno  de  los  alegatos  de  la</w:t>
        <w:br/>
        <w:t xml:space="preserve">         empresa para no dar cumplimiento al fallo, se basó en el  hecho  de</w:t>
        <w:br/>
        <w:t xml:space="preserve">         que con posterioridad a su emisión,  la  empresa  fue  privatizada,</w:t>
        <w:br/>
        <w:t xml:space="preserve">         convirtiéndose ello en uno  de  los  obstáculos  que  impidieron  y</w:t>
        <w:br/>
        <w:t xml:space="preserve">         continúan impidiendo el efectivo cumplimiento de la sentencia y  su</w:t>
        <w:br/>
        <w:t xml:space="preserve">         ejecución. La Comisión resaltó que “el derecho a la tutela judicial</w:t>
        <w:br/>
        <w:t xml:space="preserve">         efectiva imponía al Estado  la  obligación  de  asegurarse  que  la</w:t>
        <w:br/>
        <w:t xml:space="preserve">         privatización de la empresa estatal  no  vaciara  de  contenido  el</w:t>
        <w:br/>
        <w:t xml:space="preserve">         derecho a la pensión en los términos reconocidos  judicialmente  al</w:t>
        <w:br/>
        <w:t xml:space="preserve">         señor Muelle”, y destacó  que  los  Estados  debían  garantizar,  a</w:t>
        <w:br/>
        <w:t xml:space="preserve">         través  de  salvaguardas,  que  las  medidas  de  privatización  de</w:t>
        <w:br/>
        <w:t xml:space="preserve">         empresas estatales no socavaran los derechos de  los  trabajadores,</w:t>
        <w:br/>
        <w:t xml:space="preserve">         lo cual no ocurrió en el presente caso. Destacó  que  si  bien,  el</w:t>
        <w:br/>
        <w:t xml:space="preserve">         Estado había hecho referencia a  una  “supuesta  regulación  en  la</w:t>
        <w:br/>
        <w:t xml:space="preserve">         materia”, esta era posterior a la privatización,  y  la  ineficacia</w:t>
        <w:br/>
        <w:t xml:space="preserve">         demostrada del poder judicial hasta la fecha para  hacer  efectivos</w:t>
        <w:br/>
        <w:t xml:space="preserve">         sus fallos en el marco de dicha privatización, ponía  en  evidencia</w:t>
        <w:br/>
        <w:t xml:space="preserve">         que dicha regulación no satisfacía  los  fines  para  la  cual  fue</w:t>
        <w:br/>
        <w:t xml:space="preserve">         creada.</w:t>
        <w:br/>
        <w:br/>
        <w:t xml:space="preserve">    111. Destacó que luego de transcurridos casi 24  años  desde  el  primer</w:t>
        <w:br/>
        <w:t xml:space="preserve">         fallo judicial a favor del señor Muelle Flores, el Estado  continúa</w:t>
        <w:br/>
        <w:t xml:space="preserve">         violando su derecho a la tutela judicial efectiva, por  lo  que  el</w:t>
        <w:br/>
        <w:t xml:space="preserve">         proceso de ejecución, al no  cumplir  con  su  finalidad  esencial,</w:t>
        <w:br/>
        <w:t xml:space="preserve">         resultó inefectivo. Consideró que si bien el Estado  se  refirió  a</w:t>
        <w:br/>
        <w:t xml:space="preserve">         unos pagos en los años  noventa  y  hasta  el  2000,  éstos  fueron</w:t>
        <w:br/>
        <w:t xml:space="preserve">         parciales sin que el Estado haya demostrado que  hubieran  cumplido</w:t>
        <w:br/>
        <w:t xml:space="preserve">         con la nivelación y cálculo exigidos en la sentencia  favorable  al</w:t>
        <w:br/>
        <w:t xml:space="preserve">         señor Muelle Flores.</w:t>
        <w:br/>
        <w:br/>
        <w:t xml:space="preserve">    112. La Comisión concluyó que el Estado era responsable por  la  omisión</w:t>
        <w:br/>
        <w:t xml:space="preserve">         de contar con un marco normativo adecuado,  por  el  incumplimiento</w:t>
        <w:br/>
        <w:t xml:space="preserve">         inicial de la sentencia favorable al señor Muelle Flores por  parte</w:t>
        <w:br/>
        <w:t xml:space="preserve">         de la propia entidad estatal, por la ineficacia del poder  judicial</w:t>
        <w:br/>
        <w:t xml:space="preserve">         para hacer efectivo  dicho  cumplimiento,  por  la  obstaculización</w:t>
        <w:br/>
        <w:t xml:space="preserve">         mediante una privatización que no cumplió las salvaguardas mínimas,</w:t>
        <w:br/>
        <w:t xml:space="preserve">         y por la posterior ineficacia del poder judicial para  resolver  el</w:t>
        <w:br/>
        <w:t xml:space="preserve">         debate sobre a quién le  correspondía  la  responsabilidad  de  los</w:t>
        <w:br/>
        <w:t xml:space="preserve">         pagos. Con base  en  ello,  concluyó  que  el  Estado  peruano  era</w:t>
        <w:br/>
        <w:t xml:space="preserve">         responsable por la violación de los derechos  establecidos  en  los</w:t>
        <w:br/>
        <w:t xml:space="preserve">         artículos 25.1 y 25.2 c) de la Convención Americana en relación con</w:t>
        <w:br/>
        <w:t xml:space="preserve">         las  obligaciones  establecidas  en  el  artículo  1.1  del   mismo</w:t>
        <w:br/>
        <w:t xml:space="preserve">         instrumento en  perjuicio  del  señor  Muelle  Flores.  Finalmente,</w:t>
        <w:br/>
        <w:t xml:space="preserve">         indicó que el  Estado  no  había  adoptado  las  medidas  generales</w:t>
        <w:br/>
        <w:t xml:space="preserve">         necesarias para remediar la situación del señor Muelle Flores,  por</w:t>
        <w:br/>
        <w:t xml:space="preserve">         lo cual, también era responsable por la violación del artículo 2 de</w:t>
        <w:br/>
        <w:t xml:space="preserve">         la Convención Americana.</w:t>
        <w:br/>
        <w:br/>
        <w:t xml:space="preserve">    113.  Las  representantes  señalaron  que,  a  través  de  una  decisión</w:t>
        <w:br/>
        <w:t xml:space="preserve">         unilateral, arbitraria e intempestiva de la empresa estatal, y  sin</w:t>
        <w:br/>
        <w:t xml:space="preserve">         ningún procedimiento administrativo previo, se suspendió el pago de</w:t>
        <w:br/>
        <w:t xml:space="preserve">         la pensión del señor Muelle, desconociendo sus derechos  adquiridos</w:t>
        <w:br/>
        <w:t xml:space="preserve">         y su derecho al debido proceso. Con base en ello,  concluyeron  que</w:t>
        <w:br/>
        <w:t xml:space="preserve">         el Estado violó el artículo 8.1 y 25.1 de la Convención  Americana.</w:t>
        <w:br/>
        <w:t xml:space="preserve">         Asimismo, las representantes  indicaron  que  el  Estado  incumplió</w:t>
        <w:br/>
        <w:t xml:space="preserve">         manifiestamente  su  obligación  de  brindar  un  recurso  judicial</w:t>
        <w:br/>
        <w:t xml:space="preserve">         efectivo, ya que, a pesar de que las sentencias  cuyo  cumplimiento</w:t>
        <w:br/>
        <w:t xml:space="preserve">         reclamó el señor Muelle Flores tenían calidad de cosa  juzgada,  el</w:t>
        <w:br/>
        <w:t xml:space="preserve">         Estado no actuó de conformidad con su obligación de disponer  todos</w:t>
        <w:br/>
        <w:t xml:space="preserve">         los medios necesarios para lograr su cumplimiento.</w:t>
        <w:br/>
        <w:br/>
        <w:t xml:space="preserve">    114. Además, alegaron que no solo el Estado incumplió con las sentencias</w:t>
        <w:br/>
        <w:t xml:space="preserve">         a nivel interno,  sino  que  no  brindó  un  recurso  judicial  que</w:t>
        <w:br/>
        <w:t xml:space="preserve">         garantizara la ejecución de dichas decisiones.</w:t>
        <w:br/>
        <w:br/>
        <w:t xml:space="preserve">    115. Las representantes señalaron que con la privatización de la empresa</w:t>
        <w:br/>
        <w:t xml:space="preserve">         no se estableció con claridad quién se encargaría de los  pagos  de</w:t>
        <w:br/>
        <w:t xml:space="preserve">         las pensiones del señor Muelle. Ello no fue solucionado durante  el</w:t>
        <w:br/>
        <w:t xml:space="preserve">         proceso de ejecución, ya que tanto la empresa privatizada, como  la</w:t>
        <w:br/>
        <w:t xml:space="preserve">         OEP (en adelante “Órgano Estatal  Previsional”)  se  excusaron  del</w:t>
        <w:br/>
        <w:t xml:space="preserve">         deber de implementar la sentencia, debido a que, según su  parecer,</w:t>
        <w:br/>
        <w:t xml:space="preserve">         a ninguna de las entidades les correspondía el pago de la pensión.</w:t>
        <w:br/>
        <w:br/>
        <w:t xml:space="preserve">    116. Las representantes argumentaron que el  incumplimiento  del  Estado</w:t>
        <w:br/>
        <w:t xml:space="preserve">         continúa hasta el día de hoy, ya que desde  febrero  del  año  1991</w:t>
        <w:br/>
        <w:t xml:space="preserve">         hasta el presente, no se le ha pagado  a  la  presunta  víctima  la</w:t>
        <w:br/>
        <w:t xml:space="preserve">         pensión por jubilación nivelada ni se le ha otorgado  la  cobertura</w:t>
        <w:br/>
        <w:t xml:space="preserve">         de salud correspondiente. Consideraron que los pagos  parciales  de</w:t>
        <w:br/>
        <w:t xml:space="preserve">         pensiones efectuados desde 1999 a 2001 no  correspondieron  con  el</w:t>
        <w:br/>
        <w:t xml:space="preserve">         monto nivelado que debía recibir conforme a  lo  ordenado  por  las</w:t>
        <w:br/>
        <w:t xml:space="preserve">         sentencias a nivel interno, y que a pesar de ello, la ONP se negó a</w:t>
        <w:br/>
        <w:t xml:space="preserve">         efectuar el cálculo del pago, no obstante estar obligada a ello con</w:t>
        <w:br/>
        <w:t xml:space="preserve">         base en la legislación de la época. En virtud de lo  expuesto,  las</w:t>
        <w:br/>
        <w:t xml:space="preserve">         representantes concluyeron que el Estado  peruano  era  responsable</w:t>
        <w:br/>
        <w:t xml:space="preserve">         por la violación de los derechos establecidos en los artículos 25.1</w:t>
        <w:br/>
        <w:t xml:space="preserve">         y  25.2  c)  de  la  Convención  Americana  en  relación  con   las</w:t>
        <w:br/>
        <w:t xml:space="preserve">         obligaciones establecidas en el artículo 1.1 del mismo  instrumento</w:t>
        <w:br/>
        <w:t xml:space="preserve">         en perjuicio del señor Muelle Flores.</w:t>
        <w:br/>
        <w:br/>
        <w:t xml:space="preserve">    117. Las representantes concluyeron que el Estado  peruano  también  era</w:t>
        <w:br/>
        <w:t xml:space="preserve">         responsable por la violación del artículo 2 de  la  Convención  por</w:t>
        <w:br/>
        <w:t xml:space="preserve">         abstenerse de adoptar por un largo periodo de tiempo,  el  conjunto</w:t>
        <w:br/>
        <w:t xml:space="preserve">         de medidas necesarias para dar pleno cumplimiento a las  sentencias</w:t>
        <w:br/>
        <w:t xml:space="preserve">         de sus órganos judiciales.</w:t>
        <w:br/>
        <w:br/>
        <w:t xml:space="preserve">    118. El Estado señaló que,  “aun  cuando  en  el  caso  concreto  no  se</w:t>
        <w:br/>
        <w:t xml:space="preserve">         adoptaron  medidas  coercitivas  específicas”  para  garantizar  el</w:t>
        <w:br/>
        <w:t xml:space="preserve">         cumplimiento del fallo durante el proceso  de  ejecución  “sí  hubo</w:t>
        <w:br/>
        <w:t xml:space="preserve">         requerimientos por parte del órgano judicial para que la empresa dé</w:t>
        <w:br/>
        <w:t xml:space="preserve">         cumplimiento al fallo judicial”. Asimismo,  el  Estado  señaló  que</w:t>
        <w:br/>
        <w:t xml:space="preserve">         contaba con normativa vigente que  regía  las  medidas  coercitivas</w:t>
        <w:br/>
        <w:t xml:space="preserve">         para los órganos jurisdiccionales, y destacó que  la  ejecución  de</w:t>
        <w:br/>
        <w:t xml:space="preserve">         sentencias y resoluciones  judiciales  formaba  parte  del  derecho</w:t>
        <w:br/>
        <w:t xml:space="preserve">         fundamental  a  la  tutela  judicial  efectiva,  recogido   en   la</w:t>
        <w:br/>
        <w:t xml:space="preserve">         Constitución peruana. Para  ello,  el  Estado  señaló  que  la  Ley</w:t>
        <w:br/>
        <w:t xml:space="preserve">         Orgánica del Poder Judicial, el Código Procesal Constitucional y el</w:t>
        <w:br/>
        <w:t xml:space="preserve">         Código Procesal Civil, establecían la obligación de “toda persona y</w:t>
        <w:br/>
        <w:t xml:space="preserve">         autoridad”  de  acatar  y  dar  cumplimiento   a   las   decisiones</w:t>
        <w:br/>
        <w:t xml:space="preserve">         judiciales, “bajo responsabilidad civil, penal  o  administrativa”,</w:t>
        <w:br/>
        <w:t xml:space="preserve">         sin retardo en su ejecución. Además, destacó que  a  través  de  la</w:t>
        <w:br/>
        <w:t xml:space="preserve">         Resolución Administrativa N° 149-2012-P-PJ de 10 abril del 2012, el</w:t>
        <w:br/>
        <w:t xml:space="preserve">         Oficio Circular de marzo de 2005 y la Resolución Administrativa  N°</w:t>
        <w:br/>
        <w:t xml:space="preserve">         128-2008-CE-PJ de 9  de  mayo  de  2008  dictados  por  el  Consejo</w:t>
        <w:br/>
        <w:t xml:space="preserve">         Ejecutivo del Poder Judicial, se dispuso  que  “todos  los  órganos</w:t>
        <w:br/>
        <w:t xml:space="preserve">         jurisdiccionales del país adopten las  medidas  del  caso  para  la</w:t>
        <w:br/>
        <w:t xml:space="preserve">         ejecución dentro del plazo razonable de las sentencias  de  condena</w:t>
        <w:br/>
        <w:t xml:space="preserve">         dineraria que se hayan dictado contra las entidades del Estado”.</w:t>
        <w:br/>
        <w:br/>
        <w:t xml:space="preserve">    119. El Estado argumentó que la Segunda Sala Civil de la Corte  Superior</w:t>
        <w:br/>
        <w:t xml:space="preserve">         resolvió que la empresa no era la entidad obligada  a  realizar  el</w:t>
        <w:br/>
        <w:t xml:space="preserve">         pago de las pensiones del señor Muelle Flores, por lo que  resolvió</w:t>
        <w:br/>
        <w:t xml:space="preserve">         que el órgano de  primera  instancia  volviera  a  pronunciarse  al</w:t>
        <w:br/>
        <w:t xml:space="preserve">         respecto. En este sentido, el Estado consideró que, como  desde  el</w:t>
        <w:br/>
        <w:t xml:space="preserve">         año 2002 “el pago de las  pensiones  cuya  entidad  de  origen  sea</w:t>
        <w:br/>
        <w:t xml:space="preserve">         privatizada esta[ba] a cargo del [MEF]”, no era la entidad  privada</w:t>
        <w:br/>
        <w:t xml:space="preserve">         la obligada al pago,  por  lo  que  los  mecanismos  coercitivos  y</w:t>
        <w:br/>
        <w:t xml:space="preserve">         requerimientos  de   pago   debieron   hacerse   contra   el   MEF.</w:t>
        <w:br/>
        <w:t xml:space="preserve">         Contrariamente a esto, durante los  procesos  a  nivel  interno  el</w:t>
        <w:br/>
        <w:t xml:space="preserve">         señor Muelle Flores, pese a tener conocimiento de dicha  situación,</w:t>
        <w:br/>
        <w:t xml:space="preserve">         siempre mantuvo la posición de accionar contra la empresa  privada,</w:t>
        <w:br/>
        <w:t xml:space="preserve">         omitiendo solicitar el emplazamiento al MEF, quien no fue emplazado</w:t>
        <w:br/>
        <w:t xml:space="preserve">         en ningún momento. Además, alegó que conforme  a  la  normativa  de</w:t>
        <w:br/>
        <w:t xml:space="preserve">         amparo  vigente  en  la  época,  el  “proceso   de   ejecución   de</w:t>
        <w:br/>
        <w:t xml:space="preserve">         resoluciones judiciales se ejecuta[ba] a  pedido  de  parte”,  “que</w:t>
        <w:br/>
        <w:t xml:space="preserve">         invocara interés y legitimidad para obrar”, por  lo  que  el  señor</w:t>
        <w:br/>
        <w:t xml:space="preserve">         Muelle Flores, al ser  el  titular  del  derecho,  debió  solicitar</w:t>
        <w:br/>
        <w:t xml:space="preserve">         emplazamiento formal  del  MEF  y  no  lo  hizo,  lo  cual  “no  ha</w:t>
        <w:br/>
        <w:t xml:space="preserve">         coadyuvado a dilucidar la problemática judicial, [sino que  por  el</w:t>
        <w:br/>
        <w:t xml:space="preserve">         contrario],  ha  llevado,  de  alguna  manera,  a  confusión  a  la</w:t>
        <w:br/>
        <w:t xml:space="preserve">         autoridad judicial”. Sin embargo, el Estado señaló que no pretendía</w:t>
        <w:br/>
        <w:t xml:space="preserve">         “eludir su obligación en materia pensionaria  con  el  señor  Oscar</w:t>
        <w:br/>
        <w:t xml:space="preserve">         Muelle  Flores”,  por  lo  que  manifestó  su   voluntad   de   dar</w:t>
        <w:br/>
        <w:t xml:space="preserve">         cumplimiento a lo que ordenara la Corte, e indicó  que  su  defensa</w:t>
        <w:br/>
        <w:t xml:space="preserve">         jurídica buscaba explicar a la Corte las  complejidades  del  caso,</w:t>
        <w:br/>
        <w:t xml:space="preserve">         las que de algún modo han incidido en la alegada inejecución de  la</w:t>
        <w:br/>
        <w:t xml:space="preserve">         sentencia, dado que, como consecuencia del debate judicial  aún  en</w:t>
        <w:br/>
        <w:t xml:space="preserve">         curso, no se ha determinado quién  debe  ejecutar  la  sentencia  a</w:t>
        <w:br/>
        <w:t xml:space="preserve">         favor del señor Muelle Flores.</w:t>
        <w:br/>
        <w:br/>
        <w:t xml:space="preserve">    120. Por otra parte, el Estado alegó  que  la  empresa  privada  efectuó</w:t>
        <w:br/>
        <w:t xml:space="preserve">         pagos parciales al señor Muelle de forma posterior a la decisión de</w:t>
        <w:br/>
        <w:t xml:space="preserve">         la  Corte  Suprema  de  2  de  febrero  de  1993.   Dichos   montos</w:t>
        <w:br/>
        <w:t xml:space="preserve">         correspondieron a los pagos de jubilación que debió percibir  desde</w:t>
        <w:br/>
        <w:t xml:space="preserve">         el año 1991, es decir que recibió los pagos correspondientes a  los</w:t>
        <w:br/>
        <w:t xml:space="preserve">         años 1991 a 2001, por lo que no se  podía  afirmar  de  manera  tan</w:t>
        <w:br/>
        <w:t xml:space="preserve">         tajante, que el recurso resultó inefectivo.</w:t>
        <w:br/>
        <w:br/>
        <w:t xml:space="preserve">    121. En cuanto a las medidas adoptadas por el Estado  en  virtud  de  la</w:t>
        <w:br/>
        <w:t xml:space="preserve">         privatización, señaló que contrariamente a lo alegado por la  CIDH,</w:t>
        <w:br/>
        <w:t xml:space="preserve">         sí adoptó medidas para proteger los derechos  pensionarios  de  los</w:t>
        <w:br/>
        <w:t xml:space="preserve">         extrabajadores de empresas privatizadas pertenecientes  al  régimen</w:t>
        <w:br/>
        <w:t xml:space="preserve">         del Decreto Ley No. 20530. En tal sentido, indicó que a partir  del</w:t>
        <w:br/>
        <w:t xml:space="preserve">         año 2002 y a través de distintas normas (Leyes No.27719, No.28115 y</w:t>
        <w:br/>
        <w:t xml:space="preserve">         No.28449), se estableció que en caso de privatización  de  empresas</w:t>
        <w:br/>
        <w:t xml:space="preserve">         estatales, quien debía asumir el pago de  las  pensiones  para  las</w:t>
        <w:br/>
        <w:t xml:space="preserve">         personas pertenecientes al régimen del Decreto Ley No. 20530 era el</w:t>
        <w:br/>
        <w:t xml:space="preserve">         Ministerio de Economía y Finanzas. En ese sentido, consideró que “a</w:t>
        <w:br/>
        <w:t xml:space="preserve">         partir de dichas leyes quedaba claro cuál era la entidad que asumía</w:t>
        <w:br/>
        <w:t xml:space="preserve">         el pago  de  pensiones”.  El  Estado  señaló  que  si  bien  dichas</w:t>
        <w:br/>
        <w:t xml:space="preserve">         salvaguardas no “[fueron] aplicadas al caso concreto, se  trata  de</w:t>
        <w:br/>
        <w:t xml:space="preserve">         una  medida  de  reparación  que  evitará  que  en  el  futuro   se</w:t>
        <w:br/>
        <w:t xml:space="preserve">         reproduzcan hechos similares”.</w:t>
        <w:br/>
        <w:br/>
        <w:t xml:space="preserve">    122. Finalmente, el Estado alegó que al contar con normativa  expresa  y</w:t>
        <w:br/>
        <w:t xml:space="preserve">         concreta  sobre  medidas  coercitivas  para   ejecutar   decisiones</w:t>
        <w:br/>
        <w:t xml:space="preserve">         judiciales y en relación con salvaguardas de las pensiones  de  sus</w:t>
        <w:br/>
        <w:t xml:space="preserve">         extrabajadores en casos de privatizaciones, no vulneró el  artículo</w:t>
        <w:br/>
        <w:t xml:space="preserve">         2 de la Convención Americana.</w:t>
        <w:br/>
        <w:br/>
        <w:br/>
        <w:br/>
        <w:br/>
        <w:t>A.2 Consideraciones de la Corte</w:t>
        <w:br/>
        <w:br/>
        <w:br/>
        <w:t xml:space="preserve">    123. Respecto del derecho a la protección judicial, en los términos  del</w:t>
        <w:br/>
        <w:t xml:space="preserve">         artículo  25  de  la  Convención   es   posible   identificar   dos</w:t>
        <w:br/>
        <w:t xml:space="preserve">         responsabilidades  concretas  del  Estado.  La  primera,  consagrar</w:t>
        <w:br/>
        <w:t xml:space="preserve">         normativamente  y  asegurar  la  debida  aplicación   de   recursos</w:t>
        <w:br/>
        <w:t xml:space="preserve">         efectivos ante las autoridades competentes, que amparen a todas las</w:t>
        <w:br/>
        <w:t xml:space="preserve">         personas bajo su jurisdicción contra actos que violen sus  derechos</w:t>
        <w:br/>
        <w:t xml:space="preserve">         fundamentales o que conlleven a la determinación de los derechos  y</w:t>
        <w:br/>
        <w:t xml:space="preserve">         obligaciones de éstas[137]. La segunda, garantizar los medios  para</w:t>
        <w:br/>
        <w:t xml:space="preserve">         ejecutar  las  respectivas  decisiones  y  sentencias   definitivas</w:t>
        <w:br/>
        <w:t xml:space="preserve">         emitidas por  tales  autoridades  competentes,  de  manera  que  se</w:t>
        <w:br/>
        <w:t xml:space="preserve">         protejan efectivamente los derechos declarados o  reconocidos[138].</w:t>
        <w:br/>
        <w:t xml:space="preserve">         Esto último, debido a  que  una  sentencia  con  carácter  de  cosa</w:t>
        <w:br/>
        <w:t xml:space="preserve">         juzgada otorga certeza sobre el derecho o controversia discutida en</w:t>
        <w:br/>
        <w:t xml:space="preserve">         el caso concreto y, por ende, tiene como  uno  de  sus  efectos  la</w:t>
        <w:br/>
        <w:t xml:space="preserve">         obligatoriedad  o  necesidad  de  cumplimiento[139].  Lo  contrario</w:t>
        <w:br/>
        <w:t xml:space="preserve">         supone la negación misma del derecho involucrado[140].</w:t>
        <w:br/>
        <w:br/>
        <w:t xml:space="preserve">    124. En este sentido, el artículo 25.2.c de la  Convención  consagra  el</w:t>
        <w:br/>
        <w:t xml:space="preserve">         derecho al “cumplimiento, por las autoridades competentes, de  toda</w:t>
        <w:br/>
        <w:t xml:space="preserve">         decisión en que se haya estimado procedente el recurso”.</w:t>
        <w:br/>
        <w:br/>
        <w:t xml:space="preserve">    125. La Corte ha indicado que  la  responsabilidad  estatal  no  termina</w:t>
        <w:br/>
        <w:t xml:space="preserve">         cuando las autoridades competentes emiten una decisión o sentencia,</w:t>
        <w:br/>
        <w:t xml:space="preserve">         sino que requiere además que  el  Estado  garantice  los  medios  y</w:t>
        <w:br/>
        <w:t xml:space="preserve">         mecanismos eficaces para ejecutar las  decisiones  definitivas,  de</w:t>
        <w:br/>
        <w:t xml:space="preserve">         manera que se protejan efectivamente los derechos  declarados[141].</w:t>
        <w:br/>
        <w:t xml:space="preserve">         Asimismo, este Tribunal ha establecido que la  efectividad  de  las</w:t>
        <w:br/>
        <w:t xml:space="preserve">         sentencias depende de su ejecución. El proceso  debe  tender  a  la</w:t>
        <w:br/>
        <w:t xml:space="preserve">         materialización de la  protección  del  derecho  reconocido  en  el</w:t>
        <w:br/>
        <w:t xml:space="preserve">         pronunciamiento judicial mediante la  aplicación  idónea  de  dicho</w:t>
        <w:br/>
        <w:t xml:space="preserve">         pronunciamiento[142].</w:t>
        <w:br/>
        <w:br/>
        <w:t xml:space="preserve">    126. La Corte considera que la ejecución  de  las  sentencias  debe  ser</w:t>
        <w:br/>
        <w:t xml:space="preserve">         regida por  aquellos  estándares  específicos  que  permitan  hacer</w:t>
        <w:br/>
        <w:t xml:space="preserve">         efectivos los principios, inter alia, de  tutela  judicial,  debido</w:t>
        <w:br/>
        <w:t xml:space="preserve">         proceso, seguridad jurídica, independencia judicial,  y  estado  de</w:t>
        <w:br/>
        <w:t xml:space="preserve">         derecho. La Corte también ha señalado que para lograr plenamente la</w:t>
        <w:br/>
        <w:t xml:space="preserve">         efectividad  de  la  sentencia  la  ejecución  debe  ser  completa,</w:t>
        <w:br/>
        <w:t xml:space="preserve">         perfecta, integral y sin demora[143].</w:t>
        <w:br/>
        <w:br/>
        <w:t xml:space="preserve">    127. Asimismo, el principio de tutela judicial efectiva requiere que los</w:t>
        <w:br/>
        <w:t xml:space="preserve">         procedimientos de ejecución sean accesibles para  las  partes,  sin</w:t>
        <w:br/>
        <w:t xml:space="preserve">         obstáculos o demoras indebidas, a fin de que alcancen  su  objetivo</w:t>
        <w:br/>
        <w:t xml:space="preserve">         de manera rápida, sencilla  e  integral[144].  Adicionalmente,  las</w:t>
        <w:br/>
        <w:t xml:space="preserve">         disposiciones que rigen la independencia del  orden  jurisdiccional</w:t>
        <w:br/>
        <w:t xml:space="preserve">         deben estar formuladas de manera idónea para  asegurar  la  puntual</w:t>
        <w:br/>
        <w:t xml:space="preserve">         ejecución  de  las  sentencias[145]  y   garantizar   el   carácter</w:t>
        <w:br/>
        <w:t xml:space="preserve">         vinculante   y   obligatorio   de   las   decisiones   de    última</w:t>
        <w:br/>
        <w:t xml:space="preserve">         instancia[146]. La Corte estima que en un ordenamiento basado sobre</w:t>
        <w:br/>
        <w:t xml:space="preserve">         el principio del Estado de Derecho todas las autoridades  públicas,</w:t>
        <w:br/>
        <w:t xml:space="preserve">         dentro del marco de su competencia, deben  atender  las  decisiones</w:t>
        <w:br/>
        <w:t xml:space="preserve">         judiciales, así como dar impulso  y  ejecución  a  las  mismas  sin</w:t>
        <w:br/>
        <w:t xml:space="preserve">         obstaculizar el sentido  y  alcance  de  la  decisión  ni  retrasar</w:t>
        <w:br/>
        <w:t xml:space="preserve">         indebidamente su ejecución[147].</w:t>
        <w:br/>
        <w:br/>
        <w:t xml:space="preserve">    128. Este Tribunal  resalta  además  que,  el  artículo  25.2.c)  de  la</w:t>
        <w:br/>
        <w:t xml:space="preserve">         Convención recoge la obligación de ejecutar “toda decisión  en  que</w:t>
        <w:br/>
        <w:t xml:space="preserve">         se haya estimado procedente el recurso”. Ello quiere decir que,  la</w:t>
        <w:br/>
        <w:t xml:space="preserve">         garantía de  mecanismos  eficaces  de  ejecución  de  decisiones  o</w:t>
        <w:br/>
        <w:t xml:space="preserve">         sentencias  definitivas  debe  darse  en  relación  con  decisiones</w:t>
        <w:br/>
        <w:t xml:space="preserve">         definitivas dictadas tanto en contra de entidades estatales como de</w:t>
        <w:br/>
        <w:t xml:space="preserve">         particulares. Asimismo, es imprescindible la  adopción  de  medidas</w:t>
        <w:br/>
        <w:t xml:space="preserve">         adecuadas y eficaces de coerción, para que, de ser  necesario,  las</w:t>
        <w:br/>
        <w:t xml:space="preserve">         autoridades  que  dicten  las  decisiones   o   sentencias   puedan</w:t>
        <w:br/>
        <w:t xml:space="preserve">         ejecutarlas y con ello lograr la materialización de  la  protección</w:t>
        <w:br/>
        <w:t xml:space="preserve">         del derecho reconocido en el pronunciamiento definitivo.</w:t>
        <w:br/>
        <w:br/>
        <w:t xml:space="preserve">    129. En el presente caso, no se encuentra en controversia la  existencia</w:t>
        <w:br/>
        <w:t xml:space="preserve">         del derecho a la pensión del señor Muelle Flores o la nivelación de</w:t>
        <w:br/>
        <w:t xml:space="preserve">         esta conforme a la normativa interna, ni si las decisiones sobre su</w:t>
        <w:br/>
        <w:t xml:space="preserve">         retiro del régimen del Decreto Ley No. 20530 fueron  convencionales</w:t>
        <w:br/>
        <w:t xml:space="preserve">         o vulneraron el debido proceso, ya que el derecho a la pensión y su</w:t>
        <w:br/>
        <w:t xml:space="preserve">         reincorporación a dicho régimen fueron ordenados  a  nivel  interno</w:t>
        <w:br/>
        <w:t xml:space="preserve">         mediante las sentencias de amparo  y  la  adoptada  en  el  proceso</w:t>
        <w:br/>
        <w:t xml:space="preserve">         contencioso-administrativo (supra párr. 73). En este sentido,  este</w:t>
        <w:br/>
        <w:t xml:space="preserve">         Tribunal no se referirá a la violación del artículo 8.1  solicitada</w:t>
        <w:br/>
        <w:t xml:space="preserve">         por las representantes en cuanto a ese extremo (supra párr. 113). A</w:t>
        <w:br/>
        <w:t xml:space="preserve">         continuación,  el  Tribunal  dividirá  el  análisis  del   presente</w:t>
        <w:br/>
        <w:t xml:space="preserve">         apartado de la  siguiente  manera:  i)  el  incumplimiento  de  las</w:t>
        <w:br/>
        <w:t xml:space="preserve">         sentencias definitivas dictadas a nivel interno; ii) la creación de</w:t>
        <w:br/>
        <w:t xml:space="preserve">         obstáculos para la ejecución de las sentencias a  nivel  interno  a</w:t>
        <w:br/>
        <w:t xml:space="preserve">         través de la privatización, y iii)  la  falta  de  efectividad  del</w:t>
        <w:br/>
        <w:t xml:space="preserve">         proceso de ejecución de sentencias: ausencia de medidas coercitivas</w:t>
        <w:br/>
        <w:t xml:space="preserve">         y medidas para revertir los efectos de la privatización.</w:t>
        <w:br/>
        <w:br/>
        <w:t xml:space="preserve">              Incumplimiento de las sentencias definitivas dictadas a nivel</w:t>
        <w:br/>
        <w:t xml:space="preserve">              interno</w:t>
        <w:br/>
        <w:br/>
        <w:br/>
        <w:t xml:space="preserve">    130. El señor Muelle laboraba en una empresa  minera  estatal  hasta  la</w:t>
        <w:br/>
        <w:t xml:space="preserve">         fecha de su jubilación el 30 de septiembre  de  1990.  En  mayo  de</w:t>
        <w:br/>
        <w:t xml:space="preserve">         1990, con anterioridad a su jubilación, la propia  empresa  estatal</w:t>
        <w:br/>
        <w:t xml:space="preserve">         lo incorporó al régimen del Decreto  Ley  No.  20530,  por  lo  que</w:t>
        <w:br/>
        <w:t xml:space="preserve">         recibió su pensión nivelada (supra párr. 44) desde el 1 de  octubre</w:t>
        <w:br/>
        <w:t xml:space="preserve">         de 1990 hasta enero de 1991, ya que, en febrero del mismo  año,  la</w:t>
        <w:br/>
        <w:t xml:space="preserve">         empresa  suspendió  la  aplicación  de  dicho  régimen   de   forma</w:t>
        <w:br/>
        <w:t xml:space="preserve">         unilateral (supra párr. 49). Ante  ello,  el  señor  Muelle  Flores</w:t>
        <w:br/>
        <w:t xml:space="preserve">         interpuso una demanda de amparo, la cual fue decidida a su favor el</w:t>
        <w:br/>
        <w:t xml:space="preserve">         2 de febrero de 1993 por la Corte Suprema, ordenándole a la empresa</w:t>
        <w:br/>
        <w:t xml:space="preserve">         estatal el pago de la pensión correspondiente y su  reincorporación</w:t>
        <w:br/>
        <w:t xml:space="preserve">         al régimen referido.</w:t>
        <w:br/>
        <w:br/>
        <w:t xml:space="preserve">    131. De la prueba obrante en el expediente, la  Corte  constata  que,  a</w:t>
        <w:br/>
        <w:t xml:space="preserve">         pesar de la adopción de dicha sentencia, la Empresa Especial Minera</w:t>
        <w:br/>
        <w:t xml:space="preserve">         Tintaya S.A., de propiedad estatal en ese momento, no  cumplió  con</w:t>
        <w:br/>
        <w:t xml:space="preserve">         lo ordenado por la Corte Suprema, sino que por el  contrario,  días</w:t>
        <w:br/>
        <w:t xml:space="preserve">         después de adoptada dicha decisión,  emitió  un  nuevo  Acuerdo  de</w:t>
        <w:br/>
        <w:t xml:space="preserve">         Directorio, por medio del cual se dispuso la suspensión del pago de</w:t>
        <w:br/>
        <w:t xml:space="preserve">         la pensión del señor Muelle Flores nuevamente. Ante ello, el  señor</w:t>
        <w:br/>
        <w:t xml:space="preserve">         Muelle Flores interpuso un segundo amparo, el  cual  fue  declarado</w:t>
        <w:br/>
        <w:t xml:space="preserve">         fundado  en  1999,  ordenando  la  inaplicación  del   acuerdo   de</w:t>
        <w:br/>
        <w:t xml:space="preserve">         directorio de 1991 y ordenando el pago de su  pensión.  Durante  el</w:t>
        <w:br/>
        <w:t xml:space="preserve">         trámite de este segundo amparo, una de las  autoridades  judiciales</w:t>
        <w:br/>
        <w:t xml:space="preserve">         intervinientes concluyó que la agresión  contra  el  derecho  a  la</w:t>
        <w:br/>
        <w:t xml:space="preserve">         pensión del señor Muelle constituyó una “clara e ilegal resistencia</w:t>
        <w:br/>
        <w:t xml:space="preserve">         a lo resuelto por  autoridad  jurisdiccional”,  sin  embargo,  esta</w:t>
        <w:br/>
        <w:t xml:space="preserve">         decisión tampoco fue cumplida ni ejecutada por el Estado. La  Corte</w:t>
        <w:br/>
        <w:t xml:space="preserve">         nota que además de las dos sentencias que ampararon el derecho a la</w:t>
        <w:br/>
        <w:t xml:space="preserve">         pensión nivelable del  señor  Muelle  Flores,  la  empresa  estatal</w:t>
        <w:br/>
        <w:t xml:space="preserve">         interpuso  una  acción  contencioso-administrativa  antes   de   la</w:t>
        <w:br/>
        <w:t xml:space="preserve">         privatización, con el fin de que se declarara la ilegalidad  de  la</w:t>
        <w:br/>
        <w:t xml:space="preserve">         inclusión de aquel en el régimen del Decreto Ley No. 20530, la cual</w:t>
        <w:br/>
        <w:t xml:space="preserve">         también  terminó  con  una  decisión  favorable  al  señor  Muelle,</w:t>
        <w:br/>
        <w:t xml:space="preserve">         concluyéndose en 1997, que su inclusión a dicho régimen cumplió con</w:t>
        <w:br/>
        <w:t xml:space="preserve">         los requisitos de la ley vigente. Al respecto, la Corte observa que</w:t>
        <w:br/>
        <w:t xml:space="preserve">         el Estado no adoptó  ninguna  medida  desde  la  primera  sentencia</w:t>
        <w:br/>
        <w:t xml:space="preserve">         dictada en 1993 para  el  cumplimiento  rápido  y  efectivo  de  lo</w:t>
        <w:br/>
        <w:t xml:space="preserve">         ordenado por las autoridades judiciales, con el fin  de  garantizar</w:t>
        <w:br/>
        <w:t xml:space="preserve">         el derecho a la pensión reconocido judicialmente.</w:t>
        <w:br/>
        <w:br/>
        <w:t xml:space="preserve">              Creación de obstáculos para la ejecución de las sentencias  a</w:t>
        <w:br/>
        <w:t xml:space="preserve">              nivel interno a partir de la privatización</w:t>
        <w:br/>
        <w:br/>
        <w:br/>
        <w:t xml:space="preserve">    132. Con posterioridad a la sentencia de la Corte Suprema  de  1993,  la</w:t>
        <w:br/>
        <w:t xml:space="preserve">         empresa estatal Tintaya S.A. fue privatizada el 29 de noviembre  de</w:t>
        <w:br/>
        <w:t xml:space="preserve">         1994, por lo que a partir de dicha fecha dejó de  ser  una  empresa</w:t>
        <w:br/>
        <w:t xml:space="preserve">         del Estado. La Corte  nota  que,  desde  entonces,  la  empresa  ha</w:t>
        <w:br/>
        <w:t xml:space="preserve">         variado su razón social y ha sido adquirida por  distintos  dueños,</w:t>
        <w:br/>
        <w:t xml:space="preserve">         pero no volvió a ser una empresa pública estatal.</w:t>
        <w:br/>
        <w:br/>
        <w:t xml:space="preserve">    133. La Corte nota que antes de la privatización en noviembre  de  1994,</w:t>
        <w:br/>
        <w:t xml:space="preserve">         ya existía una sentencia judicial firme en  contra  de  la  empresa</w:t>
        <w:br/>
        <w:t xml:space="preserve">         estatal. Es decir que el Estado conocía las obligaciones judiciales</w:t>
        <w:br/>
        <w:t xml:space="preserve">         existentes, y aun así no solo no las cumplió, sino  que  adoptó  un</w:t>
        <w:br/>
        <w:t xml:space="preserve">         Acuerdo de Directorio  ulterior  para  suspender  al  señor  Muelle</w:t>
        <w:br/>
        <w:t xml:space="preserve">         Flores del régimen pensionario del Decreto Ley No. 20530. Además de</w:t>
        <w:br/>
        <w:t xml:space="preserve">         ello, tomó la  decisión  de  privatizar  la  empresa  pública,  sin</w:t>
        <w:br/>
        <w:t xml:space="preserve">         adoptar medidas con la debida diligencia requerida para evitar  que</w:t>
        <w:br/>
        <w:t xml:space="preserve">         dicha transferencia afectara el cumplimiento de la  obligación  del</w:t>
        <w:br/>
        <w:t xml:space="preserve">         pago de la pensión del señor Muelle Flores.</w:t>
        <w:br/>
        <w:br/>
        <w:t xml:space="preserve">    134. En particular, la Corte nota que el Estado no estableció  explícita</w:t>
        <w:br/>
        <w:t xml:space="preserve">         y claramente quién se encargaría de la administración y pago de  la</w:t>
        <w:br/>
        <w:t xml:space="preserve">         pensión del señor Muelle Flores, en virtud  de  la  orden  judicial</w:t>
        <w:br/>
        <w:t xml:space="preserve">         existente, ya que la empresa pública obligada, pasaría  a  ser  una</w:t>
        <w:br/>
        <w:t xml:space="preserve">         empresa privada. Esta falta de regulación clara respecto  de  quién</w:t>
        <w:br/>
        <w:t xml:space="preserve">         sería el responsable del  pago  de  la  pensión  del  señor  Muelle</w:t>
        <w:br/>
        <w:t xml:space="preserve">         Flores, generó una situación de incertidumbre sobre  su  cobro,  lo</w:t>
        <w:br/>
        <w:t xml:space="preserve">         cual, a su vez, generó un obstáculo en el cumplimiento y  ejecución</w:t>
        <w:br/>
        <w:t xml:space="preserve">         de la  sentencia.  El  Estado  tenía  una  obligación  judicial  de</w:t>
        <w:br/>
        <w:t xml:space="preserve">         cumplimiento, la cual se debió mantener luego de la  privatización,</w:t>
        <w:br/>
        <w:t xml:space="preserve">         o al menos, se debió establecer sobre qué entidad  (sea  pública  o</w:t>
        <w:br/>
        <w:t xml:space="preserve">         privada) recaería dicha  obligación  de  cumplimiento.  Es  preciso</w:t>
        <w:br/>
        <w:t xml:space="preserve">         recordar que con base en las obligaciones  derivadas  del  artículo</w:t>
        <w:br/>
        <w:t xml:space="preserve">         1.1 de la Convención, el Estado no  solo  tiene  la  obligación  de</w:t>
        <w:br/>
        <w:t xml:space="preserve">         respetar los derechos, sino de hacerlos respetar, por lo que aun en</w:t>
        <w:br/>
        <w:t xml:space="preserve">         el supuesto de que un privado fuese el responsable del pago  de  la</w:t>
        <w:br/>
        <w:t xml:space="preserve">         pensión  del  señor  Muelle,  el  Estado  tenía  la  obligación  de</w:t>
        <w:br/>
        <w:t xml:space="preserve">         garantizar que el pago de su pensión se hiciera efectivo[148].</w:t>
        <w:br/>
        <w:br/>
        <w:t xml:space="preserve">    135. Asimismo, conforme a  los  hechos  del  caso,  en  el  contrato  de</w:t>
        <w:br/>
        <w:t xml:space="preserve">         compraventa entre Tintaya S.A. y Magma Copper Corporation se señaló</w:t>
        <w:br/>
        <w:t xml:space="preserve">         expresamente que Tintaya S.A. no tenía jubilados ni pensionistas  a</w:t>
        <w:br/>
        <w:t xml:space="preserve">         cuenta de la empresa, aunque existía litigio con dos  funcionarios.</w:t>
        <w:br/>
        <w:t xml:space="preserve">         El contrato también señaló  expresamente  que,  en  todo  caso,  de</w:t>
        <w:br/>
        <w:t xml:space="preserve">         “presentarse pasivos o contingencias no registrados,  derivados  de</w:t>
        <w:br/>
        <w:t xml:space="preserve">         hechos anteriores a la fecha de cierre [29 de noviembre  de  1994],</w:t>
        <w:br/>
        <w:t xml:space="preserve">         ellos ser[ían] asumidos por el [v]endedor […]” (supra  párrs.  59).</w:t>
        <w:br/>
        <w:t xml:space="preserve">         Esto último nunca fue asumido por  el  Estado,  sino  que,  por  el</w:t>
        <w:br/>
        <w:t xml:space="preserve">         contrario, el Estado utilizó la incertidumbre creada por él  mismo,</w:t>
        <w:br/>
        <w:t xml:space="preserve">         para desconocer un derecho a la pensión legítimamente  adquirido  y</w:t>
        <w:br/>
        <w:t xml:space="preserve">         confirmado  judicialmente,  a  través  del  argumento  de  que  las</w:t>
        <w:br/>
        <w:t xml:space="preserve">         sentencias judiciales y el proceso estuvieron dirigidos a lograr el</w:t>
        <w:br/>
        <w:t xml:space="preserve">         cumplimiento del pago por parte de una empresa privada. Si bien  al</w:t>
        <w:br/>
        <w:t xml:space="preserve">         momento de la compraventa,  el  proceso  contencioso-administrativo</w:t>
        <w:br/>
        <w:t xml:space="preserve">         iniciado por Tintaya S.A. para que se declarara la ilegalidad de la</w:t>
        <w:br/>
        <w:t xml:space="preserve">         incorporación de la víctima al régimen del Decreto Ley  No.  205030</w:t>
        <w:br/>
        <w:t xml:space="preserve">         se  encontraba  en  curso,  el  Estado  ya   había   sido   vencido</w:t>
        <w:br/>
        <w:t xml:space="preserve">         judicialmente en el  proceso  de  amparo  finalizado  en  1993.  El</w:t>
        <w:br/>
        <w:t xml:space="preserve">         cumplimiento del pago de las pensiones tampoco se  realizó  después</w:t>
        <w:br/>
        <w:t xml:space="preserve">         de terminado  el  contencioso-administrativo  en  favor  del  señor</w:t>
        <w:br/>
        <w:t xml:space="preserve">         Muelle Flores, ni  luego  de  adoptada  la  decisión  del  Tribunal</w:t>
        <w:br/>
        <w:t xml:space="preserve">         Constitucional en 1999,  la  que  también  ordenó  el  pago  de  la</w:t>
        <w:br/>
        <w:t xml:space="preserve">         pensión.</w:t>
        <w:br/>
        <w:br/>
        <w:t xml:space="preserve">    136. Por otro lado, el Estado alegó que parte de la confusión a la  cual</w:t>
        <w:br/>
        <w:t xml:space="preserve">         se habría llevado a la autoridad judicial para la ejecución  de  la</w:t>
        <w:br/>
        <w:t xml:space="preserve">         sentencia interna, se debió a que el señor Muelle  Flores  “siempre</w:t>
        <w:br/>
        <w:t xml:space="preserve">         insistió en que el obligado al pago era la empresa privada”, y que,</w:t>
        <w:br/>
        <w:t xml:space="preserve">         pese a tener conocimiento de que el MEF era el encargado  del  pago</w:t>
        <w:br/>
        <w:t xml:space="preserve">         desde el año 2002 (infra párr. 138), se mantuvo en la  posición  de</w:t>
        <w:br/>
        <w:t xml:space="preserve">         accionar  contra  la  empresa  privada,  omitiendo   solicitar   el</w:t>
        <w:br/>
        <w:t xml:space="preserve">         emplazamiento del MEF, quien, al no ser emplazado  no  pudo  “hacer</w:t>
        <w:br/>
        <w:t xml:space="preserve">         valer sus derechos” durante el proceso de amparo y tampoco  durante</w:t>
        <w:br/>
        <w:t xml:space="preserve">         la ejecución judicial. El Tribunal considera que el Estado no  solo</w:t>
        <w:br/>
        <w:t xml:space="preserve">         incumplió lo ordenado por el Poder Judicial, sino que no  clarificó</w:t>
        <w:br/>
        <w:t xml:space="preserve">         cuáles eran sus obligaciones con el fin de proteger los derechos de</w:t>
        <w:br/>
        <w:t xml:space="preserve">         la víctima en el marco de la privatización llevada a  cabo  por  su</w:t>
        <w:br/>
        <w:t xml:space="preserve">         propia decisión. Esto último llama la  atención  del  Tribunal,  ya</w:t>
        <w:br/>
        <w:t xml:space="preserve">         que, de la normativa aportada por el Estado, vigente al año 1996  y</w:t>
        <w:br/>
        <w:t xml:space="preserve">         2004, tanto la ONP, como luego el MEF[149],  respectivamente,  eran</w:t>
        <w:br/>
        <w:t xml:space="preserve">         los organismos encargados de la representación procesal del  Estado</w:t>
        <w:br/>
        <w:t xml:space="preserve">         en los procesos judiciales relativos al régimen del Decreto Ley No.</w:t>
        <w:br/>
        <w:t xml:space="preserve">         20530 de las entidades privatizadas[150]. En este sentido, la Corte</w:t>
        <w:br/>
        <w:t xml:space="preserve">         entiende que el apersonamiento del MEF al proceso  debió  darse  de</w:t>
        <w:br/>
        <w:t xml:space="preserve">         oficio en el momento oportuno,  de  conformidad  con  la  normativa</w:t>
        <w:br/>
        <w:t xml:space="preserve">         vigente, como efectivamente ocurrió por resolución de 30  de  julio</w:t>
        <w:br/>
        <w:t xml:space="preserve">         de 1996, por medio de la cual  la  Sala  Contencioso-Administrativa</w:t>
        <w:br/>
        <w:t xml:space="preserve">         solicitó el apersonamiento de la ONP a dicho proceso  (supra  párr.</w:t>
        <w:br/>
        <w:t xml:space="preserve">         70). Además de lo señalado, la Corte constata  que  fue  el  propio</w:t>
        <w:br/>
        <w:t xml:space="preserve">         Estado, a  través  de  sus  instituciones  públicas,  quien  brindó</w:t>
        <w:br/>
        <w:t xml:space="preserve">         información a la víctima que la llevó a considerar que  la  empresa</w:t>
        <w:br/>
        <w:t xml:space="preserve">         privada era la responsable del pago de su pensión. En efecto, tanto</w:t>
        <w:br/>
        <w:t xml:space="preserve">         la ONP como el MEF recibieron cartas notariales  del  señor  Muelle</w:t>
        <w:br/>
        <w:t xml:space="preserve">         Flores solicitando información sobre el responsable del pago de sus</w:t>
        <w:br/>
        <w:t xml:space="preserve">         pensiones y ambos órganos estatales señalaron que  sobre  ellos  no</w:t>
        <w:br/>
        <w:t xml:space="preserve">         recaía dicha responsabilidad, sino sobre la empresa “que le  pagaba</w:t>
        <w:br/>
        <w:t xml:space="preserve">         sus pensiones” o la empresa “Minera Especial Tintaya  S.A.”,  quien</w:t>
        <w:br/>
        <w:t xml:space="preserve">         ya no existía como tal en dicha época. Inclusive, el MEF le informó</w:t>
        <w:br/>
        <w:t xml:space="preserve">         al señor Muelle Flores que no era responsable del pago, a pesar  de</w:t>
        <w:br/>
        <w:t xml:space="preserve">         que ya  se  había  adoptado  la  norma  que  establecía  que  dicho</w:t>
        <w:br/>
        <w:t xml:space="preserve">         Ministerio se  encargaría  de  la  administración  y  pago  de  las</w:t>
        <w:br/>
        <w:t xml:space="preserve">         pensiones de los  jubilados  bajo  el  Decreto  Ley  No.  20530  de</w:t>
        <w:br/>
        <w:t xml:space="preserve">         empresas privatizadas, con  base  en  que  la  orden  del  Tribunal</w:t>
        <w:br/>
        <w:t xml:space="preserve">         Constitucional era contra una empresa que ahora era privada.</w:t>
        <w:br/>
        <w:br/>
        <w:t xml:space="preserve">    137. En virtud de las obligaciones del Estado, la Corte  estima  que  no</w:t>
        <w:br/>
        <w:t xml:space="preserve">         solo  debió  cumplir  con  el   pago   de   la   pensión   ordenado</w:t>
        <w:br/>
        <w:t xml:space="preserve">         judicialmente, de manera inmediata, y  con  especial  diligencia  y</w:t>
        <w:br/>
        <w:t xml:space="preserve">         celeridad, al tratarse de un derecho  de  “carácter  alimentario  y</w:t>
        <w:br/>
        <w:t xml:space="preserve">         sustitutivo del salario”[151] (infra párr.  162),  sino  que  debió</w:t>
        <w:br/>
        <w:t xml:space="preserve">         haber establecido expresa y claramente qué  entidad  se  encargaría</w:t>
        <w:br/>
        <w:t xml:space="preserve">         del cumplimiento de la  decisión  judicial  ordenada  antes  de  la</w:t>
        <w:br/>
        <w:t xml:space="preserve">         privatización, esclareciendo y reconduciendo de oficio, el  trámite</w:t>
        <w:br/>
        <w:t xml:space="preserve">         a la entidad estatal que estaría a cargo del pago  correspondiente.</w:t>
        <w:br/>
        <w:t xml:space="preserve">         Ello, no sucedió en el presente caso, sino que  por  el  contrario,</w:t>
        <w:br/>
        <w:t xml:space="preserve">         dicha responsabilidad fue trasladada a la víctima.</w:t>
        <w:br/>
        <w:br/>
        <w:t xml:space="preserve">    138. Por otro lado, el Estado señaló que desde  mayo  de  2002,  con  la</w:t>
        <w:br/>
        <w:t xml:space="preserve">         adopción de la Ley No.  27719  y  las  posteriores  normas  que  la</w:t>
        <w:br/>
        <w:t xml:space="preserve">         ampliaron y/o modificaron (Leyes No. 28115 y No. 28449),  “el  pago</w:t>
        <w:br/>
        <w:t xml:space="preserve">         de las pensiones cuya entidad de origen  [había  sido]  privatizada</w:t>
        <w:br/>
        <w:t xml:space="preserve">         estar[ía] a cargo  del  Ministerio  de  Economía  y  Finanzas”[152]</w:t>
        <w:br/>
        <w:t xml:space="preserve">         (supra párrs. 101). En este sentido, en  Estado  consideró  que  sí</w:t>
        <w:br/>
        <w:t xml:space="preserve">         adoptó medidas para  proteger  los  derechos  pensionarios  de  los</w:t>
        <w:br/>
        <w:t xml:space="preserve">         extrabajadores de empresas privatizadas.  Sin  perjuicio  de  ello,</w:t>
        <w:br/>
        <w:t xml:space="preserve">         reconoció que estas  medidas  no  habían  sido  aplicadas  al  caso</w:t>
        <w:br/>
        <w:t xml:space="preserve">         concreto. En efecto, si bien la Corte considera positivo el  cambio</w:t>
        <w:br/>
        <w:t xml:space="preserve">         normativo adoptado en el 2002, considera que este se  produjo  casi</w:t>
        <w:br/>
        <w:t xml:space="preserve">         ocho años después de la privatización, y no con anterioridad  a  la</w:t>
        <w:br/>
        <w:t xml:space="preserve">         misma. Asimismo, a pesar del cambio normativo, el MEF  no  se  hizo</w:t>
        <w:br/>
        <w:t xml:space="preserve">         cargo del pago de la pensión del señor Muelle Flores, sino que  por</w:t>
        <w:br/>
        <w:t xml:space="preserve">         el contrario, informó que no se encontraba obligado, en  virtud  de</w:t>
        <w:br/>
        <w:t xml:space="preserve">         que el mandato de la sentencia del Tribunal Constitucional de  1999</w:t>
        <w:br/>
        <w:t xml:space="preserve">         había sido dirigido contra una empresa que era privada.  Por  ello,</w:t>
        <w:br/>
        <w:t xml:space="preserve">         la Corte considera que la adopción de la normativa citada no derivó</w:t>
        <w:br/>
        <w:t xml:space="preserve">         en el pago de la pensión correspondiente.</w:t>
        <w:br/>
        <w:br/>
        <w:t xml:space="preserve">    139. En virtud de lo señalado, el Tribunal considera  que  la  falta  de</w:t>
        <w:br/>
        <w:t xml:space="preserve">         adopción de salvaguardas normativas o de otra  índole  para  evitar</w:t>
        <w:br/>
        <w:t xml:space="preserve">         una  violación  de  los  derechos  del  señor  Muelle  Flores  como</w:t>
        <w:br/>
        <w:t xml:space="preserve">         consecuencia de la privatización, creó un obstáculo en relación con</w:t>
        <w:br/>
        <w:t xml:space="preserve">         el cobro de la pensión reconocida judicialmente a la víctima y  con</w:t>
        <w:br/>
        <w:t xml:space="preserve">         la ejecución de las sentencias de amparo, lo que derivó en  que  el</w:t>
        <w:br/>
        <w:t xml:space="preserve">         señor Muelle Flores, hasta la actualidad, no pueda gozar  del  pago</w:t>
        <w:br/>
        <w:t xml:space="preserve">         de una pensión a la cual contribuyó y adquirió  de  pleno  derecho.</w:t>
        <w:br/>
        <w:t xml:space="preserve">         Por lo tanto el Estado es responsable de la violación del  artículo</w:t>
        <w:br/>
        <w:t xml:space="preserve">         2 de la Convención por la falta de adopción de  medidas,  al  menos</w:t>
        <w:br/>
        <w:t xml:space="preserve">         hasta el año 2002.</w:t>
        <w:br/>
        <w:br/>
        <w:t xml:space="preserve">              Falta de efectividad del proceso de ejecución de  sentencias:</w:t>
        <w:br/>
        <w:t xml:space="preserve">              ausencia de medidas coercitivas y medidas para  revertir  los</w:t>
        <w:br/>
        <w:t xml:space="preserve">              efectos de la privatización</w:t>
        <w:br/>
        <w:br/>
        <w:br/>
        <w:t xml:space="preserve">    140.  Ahora  bien,  como  ya  ha  establecido  esta  Corte,   tanto   el</w:t>
        <w:br/>
        <w:t xml:space="preserve">         cumplimiento  como  la  ejecución  de  las  sentencias  constituyen</w:t>
        <w:br/>
        <w:t xml:space="preserve">         componentes del derecho de acceso a  la  justicia  y  a  la  tutela</w:t>
        <w:br/>
        <w:t xml:space="preserve">         judicial  efectiva.  De  igual  manera,  la  efectividad   de   las</w:t>
        <w:br/>
        <w:t xml:space="preserve">         sentencias depende de su ejecución, debido a que el  derecho  a  la</w:t>
        <w:br/>
        <w:t xml:space="preserve">         protección judicial sería  ilusorio  si  el  ordenamiento  jurídico</w:t>
        <w:br/>
        <w:t xml:space="preserve">         interno del Estado permitiera que una  decisión  judicial  final  y</w:t>
        <w:br/>
        <w:t xml:space="preserve">         obligatoria  permanezca  ineficaz  en  detrimento  de  una  de  las</w:t>
        <w:br/>
        <w:t xml:space="preserve">         partes[153]. La Corte considera, que para tal  efecto,  dentro  del</w:t>
        <w:br/>
        <w:t xml:space="preserve">         deber de garantizar los medios y mecanismos eficaces para  ejecutar</w:t>
        <w:br/>
        <w:t xml:space="preserve">         las  decisiones  definitivas,  “deben  establecerse  mecanismos  de</w:t>
        <w:br/>
        <w:t xml:space="preserve">         seguimiento e imposición del cumplimiento que estén  disponibles  y</w:t>
        <w:br/>
        <w:t xml:space="preserve">         sean accesibles en la práctica […]  [como  medidas  coercitivas  de</w:t>
        <w:br/>
        <w:t xml:space="preserve">         distinta naturaleza, entre ellas,]  las  sanciones  contra  quienes</w:t>
        <w:br/>
        <w:t xml:space="preserve">         dificultan el ejercicio efectivo de los derechos  […]”[154].  Ello,</w:t>
        <w:br/>
        <w:t xml:space="preserve">         contribuiría  con  hacer  efectivo  el  derecho  protegido  por  la</w:t>
        <w:br/>
        <w:t xml:space="preserve">         decisión que se busca implementar.</w:t>
        <w:br/>
        <w:br/>
        <w:t xml:space="preserve">    141. Al respecto, el Estado peruano  argumentó  que  en  su  legislación</w:t>
        <w:br/>
        <w:t xml:space="preserve">         interna existían diversas normas que regulaban medidas  coercitivas</w:t>
        <w:br/>
        <w:t xml:space="preserve">         para que las autoridades jurisdiccionales lograran la ejecución  de</w:t>
        <w:br/>
        <w:t xml:space="preserve">         sentencias y resoluciones  judiciales.  El  Estado  señaló  que  el</w:t>
        <w:br/>
        <w:t xml:space="preserve">         inciso 2 del artículo 139 de la Constitución  peruana  vigente,  se</w:t>
        <w:br/>
        <w:t xml:space="preserve">         reconocía que "ninguna  autoridad  p[odía]  […]  dejar  sin  efecto</w:t>
        <w:br/>
        <w:t xml:space="preserve">         resoluciones que ha[bían] pasado en autoridad de cosa  juzgada  […]</w:t>
        <w:br/>
        <w:t xml:space="preserve">         ni retardar su ejecución".  Asimismo,  destacó  que  tanto  la  Ley</w:t>
        <w:br/>
        <w:t xml:space="preserve">         Orgánica   del   Poder   Judicial[155],    el    Código    Procesal</w:t>
        <w:br/>
        <w:t xml:space="preserve">         Constitucional[156],  el  Código  Procesal  Civil[157],  así   como</w:t>
        <w:br/>
        <w:t xml:space="preserve">         jurisprudencia  del  Tribunal  Constitucional[158]  y  resoluciones</w:t>
        <w:br/>
        <w:t xml:space="preserve">         administrativas,   establecen   medidas   coercitivas,   desde   la</w:t>
        <w:br/>
        <w:t xml:space="preserve">         imposición de multas  hasta  el  arresto  hasta  por  24  horas,  y</w:t>
        <w:br/>
        <w:t xml:space="preserve">         criterios para la ejecución de decisiones judiciales[159]. Respecto</w:t>
        <w:br/>
        <w:t xml:space="preserve">         a esto último, el Estado informó  que  en  diciembre  de  2013  fue</w:t>
        <w:br/>
        <w:t xml:space="preserve">         publicada  la  Ley  No.  30137,  la  cual  establece  criterios  de</w:t>
        <w:br/>
        <w:t xml:space="preserve">         priorización para la atención del pago  de  sentencias  judiciales,</w:t>
        <w:br/>
        <w:t xml:space="preserve">         siendo uno de los criterios la materia previsional[160].</w:t>
        <w:br/>
        <w:br/>
        <w:t xml:space="preserve">    142. En efecto, la Corte constata la existencia de dicha normativa y  de</w:t>
        <w:br/>
        <w:t xml:space="preserve">         una  variedad  de  medios  coercitivos  para  hacer   cumplir   las</w:t>
        <w:br/>
        <w:t xml:space="preserve">         decisiones judiciales, no obstante, nota que muchas de esas  normas</w:t>
        <w:br/>
        <w:t xml:space="preserve">         fueron adoptadas muchos años después de  la  primera  sentencia  de</w:t>
        <w:br/>
        <w:t xml:space="preserve">         amparo de 2 de febrero  de  1993,  aunque  resalta  que  varias  se</w:t>
        <w:br/>
        <w:t xml:space="preserve">         encontraban vigentes durante y con  posterioridad  a  dicha  fecha.</w:t>
        <w:br/>
        <w:t xml:space="preserve">         Asimismo, del acervo probatorio que consta  en  el  expediente,  el</w:t>
        <w:br/>
        <w:t xml:space="preserve">         Tribunal constata que el  Estado,  a  través  de  sus  juzgados  de</w:t>
        <w:br/>
        <w:t xml:space="preserve">         ejecución, no empleó ninguno de  los  mecanismos  disponibles  para</w:t>
        <w:br/>
        <w:t xml:space="preserve">         constreñir a las autoridades estatales a cumplir con el pago de  la</w:t>
        <w:br/>
        <w:t xml:space="preserve">         pensión del señor Muelle Flores  con  el  fin  de  materializar  su</w:t>
        <w:br/>
        <w:t xml:space="preserve">         derecho. Si bien existieron requerimientos  por  parte  del  órgano</w:t>
        <w:br/>
        <w:t xml:space="preserve">         judicial para que la empresa privada diera  cumplimiento  al  fallo</w:t>
        <w:br/>
        <w:t xml:space="preserve">         judicial (supra párr. 83), bajo el entendimiento fluctuante de  que</w:t>
        <w:br/>
        <w:t xml:space="preserve">         era la empresa privada  la  obligada  al  pago,  la  Corte  tampoco</w:t>
        <w:br/>
        <w:t xml:space="preserve">         comprueba que  se  hayan  adoptado  medidas  coercitivas  efectivas</w:t>
        <w:br/>
        <w:t xml:space="preserve">         contra la empresa. Si bien desde el  momento  de  la  privatización</w:t>
        <w:br/>
        <w:t xml:space="preserve">         hasta  la  actualidad,  las  autoridades  judiciales  no   pudieron</w:t>
        <w:br/>
        <w:t xml:space="preserve">         resolver el debate sobre quién tenía la  obligación  del  pago,  es</w:t>
        <w:br/>
        <w:t xml:space="preserve">         preciso resaltar que, aunque dicha responsabilidad recayera  en  la</w:t>
        <w:br/>
        <w:t xml:space="preserve">         empresa privada, el Estado mantiene su obligación de  ejecutar  las</w:t>
        <w:br/>
        <w:t xml:space="preserve">         sentencias dictadas contra entidades privadas, de  conformidad  con</w:t>
        <w:br/>
        <w:t xml:space="preserve">         el artículo 25.2.c).</w:t>
        <w:br/>
        <w:br/>
        <w:t xml:space="preserve">    143. Por otra parte, el Estado creó obstáculos para el  cumplimiento  de</w:t>
        <w:br/>
        <w:t xml:space="preserve">         las  sentencias  debido  a  que  no  especificó  quién   sería   el</w:t>
        <w:br/>
        <w:t xml:space="preserve">         responsable de los pagos de la pensión del señor Muelle Flores, los</w:t>
        <w:br/>
        <w:t xml:space="preserve">         cuales no fueron superados por el Poder Judicial durante el proceso</w:t>
        <w:br/>
        <w:t xml:space="preserve">         de ejecución. Los efectos  negativos  de  la  privatización  en  el</w:t>
        <w:br/>
        <w:t xml:space="preserve">         derecho a la pensión del señor Muelle Flores no  fueron  revertidos</w:t>
        <w:br/>
        <w:t xml:space="preserve">         en sede judicial ya que los jueces no  analizaron  con  detalle  la</w:t>
        <w:br/>
        <w:t xml:space="preserve">         situación en la que se encontraba la víctima ni  adoptaron  medidas</w:t>
        <w:br/>
        <w:t xml:space="preserve">         para resolver con efectividad sobre quién recaía la responsabilidad</w:t>
        <w:br/>
        <w:t xml:space="preserve">         del pago. El Tribunal nota que existieron diversas resoluciones  en</w:t>
        <w:br/>
        <w:t xml:space="preserve">         las cuales se decidió que la empresa privada era la responsable del</w:t>
        <w:br/>
        <w:t xml:space="preserve">         pago, las que luego fueron  revertidas  concluyendo  lo  contrario,</w:t>
        <w:br/>
        <w:t xml:space="preserve">         pero sin que para llegar a esas conclusiones, se hubiera comprobado</w:t>
        <w:br/>
        <w:t xml:space="preserve">         realmente que la empresa  privada  había  asumido  los  pasivos  de</w:t>
        <w:br/>
        <w:t xml:space="preserve">         Tintaya S.A. Esta conducta de los jueces de ejecución contribuyó  a</w:t>
        <w:br/>
        <w:t xml:space="preserve">         la demora del proceso y agravó el incumplimiento de las  sentencias</w:t>
        <w:br/>
        <w:t xml:space="preserve">         internas.</w:t>
        <w:br/>
        <w:br/>
        <w:t xml:space="preserve">    144. De la información con la que cuenta la Corte, fue recién en el  año</w:t>
        <w:br/>
        <w:t xml:space="preserve">         2013 que la Segunda Sala Civil evaluó el contrato de compraventa de</w:t>
        <w:br/>
        <w:t xml:space="preserve">         1994 y determinó que la empresa privada compradora  no  asumió  los</w:t>
        <w:br/>
        <w:t xml:space="preserve">         pasivos de Tintaya S.A. A pesar de esto, de los cambios  normativos</w:t>
        <w:br/>
        <w:t xml:space="preserve">         que le otorgaron al MEF la responsabilidad de los  pagos  en  casos</w:t>
        <w:br/>
        <w:t xml:space="preserve">         como el presente, y del hecho de que el sistema de  pensiones  bajo</w:t>
        <w:br/>
        <w:t xml:space="preserve">         el Decreto Ley No. 20530 es un sistema administrado por el  Estado,</w:t>
        <w:br/>
        <w:t xml:space="preserve">         dicha decisión fue revertida en resoluciones posteriores y hasta la</w:t>
        <w:br/>
        <w:t xml:space="preserve">         fecha el proceso de ejecución de  sentencia  no  ha  concluido,  es</w:t>
        <w:br/>
        <w:t xml:space="preserve">         decir luego de 25 años de dictada la primera  sentencia  de  amparo</w:t>
        <w:br/>
        <w:t xml:space="preserve">         por la Corte Suprema. Además, la Corte nota que fue recién  en  los</w:t>
        <w:br/>
        <w:t xml:space="preserve">         años 2014  y  2015  que  el  33  Juzgado  Civil  de  Lima  solicitó</w:t>
        <w:br/>
        <w:t xml:space="preserve">         información al MEF y a otros órganos  del  Estado  con  el  fin  de</w:t>
        <w:br/>
        <w:t xml:space="preserve">         clarificar qué activos y pasivos habría asumido la empresa privada,</w:t>
        <w:br/>
        <w:t xml:space="preserve">         es decir más de 20 años después de la privatización. En  virtud  de</w:t>
        <w:br/>
        <w:t xml:space="preserve">         ello, la Corte considera que no se adoptaron medidas efectivas para</w:t>
        <w:br/>
        <w:t xml:space="preserve">         verificar qué autoridad estatal debía cumplir  con  las  decisiones</w:t>
        <w:br/>
        <w:t xml:space="preserve">         judiciales, o si por el  contrario,  dicha  responsabilidad  recaía</w:t>
        <w:br/>
        <w:t xml:space="preserve">         sobre la empresa privada,  con  el  fin  de  revertir  los  efectos</w:t>
        <w:br/>
        <w:t xml:space="preserve">         negativos de la privatización causados por el propio Estado.</w:t>
        <w:br/>
        <w:br/>
        <w:t xml:space="preserve">    145. A este respecto, la Corte nota que el Estado no solamente incumplió</w:t>
        <w:br/>
        <w:t xml:space="preserve">         las sentencias a nivel interno, sino que,  durante  el  proceso  de</w:t>
        <w:br/>
        <w:t xml:space="preserve">         ejecución  de  estas  decisiones,  las  autoridades  judiciales  no</w:t>
        <w:br/>
        <w:t xml:space="preserve">         lograron el cumplimiento de ninguno de los dos amparos dictados. El</w:t>
        <w:br/>
        <w:t xml:space="preserve">         Estado no adoptó las salvaguardas necesarias  para  establecer  con</w:t>
        <w:br/>
        <w:t xml:space="preserve">         claridad qué entidad se encargaría del pago de  las  pensiones  del</w:t>
        <w:br/>
        <w:t xml:space="preserve">         señor Muelle Flores, problemática que tampoco fue  solucionada  por</w:t>
        <w:br/>
        <w:t xml:space="preserve">         las autoridades judiciales, ya  que  ni  antes  ni  después  de  la</w:t>
        <w:br/>
        <w:t xml:space="preserve">         privatización, lograron resolver los debates surgidos  a  lo  largo</w:t>
        <w:br/>
        <w:t xml:space="preserve">         del proceso de ejecución ni adoptaron mecanismos  coercitivos  para</w:t>
        <w:br/>
        <w:t xml:space="preserve">         asegurar el cumplimiento de los fallos. La falta  de  ejecución  de</w:t>
        <w:br/>
        <w:t xml:space="preserve">         las sentencias hasta la  actualidad,  y  la  ineficacia  del  Poder</w:t>
        <w:br/>
        <w:t xml:space="preserve">         Judicial para resolver los obstáculos surgidos  en  el  proceso  de</w:t>
        <w:br/>
        <w:t xml:space="preserve">         cumplimiento derivados de la privatización, vulneraron el derecho a</w:t>
        <w:br/>
        <w:t xml:space="preserve">         la tutela judicial efectiva e  impidieron  la  materialización  del</w:t>
        <w:br/>
        <w:t xml:space="preserve">         derecho a la pensión del señor Muelle Flores.</w:t>
        <w:br/>
        <w:br/>
        <w:t xml:space="preserve">    146. Por otro lado, en relación con los pagos parciales desembolsados al</w:t>
        <w:br/>
        <w:t xml:space="preserve">         señor Muelle Flores, la Corte observa que estos  fueron  realizados</w:t>
        <w:br/>
        <w:t xml:space="preserve">         por la empresa privada (supra párr. 80) y no por el Estado peruano.</w:t>
        <w:br/>
        <w:t xml:space="preserve">         Asimismo, el Tribunal nota que  los  pagos  fueron  efectuados  sin</w:t>
        <w:br/>
        <w:t xml:space="preserve">         tomar en cuenta la nivelación de la pensión que le correspondía  al</w:t>
        <w:br/>
        <w:t xml:space="preserve">         señor Muelle Flores conforme a la normativa vigente  en  la  época.</w:t>
        <w:br/>
        <w:t xml:space="preserve">         Sin perjuicio de esto, el Tribunal  tomará  en  cuenta  los  montos</w:t>
        <w:br/>
        <w:t xml:space="preserve">         pagados al momento de dictar las medidas  de  reparación  del  caso</w:t>
        <w:br/>
        <w:t xml:space="preserve">         (infra párr. 254).</w:t>
        <w:br/>
        <w:br/>
        <w:t xml:space="preserve">    147. Sumado a  lo  anteriormente  desarrollado,  el  Tribunal  considera</w:t>
        <w:br/>
        <w:t xml:space="preserve">         importante destacar lo señalado por el perito Christian Courtis  en</w:t>
        <w:br/>
        <w:t xml:space="preserve">         el sentido que:</w:t>
        <w:br/>
        <w:br/>
        <w:t xml:space="preserve">      “el cumplimiento efectivo de las sentencias judiciales cobra aún mayor</w:t>
        <w:br/>
        <w:t xml:space="preserve">      importancia cuando el tipo  de  prestación  dirimida  es  de  carácter</w:t>
        <w:br/>
        <w:t xml:space="preserve">      alimentario y sustitutiva del salario,  ya  que  de  ello  depende  el</w:t>
        <w:br/>
        <w:t xml:space="preserve">      derecho a una vida digna o a un nivel de vida adecuado y los  derechos</w:t>
        <w:br/>
        <w:t xml:space="preserve">      que les son interdependientes […].  Y  a  ello  se  suman  además  las</w:t>
        <w:br/>
        <w:t xml:space="preserve">      especiales necesidades de protección de las personas adultas mayores y</w:t>
        <w:br/>
        <w:t xml:space="preserve">      de las personas con discapacidad, cuyas posibilidades  de  obtener  un</w:t>
        <w:br/>
        <w:t xml:space="preserve">      ingreso alternativo en el marcado  de  trabajo  se  ven  drásticamente</w:t>
        <w:br/>
        <w:t xml:space="preserve">      reducidas”[161].</w:t>
        <w:br/>
        <w:br/>
        <w:t xml:space="preserve">    148. Con base en todo lo expuesto, la Corte estima que, en  el  presente</w:t>
        <w:br/>
        <w:t xml:space="preserve">         caso, el Estado debió actuar con especial diligencia y celeridad en</w:t>
        <w:br/>
        <w:t xml:space="preserve">         relación con el cumplimiento de las sentencias internas,  así  como</w:t>
        <w:br/>
        <w:t xml:space="preserve">         con la ejecución  del  pago  de  las  pensiones.  Ello,  debido  al</w:t>
        <w:br/>
        <w:t xml:space="preserve">         carácter de  la  prestación  en  juego  y  a  “las  necesidades  de</w:t>
        <w:br/>
        <w:t xml:space="preserve">         celeridad, simplificación procesal y efectividad”[162] en casos  en</w:t>
        <w:br/>
        <w:t xml:space="preserve">         los que el contenido del reclamo ante los órganos  jurisdiccionales</w:t>
        <w:br/>
        <w:t xml:space="preserve">         se refiere a la seguridad social, especialmente la de  una  persona</w:t>
        <w:br/>
        <w:t xml:space="preserve">         mayor. En el presente caso, el Estado no tomó en  consideración  la</w:t>
        <w:br/>
        <w:t xml:space="preserve">         naturaleza del contenido del reclamo, sino que por el contrario  no</w:t>
        <w:br/>
        <w:t xml:space="preserve">         ha ejecutado las sentencias luego de 25 y 19 años de adoptadas.</w:t>
        <w:br/>
        <w:br/>
        <w:t>A.3 Conclusión</w:t>
        <w:br/>
        <w:br/>
        <w:br/>
        <w:t xml:space="preserve">    149. De todo lo anteriormente expuesto, este Tribunal  concluye  que  el</w:t>
        <w:br/>
        <w:t xml:space="preserve">         Estado es responsable  por  el  incumplimiento  de  las  sentencias</w:t>
        <w:br/>
        <w:t xml:space="preserve">         dictadas a favor del  señor  Muelle  Flores,  por  la  creación  de</w:t>
        <w:br/>
        <w:t xml:space="preserve">         obstáculos derivados de la privatización,  por  la  ineficacia  del</w:t>
        <w:br/>
        <w:t xml:space="preserve">         poder judicial  para  hacer  efectivo  dicho  cumplimiento  y  para</w:t>
        <w:br/>
        <w:t xml:space="preserve">         revertir los efectos negativos de la privatización, así como por la</w:t>
        <w:br/>
        <w:t xml:space="preserve">         ausencia de implementación de medidas para remediar dicha situación</w:t>
        <w:br/>
        <w:t xml:space="preserve">         por un periodo prolongado de tiempo. En  este  sentido,  el  Estado</w:t>
        <w:br/>
        <w:t xml:space="preserve">         violó el  derecho  a  la  tutela  judicial  efectiva  y  protección</w:t>
        <w:br/>
        <w:t xml:space="preserve">         judicial, establecidos en los  artículos  25.1  y  25.2  c)  de  la</w:t>
        <w:br/>
        <w:t xml:space="preserve">         Convención Americana, en relación con el  artículo  1.1  del  mismo</w:t>
        <w:br/>
        <w:t xml:space="preserve">         instrumento, así como del artículo 2 de la Convención Americana, en</w:t>
        <w:br/>
        <w:t xml:space="preserve">         perjuicio del señor Oscar Muelle Flores.</w:t>
        <w:br/>
        <w:br/>
        <w:br/>
        <w:t>Plazo Razonable</w:t>
        <w:br/>
        <w:br/>
        <w:br/>
        <w:br/>
        <w:t>B.1 Argumentos de las partes y de la Comisión</w:t>
        <w:br/>
        <w:br/>
        <w:br/>
        <w:t xml:space="preserve">    150. La Comisión alegó que el plazo razonable también podía ser aplicado</w:t>
        <w:br/>
        <w:t xml:space="preserve">         a la ejecución de una sentencia judicial firme. En relación con  la</w:t>
        <w:br/>
        <w:t xml:space="preserve">         complejidad del caso, la Comisión señaló que el caso  no  resultaba</w:t>
        <w:br/>
        <w:t xml:space="preserve">         complejo ya que existía una decisión judicial firme que  debía  ser</w:t>
        <w:br/>
        <w:t xml:space="preserve">         ejecutada. Asimismo, sostuvo que en relación con  la  participación</w:t>
        <w:br/>
        <w:t xml:space="preserve">         del interesado, el señor Muelle Flores dio seguimiento e impulso  a</w:t>
        <w:br/>
        <w:t xml:space="preserve">         la ejecución del fallo, reclamando en  diversas  ocasiones  por  la</w:t>
        <w:br/>
        <w:t xml:space="preserve">         demora en su tramitación. En cuanto al accionar de las  autoridades</w:t>
        <w:br/>
        <w:t xml:space="preserve">         judiciales,  destacó  que  las  resoluciones  judiciales   emitidas</w:t>
        <w:br/>
        <w:t xml:space="preserve">         durante la etapa de ejecución de sentencia fueron inefectivas  para</w:t>
        <w:br/>
        <w:t xml:space="preserve">         lograr el cumplimiento de las sentencias dictadas, y consideró  que</w:t>
        <w:br/>
        <w:t xml:space="preserve">         existieron demoras injustificadas del Estado en  la  resolución  de</w:t>
        <w:br/>
        <w:t xml:space="preserve">         varios de los recursos de apelación interpuestos por ambas  partes,</w:t>
        <w:br/>
        <w:t xml:space="preserve">         así como también de  largos  periodos  de  inactividad  dentro  del</w:t>
        <w:br/>
        <w:t xml:space="preserve">         proceso de ejecución. En cuanto al  cuarto  elemento,  la  Comisión</w:t>
        <w:br/>
        <w:t xml:space="preserve">         remarcó que un factor adicional para establecer la  irrazonabilidad</w:t>
        <w:br/>
        <w:t xml:space="preserve">         del plazo lo constituía la afectación generada por la duración  del</w:t>
        <w:br/>
        <w:t xml:space="preserve">         proceso en la situación jurídica del señor Muelle Flores, quien  es</w:t>
        <w:br/>
        <w:t xml:space="preserve">         una persona mayor de 80 años que  se  encuentra  en  una  situación</w:t>
        <w:br/>
        <w:t xml:space="preserve">         económica y de salud precaria, ya que han pasado más de 27 años sin</w:t>
        <w:br/>
        <w:t xml:space="preserve">         que pueda gozar de su  pensión  en  los  términos  en  que  le  fue</w:t>
        <w:br/>
        <w:t xml:space="preserve">         reconocido judicialmente. Con base  en  lo  expuesto,  la  Comisión</w:t>
        <w:br/>
        <w:t xml:space="preserve">         concluyó que el Estado era responsable por la violación del derecho</w:t>
        <w:br/>
        <w:t xml:space="preserve">         a un plazo razonable establecido en el artículo 8.1 en relación con</w:t>
        <w:br/>
        <w:t xml:space="preserve">         artículo 1.1 de la Convención Americana,  en  perjuicio  del  señor</w:t>
        <w:br/>
        <w:t xml:space="preserve">         Muelle Flores.</w:t>
        <w:br/>
        <w:br/>
        <w:t xml:space="preserve">    151. Las representantes coincidieron con los alegatos de la Comisión  en</w:t>
        <w:br/>
        <w:t xml:space="preserve">         todos sus extremos. Agregaron que  el  argumento  provisto  por  el</w:t>
        <w:br/>
        <w:t xml:space="preserve">         Estado referido a que la “ejecución se  hizo  inviable,  atendiendo</w:t>
        <w:br/>
        <w:t xml:space="preserve">         que la empresa demandada era una  empresa  privada”,  no  resultaba</w:t>
        <w:br/>
        <w:t xml:space="preserve">         atendible, ya que tanto la ONP como el MEF tomaron conocimiento  de</w:t>
        <w:br/>
        <w:t xml:space="preserve">         dicho proceso de ejecución. Asimismo, sostuvieron que, teniendo  en</w:t>
        <w:br/>
        <w:t xml:space="preserve">         cuenta lo establecido  por  el  artículo  22  del  Código  Procesal</w:t>
        <w:br/>
        <w:t xml:space="preserve">         Constitucional peruano, que señalaba que “la  sentencia  que  cause</w:t>
        <w:br/>
        <w:t xml:space="preserve">         ejecutoria en los procesos constitucionales se actúa conforme a sus</w:t>
        <w:br/>
        <w:t xml:space="preserve">         propios términos por el juez de la demanda  […]  La  sentencia  que</w:t>
        <w:br/>
        <w:t xml:space="preserve">         ordena la realización de una prestación de dar, hacer o no hacer es</w:t>
        <w:br/>
        <w:t xml:space="preserve">         de actuación inmediata […]”, resultaba a todas luces irrazonable el</w:t>
        <w:br/>
        <w:t xml:space="preserve">         largo tiempo transcurrido  sin  que  se  culminara  el  proceso  de</w:t>
        <w:br/>
        <w:t xml:space="preserve">         ejecución. Las representantes alegaron que al no haberse  ejecutado</w:t>
        <w:br/>
        <w:t xml:space="preserve">         la sentencia de la Corte Suprema de  febrero  de  1993  durante  un</w:t>
        <w:br/>
        <w:t xml:space="preserve">         período de tiempo mayor a 24 años, así como la sentencia  de  1999,</w:t>
        <w:br/>
        <w:t xml:space="preserve">         se habría excedido un plazo que pueda considerarse  razonable  para</w:t>
        <w:br/>
        <w:t xml:space="preserve">         hacer  efectiva  la  ejecución  de  las  sentencias  dictadas.   En</w:t>
        <w:br/>
        <w:t xml:space="preserve">         consecuencia, concluyeron que el  Estado  era  responsable  por  la</w:t>
        <w:br/>
        <w:t xml:space="preserve">         violación del artículo 8.1 de la Convención Americana, en perjuicio</w:t>
        <w:br/>
        <w:t xml:space="preserve">         del señor Muelle Flores.</w:t>
        <w:br/>
        <w:br/>
        <w:t xml:space="preserve">    152. El Estado alegó que la Comisión solo evaluó el plazo  razonable  en</w:t>
        <w:br/>
        <w:t xml:space="preserve">         relación con la sentencia de 2 de febrero  de  1993  y  no  con  la</w:t>
        <w:br/>
        <w:t xml:space="preserve">         dictada por el Tribunal Constitucional el 10 de diciembre de  1999,</w:t>
        <w:br/>
        <w:t xml:space="preserve">         por lo que se entiende  que,  según  la  Comisión,  no  habría  una</w:t>
        <w:br/>
        <w:t xml:space="preserve">         violación del  plazo  razonable  respecto  al  segundo  proceso  de</w:t>
        <w:br/>
        <w:t xml:space="preserve">         amparo. Asimismo, consideró que la razonabilidad  del  plazo  debía</w:t>
        <w:br/>
        <w:t xml:space="preserve">         contabilizarse desde el 2008, fecha en  la  que  se  desarchivó  el</w:t>
        <w:br/>
        <w:t xml:space="preserve">         proceso de ejecución, hasta  la  actualidad.  En  relación  con  la</w:t>
        <w:br/>
        <w:t xml:space="preserve">         complejidad del caso, el Estado señaló  que  si  bien  existió  una</w:t>
        <w:br/>
        <w:t xml:space="preserve">         decisión judicial firme debían considerarse los cambios  normativos</w:t>
        <w:br/>
        <w:t xml:space="preserve">         de los años 2002 a 2004, que “la ejecución de la sentencia se  hizo</w:t>
        <w:br/>
        <w:t xml:space="preserve">         inviable” debido a que la empresa estatal demandada,  originalmente</w:t>
        <w:br/>
        <w:t xml:space="preserve">         obligada al pago de la pensión, fue privatizada y cambió de dueño o</w:t>
        <w:br/>
        <w:t xml:space="preserve">         de razón social en varias oportunidades. El Estado señaló que luego</w:t>
        <w:br/>
        <w:t xml:space="preserve">         de la privatización, dos órganos jurisdiccionales consideraron  que</w:t>
        <w:br/>
        <w:t xml:space="preserve">         la empresa demandada no era la obligada a hacer el  pago,  mientras</w:t>
        <w:br/>
        <w:t xml:space="preserve">         que el señor Muelle Flores y  otro  órgano  judicial  estimaban  lo</w:t>
        <w:br/>
        <w:t xml:space="preserve">         contrario, es decir que era claro que la complejidad  del  caso  no</w:t>
        <w:br/>
        <w:t xml:space="preserve">         podía reducirse a la simple ejecución de una sentencia firme,  sino</w:t>
        <w:br/>
        <w:t xml:space="preserve">         que por el contrario, aun no se habían determinado las obligaciones</w:t>
        <w:br/>
        <w:t xml:space="preserve">         asumidas por la  empresa  al  ser  privatizada,  ni  las  entidades</w:t>
        <w:br/>
        <w:t xml:space="preserve">         estatales que eventualmente estarían obligadas a  ello.  Todo  ello</w:t>
        <w:br/>
        <w:t xml:space="preserve">         produjo un estado de “indefinición” que  demuestra  la  complejidad</w:t>
        <w:br/>
        <w:t xml:space="preserve">         del caso. En cuanto a la  actividad  procesal  del  interesado,  el</w:t>
        <w:br/>
        <w:t xml:space="preserve">         Estado sostuvo que el proceso de ejecución se archivó en 1999 y  se</w:t>
        <w:br/>
        <w:t xml:space="preserve">         desarchivó en el año 2008, a pedido del señor Muelle,  por  lo  que</w:t>
        <w:br/>
        <w:t xml:space="preserve">         existió un largo periodo de inactividad del interesado. Además,  el</w:t>
        <w:br/>
        <w:t xml:space="preserve">         Estado consideró que el señor Muelle  Flores  tampoco  solicitó  la</w:t>
        <w:br/>
        <w:t xml:space="preserve">         intervención procesal del MEF o de otro organismo estatal, lo  cual</w:t>
        <w:br/>
        <w:t xml:space="preserve">         habría podido lograr la resolución del caso en un tiempo más breve.</w:t>
        <w:br/>
        <w:t xml:space="preserve">         Indicó también que no hubo  actividad  suficiente  del  interesado,</w:t>
        <w:br/>
        <w:t xml:space="preserve">         quien en los últimos dos años, solo presentó dos escritos.</w:t>
        <w:br/>
        <w:br/>
        <w:t xml:space="preserve">    153. Respecto de la conducta de las autoridades  judiciales,  el  Estado</w:t>
        <w:br/>
        <w:t xml:space="preserve">         alegó que las  resoluciones  judiciales  dictadas  no  habían  sido</w:t>
        <w:br/>
        <w:t xml:space="preserve">         “completamente inefectivas”, ya que durante los años 1991  a  2001,</w:t>
        <w:br/>
        <w:t xml:space="preserve">         el señor Muelle Flores recibió  su  pensión,  advirtiendo  que  los</w:t>
        <w:br/>
        <w:t xml:space="preserve">         órganos judiciales impulsaron el proceso emitiendo resoluciones que</w:t>
        <w:br/>
        <w:t xml:space="preserve">         ordenaron el cumplimiento de la sentencia de  la  Corte  Suprema  y</w:t>
        <w:br/>
        <w:t xml:space="preserve">         solicitando información al MEF, por lo cual  “no  se  ajusta  a  la</w:t>
        <w:br/>
        <w:t xml:space="preserve">         verdad” la situación de demoras injustificadas invocadas. Asimismo,</w:t>
        <w:br/>
        <w:t xml:space="preserve">         el Estado consideró que no existieron “demoras  injustificadas”  ya</w:t>
        <w:br/>
        <w:t xml:space="preserve">         que cuando se presentaron los recursos de  apelación  estos  fueron</w:t>
        <w:br/>
        <w:t xml:space="preserve">         resueltos por la Corte Superior en plazo razonables (en menos de 11</w:t>
        <w:br/>
        <w:t xml:space="preserve">         y 12 meses).  Finalmente,  en  relación  con  la  situación  de  la</w:t>
        <w:br/>
        <w:t xml:space="preserve">         presunta víctima, señaló que la situación  económica  y  de  salud,</w:t>
        <w:br/>
        <w:t xml:space="preserve">         presuntamente precaria del  señor  Muelle  Flores,  no  había  sido</w:t>
        <w:br/>
        <w:t xml:space="preserve">         demostrada. En consecuencia solicitó a la Corte que  declarara  que</w:t>
        <w:br/>
        <w:t xml:space="preserve">         el Estado no violó el artículo 8.1 de la Convención Americana.</w:t>
        <w:br/>
        <w:br/>
        <w:t>B.2 Consideraciones de la Corte</w:t>
        <w:br/>
        <w:br/>
        <w:br/>
        <w:t xml:space="preserve">    154. La Corte ha considerado en  su  jurisprudencia  constante  que  una</w:t>
        <w:br/>
        <w:t xml:space="preserve">         demora prolongada en el proceso puede llegar a constituir,  por  sí</w:t>
        <w:br/>
        <w:t xml:space="preserve">         misma, una violación  a  las  garantías  judiciales[163],  lo  cual</w:t>
        <w:br/>
        <w:t xml:space="preserve">         también  es  aplicable  a  los  procedimientos  de   ejecución   de</w:t>
        <w:br/>
        <w:t xml:space="preserve">         sentencias judiciales firmes.  El  Tribunal  ha  señalado  que  “la</w:t>
        <w:br/>
        <w:t xml:space="preserve">         ejecución de una sentencia emitida por cualquier tribunal debe, por</w:t>
        <w:br/>
        <w:t xml:space="preserve">         tanto, ser entendida como parte  integral  del  “juicio”[164]”.  Es</w:t>
        <w:br/>
        <w:t xml:space="preserve">         decir  que,  un  retraso  injustificado  en  la  ejecución  de  una</w:t>
        <w:br/>
        <w:t xml:space="preserve">         sentencia judicial puede implicar la violación del  derecho  a  ser</w:t>
        <w:br/>
        <w:t xml:space="preserve">         juzgado en un plazo razonable[165]. El Tribunal estima  que,  “como</w:t>
        <w:br/>
        <w:t xml:space="preserve">         el cumplimiento  debe  ser  considerado  parte  integrante  de  los</w:t>
        <w:br/>
        <w:t xml:space="preserve">         procedimientos, este derecho debe entenderse en conjunción  con  la</w:t>
        <w:br/>
        <w:t xml:space="preserve">         exigencia de una “decisión pronta” cuando se examina la duración de</w:t>
        <w:br/>
        <w:t xml:space="preserve">         un juicio o procedimiento”[166].</w:t>
        <w:br/>
        <w:br/>
        <w:t xml:space="preserve">    155. El Tribunal ha establecido que la evaluación del plazo razonable se</w:t>
        <w:br/>
        <w:t xml:space="preserve">         debe analizar en cada caso concreto, en relación  con  la  duración</w:t>
        <w:br/>
        <w:t xml:space="preserve">         total del proceso, lo cual podría también incluir la  ejecución  de</w:t>
        <w:br/>
        <w:t xml:space="preserve">         la sentencia definitiva. De  esta  manera,  ha  considerado  cuatro</w:t>
        <w:br/>
        <w:t xml:space="preserve">         elementos para analizar si se cumplió con  la  garantía  del  plazo</w:t>
        <w:br/>
        <w:t xml:space="preserve">         razonable, a saber: i) la complejidad del asunto, ii) la  actividad</w:t>
        <w:br/>
        <w:t xml:space="preserve">         procesal del  interesado,  iii)  la  conducta  de  las  autoridades</w:t>
        <w:br/>
        <w:t xml:space="preserve">         judiciales, y iv) la afectación generada en la  situación  jurídica</w:t>
        <w:br/>
        <w:t xml:space="preserve">         de la persona involucrada en el  proceso.  La  Corte  recuerda  que</w:t>
        <w:br/>
        <w:t xml:space="preserve">         corresponde al Estado justificar, con fundamento en  los  criterios</w:t>
        <w:br/>
        <w:t xml:space="preserve">         señalados,  la  razón  por  la  cual  ha   requerido   del   tiempo</w:t>
        <w:br/>
        <w:t xml:space="preserve">         transcurrido para tratar los casos y, en  la  eventualidad  de  que</w:t>
        <w:br/>
        <w:t xml:space="preserve">         éste no lo demuestre, la  Corte  tiene  amplias  atribuciones  para</w:t>
        <w:br/>
        <w:t xml:space="preserve">         hacer su propia estimación al respecto[167].</w:t>
        <w:br/>
        <w:br/>
        <w:t xml:space="preserve">    156. El análisis del presente apartado se centrará en evaluar  el  plazo</w:t>
        <w:br/>
        <w:t xml:space="preserve">         transcurrido desde la adopción de la primera sentencia de amparo de</w:t>
        <w:br/>
        <w:t xml:space="preserve">         la Corte Suprema de 2 de febrero de 1993  hasta  la  actualidad,  y</w:t>
        <w:br/>
        <w:t xml:space="preserve">         desde la adopción de la segunda sentencia de  amparo  del  Tribunal</w:t>
        <w:br/>
        <w:t xml:space="preserve">         Constitucional de 10 de diciembre de 1999 hasta la actualidad.</w:t>
        <w:br/>
        <w:br/>
        <w:t xml:space="preserve">    157. En cuanto al plazo razonable en relación con la etapa de  ejecución</w:t>
        <w:br/>
        <w:t xml:space="preserve">         de sentencias, la Corte resalta que dicho plazo debe ser más  breve</w:t>
        <w:br/>
        <w:t xml:space="preserve">         debido a la existencia de una decisión firme en  relación  con  una</w:t>
        <w:br/>
        <w:t xml:space="preserve">         materia concreta. Es inadmisible que un procedimiento de  ejecución</w:t>
        <w:br/>
        <w:t xml:space="preserve">         de sentencia distorsione temporalmente  lo  resuelto  en  sentencia</w:t>
        <w:br/>
        <w:t xml:space="preserve">         definitiva  o  de  cualquier  otro  modo  lo  desvirtúe  o   vuelva</w:t>
        <w:br/>
        <w:t xml:space="preserve">         inoficioso, prolongando exagerada o  indefinidamente  la  situación</w:t>
        <w:br/>
        <w:t xml:space="preserve">         litigiosa ya resuelta. Ello adquiere mayor relevancia en un proceso</w:t>
        <w:br/>
        <w:t xml:space="preserve">         de ejecución de sentencias, por medio de las cuales fue  reconocido</w:t>
        <w:br/>
        <w:t xml:space="preserve">         a nivel interno el derecho a la seguridad social de la víctima, una</w:t>
        <w:br/>
        <w:t xml:space="preserve">         persona  mayor  con  discapacidad  auditiva,  debido  al   carácter</w:t>
        <w:br/>
        <w:t xml:space="preserve">         alimentario de la prestación reclamada. En estos casos, la garantía</w:t>
        <w:br/>
        <w:t xml:space="preserve">         judicial del plazo razonable establecida en el artículo 8.1  de  la</w:t>
        <w:br/>
        <w:t xml:space="preserve">         Convención Americana, debe analizarse junto con el deber del Estado</w:t>
        <w:br/>
        <w:t xml:space="preserve">         de  actuar  con  particular  celeridad  en  la  ejecución  de   las</w:t>
        <w:br/>
        <w:t xml:space="preserve">         decisiones internas (supra párr. 129).</w:t>
        <w:br/>
        <w:br/>
        <w:t xml:space="preserve">    158. La Corte constata que la primera acción de amparo concluyó  con  la</w:t>
        <w:br/>
        <w:t xml:space="preserve">         sentencia emitida por la Corte Suprema de Justicia de 2 de  febrero</w:t>
        <w:br/>
        <w:t xml:space="preserve">         de 1993, y la segunda acción de amparo concluyó  con  la  sentencia</w:t>
        <w:br/>
        <w:t xml:space="preserve">         emitida por el Tribunal Constitucional de 10 de diciembre  de  1999</w:t>
        <w:br/>
        <w:t xml:space="preserve">         sin que hasta la fecha se haya logrado  su  cumplimiento  efectivo,</w:t>
        <w:br/>
        <w:t xml:space="preserve">         luego de 26 y 19 años de adoptadas, respectivamente. En vista de lo</w:t>
        <w:br/>
        <w:t xml:space="preserve">         anterior,  la  Corte  entrará  ahora  a  determinar  si  el   plazo</w:t>
        <w:br/>
        <w:t xml:space="preserve">         transcurrido es razonable, conforme a los criterios establecidos en</w:t>
        <w:br/>
        <w:t xml:space="preserve">         su jurisprudencia.</w:t>
        <w:br/>
        <w:br/>
        <w:t xml:space="preserve">    159.  Este  Tribunal  ha  tenido  en  cuenta  diversos  criterios   para</w:t>
        <w:br/>
        <w:t xml:space="preserve">         determinar la complejidad del asunto, como  la  complejidad  de  la</w:t>
        <w:br/>
        <w:t xml:space="preserve">         prueba, la pluralidad  de  sujetos  procesales  o  la  cantidad  de</w:t>
        <w:br/>
        <w:t xml:space="preserve">         víctimas, el tiempo transcurrido desde la violación, y el  contexto</w:t>
        <w:br/>
        <w:t xml:space="preserve">         en el que ocurrió la  violación[168].  La  Corte  nota  que  en  el</w:t>
        <w:br/>
        <w:t xml:space="preserve">         presente caso la víctima del hecho es solo una  y  ya  existía  una</w:t>
        <w:br/>
        <w:t xml:space="preserve">         decisión judicial firme que debió ser cumplida, o  en  su  defecto,</w:t>
        <w:br/>
        <w:t xml:space="preserve">         ejecutada. El alegato del Estado respecto a que la  complejidad  se</w:t>
        <w:br/>
        <w:t xml:space="preserve">         basaría  en  el  hecho  de  la  incertidumbre  sobre   la   entidad</w:t>
        <w:br/>
        <w:t xml:space="preserve">         responsable del pago de la pensión no tiene asidero, ya que fue  el</w:t>
        <w:br/>
        <w:t xml:space="preserve">         propio Estado quien creó dicha incertidumbre al no  establecer  con</w:t>
        <w:br/>
        <w:t xml:space="preserve">         claridad y con anterioridad a la privatización, de  qué  manera  se</w:t>
        <w:br/>
        <w:t xml:space="preserve">         protegería el derecho a la  pensión  adquirido  por  la  víctima  y</w:t>
        <w:br/>
        <w:t xml:space="preserve">         reconocido judicialmente. Asimismo, la complejidad no puede basarse</w:t>
        <w:br/>
        <w:t xml:space="preserve">         en la  ineficacia  y  pasividad  del  propio  Poder  Judicial  para</w:t>
        <w:br/>
        <w:t xml:space="preserve">         determinar, por dicha vía, quién sería el responsable del pago. Por</w:t>
        <w:br/>
        <w:t xml:space="preserve">         ello,  este  Tribunal  advierte  que  no   existen   elementos   de</w:t>
        <w:br/>
        <w:t xml:space="preserve">         complejidad.</w:t>
        <w:br/>
        <w:br/>
        <w:t xml:space="preserve">    160. En lo relativo a la actividad procesal  del  interesado,  la  Corte</w:t>
        <w:br/>
        <w:t xml:space="preserve">         nota que existió un impulso procesal promovido por el  señor  Oscar</w:t>
        <w:br/>
        <w:t xml:space="preserve">         Muelle Flores, durante todo  el  proceso  de  ejecución.  El  señor</w:t>
        <w:br/>
        <w:t xml:space="preserve">         Muelle Flores presentó y participó en una serie  de  acciones  para</w:t>
        <w:br/>
        <w:t xml:space="preserve">         revertir la suspensión  del  pago  de  su  pensión  (incluyendo  su</w:t>
        <w:br/>
        <w:t xml:space="preserve">         participación en la demanda contencioso-administrativa  interpuesta</w:t>
        <w:br/>
        <w:t xml:space="preserve">         por la empresa estatal), y también presentó diversos escritos  para</w:t>
        <w:br/>
        <w:t xml:space="preserve">         lograr el cumplimiento de las sentencias, así como requerimientos y</w:t>
        <w:br/>
        <w:t xml:space="preserve">         cartas notariales, tanto a la ONP, como al MEF  y  a  Proinversión,</w:t>
        <w:br/>
        <w:t xml:space="preserve">         con el fin de coadyuvar a  la  restitución  de  su  derecho  (supra</w:t>
        <w:br/>
        <w:t xml:space="preserve">         párrs.  75).  Asimismo,  en  varias  oportunidades,  el  interesado</w:t>
        <w:br/>
        <w:t xml:space="preserve">         cuestionó la demora del proceso y solicitó que se agilizara el caso</w:t>
        <w:br/>
        <w:t xml:space="preserve">         (supra párr. 92).</w:t>
        <w:br/>
        <w:br/>
        <w:t xml:space="preserve">    161. Respecto de la conducta de las autoridades judiciales, la Corte  ha</w:t>
        <w:br/>
        <w:t xml:space="preserve">         entendido  que,  para  lograr  plenamente  la  efectividad  de   la</w:t>
        <w:br/>
        <w:t xml:space="preserve">         sentencia, las autoridades judiciales deben actuar con celeridad  y</w:t>
        <w:br/>
        <w:t xml:space="preserve">         sin demora[169], debido a  que  el  principio  de  tutela  judicial</w:t>
        <w:br/>
        <w:t xml:space="preserve">         efectiva requiere que los procedimientos de ejecución sean llevados</w:t>
        <w:br/>
        <w:t xml:space="preserve">         a cabo sin obstáculos o demoras indebidas, a fin de que alcancen su</w:t>
        <w:br/>
        <w:t xml:space="preserve">         objetivo de manera rápida, sencilla e integral[170].  Al  respecto,</w:t>
        <w:br/>
        <w:t xml:space="preserve">         la  Corte  observa  que  pese  a  haberse  dictado  dos  sentencias</w:t>
        <w:br/>
        <w:t xml:space="preserve">         judiciales firmes, las autoridades judiciales no  lograron  con  su</w:t>
        <w:br/>
        <w:t xml:space="preserve">         accionar, arbitrar  los  medios  y  tomar  las  medidas  necesarias</w:t>
        <w:br/>
        <w:t xml:space="preserve">         conducentes para lograr el cumplimento de las decisiones  dictadas,</w:t>
        <w:br/>
        <w:t xml:space="preserve">         evidenciándose  su  ineficacia  para   resolver   las   vicisitudes</w:t>
        <w:br/>
        <w:t xml:space="preserve">         planteadas en el proceso de ejecución.  Como  fundamento  de  ello,</w:t>
        <w:br/>
        <w:t xml:space="preserve">         basta con citar las demoras en la resolución de las  presentaciones</w:t>
        <w:br/>
        <w:t xml:space="preserve">         judiciales  efectuadas  por  la  víctima,  el  hecho  de  que   las</w:t>
        <w:br/>
        <w:t xml:space="preserve">         autoridades  judiciales  tuvieran   que   ordenar   en   reiteradas</w:t>
        <w:br/>
        <w:t xml:space="preserve">         oportunidades el cumplimiento de la sentencia, y que pese  a  ello,</w:t>
        <w:br/>
        <w:t xml:space="preserve">         aún  luego  de  transcurrido  un  largo  tiempo,  ninguna  de   las</w:t>
        <w:br/>
        <w:t xml:space="preserve">         autoridades judiciales que actuaron en el proceso de  ejecución  de</w:t>
        <w:br/>
        <w:t xml:space="preserve">         la sentencia activó mecanismo coercitivo alguno  para  asegurar  la</w:t>
        <w:br/>
        <w:t xml:space="preserve">         concreción del derecho reconocido al señor Muelle Flores. Por  otro</w:t>
        <w:br/>
        <w:t xml:space="preserve">         lado, si bien el señor Muelle Flores debió viajar al extranjero por</w:t>
        <w:br/>
        <w:t xml:space="preserve">         motivos de salud, de la prueba se constata que aun en  su  ausencia</w:t>
        <w:br/>
        <w:t xml:space="preserve">         del país, presentó solicitudes a las autoridades sobre el  pago  de</w:t>
        <w:br/>
        <w:t xml:space="preserve">         su pensión (supra, párr. 82). En todo caso, la Corte considera  que</w:t>
        <w:br/>
        <w:t xml:space="preserve">         el impulso procesal para  lograr  el  cumplimiento  de  un  derecho</w:t>
        <w:br/>
        <w:t xml:space="preserve">         humano  (seguridad  social)  conforme  a   un   mandato   judicial,</w:t>
        <w:br/>
        <w:t xml:space="preserve">         reconocido  incluso  en   la   Constitución   peruana,   no   puede</w:t>
        <w:br/>
        <w:t xml:space="preserve">         atribuírsele completamente a la  víctima,  ya  que  el  obligado  a</w:t>
        <w:br/>
        <w:t xml:space="preserve">         garantizar dicho derecho es el Estado. Dado  lo  expuesto,  existió</w:t>
        <w:br/>
        <w:t xml:space="preserve">         una prolongación excesiva del proceso de ejecución  y  períodos  de</w:t>
        <w:br/>
        <w:t xml:space="preserve">         inactividad de las autoridades.</w:t>
        <w:br/>
        <w:br/>
        <w:t xml:space="preserve">    162. En lo relativo a la afectación generada en la situación jurídica de</w:t>
        <w:br/>
        <w:t xml:space="preserve">         la persona involucrada en el proceso, este Tribunal ha  establecido</w:t>
        <w:br/>
        <w:t xml:space="preserve">         que, si el paso  del  tiempo  incide  de  manera  relevante  en  la</w:t>
        <w:br/>
        <w:t xml:space="preserve">         situación  jurídica  del  individuo,  resultará  necesario  que  el</w:t>
        <w:br/>
        <w:t xml:space="preserve">         procedimiento avance con mayor diligencia a fin de que el  caso  se</w:t>
        <w:br/>
        <w:t xml:space="preserve">         resuelva en un tiempo  breve[171].  Tratándose  del  derecho  a  la</w:t>
        <w:br/>
        <w:t xml:space="preserve">         seguridad social, es decir una prestación de carácter alimentario y</w:t>
        <w:br/>
        <w:t xml:space="preserve">         sustitutivo del salario, de  una  persona  mayor  con  discapacidad</w:t>
        <w:br/>
        <w:t xml:space="preserve">         auditiva, la Corte estima que era exigible un criterio reforzado de</w:t>
        <w:br/>
        <w:t xml:space="preserve">         celeridad.</w:t>
        <w:br/>
        <w:br/>
        <w:t xml:space="preserve">    163. En el presente caso, la Corte considera relevante recordar que  los</w:t>
        <w:br/>
        <w:t xml:space="preserve">         amparos interpuestos por la presunta víctima involucraban  aspectos</w:t>
        <w:br/>
        <w:t xml:space="preserve">         relacionados con el derecho a la seguridad social, y su correlativo</w:t>
        <w:br/>
        <w:t xml:space="preserve">         acceso al sistema de salud, esto último debido a que  a  través  de</w:t>
        <w:br/>
        <w:t xml:space="preserve">         retenciones mensuales sobre el pago de la pensión, el señor  Muelle</w:t>
        <w:br/>
        <w:t xml:space="preserve">         Flores tenía derecho a un  seguro  social  con  EsSalud[172].  Este</w:t>
        <w:br/>
        <w:t xml:space="preserve">         extremo resulta de suma  importancia  teniendo  en  cuenta  que  la</w:t>
        <w:br/>
        <w:t xml:space="preserve">         víctima cuenta con 82 años de edad, circunstancia que lo  posiciona</w:t>
        <w:br/>
        <w:t xml:space="preserve">         además en una situación de  mayor  vulnerabilidad,  implicando  una</w:t>
        <w:br/>
        <w:t xml:space="preserve">         obligación reforzada de respeto y  garantía  de  sus  derechos.  En</w:t>
        <w:br/>
        <w:t xml:space="preserve">         efecto, el señor Muelle Flores dejó de recibir una pensión (si bien</w:t>
        <w:br/>
        <w:t xml:space="preserve">         recibió algunos pagos parciales) de conformidad  con  la  normativa</w:t>
        <w:br/>
        <w:t xml:space="preserve">         vigente en la época, desde 1991. Es decir que,  a  pesar  de  haber</w:t>
        <w:br/>
        <w:t xml:space="preserve">         adquirido un derecho a la pensión en septiembre de 1990, el cual le</w:t>
        <w:br/>
        <w:t xml:space="preserve">         habría brindado los medios suficientes para subsistir con  dignidad</w:t>
        <w:br/>
        <w:t xml:space="preserve">         y cubrir sus gastos de salud, el señor Muelle Flores no pudo ver su</w:t>
        <w:br/>
        <w:t xml:space="preserve">         derecho materializado, sino que por el contrario tuvo que  recurrir</w:t>
        <w:br/>
        <w:t xml:space="preserve">         a la ayuda económica de sus familiares[173] y de  ciertos  trabajos</w:t>
        <w:br/>
        <w:t xml:space="preserve">         esporádicos  hasta  que  su  salud  se  lo  permitió,  para   poder</w:t>
        <w:br/>
        <w:t xml:space="preserve">         sobrevivir.</w:t>
        <w:br/>
        <w:br/>
        <w:t xml:space="preserve">    164. Asimismo, la víctima ha tenido  que  atravesar  diversas  dolencias</w:t>
        <w:br/>
        <w:t xml:space="preserve">         relacionadas con su estado de salud, que se han visto agravadas con</w:t>
        <w:br/>
        <w:t xml:space="preserve">         el  transcurso  del  tiempo,  tales  como  el  desarrollo  de   una</w:t>
        <w:br/>
        <w:t xml:space="preserve">         hipoacusia severa  con  pérdida  total  de  un  oído  e  importante</w:t>
        <w:br/>
        <w:t xml:space="preserve">         reducción en la audición en el otro, Alzheimer y fractura de  fémur</w:t>
        <w:br/>
        <w:t xml:space="preserve">         (supra párr 52), encontrándose imposibilitado de acceder al sistema</w:t>
        <w:br/>
        <w:t xml:space="preserve">         público  de  salud,  como  consecuencia  directa  de  la  falta  de</w:t>
        <w:br/>
        <w:t xml:space="preserve">         ejecución de las decisiones judiciales a su favor.</w:t>
        <w:br/>
        <w:br/>
        <w:t xml:space="preserve">    165. Al respecto, es dable destacar que desde las sentencias dictadas en</w:t>
        <w:br/>
        <w:t xml:space="preserve">         1993 y 1999 hasta la fecha, han transcurrido más de 26 y  19  años,</w:t>
        <w:br/>
        <w:t xml:space="preserve">         respectivamente, los que en una persona de avanzada edad y  carente</w:t>
        <w:br/>
        <w:t xml:space="preserve">         de recursos económicos, han ocasionado un impacto en  su  situación</w:t>
        <w:br/>
        <w:t xml:space="preserve">         jurídica. Teniendo en cuenta lo anterior, la Corte considera que se</w:t>
        <w:br/>
        <w:t xml:space="preserve">         encuentra  suficientemente  probado  que  la  prolongación  de   la</w:t>
        <w:br/>
        <w:t xml:space="preserve">         ejecución del proceso en este caso incidió de  manera  relevante  y</w:t>
        <w:br/>
        <w:t xml:space="preserve">         cierta en la situación jurídica del señor Muelle Flores ,por cuanto</w:t>
        <w:br/>
        <w:t xml:space="preserve">         al retrasarse el cumplimiento de las  resoluciones  judiciales  del</w:t>
        <w:br/>
        <w:t xml:space="preserve">         caso, se afectó el desarrollo de su vida luego de su jubilación.</w:t>
        <w:br/>
        <w:br/>
        <w:t xml:space="preserve">    166.  Una  vez  analizados  los  cuatro  elementos  para  determinar  la</w:t>
        <w:br/>
        <w:t xml:space="preserve">         razonabilidad del plazo, la  Corte  concluye  que  las  autoridades</w:t>
        <w:br/>
        <w:t xml:space="preserve">         judiciales excedieron el  plazo  razonable  del  proceso,  lo  cual</w:t>
        <w:br/>
        <w:t xml:space="preserve">         vulnera el derecho a las garantías  judiciales  establecido  en  el</w:t>
        <w:br/>
        <w:t xml:space="preserve">         artículo 8.1  de  la  Convención  Americana,  en  relación  con  el</w:t>
        <w:br/>
        <w:t xml:space="preserve">         artículo 1.1 del mismo instrumento, en perjuicio  de  Oscar  Muelle</w:t>
        <w:br/>
        <w:t xml:space="preserve">         Flores.</w:t>
        <w:br/>
        <w:br/>
        <w:br/>
        <w:t xml:space="preserve">      Derecho a la seguridad social</w:t>
        <w:br/>
        <w:br/>
        <w:br/>
        <w:t>C.1 Argumentos de las partes y de la Comisión</w:t>
        <w:br/>
        <w:br/>
        <w:br/>
        <w:t xml:space="preserve">    167. Las representantes señalaron que el objeto central del caso era  la</w:t>
        <w:br/>
        <w:t xml:space="preserve">         privación al acceso y disfrute del derecho de la seguridad  social,</w:t>
        <w:br/>
        <w:t xml:space="preserve">         y que el Estado violó dicho derecho, derivado del artículo 26 de la</w:t>
        <w:br/>
        <w:t xml:space="preserve">         Convención Americana, de forma autónoma. Asimismo, alegaron que  el</w:t>
        <w:br/>
        <w:t xml:space="preserve">         Estado no garantizó  el  derecho  a  la  seguridad  social  ya  que</w:t>
        <w:br/>
        <w:t xml:space="preserve">         “pasaron 26 años de cotidiana negación y  arbitrariedad  perpetrada</w:t>
        <w:br/>
        <w:t xml:space="preserve">         inicialmente por una empresa  estatal  minera,  continuada  por  la</w:t>
        <w:br/>
        <w:t xml:space="preserve">         ausencia  de  protección  del  Estado  en  curso  del  proceso   de</w:t>
        <w:br/>
        <w:t xml:space="preserve">         privatización,  así  como  por  la  no  ejecución   de   sentencias</w:t>
        <w:br/>
        <w:t xml:space="preserve">         judiciales que reconocían la violación a nivel interno”.</w:t>
        <w:br/>
        <w:br/>
        <w:t xml:space="preserve">    168. Las representantes consideraron que la cesación arbitraria del pago</w:t>
        <w:br/>
        <w:t xml:space="preserve">         de la pensión, combinada con la privatización de la empresa Tintaya</w:t>
        <w:br/>
        <w:t xml:space="preserve">         sin la adopción de medidas con  debida  diligencia  y  salvaguardas</w:t>
        <w:br/>
        <w:t xml:space="preserve">         para garantizar el derecho de la pensión por motivo  de  jubilación</w:t>
        <w:br/>
        <w:t xml:space="preserve">         del Señor Muelle Flores, resultó en la violación de su derecho a la</w:t>
        <w:br/>
        <w:t xml:space="preserve">         seguridad social. Asimismo, alegaron  que  la  ausencia  de  reglas</w:t>
        <w:br/>
        <w:t xml:space="preserve">         claras y transparentes sobre el órgano responsable del cumplimiento</w:t>
        <w:br/>
        <w:t xml:space="preserve">         de las sentencias judiciales dictadas, generó la  no  ejecución  de</w:t>
        <w:br/>
        <w:t xml:space="preserve">         estas, y dicho incumplimiento privó a la víctima de llevar una vida</w:t>
        <w:br/>
        <w:t xml:space="preserve">         digna y de poder gozar de una vejez saludable,  que  le  permitiera</w:t>
        <w:br/>
        <w:t xml:space="preserve">         hacer  frente  a  sus  necesidades  más  básicas,   como   son   la</w:t>
        <w:br/>
        <w:t xml:space="preserve">         alimentación, la vivienda y la salud, a fin de mejorar  su  calidad</w:t>
        <w:br/>
        <w:t xml:space="preserve">         de vida y la de su familia. Las representantes indicaron que,  como</w:t>
        <w:br/>
        <w:t xml:space="preserve">         consecuencia de la suspensión de la pensión, el señor Muelle Flores</w:t>
        <w:br/>
        <w:t xml:space="preserve">         no pudo aportar al seguro social de salud, por lo que no gozó de un</w:t>
        <w:br/>
        <w:t xml:space="preserve">         seguro médico y atención médica en las mismas  condiciones  que  el</w:t>
        <w:br/>
        <w:t xml:space="preserve">         resto de los pensionistas bajo el Decreto Ley No.  20530,  lo  cual</w:t>
        <w:br/>
        <w:t xml:space="preserve">         generó gastos económicos para hacer frente a las  dolencias  en  su</w:t>
        <w:br/>
        <w:t xml:space="preserve">         salud. Igualmente, las representantes señalaron que, “no deb[ía] de</w:t>
        <w:br/>
        <w:t xml:space="preserve">         olvidarse que en definitiva el respeto irrestricto a las  garantías</w:t>
        <w:br/>
        <w:t xml:space="preserve">         del debido proceso  legal,  así  como  a  la  protección  judicial,</w:t>
        <w:br/>
        <w:t xml:space="preserve">         constituyen el principal soporte para la efectividad y cumplimiento</w:t>
        <w:br/>
        <w:t xml:space="preserve">         de los derechos económicos, sociales y culturales”. Finalmente, las</w:t>
        <w:br/>
        <w:t xml:space="preserve">         representantes destacaron que el presente  caso  “reviste  especial</w:t>
        <w:br/>
        <w:t xml:space="preserve">         importancia e interés  ya  que  se  trata  de  lograr  la  efectiva</w:t>
        <w:br/>
        <w:t xml:space="preserve">         protección de los derechos de una persona mayor de  edad,  personas</w:t>
        <w:br/>
        <w:t xml:space="preserve">         que por su condición se caracterizan por encontrarse en condiciones</w:t>
        <w:br/>
        <w:t xml:space="preserve">         de alta vulnerabilidad social y económica”.</w:t>
        <w:br/>
        <w:br/>
        <w:t xml:space="preserve">    169. Ni la Comisión ni el Estado presentaron alegatos de fondo  respecto</w:t>
        <w:br/>
        <w:t xml:space="preserve">         de la alegada violación del artículo 26 de la Convención.</w:t>
        <w:br/>
        <w:br/>
        <w:t>C.2 Consideraciones de la Corte</w:t>
        <w:br/>
        <w:br/>
        <w:br/>
        <w:t xml:space="preserve">    170. El Tribunal advierte que en el presente caso, el problema  jurídico</w:t>
        <w:br/>
        <w:t xml:space="preserve">         planteado por las representantes se relaciona con los alcances  del</w:t>
        <w:br/>
        <w:t xml:space="preserve">         derecho a la seguridad social entendido como  un  derecho  autónomo</w:t>
        <w:br/>
        <w:t xml:space="preserve">         que deriva del artículo 26 de  la  Convención  Americana.  En  este</w:t>
        <w:br/>
        <w:t xml:space="preserve">         sentido, los alegatos de las representantes siguen la  aproximación</w:t>
        <w:br/>
        <w:t xml:space="preserve">         adoptada por este Tribunal  desde  el  caso  Lagos  del  Campo  Vs.</w:t>
        <w:br/>
        <w:t xml:space="preserve">         Perú[174], y que ha sido continuada en decisiones posteriores[175].</w:t>
        <w:br/>
        <w:t xml:space="preserve">         Al respecto, la Corte recuerda que ya en el caso Poblete Vilches  y</w:t>
        <w:br/>
        <w:t xml:space="preserve">         otros Vs. Chile señaló lo siguiente:</w:t>
        <w:br/>
        <w:br/>
        <w:t xml:space="preserve">      Así, resulta claro interpretar que la Convención  Americana  incorporó</w:t>
        <w:br/>
        <w:t xml:space="preserve">      en  su  catálogo  de  derechos  protegidos  los  denominados  derechos</w:t>
        <w:br/>
        <w:t xml:space="preserve">      económicos, sociales, culturales y ambientales (DESCA),  a  través  de</w:t>
        <w:br/>
        <w:t xml:space="preserve">      una  derivación  de  las  normas  reconocidas  en  la  Carta   de   la</w:t>
        <w:br/>
        <w:t xml:space="preserve">      Organización de los Estados Americanos (OEA), así como de  las  normas</w:t>
        <w:br/>
        <w:t xml:space="preserve">      de  interpretación  dispuestas  en  el  propio  artículo  29   de   la</w:t>
        <w:br/>
        <w:t xml:space="preserve">      Convención; particularmente, que impide limitar o excluir el  goce  de</w:t>
        <w:br/>
        <w:t xml:space="preserve">      los derechos establecidos en la Declaración Americana e inclusive  los</w:t>
        <w:br/>
        <w:t xml:space="preserve">      reconocidos en materia  interna.  Asimismo,  de  conformidad  con  una</w:t>
        <w:br/>
        <w:t xml:space="preserve">      interpretación sistemática,  teleológica  y  evolutiva,  la  Corte  ha</w:t>
        <w:br/>
        <w:t xml:space="preserve">      recurrido al corpus iuris internacional y nacional en la materia  para</w:t>
        <w:br/>
        <w:t xml:space="preserve">      dar contenido específico al alcance de los derechos tutelados  por  la</w:t>
        <w:br/>
        <w:t xml:space="preserve">      Convención,  a  fin  de  derivar  el  alcance  de   las   obligaciones</w:t>
        <w:br/>
        <w:t xml:space="preserve">      específicas de cada derecho[176].</w:t>
        <w:br/>
        <w:br/>
        <w:t xml:space="preserve">    171. En este apartado, la  Corte  se  pronunciará  por  primera  ocasión</w:t>
        <w:br/>
        <w:t xml:space="preserve">         respecto del derecho a la seguridad social, en particular sobre  el</w:t>
        <w:br/>
        <w:t xml:space="preserve">         derecho a la pensión, de manera autónoma, como parte integrante  de</w:t>
        <w:br/>
        <w:t xml:space="preserve">         los DESCA y para tal efecto  seguirá  el  siguiente  orden:  a)  el</w:t>
        <w:br/>
        <w:t xml:space="preserve">         derecho a la seguridad social como derecho autónomo y  justiciable;</w:t>
        <w:br/>
        <w:t xml:space="preserve">         b) el contenido del derecho a la seguridad, y c) la afectación  del</w:t>
        <w:br/>
        <w:t xml:space="preserve">         derecho a la seguridad social en el presente caso.</w:t>
        <w:br/>
        <w:br/>
        <w:t xml:space="preserve">     i)  El  derecho  a  la  seguridad  social  como  derecho  autónomo   y</w:t>
        <w:br/>
        <w:t xml:space="preserve">        justiciable</w:t>
        <w:br/>
        <w:br/>
        <w:br/>
        <w:t xml:space="preserve">    172.  Para  identificar  aquellos  derechos  que  pueden  ser  derivados</w:t>
        <w:br/>
        <w:t xml:space="preserve">         interpretativamente del artículo 26, se debe  considerar  que  este</w:t>
        <w:br/>
        <w:t xml:space="preserve">         realiza una remisión directa a las normas  económicas,  sociales  y</w:t>
        <w:br/>
        <w:t xml:space="preserve">         sobre educación, ciencia y cultura contenidas en  la  Carta  de  la</w:t>
        <w:br/>
        <w:t xml:space="preserve">         OEA. De una lectura de este último instrumento, la  Corte  advierte</w:t>
        <w:br/>
        <w:t xml:space="preserve">         que reconoce a la seguridad social  en  su  artículo  3.j)[177]  al</w:t>
        <w:br/>
        <w:t xml:space="preserve">         señalar que “la justicia y la seguridad sociales son bases  de  una</w:t>
        <w:br/>
        <w:t xml:space="preserve">         paz duradera”. Asimismo, el artículo 45.b)[178] de la Carta  de  la</w:t>
        <w:br/>
        <w:t xml:space="preserve">         OEA establece que “b) [e]l trabajo es un derecho y un deber social,</w:t>
        <w:br/>
        <w:t xml:space="preserve">         otorga dignidad a quien lo realiza y debe prestarse en  condiciones</w:t>
        <w:br/>
        <w:t xml:space="preserve">         que, incluyendo un régimen de salarios justos, aseguren la vida, la</w:t>
        <w:br/>
        <w:t xml:space="preserve">         salud y un  nivel  económico  decoroso  para  el  trabajador  y  su</w:t>
        <w:br/>
        <w:t xml:space="preserve">         familia, tanto en sus años de trabajo como en su  vejez,  o  cuando</w:t>
        <w:br/>
        <w:t xml:space="preserve">         cualquier circunstancia lo prive de la  posibilidad  de  trabajar”.</w:t>
        <w:br/>
        <w:t xml:space="preserve">         Asimismo, el artículo 45.h)[179] de  la  Carta  establece  que  “el</w:t>
        <w:br/>
        <w:t xml:space="preserve">         hombre sólo puede alcanzar la plena realización de sus aspiraciones</w:t>
        <w:br/>
        <w:t xml:space="preserve">         dentro de un orden social justo”, por lo que los Estados  convienen</w:t>
        <w:br/>
        <w:t xml:space="preserve">         en dedicar esfuerzos  a  la  aplicación  de  ciertos  principios  y</w:t>
        <w:br/>
        <w:t xml:space="preserve">         mecanismos,  entre  ellos  el  “h)  [d]esarrollo  de  una  política</w:t>
        <w:br/>
        <w:t xml:space="preserve">         eficiente de seguridad social”. Por su parte, en el artículo 46  de</w:t>
        <w:br/>
        <w:t xml:space="preserve">         la Carta los Estados reconocen que “para facilitar el proceso de la</w:t>
        <w:br/>
        <w:t xml:space="preserve">         integración regional latinoamericana,  es  necesario  armonizar  la</w:t>
        <w:br/>
        <w:t xml:space="preserve">         legislación social de los países en desarrollo, especialmente en el</w:t>
        <w:br/>
        <w:t xml:space="preserve">         campo laboral y de la seguridad social, a fin de que  los  derechos</w:t>
        <w:br/>
        <w:t xml:space="preserve">         de los trabajadores sean  igualmente  protegidos,  y  convienen  en</w:t>
        <w:br/>
        <w:t xml:space="preserve">         realizar los máximos esfuerzos para alcanzar esta finalidad”.</w:t>
        <w:br/>
        <w:br/>
        <w:t xml:space="preserve">    173. De esta forma, la Corte considera que existe una referencia con  el</w:t>
        <w:br/>
        <w:t xml:space="preserve">         suficiente grado de especificidad del derecho a la seguridad social</w:t>
        <w:br/>
        <w:t xml:space="preserve">         para derivar su existencia y reconocimiento implícito en  la  Carta</w:t>
        <w:br/>
        <w:t xml:space="preserve">         de la OEA. En particular, de los distintos enunciados se deduce que</w:t>
        <w:br/>
        <w:t xml:space="preserve">         el derecho a la seguridad social tiene como  finalidad  asegurar  a</w:t>
        <w:br/>
        <w:t xml:space="preserve">         las personas una vida, salud y niveles económicos decorosos  en  su</w:t>
        <w:br/>
        <w:t xml:space="preserve">         vejez, o ante eventos que las priven de su posibilidad de trabajar,</w:t>
        <w:br/>
        <w:t xml:space="preserve">         es decir en relación con eventos futuros  que  podrían  afectar  el</w:t>
        <w:br/>
        <w:t xml:space="preserve">         nivel y calidad de sus vidas. En vista de  lo  anterior,  la  Corte</w:t>
        <w:br/>
        <w:t xml:space="preserve">         considera que el derecho  a  la  seguridad  social  es  un  derecho</w:t>
        <w:br/>
        <w:t xml:space="preserve">         protegido por el artículo 26 de la Convención.</w:t>
        <w:br/>
        <w:br/>
        <w:t xml:space="preserve">    174. Corresponde entonces a este Tribunal determinar  los  alcances  del</w:t>
        <w:br/>
        <w:t xml:space="preserve">         derecho a la seguridad social,  en  particular  del  derecho  a  la</w:t>
        <w:br/>
        <w:t xml:space="preserve">         pensión en el marco de los hechos del presente  caso  (supra  párr.</w:t>
        <w:br/>
        <w:t xml:space="preserve">         171), a la luz del corpus iuris internacional  en  la  materia.  La</w:t>
        <w:br/>
        <w:t xml:space="preserve">         Corte recuerda que las obligaciones contenidas en los artículos 1.1</w:t>
        <w:br/>
        <w:t xml:space="preserve">         y 2 de la Convención Americana constituyen, en definitiva, la  base</w:t>
        <w:br/>
        <w:t xml:space="preserve">         para la determinación de responsabilidad internacional a un  Estado</w:t>
        <w:br/>
        <w:t xml:space="preserve">         por violaciones a los derechos reconocidos en  la  Convención[180],</w:t>
        <w:br/>
        <w:t xml:space="preserve">         incluidos aquellos reconocidos  en  virtud  del  artículo  26.  Sin</w:t>
        <w:br/>
        <w:t xml:space="preserve">         embargo, la misma Convención hace expresa referencia a  las  normas</w:t>
        <w:br/>
        <w:t xml:space="preserve">         del  Derecho  Internacional  general  para  su   interpretación   y</w:t>
        <w:br/>
        <w:t xml:space="preserve">         aplicación, específicamente a través del artículo 29, el cual prevé</w:t>
        <w:br/>
        <w:t xml:space="preserve">         el principio pro persona[181]. De  esta  forma,  como  ha  sido  la</w:t>
        <w:br/>
        <w:t xml:space="preserve">         práctica  constante  de  este  Tribunal[182],  al   determinar   la</w:t>
        <w:br/>
        <w:t xml:space="preserve">         compatibilidad de las acciones y omisiones del  Estado,  o  de  sus</w:t>
        <w:br/>
        <w:t xml:space="preserve">         normas, con la propia Convención u otros tratados respecto  de  los</w:t>
        <w:br/>
        <w:t xml:space="preserve">         cuales  tiene  competencia,  la   Corte   puede   interpretar   las</w:t>
        <w:br/>
        <w:t xml:space="preserve">         obligaciones y derechos en ellos  contenidos  a  la  luz  de  otros</w:t>
        <w:br/>
        <w:t xml:space="preserve">         tratados y normas pertinentes.</w:t>
        <w:br/>
        <w:br/>
        <w:t xml:space="preserve">    175. De esta  forma,  la  Corte  utilizará  las  fuentes,  principios  y</w:t>
        <w:br/>
        <w:t xml:space="preserve">         criterios del corpus iuris internacional  como  normativa  especial</w:t>
        <w:br/>
        <w:t xml:space="preserve">         aplicable en la  determinación  del  contenido  del  derecho  a  la</w:t>
        <w:br/>
        <w:t xml:space="preserve">         seguridad social. Este Tribunal señala que  la  utilización  de  la</w:t>
        <w:br/>
        <w:t xml:space="preserve">         normativa antes mencionada para la  determinación  del  derecho  en</w:t>
        <w:br/>
        <w:t xml:space="preserve">         cuestión se  utilizará  en  forma  complementaria  a  la  normativa</w:t>
        <w:br/>
        <w:t xml:space="preserve">         convencional. Al respecto, la Corte afirma que  no  está  asumiendo</w:t>
        <w:br/>
        <w:t xml:space="preserve">         competencias sobre tratados en los que no la tiene, ni tampoco está</w:t>
        <w:br/>
        <w:t xml:space="preserve">         otorgando jerarquía  convencional  a  normas  contenidas  en  otros</w:t>
        <w:br/>
        <w:t xml:space="preserve">         instrumentos nacionales  o  internacionales  relacionados  con  los</w:t>
        <w:br/>
        <w:t xml:space="preserve">         DESCA[183]. Por el contrario, la Corte realizará una interpretación</w:t>
        <w:br/>
        <w:t xml:space="preserve">         de conformidad con las pautas  previstas  por  el  artículo  29,  y</w:t>
        <w:br/>
        <w:t xml:space="preserve">         conforme a su práctica jurisprudencial, que permita  actualizar  el</w:t>
        <w:br/>
        <w:t xml:space="preserve">         sentido de los derechos derivados de la Carta  de  la  OEA  que  se</w:t>
        <w:br/>
        <w:t xml:space="preserve">         encuentran reconocidos por el artículo  26  de  la  Convención.  La</w:t>
        <w:br/>
        <w:t xml:space="preserve">         determinación del derecho a la seguridad social  dará  un  especial</w:t>
        <w:br/>
        <w:t xml:space="preserve">         énfasis a la Declaración Americana, pues tal y como  lo  estableció</w:t>
        <w:br/>
        <w:t xml:space="preserve">         este Tribunal:</w:t>
        <w:br/>
        <w:br/>
        <w:t xml:space="preserve">      […] [L]os Estados Miembros han entendido que la Declaración contiene y</w:t>
        <w:br/>
        <w:t xml:space="preserve">      define aquellos derechos humanos esenciales a  los  que  la  Carta  se</w:t>
        <w:br/>
        <w:t xml:space="preserve">      refiere, de manera que no se puede interpretar y aplicar la  Carta  de</w:t>
        <w:br/>
        <w:t xml:space="preserve">      la Organización en materia  de  derechos  humanos,  sin  integrar  las</w:t>
        <w:br/>
        <w:t xml:space="preserve">      normas pertinentes de ella con las correspondientes  disposiciones  de</w:t>
        <w:br/>
        <w:t xml:space="preserve">      la Declaración, como resulta de la práctica seguida por los órganos de</w:t>
        <w:br/>
        <w:t xml:space="preserve">      la OEA[184].</w:t>
        <w:br/>
        <w:br/>
        <w:t xml:space="preserve">    176.  En  el  mismo  sentido,  este  Tribunal  ha  señalado   en   otras</w:t>
        <w:br/>
        <w:t xml:space="preserve">         oportunidades que los tratados de derechos humanos son instrumentos</w:t>
        <w:br/>
        <w:t xml:space="preserve">         vivos, cuya interpretación tiene que acompañar la evolución de  los</w:t>
        <w:br/>
        <w:t xml:space="preserve">         tiempos y las condiciones  de  vida  actuales.  Tal  interpretación</w:t>
        <w:br/>
        <w:t xml:space="preserve">         evolutiva es consecuente con las reglas generales de interpretación</w:t>
        <w:br/>
        <w:t xml:space="preserve">         establecidas en el artículo 29 de la Convención Americana, así como</w:t>
        <w:br/>
        <w:t xml:space="preserve">         con la Convención de Viena[185]. Además,  el  párrafo  tercero  del</w:t>
        <w:br/>
        <w:t xml:space="preserve">         artículo 31 de la Convención de Viena autoriza  la  utilización  de</w:t>
        <w:br/>
        <w:t xml:space="preserve">         medios interpretativos tales como los  acuerdos  o  la  práctica  o</w:t>
        <w:br/>
        <w:t xml:space="preserve">         reglas relevantes del derecho internacional que los  Estados  hayan</w:t>
        <w:br/>
        <w:t xml:space="preserve">         manifestado sobre la materia del tratado, los cuales son algunos de</w:t>
        <w:br/>
        <w:t xml:space="preserve">         los métodos que se relacionan con una visión evolutiva del Tratado.</w:t>
        <w:br/>
        <w:t xml:space="preserve">         De esta forma, con el objetivo de determinar el alcance del derecho</w:t>
        <w:br/>
        <w:t xml:space="preserve">         a la seguridad social, en particular del derecho a la pensión en el</w:t>
        <w:br/>
        <w:t xml:space="preserve">         marco de un sistema de pensiones contributivo estatal, tal  y  como</w:t>
        <w:br/>
        <w:t xml:space="preserve">         se deriva de las normas económicas,  sociales  y  sobre  educación,</w:t>
        <w:br/>
        <w:t xml:space="preserve">         ciencia y  cultura  de  la  Carta  de  la  OEA,  el  Tribunal  hará</w:t>
        <w:br/>
        <w:t xml:space="preserve">         referencia  a  los  instrumentos  relevantes   del   corpus   iuris</w:t>
        <w:br/>
        <w:t xml:space="preserve">         internacional.</w:t>
        <w:br/>
        <w:br/>
        <w:t xml:space="preserve">    177. A continuación, este Tribunal procede  a  verificar  el  alcance  y</w:t>
        <w:br/>
        <w:t xml:space="preserve">         contenido de este derecho para efectos del presente caso.</w:t>
        <w:br/>
        <w:br/>
        <w:t xml:space="preserve">    ii) El contenido del derecho a la seguridad social</w:t>
        <w:br/>
        <w:br/>
        <w:t xml:space="preserve">    178. De conformidad con lo señalado anteriormente, el artículo 45.b)  de</w:t>
        <w:br/>
        <w:t xml:space="preserve">         la Carta de la OEA señala expresamente que el  trabajo  deberá  ser</w:t>
        <w:br/>
        <w:t xml:space="preserve">         ejercido en condiciones que aseguren la vida, la salud y  un  nivel</w:t>
        <w:br/>
        <w:t xml:space="preserve">         económico decoroso para el trabajador y su familia,  tanto  en  sus</w:t>
        <w:br/>
        <w:t xml:space="preserve">         años de trabajo como en su vejez, o cuando cualquier  circunstancia</w:t>
        <w:br/>
        <w:t xml:space="preserve">         lo prive de la posibilidad de trabajar.</w:t>
        <w:br/>
        <w:br/>
        <w:t xml:space="preserve">    179. Asimismo, el artículo XVI[186] de la Declaración Americana  permite</w:t>
        <w:br/>
        <w:t xml:space="preserve">         identificar el derecho a la seguridad social al  referir  que  toda</w:t>
        <w:br/>
        <w:t xml:space="preserve">         persona tiene derecho “a la seguridad social que le proteja  contra</w:t>
        <w:br/>
        <w:t xml:space="preserve">         las  consecuencias  de  la  desocupación,  de  la  vejez  y  de  la</w:t>
        <w:br/>
        <w:t xml:space="preserve">         incapacidad que, proveniente de cualquier otra  causa  ajena  a  su</w:t>
        <w:br/>
        <w:t xml:space="preserve">         voluntad, la imposibilite física o  mentalmente  para  obtener  los</w:t>
        <w:br/>
        <w:t xml:space="preserve">         medios de subsistencia”.</w:t>
        <w:br/>
        <w:br/>
        <w:t xml:space="preserve">    180. De igual manera,  el  artículo  9  del  Protocolo  Adicional  a  la</w:t>
        <w:br/>
        <w:t xml:space="preserve">         Convención Americana sobre Derechos Humanos en materia de  Derechos</w:t>
        <w:br/>
        <w:t xml:space="preserve">         Económicos, Sociales y Culturales "Protocolo de San  Salvador"  (en</w:t>
        <w:br/>
        <w:t xml:space="preserve">         adelante "Protocolo de San Salvador)[187], establece que “1) [t]oda</w:t>
        <w:br/>
        <w:t xml:space="preserve">         persona tiene derecho a la seguridad social que la  proteja  contra</w:t>
        <w:br/>
        <w:t xml:space="preserve">         las  consecuencias  de  la  vejez  y  de  la  incapacidad  que   la</w:t>
        <w:br/>
        <w:t xml:space="preserve">         imposibilite física o mentalmente  para  obtener  los  medios  para</w:t>
        <w:br/>
        <w:t xml:space="preserve">         llevar  una  vida  digna  y  decorosa.  En  caso  de   muerte   del</w:t>
        <w:br/>
        <w:t xml:space="preserve">         beneficiario, las prestaciones de seguridad social serán  aplicadas</w:t>
        <w:br/>
        <w:t xml:space="preserve">         a sus dependientes.  2)  [c]uando  se  trate  de  personas  que  se</w:t>
        <w:br/>
        <w:t xml:space="preserve">         encuentran trabajando, el derecho a la seguridad social cubrirá  al</w:t>
        <w:br/>
        <w:t xml:space="preserve">         menos la atención médica y el subsidio o  jubilación  en  casos  de</w:t>
        <w:br/>
        <w:t xml:space="preserve">         accidentes de trabajo o de  enfermedad  profesional  y,  cuando  se</w:t>
        <w:br/>
        <w:t xml:space="preserve">         trate de  mujeres,  licencia  retribuida  por  maternidad  antes  y</w:t>
        <w:br/>
        <w:t xml:space="preserve">         después del parto”.</w:t>
        <w:br/>
        <w:br/>
        <w:t xml:space="preserve">    181. En el ámbito universal, el artículo 22 de la Declaración  Universal</w:t>
        <w:br/>
        <w:t xml:space="preserve">         de  Derechos  Humanos[188]  establece  que  “[t]oda  persona,  como</w:t>
        <w:br/>
        <w:t xml:space="preserve">         miembro de la sociedad, tiene derecho a la seguridad  social,  y  a</w:t>
        <w:br/>
        <w:t xml:space="preserve">         obtener,  mediante  el   esfuerzo   nacional   y   la   Copperación</w:t>
        <w:br/>
        <w:t xml:space="preserve">         internacional, habida cuenta de la organización y los  recursos  de</w:t>
        <w:br/>
        <w:t xml:space="preserve">         cada Estado, la satisfacción de los derechos económicos, sociales y</w:t>
        <w:br/>
        <w:t xml:space="preserve">         culturales, indispensables a su dignidad y al libre  desarrollo  de</w:t>
        <w:br/>
        <w:t xml:space="preserve">         su personalidad”. De igual forma, el artículo 25 destaca que  “toda</w:t>
        <w:br/>
        <w:t xml:space="preserve">         persona tiene derecho a un nivel de  vida  adecuado  […]  y  a  los</w:t>
        <w:br/>
        <w:t xml:space="preserve">         seguros en caso de desempleo, enfermedad, invalidez, viudez,  vejez</w:t>
        <w:br/>
        <w:t xml:space="preserve">         u otros  casos  de  pérdida  de  sus  medios  de  subsistencia  por</w:t>
        <w:br/>
        <w:t xml:space="preserve">         circunstancias independientes de su voluntad”.  Por  su  parte,  el</w:t>
        <w:br/>
        <w:t xml:space="preserve">         artículo 9 del Pacto Internacional de Derechos Económicos, Sociales</w:t>
        <w:br/>
        <w:t xml:space="preserve">         y Culturales[189] (PIDESC) también reconoce  “el  derecho  de  toda</w:t>
        <w:br/>
        <w:t xml:space="preserve">         persona a la seguridad social, incluso al seguro social”.</w:t>
        <w:br/>
        <w:br/>
        <w:t xml:space="preserve">    182. Asimismo, el derecho a la seguridad social está reconocido a  nivel</w:t>
        <w:br/>
        <w:t xml:space="preserve">         constitucional en  el  Perú,  en  sus  artículos  10  y  11  de  la</w:t>
        <w:br/>
        <w:t xml:space="preserve">         Constitución Política de 1993[190].</w:t>
        <w:br/>
        <w:br/>
        <w:t xml:space="preserve">    183. Ahora bien, del artículo 45 de la Carta de la OEA,  interpretado  a</w:t>
        <w:br/>
        <w:t xml:space="preserve">         la luz de la Declaración Americana  y  de  los  demás  instrumentos</w:t>
        <w:br/>
        <w:t xml:space="preserve">         mencionados, se puede derivar elementos constitutivos del derecho a</w:t>
        <w:br/>
        <w:t xml:space="preserve">         la seguridad social, como por ejemplo, que es un derecho que  busca</w:t>
        <w:br/>
        <w:t xml:space="preserve">         proteger al individuo de contingencias futuras, que  de  producirse</w:t>
        <w:br/>
        <w:t xml:space="preserve">         ocasionarían consecuencias perjudiciales para la  persona,  por  lo</w:t>
        <w:br/>
        <w:t xml:space="preserve">         que deben adoptarse medidas para protegerla[191]. En  particular  y</w:t>
        <w:br/>
        <w:t xml:space="preserve">         en el caso que nos ocupa, el derecho a la seguridad  social  buscar</w:t>
        <w:br/>
        <w:t xml:space="preserve">         proteger al individuo de situaciones que se presentarán cuando éste</w:t>
        <w:br/>
        <w:t xml:space="preserve">         llegue a una edad determinada en  la  cual  se  vea  imposibilitado</w:t>
        <w:br/>
        <w:t xml:space="preserve">         física o  mentalmente  para  obtener  los  medios  de  subsistencia</w:t>
        <w:br/>
        <w:t xml:space="preserve">         necesarios para vivir un nivel de vida adecuado, lo que  a  su  vez</w:t>
        <w:br/>
        <w:t xml:space="preserve">         podría privarlo de su capacidad de ejercer plenamente el  resto  de</w:t>
        <w:br/>
        <w:t xml:space="preserve">         sus derechos. Esto último también da cuenta de uno de los elementos</w:t>
        <w:br/>
        <w:t xml:space="preserve">         constitutivos del derecho, ya que la seguridad  social  deberá  ser</w:t>
        <w:br/>
        <w:t xml:space="preserve">         ejercida de modo tal que  garantice  condiciones  que  aseguren  la</w:t>
        <w:br/>
        <w:t xml:space="preserve">         vida, la salud y un nivel económico decoroso.</w:t>
        <w:br/>
        <w:br/>
        <w:t xml:space="preserve">    184.  Si  bien,  el  derecho  a  la  seguridad  social  está  reconocido</w:t>
        <w:br/>
        <w:t xml:space="preserve">         ampliamente  en  el  corpus  iuris  internacional[192],  tanto   la</w:t>
        <w:br/>
        <w:t xml:space="preserve">         Organización Internacional del Trabajo (en adelante “OIT”), como el</w:t>
        <w:br/>
        <w:t xml:space="preserve">         Comité  de  Derechos  Económicos,  Sociales  y  Culturales  de  las</w:t>
        <w:br/>
        <w:t xml:space="preserve">         Naciones  Unidas  (en  adelante  “Comité   DESC”)   siguiendo   los</w:t>
        <w:br/>
        <w:t xml:space="preserve">         principales  instrumentos  adoptados  por  el   primero[193],   han</w:t>
        <w:br/>
        <w:t xml:space="preserve">         desarrollado el contenido del derecho a  la  seguridad  social  con</w:t>
        <w:br/>
        <w:t xml:space="preserve">         mayor claridad, lo cual le permitirá  a  la  Corte  interpretar  el</w:t>
        <w:br/>
        <w:t xml:space="preserve">         contenido del derecho y las  obligaciones  del  Estado  peruano  de</w:t>
        <w:br/>
        <w:t xml:space="preserve">         conformidad con los hechos del presente caso.</w:t>
        <w:br/>
        <w:br/>
        <w:t xml:space="preserve">    185. De manera general, la OIT ha definido el  derecho  a  la  seguridad</w:t>
        <w:br/>
        <w:t xml:space="preserve">         social como “la protección  que  una  sociedad  proporciona  a  los</w:t>
        <w:br/>
        <w:t xml:space="preserve">         individuos y los hogares para asegurar el acceso  a  la  asistencia</w:t>
        <w:br/>
        <w:t xml:space="preserve">         médica y  garantizar  la  seguridad  del  ingreso  [al  sistema  de</w:t>
        <w:br/>
        <w:t xml:space="preserve">         pensiones], en particular en caso de vejez, desempleo,  enfermedad,</w:t>
        <w:br/>
        <w:t xml:space="preserve">         invalidez, accidentes del trabajo, maternidad o pérdida del  sostén</w:t>
        <w:br/>
        <w:t xml:space="preserve">         de familia”[194]. En el caso concreto de la pensión por  jubilación</w:t>
        <w:br/>
        <w:t xml:space="preserve">         derivada de un sistema de  contribuciones  o  cotizaciones,  es  un</w:t>
        <w:br/>
        <w:t xml:space="preserve">         componente de la seguridad social que busca satisfacer la necesidad</w:t>
        <w:br/>
        <w:t xml:space="preserve">         de subsistencia económica que persiste para quien dejó de trabajar,</w:t>
        <w:br/>
        <w:t xml:space="preserve">         al cumplirse la contingencia con base en la supervivencia más  allá</w:t>
        <w:br/>
        <w:t xml:space="preserve">         de la edad prescrita. En estos casos, la pensión de  vejez  es  una</w:t>
        <w:br/>
        <w:t xml:space="preserve">         especie de salario diferido del trabajador,  un  derecho  adquirido</w:t>
        <w:br/>
        <w:t xml:space="preserve">         luego de una acumulación de cotizaciones y tiempo laboral cumplido.</w:t>
        <w:br/>
        <w:br/>
        <w:t xml:space="preserve">    186. El Comité DESC ha establecido en  su  Observación  General  No.  19</w:t>
        <w:br/>
        <w:t xml:space="preserve">         sobre “el derecho a la seguridad social” que este derecho abarca el</w:t>
        <w:br/>
        <w:t xml:space="preserve">         obtener y mantener prestaciones sociales, ya sea en efectivo  o  en</w:t>
        <w:br/>
        <w:t xml:space="preserve">         especie, sin discriminación, con el fin de obtener  protección,  en</w:t>
        <w:br/>
        <w:t xml:space="preserve">         diversas circunstancias (infra párr. 187),  en  particular  por  la</w:t>
        <w:br/>
        <w:t xml:space="preserve">         falta de ingresos procedentes del trabajo debido a la vejez[195].</w:t>
        <w:br/>
        <w:br/>
        <w:t xml:space="preserve">    187. De igual forma, la Observación General No. 19 del  Comité  DESC  ha</w:t>
        <w:br/>
        <w:t xml:space="preserve">         establecido el contenido  normativo  del  derecho  a  la  seguridad</w:t>
        <w:br/>
        <w:t xml:space="preserve">         social[196] y destacó que incluye el derecho a no  ser  sometido  a</w:t>
        <w:br/>
        <w:t xml:space="preserve">         restricciones arbitrarias o poco razonables de la cobertura  social</w:t>
        <w:br/>
        <w:t xml:space="preserve">         existente, ya sea del sector público o del privado,  así  como  del</w:t>
        <w:br/>
        <w:t xml:space="preserve">         derecho a la igualdad en el disfrute de una  protección  suficiente</w:t>
        <w:br/>
        <w:t xml:space="preserve">         contra  los  riesgos  e  imprevistos  sociales.  En  cuanto  a  sus</w:t>
        <w:br/>
        <w:t xml:space="preserve">         elementos fundamentales destacó los siguientes:</w:t>
        <w:br/>
        <w:br/>
        <w:t xml:space="preserve">   a) Disponibilidad: El derecho a la seguridad social  requiere,  para  ser</w:t>
        <w:br/>
        <w:t xml:space="preserve">   ejercido,  que  se  haya  establecido  y   funcione   un   sistema,   con</w:t>
        <w:br/>
        <w:t xml:space="preserve">   independencia de que esté compuesto de uno o varios planes, que garantice</w:t>
        <w:br/>
        <w:t xml:space="preserve">   las prestaciones correspondientes a los riesgos e imprevistos sociales de</w:t>
        <w:br/>
        <w:t xml:space="preserve">   que se trate. Este sistema debe establecerse  en  el  marco  del  derecho</w:t>
        <w:br/>
        <w:t xml:space="preserve">   nacional, y las autoridades públicas deben asumir la  responsabilidad  de</w:t>
        <w:br/>
        <w:t xml:space="preserve">   su administración o supervisión eficaz.  Los  planes  también  deben  ser</w:t>
        <w:br/>
        <w:t xml:space="preserve">   sostenibles, incluidos los planes de pensiones, a fin de asegurar que las</w:t>
        <w:br/>
        <w:t xml:space="preserve">   generaciones presentes y futuras puedan ejercer este derecho.</w:t>
        <w:br/>
        <w:br/>
        <w:t xml:space="preserve">   b) Riesgos e imprevistos sociales: debe abarcar nueves ramas  principales</w:t>
        <w:br/>
        <w:t xml:space="preserve">   a saber: i) atención en salud; ii) enfermedad; iii) vejez; iv) desempleo;</w:t>
        <w:br/>
        <w:t xml:space="preserve">   v) accidentes laborales; vi) prestaciones  familiares;  vii)  maternidad;</w:t>
        <w:br/>
        <w:t xml:space="preserve">   viii) discapacidad, y  ix)  sobrevivientes  y  huérfanos.  En  cuanto  la</w:t>
        <w:br/>
        <w:t xml:space="preserve">   atención en salud, los Estados Partes tienen la obligación de  garantizar</w:t>
        <w:br/>
        <w:t xml:space="preserve">   que se establezcan sistemas de salud que prevean un  acceso  adecuado  de</w:t>
        <w:br/>
        <w:t xml:space="preserve">   todas  las  personas  a  los  servicios  de  salud[197],  que  deben  ser</w:t>
        <w:br/>
        <w:t xml:space="preserve">   asequibles[198]. En cuanto a la vejez, los  Estados  Partes  deben  tomar</w:t>
        <w:br/>
        <w:t xml:space="preserve">   medidas  apropiadas  para  establecer  planes  de  seguridad  social  que</w:t>
        <w:br/>
        <w:t xml:space="preserve">   concedan prestaciones a las personas  de  edad,  a  partir  de  una  edad</w:t>
        <w:br/>
        <w:t xml:space="preserve">   determinada prescrita por la legislación nacional[199].</w:t>
        <w:br/>
        <w:br/>
        <w:t xml:space="preserve">   c) Nivel suficiente[200]: las prestaciones,  ya  sea  en  efectivo  o  en</w:t>
        <w:br/>
        <w:t xml:space="preserve">   especie, deben ser suficientes en importe y duración a fin de  que  todos</w:t>
        <w:br/>
        <w:t xml:space="preserve">   puedan gozar de sus derechos a la protección y  asistencia  familiar,  de</w:t>
        <w:br/>
        <w:t xml:space="preserve">   unas condiciones de vida adecuadas y de acceso suficientes a la  atención</w:t>
        <w:br/>
        <w:t xml:space="preserve">   de salud.  Además,  los  Estados  Partes  deben  respetar  plenamente  el</w:t>
        <w:br/>
        <w:t xml:space="preserve">   principio de la dignidad humana y el principio de la no discriminación, a</w:t>
        <w:br/>
        <w:t xml:space="preserve">   fin de evitar cualquier efecto adverso sobre el nivel de las prestaciones</w:t>
        <w:br/>
        <w:t xml:space="preserve">   y la forma en que se conceden. Los métodos aplicados  deben  asegurar  un</w:t>
        <w:br/>
        <w:t xml:space="preserve">   nivel suficiente de las prestaciones. Los criterios de suficiencia  deben</w:t>
        <w:br/>
        <w:t xml:space="preserve">   revisarse periódicamente, para asegurarse de que los beneficiarios pueden</w:t>
        <w:br/>
        <w:t xml:space="preserve">   costear los bienes y servicios que necesitan para  ejercer  los  derechos</w:t>
        <w:br/>
        <w:t xml:space="preserve">   reconocidos en el Pacto. Cuando una persona cotiza a un plan de seguridad</w:t>
        <w:br/>
        <w:t xml:space="preserve">   social que ofrece prestaciones para suplir la  falta  de  ingresos,  debe</w:t>
        <w:br/>
        <w:t xml:space="preserve">   haber  una  relación  razonable  entre  los  ingresos,  las  cotizaciones</w:t>
        <w:br/>
        <w:t xml:space="preserve">   abonadas y la cuantía de la prestación pertinente.[201]</w:t>
        <w:br/>
        <w:br/>
        <w:t xml:space="preserve">   d) Accesibilidad: la cual a su  vez  incluye:  i)  cobertura:  todas  las</w:t>
        <w:br/>
        <w:t xml:space="preserve">   personas deben estar cubiertas por el sistema de  seguridad  social,  sin</w:t>
        <w:br/>
        <w:t xml:space="preserve">   discriminación.  Para  garantizar  la  cobertura  de  todos,   resultarán</w:t>
        <w:br/>
        <w:t xml:space="preserve">   necesarios los planes no contributivos; ii) condiciones: las  condiciones</w:t>
        <w:br/>
        <w:t xml:space="preserve">   para acogerse a las prestaciones deben ser razonables,  proporcionadas  y</w:t>
        <w:br/>
        <w:t xml:space="preserve">   transparentes; iii) asequibilidad: si un plan de seguridad  social  exige</w:t>
        <w:br/>
        <w:t xml:space="preserve">   el pago de cotizaciones, éstas deben definirse por adelantado. Los costos</w:t>
        <w:br/>
        <w:t xml:space="preserve">   directos e indirectos relacionados con  las  cotizaciones  deben  de  ser</w:t>
        <w:br/>
        <w:t xml:space="preserve">   asequibles para todos y  no  deben  comprometer  el  ejercicio  de  otros</w:t>
        <w:br/>
        <w:t xml:space="preserve">   derechos; iv) participación  e  información:  los  beneficiarios  de  los</w:t>
        <w:br/>
        <w:t xml:space="preserve">   planes de seguridad social deben poder participar  en  la  administración</w:t>
        <w:br/>
        <w:t xml:space="preserve">   del sistema[202].  El  sistema  debe  establecerse  en  el  marco  de  la</w:t>
        <w:br/>
        <w:t xml:space="preserve">   legislación nacional y garantizar  el  derecho  de  las  personas  y  las</w:t>
        <w:br/>
        <w:t xml:space="preserve">   organizaciones a recabar, recibir y distribuir  información  sobre  todos</w:t>
        <w:br/>
        <w:t xml:space="preserve">   los derechos  ofrecidos  por  la  seguridad  social  de  manera  clara  y</w:t>
        <w:br/>
        <w:t xml:space="preserve">   trasparente, y  v)  acceso  físico:  las  prestaciones  deben  concederse</w:t>
        <w:br/>
        <w:t xml:space="preserve">   oportunamente, y los  beneficiarios  deben  tener  acceso  físico  a  los</w:t>
        <w:br/>
        <w:t xml:space="preserve">   servicios de seguridad social con el fin de obtener las prestaciones y la</w:t>
        <w:br/>
        <w:t xml:space="preserve">   información, y hacer las cotizaciones cuando corresponda […].</w:t>
        <w:br/>
        <w:br/>
        <w:t xml:space="preserve">   e) Relación  con  otros  derechos:  el  derecho  a  la  seguridad  social</w:t>
        <w:br/>
        <w:t xml:space="preserve">   contribuye en gran medida a  reforzar  el  ejercicio  de  muchos  de  los</w:t>
        <w:br/>
        <w:t xml:space="preserve">   derechos económicos, sociales y culturales.</w:t>
        <w:br/>
        <w:br/>
        <w:t xml:space="preserve">    188. Asimismo, la Observación General  No.  19  ha  establecido  que  el</w:t>
        <w:br/>
        <w:t xml:space="preserve">         derecho a acceder a la  justicia  forma  parte  del  derecho  a  la</w:t>
        <w:br/>
        <w:t xml:space="preserve">         seguridad social, por lo que las personas o grupos que  hayan  sido</w:t>
        <w:br/>
        <w:t xml:space="preserve">         víctimas de una violación de su derecho a la seguridad social deben</w:t>
        <w:br/>
        <w:t xml:space="preserve">         tener acceso a recursos judiciales o de otro tipo  eficaces,  tanto</w:t>
        <w:br/>
        <w:t xml:space="preserve">         en  el  plano  nacional  como  internacional,  así   como   a   las</w:t>
        <w:br/>
        <w:t xml:space="preserve">         reparaciones que corresponda[203].</w:t>
        <w:br/>
        <w:br/>
        <w:t xml:space="preserve">    189.  Asimismo,  los  Estados  tienen  la  obligación  de  facilitar  el</w:t>
        <w:br/>
        <w:t xml:space="preserve">         ejercicio del derecho a  la  seguridad  social,  adoptando  medidas</w:t>
        <w:br/>
        <w:t xml:space="preserve">         positivas  para  ayudar  a   los   individuos   a   ejercer   dicho</w:t>
        <w:br/>
        <w:t xml:space="preserve">         derecho[204]. No solo deben facilitar dicho ejercicio, sino también</w:t>
        <w:br/>
        <w:t xml:space="preserve">         garantizar que “antes de que el Estado o una tercera parte lleven a</w:t>
        <w:br/>
        <w:t xml:space="preserve">         cabo cualquier medida que interfiera en el derecho de una persona a</w:t>
        <w:br/>
        <w:t xml:space="preserve">         la seguridad social, las autoridades competentes deberán garantizar</w:t>
        <w:br/>
        <w:t xml:space="preserve">         que esas medidas se apliquen de conformidad con la  ley  y  con  el</w:t>
        <w:br/>
        <w:t xml:space="preserve">         Pacto,  lo  cual  supondrá:  a)   la   posibilidad   de   consultar</w:t>
        <w:br/>
        <w:t xml:space="preserve">         efectivamente a los afectados; b) la publicidad oportuna y completa</w:t>
        <w:br/>
        <w:t xml:space="preserve">         de información sobre las medidas propuestas; c) el aviso previo con</w:t>
        <w:br/>
        <w:t xml:space="preserve">         tiempo  razonable  de  las  medidas  propuestas;  d)   recursos   y</w:t>
        <w:br/>
        <w:t xml:space="preserve">         reparaciones legales para los afectados; y  e)  asistencia  letrada</w:t>
        <w:br/>
        <w:t xml:space="preserve">         para interponer recursos judiciales. […]”[205].</w:t>
        <w:br/>
        <w:br/>
        <w:t xml:space="preserve">    190. Ahora bien, la Corte considera que la naturaleza y alcance  de  las</w:t>
        <w:br/>
        <w:t xml:space="preserve">         obligaciones que derivan de la protección de la  seguridad  social,</w:t>
        <w:br/>
        <w:t xml:space="preserve">         incluyen aspectos que tienen una exigibilidad inmediata,  así  como</w:t>
        <w:br/>
        <w:t xml:space="preserve">         aspectos que tienen un carácter progresivo[206].  Al  respecto,  la</w:t>
        <w:br/>
        <w:t xml:space="preserve">         Corte recuerda que, en relación con las primeras  (obligaciones  de</w:t>
        <w:br/>
        <w:t xml:space="preserve">         exigibilidad  inmediata),  los  Estados  deberán  adoptar   medidas</w:t>
        <w:br/>
        <w:t xml:space="preserve">         eficaces a fin de garantizar el acceso  sin  discriminación  a  las</w:t>
        <w:br/>
        <w:t xml:space="preserve">         prestaciones reconocidas para el derecho  a  la  seguridad  social,</w:t>
        <w:br/>
        <w:t xml:space="preserve">         garantizar la igualdad de derechos entre hombres y  mujeres,  entre</w:t>
        <w:br/>
        <w:t xml:space="preserve">         otros[207]. Respecto  a  las  segundas  (obligaciones  de  carácter</w:t>
        <w:br/>
        <w:t xml:space="preserve">         progresivo), la realización progresiva significa  que  los  Estados</w:t>
        <w:br/>
        <w:t xml:space="preserve">         partes tienen la obligación concreta y constante de avanzar lo  más</w:t>
        <w:br/>
        <w:t xml:space="preserve">         expedita y eficazmente posible hacia la plena efectividad de  dicho</w:t>
        <w:br/>
        <w:t xml:space="preserve">         derecho[208], en la medida de sus  recursos  disponibles,  por  vía</w:t>
        <w:br/>
        <w:t xml:space="preserve">         legislativa u otros medios apropiados[209]. Asimismo, se impone  la</w:t>
        <w:br/>
        <w:t xml:space="preserve">         obligación de no  regresividad  frente  a  la  realización  de  los</w:t>
        <w:br/>
        <w:t xml:space="preserve">         derechos  alcanzados[210].  En   virtud   de   lo   anterior,   las</w:t>
        <w:br/>
        <w:t xml:space="preserve">         obligaciones convencionales de respeto  y  garantía,  así  como  de</w:t>
        <w:br/>
        <w:t xml:space="preserve">         adopción de  medidas  de  derecho  interno  (artículos  1.1  y  2),</w:t>
        <w:br/>
        <w:t xml:space="preserve">         resultan fundamentales para alcanzar su efectividad.</w:t>
        <w:br/>
        <w:br/>
        <w:t xml:space="preserve">    191. Sin perjuicio de lo anterior, la Corte nota que el presente caso no</w:t>
        <w:br/>
        <w:t xml:space="preserve">         versa  sobre  las  obligaciones  de  progresividad  derivadas   del</w:t>
        <w:br/>
        <w:t xml:space="preserve">         artículo 26 de la Convención, sino que se refiere  a  la  falta  de</w:t>
        <w:br/>
        <w:t xml:space="preserve">         concretización material  del  derecho  a  la  pensión,  como  parte</w:t>
        <w:br/>
        <w:t xml:space="preserve">         integrante del derecho a la  seguridad  social,  del  señor  Muelle</w:t>
        <w:br/>
        <w:t xml:space="preserve">         Flores, debido a la falta de cumplimiento y ejecución de sentencias</w:t>
        <w:br/>
        <w:t xml:space="preserve">         dictadas a su favor a nivel interno en el marco de la privatización</w:t>
        <w:br/>
        <w:t xml:space="preserve">         de la empresa estatal, efectuado luego de su jubilación.  El  señor</w:t>
        <w:br/>
        <w:t xml:space="preserve">         Muelle Flores adquirió su derecho a la pensión bajo un  régimen  de</w:t>
        <w:br/>
        <w:t xml:space="preserve">         contribuciones administrado por el Estado, es decir que adquirió el</w:t>
        <w:br/>
        <w:t xml:space="preserve">         derecho a recibir una pensión  luego  de  haber  realizado  aportes</w:t>
        <w:br/>
        <w:t xml:space="preserve">         durante varios años. La  legalidad  de  su  incorporación  a  dicho</w:t>
        <w:br/>
        <w:t xml:space="preserve">         régimen fue confirmado a nivel interno (supra párr. 74).</w:t>
        <w:br/>
        <w:br/>
        <w:t xml:space="preserve">    192.  En  este  sentido,  con  base  en  los   criterios   y   elementos</w:t>
        <w:br/>
        <w:t xml:space="preserve">         constitutivos del derecho a  la  seguridad  social,  y  tomando  en</w:t>
        <w:br/>
        <w:t xml:space="preserve">         cuenta  los  hechos  y  particularidades  del  presente  caso,  las</w:t>
        <w:br/>
        <w:t xml:space="preserve">         obligaciones del Estado en relación con el derecho a la pensión son</w:t>
        <w:br/>
        <w:t xml:space="preserve">         las siguientes: a) el derecho a acceder  a  una  pensión  luego  de</w:t>
        <w:br/>
        <w:t xml:space="preserve">         adquirida la edad legal para ello y los requisitos establecidos  en</w:t>
        <w:br/>
        <w:t xml:space="preserve">         la normativa nacional, para lo cual deberá existir  un  sistema  de</w:t>
        <w:br/>
        <w:t xml:space="preserve">         seguridad social que funcione y garantice  las  prestaciones.  Este</w:t>
        <w:br/>
        <w:t xml:space="preserve">         sistema deberá ser administrado o supervisado y fiscalizado por  el</w:t>
        <w:br/>
        <w:t xml:space="preserve">         Estado  (en  caso  de  que  sea  administrado  por  privados);   b)</w:t>
        <w:br/>
        <w:t xml:space="preserve">         garantizar que las  prestaciones  sean  suficientes  en  importe  y</w:t>
        <w:br/>
        <w:t xml:space="preserve">         duración, que permitan al jubilado gozar  de  condiciones  de  vida</w:t>
        <w:br/>
        <w:t xml:space="preserve">         adecuadas y de accesos suficiente  a  la  atención  de  salud,  sin</w:t>
        <w:br/>
        <w:t xml:space="preserve">         discriminación;  c)  debe  haber  accesibilidad  para  obtener  una</w:t>
        <w:br/>
        <w:t xml:space="preserve">         pensión, es decir que se deberán  brindar  condiciones  razonables,</w:t>
        <w:br/>
        <w:t xml:space="preserve">         proporcionadas y transparentes para acceder a ella.  Asimismo,  los</w:t>
        <w:br/>
        <w:t xml:space="preserve">         costos de las cotizaciones deben ser asequibles y los beneficiarios</w:t>
        <w:br/>
        <w:t xml:space="preserve">         deben recibir información  sobre  el  derecho  de  manera  clara  y</w:t>
        <w:br/>
        <w:t xml:space="preserve">         transparente, especialmente si se tomara alguna  medida  que  pueda</w:t>
        <w:br/>
        <w:t xml:space="preserve">         afectar el derecho,  como  por  ejemplo  la  privatización  de  una</w:t>
        <w:br/>
        <w:t xml:space="preserve">         empresa; d) las prestaciones por pensión de  jubilación  deben  ser</w:t>
        <w:br/>
        <w:t xml:space="preserve">         garantizadas  de  manera  oportuna  y  sin  demoras,   tomando   en</w:t>
        <w:br/>
        <w:t xml:space="preserve">         consideración la importancia de este criterio en personas  mayores,</w:t>
        <w:br/>
        <w:t xml:space="preserve">         y e) se deberá disponer de mecanismos efectivos de reclamo frente a</w:t>
        <w:br/>
        <w:t xml:space="preserve">         una violación del derecho a la seguridad  social,  con  el  fin  de</w:t>
        <w:br/>
        <w:t xml:space="preserve">         garantizar el acceso a la justicia y la tutela  judicial  efectiva,</w:t>
        <w:br/>
        <w:t xml:space="preserve">         lo cual abarca también la concretización  material  del  derecho  a</w:t>
        <w:br/>
        <w:t xml:space="preserve">         través de la ejecución efectiva de decisiones favorables dictadas a</w:t>
        <w:br/>
        <w:t xml:space="preserve">         nivel interno.</w:t>
        <w:br/>
        <w:br/>
        <w:t xml:space="preserve">    193. Con base en los criterios establecidos en los párrafos precedentes,</w:t>
        <w:br/>
        <w:t xml:space="preserve">         con lo concluido por esta Corte respecto en relación con el derecho</w:t>
        <w:br/>
        <w:t xml:space="preserve">         a la protección judicial (supra  párrs.  149),  y  considerando  de</w:t>
        <w:br/>
        <w:t xml:space="preserve">         forma particular que  existió  una  privatización  de  una  empresa</w:t>
        <w:br/>
        <w:t xml:space="preserve">         estatal bajo la cual el señor Muelle Flores se jubiló, el  Tribunal</w:t>
        <w:br/>
        <w:t xml:space="preserve">         pasa a analizar la afectación del derecho a la seguridad social  en</w:t>
        <w:br/>
        <w:t xml:space="preserve">         el caso concreto.</w:t>
        <w:br/>
        <w:br/>
        <w:t xml:space="preserve">   iii) La afectación del derecho a la seguridad social en el caso concreto</w:t>
        <w:br/>
        <w:br/>
        <w:t xml:space="preserve">    194. En el caso concreto, en el Perú existía el Decreto  Ley  No.  20530</w:t>
        <w:br/>
        <w:t xml:space="preserve">         que regulaba un régimen de pensiones con base en las contribuciones</w:t>
        <w:br/>
        <w:t xml:space="preserve">         de sus aportantes. La aplicación de dicho régimen le fue suspendida</w:t>
        <w:br/>
        <w:t xml:space="preserve">         al  señor  Muelle  Flores  en  1991,  sin  embargo,  mediante   dos</w:t>
        <w:br/>
        <w:t xml:space="preserve">         sentencias de  amparo  y  una  dictada  en  el  marco  del  proceso</w:t>
        <w:br/>
        <w:t xml:space="preserve">         contencioso administrativo,  dicha  suspensión  unilateral  por  la</w:t>
        <w:br/>
        <w:t xml:space="preserve">         empresa pública fue declarada arbitraria, y el derecho a la pensión</w:t>
        <w:br/>
        <w:t xml:space="preserve">         del señor Muelle Flores fue reconocido y se ordenó  la  restitución</w:t>
        <w:br/>
        <w:t xml:space="preserve">         del pago. A pesar de ello, este derecho  no  se  vio  materializado</w:t>
        <w:br/>
        <w:t xml:space="preserve">         debido  al  incumplimiento  y  la  falta  de  ejecución  de  dichas</w:t>
        <w:br/>
        <w:t xml:space="preserve">         decisiones. Es preciso resaltar que no solo el acceso a la justicia</w:t>
        <w:br/>
        <w:t xml:space="preserve">         forma parte del contenido del derecho a la seguridad  social,  sino</w:t>
        <w:br/>
        <w:t xml:space="preserve">         que el respeto de las garantías judiciales, así como el respeto  de</w:t>
        <w:br/>
        <w:t xml:space="preserve">         la  protección  judicial  se  tornan  esenciales  para  lograr   la</w:t>
        <w:br/>
        <w:t xml:space="preserve">         protección y la efectividad de los derechos económicos, sociales  y</w:t>
        <w:br/>
        <w:t xml:space="preserve">         culturales.</w:t>
        <w:br/>
        <w:br/>
        <w:t xml:space="preserve">    195. El simple reconocimiento de las pensiones no implica que el derecho</w:t>
        <w:br/>
        <w:t xml:space="preserve">         se  haya  visto  satisfecho   o   materializado.   Para   ello   es</w:t>
        <w:br/>
        <w:t xml:space="preserve">         indispensable,  en   aras   de   darle   eficacia   material,   que</w:t>
        <w:br/>
        <w:t xml:space="preserve">         efectivamente se cumplan las sentencias dictadas a nivel interno en</w:t>
        <w:br/>
        <w:t xml:space="preserve">         favor del señor Muelle Flores y se paguen los montos devengados por</w:t>
        <w:br/>
        <w:t xml:space="preserve">         pensiones atrasadas y que se seguirán devengando en el futuro.</w:t>
        <w:br/>
        <w:br/>
        <w:t xml:space="preserve">    196. En el caso particular, es preciso  resaltar  las  obligaciones  del</w:t>
        <w:br/>
        <w:t xml:space="preserve">         Estado en relación con el artículo 26 de la Convención en el  marco</w:t>
        <w:br/>
        <w:t xml:space="preserve">         del proceso de privatización. La privatización de Tintaya  S.A.  se</w:t>
        <w:br/>
        <w:t xml:space="preserve">         dio en el marco de la promoción  de  la  inversión  privada  en  el</w:t>
        <w:br/>
        <w:t xml:space="preserve">         ámbito de las empresas que conforman la actividad  empresarial  del</w:t>
        <w:br/>
        <w:t xml:space="preserve">         Estado (supra párr. 57), y si bien aquella no está prohibida por la</w:t>
        <w:br/>
        <w:t xml:space="preserve">         Convención Americana[211], puede generar diversos  efectos  en  los</w:t>
        <w:br/>
        <w:t xml:space="preserve">         derechos de sus trabajadores o personas jubiladas, como fue el caso</w:t>
        <w:br/>
        <w:t xml:space="preserve">         del señor Muelle Flores. Como señaló el  perito  Christian  Courtis</w:t>
        <w:br/>
        <w:t xml:space="preserve">         “la privatización no  releva  al  Estado  de  sus  obligaciones  en</w:t>
        <w:br/>
        <w:t xml:space="preserve">         materia de derechos humanos, y obliga al Estado a guardar la debida</w:t>
        <w:br/>
        <w:t xml:space="preserve">         diligencia para evitar que la transferencia de una empresa  pública</w:t>
        <w:br/>
        <w:t xml:space="preserve">         al sector privado afecte los derechos de actores vinculados con  la</w:t>
        <w:br/>
        <w:t xml:space="preserve">         empresa, como trabajadores, titulares del derecho  a  la  seguridad</w:t>
        <w:br/>
        <w:t xml:space="preserve">         social y usuarios. Como recuerda el Comité DESC, ‘las  obligaciones</w:t>
        <w:br/>
        <w:t xml:space="preserve">         de proteger el  derecho  al  trabajo  incluyen,  entre  otras,  los</w:t>
        <w:br/>
        <w:t xml:space="preserve">         deberes de los Estados Partes de [...] garantizar que  las  medidas</w:t>
        <w:br/>
        <w:t xml:space="preserve">         de privatización no socaven los derechos de los trabajadores’[212].</w:t>
        <w:br/>
        <w:t xml:space="preserve">         El mismo criterio es aplicable al derecho a la seguridad social y a</w:t>
        <w:br/>
        <w:t xml:space="preserve">         otros derechos sociales”[213].</w:t>
        <w:br/>
        <w:br/>
        <w:t xml:space="preserve">    197. Respecto a esto último, si bien el Comité de  Derechos  Económicos,</w:t>
        <w:br/>
        <w:t xml:space="preserve">         Sociales y Culturales (en adelante “Comité DESC”)  ha  señalado  la</w:t>
        <w:br/>
        <w:t xml:space="preserve">         importancia de  la  adopción  de  medidas  que  garanticen  que  la</w:t>
        <w:br/>
        <w:t xml:space="preserve">         privatización no socave los  derechos  de  sus  trabajadores,  como</w:t>
        <w:br/>
        <w:t xml:space="preserve">         “obligaciones de protección” de los Estados, la Corte considera que</w:t>
        <w:br/>
        <w:t xml:space="preserve">         en el marco de las obligaciones generales de respeto y garantía  de</w:t>
        <w:br/>
        <w:t xml:space="preserve">         la Convención, así como la  de  adoptar  disposiciones  de  derecho</w:t>
        <w:br/>
        <w:t xml:space="preserve">         interno, los  Estados  también  tienen  la  obligación  de  adoptar</w:t>
        <w:br/>
        <w:t xml:space="preserve">         medidas para evitar que  las  privatizaciones  generen  efectos  en</w:t>
        <w:br/>
        <w:t xml:space="preserve">         detrimento de los derechos de sus  pensionistas.  Ello,  debido  al</w:t>
        <w:br/>
        <w:t xml:space="preserve">         carácter alimenticio y a  la  especial  importancia  que  tiene  la</w:t>
        <w:br/>
        <w:t xml:space="preserve">         pensión de vejez en la vida de una persona jubilada, ya que  podría</w:t>
        <w:br/>
        <w:t xml:space="preserve">         constituir el único monto sustitutivo de salario que reciba  en  su</w:t>
        <w:br/>
        <w:t xml:space="preserve">         vejez para suplir  sus  necesidades  básicas  de  subsistencia.  La</w:t>
        <w:br/>
        <w:t xml:space="preserve">         pensión, y en general la seguridad social, constituyen un medio  de</w:t>
        <w:br/>
        <w:t xml:space="preserve">         protección para gozar de una vida digna. Las pensiones de vejez son</w:t>
        <w:br/>
        <w:t xml:space="preserve">         de por sí,  otorgadas  a  personas  mayores,  quienes,  en  algunos</w:t>
        <w:br/>
        <w:t xml:space="preserve">         supuestos, como en el del señor Muelle Flores, se encuentran en una</w:t>
        <w:br/>
        <w:t xml:space="preserve">         situación de vulnerabilidad[214]. En efecto, el Comité DESC  en  su</w:t>
        <w:br/>
        <w:t xml:space="preserve">         Observación General No. 6 sobre personas mayores, señaló  que  “[…]</w:t>
        <w:br/>
        <w:t xml:space="preserve">         e[ra] de la opinión que los Estados Partes en  el  Pacto  est[aban]</w:t>
        <w:br/>
        <w:t xml:space="preserve">         obligados a prestar especial atención al fomento  y  protección  de</w:t>
        <w:br/>
        <w:t xml:space="preserve">         los derechos económicos, sociales y culturales de las  personas  de</w:t>
        <w:br/>
        <w:t xml:space="preserve">         edad"[215].</w:t>
        <w:br/>
        <w:br/>
        <w:t xml:space="preserve">    198. De igual forma, el señor Muelle Flores dejó de recibir  su  pensión</w:t>
        <w:br/>
        <w:t xml:space="preserve">         el año 1991 y a partir de finales de los  años  noventa  comenzó  a</w:t>
        <w:br/>
        <w:t xml:space="preserve">         perder la audición en un oído, lo que  le  causó  una  discapacidad</w:t>
        <w:br/>
        <w:t xml:space="preserve">         (supra párr. 84). Dicha situación ha ido recrudeciendo con el pasar</w:t>
        <w:br/>
        <w:t xml:space="preserve">         de los años, y actualmente el señor Muelle  Flores  cuenta  con  82</w:t>
        <w:br/>
        <w:t xml:space="preserve">         años y depende  de  la  ayuda  económica  de  sus  familiares  para</w:t>
        <w:br/>
        <w:t xml:space="preserve">         sobrevivir, a pesar de haber realizado las aportaciones  requeridas</w:t>
        <w:br/>
        <w:t xml:space="preserve">         por la legislación peruana para gozar de una pensión, luego  de  35</w:t>
        <w:br/>
        <w:t xml:space="preserve">         años de servicios al Estado (supra párr. 44). Debido a la falta  de</w:t>
        <w:br/>
        <w:t xml:space="preserve">         cumplimiento y ejecución de las  sentencias  a  nivel  interno,  el</w:t>
        <w:br/>
        <w:t xml:space="preserve">         derecho a la pensión del señor Muelle Flores no fue garantizado  de</w:t>
        <w:br/>
        <w:t xml:space="preserve">         manera oportuna, sino que por el  contrario,  hasta  la  actualidad</w:t>
        <w:br/>
        <w:t xml:space="preserve">         dichas  sentencias  no  han  sido  ejecutadas  ya  que  el  proceso</w:t>
        <w:br/>
        <w:t xml:space="preserve">         correspondiente sigue abierto, por lo que los mecanismos existentes</w:t>
        <w:br/>
        <w:t xml:space="preserve">         no lograron la concretización material del derecho.</w:t>
        <w:br/>
        <w:br/>
        <w:t xml:space="preserve">    199. De igual  manera,  conforme  a  lo  señalado  anteriormente  (supra</w:t>
        <w:br/>
        <w:t xml:space="preserve">         párr.187), uno de los elementos que conforman este  derecho  es  la</w:t>
        <w:br/>
        <w:t xml:space="preserve">         accesibilidad, la  cual  a  su  vez,  incluye  los  componentes  de</w:t>
        <w:br/>
        <w:t xml:space="preserve">         participación e información, por  lo  que  el  señor  Muelle  tenía</w:t>
        <w:br/>
        <w:t xml:space="preserve">         derecho a ser informado de forma oportuna,  clara,  transparente  y</w:t>
        <w:br/>
        <w:t xml:space="preserve">         completa de los efectos que la privatización podría generar  en  el</w:t>
        <w:br/>
        <w:t xml:space="preserve">         pago de sus pensiones, lo cual no ocurrió en el presente  caso.  Si</w:t>
        <w:br/>
        <w:t xml:space="preserve">         bien la obligación del pago de la pensión del señor  Muelle  Flores</w:t>
        <w:br/>
        <w:t xml:space="preserve">         estaba a cargo de la empresa cuando esta era pública,  es  evidente</w:t>
        <w:br/>
        <w:t xml:space="preserve">         que, luego de la privatización, este  derecho  pudo  haberse  visto</w:t>
        <w:br/>
        <w:t xml:space="preserve">         afectado debido a la transferencia de una empresa pública al sector</w:t>
        <w:br/>
        <w:t xml:space="preserve">         privado.  Uno  de  los  efectos  negativos  más  claros  de   dicha</w:t>
        <w:br/>
        <w:t xml:space="preserve">         privatización  fue  la  falta  de  determinación  de   la   entidad</w:t>
        <w:br/>
        <w:t xml:space="preserve">         responsable de la administración y pagos de las  pensiones  de  los</w:t>
        <w:br/>
        <w:t xml:space="preserve">         jubilados. En efecto, una vez adoptada la decisión de privatizar la</w:t>
        <w:br/>
        <w:t xml:space="preserve">         empresa, el Estado tenía el deber de establecer  con  claridad  las</w:t>
        <w:br/>
        <w:t xml:space="preserve">         consecuencias  de  la  privatización  sobre  la  pensión  otorgada,</w:t>
        <w:br/>
        <w:t xml:space="preserve">         determinando explícitamente sobre quién recaería la responsabilidad</w:t>
        <w:br/>
        <w:t xml:space="preserve">         de pagar  la  pensión  confirmada  judicialmente,  y  brindando  la</w:t>
        <w:br/>
        <w:t xml:space="preserve">         información adecuada y oportuna correspondiente.</w:t>
        <w:br/>
        <w:br/>
        <w:t xml:space="preserve">    200. De la información con la que cuenta este  Tribunal,  el  Estado  en</w:t>
        <w:br/>
        <w:t xml:space="preserve">         ningún momento brindó información  oportuna  y  completa  al  señor</w:t>
        <w:br/>
        <w:t xml:space="preserve">         Muelle Flores sobre el modo en el que su derecho a  la  pensión  se</w:t>
        <w:br/>
        <w:t xml:space="preserve">         haría efectivo luego de ocurrida la  privatización,  en  particular</w:t>
        <w:br/>
        <w:t xml:space="preserve">         debido a la orden judicial existente. En particular, la Corte  nota</w:t>
        <w:br/>
        <w:t xml:space="preserve">         que el  Estado  no  estableció  explícita  y  claramente  quién  se</w:t>
        <w:br/>
        <w:t xml:space="preserve">         encargaría de la administración y pago  de  la  pensión  del  señor</w:t>
        <w:br/>
        <w:t xml:space="preserve">         Muelle Flores, ya que  la  empresa  pública,  que  debería  haberse</w:t>
        <w:br/>
        <w:t xml:space="preserve">         encargado hasta ese momento  de  dicho  pago,  pasaría  a  ser  una</w:t>
        <w:br/>
        <w:t xml:space="preserve">         empresa privada. Esta falta de regulación y  de  información  clara</w:t>
        <w:br/>
        <w:t xml:space="preserve">         respecto de quién sería el responsable del pago de la  pensión  del</w:t>
        <w:br/>
        <w:t xml:space="preserve">         señor Muelle Flores, generó una situación de incertidumbre sobre su</w:t>
        <w:br/>
        <w:t xml:space="preserve">         cobro, lo cual, en vez de facilitar el ejercicio  del  derecho,  lo</w:t>
        <w:br/>
        <w:t xml:space="preserve">         dificultó sobremanera.  El  cambio  de  situación  jurídica  de  la</w:t>
        <w:br/>
        <w:t xml:space="preserve">         empresa fue consecuencia de una decisión del Estado, y correspondía</w:t>
        <w:br/>
        <w:t xml:space="preserve">         al propio Estado comunicar adecuada y oportunamente los efectos  de</w:t>
        <w:br/>
        <w:t xml:space="preserve">         esa decisión sobre los derechos adquiridos de  la  víctima,  además</w:t>
        <w:br/>
        <w:t xml:space="preserve">         reconocidos judicialmente.</w:t>
        <w:br/>
        <w:br/>
        <w:t xml:space="preserve">    201. Además, la Corte nota que el Estado no contaba con  una  regulación</w:t>
        <w:br/>
        <w:t xml:space="preserve">         clara sobre la materia en la época de los hechos, que  estableciera</w:t>
        <w:br/>
        <w:t xml:space="preserve">         con claridad de qué manera se protegería los derechos  pensionarios</w:t>
        <w:br/>
        <w:t xml:space="preserve">         de sus jubilados antes de una privatización, de conformidad con  la</w:t>
        <w:br/>
        <w:t xml:space="preserve">         obligación del Estado de  adoptar  medidas  necesarias  para  hacer</w:t>
        <w:br/>
        <w:t xml:space="preserve">         efectivo el derecho a la seguridad social. Si bien en  el  contrato</w:t>
        <w:br/>
        <w:t xml:space="preserve">         de compraventa  entre  Tintaya  S.A.  y  Magma  Copper  Corporation</w:t>
        <w:br/>
        <w:t xml:space="preserve">         existió una mención en cuanto al número de jubilados y pensionistas</w:t>
        <w:br/>
        <w:t xml:space="preserve">         que la empresa  estatal  tenía,  así  como  la  responsabilidad  de</w:t>
        <w:br/>
        <w:t xml:space="preserve">         pasivos  contingentes  no  registrados  (supra  párr.   59),   esta</w:t>
        <w:br/>
        <w:t xml:space="preserve">         información nunca fue claramente informada al señor Muelle  Flores,</w:t>
        <w:br/>
        <w:t xml:space="preserve">         a efectos de establecer de qué manera se seguiría  garantizando  el</w:t>
        <w:br/>
        <w:t xml:space="preserve">         pago de  sus  pensiones  con  base  en  las  decisiones  judiciales</w:t>
        <w:br/>
        <w:t xml:space="preserve">         internas.</w:t>
        <w:br/>
        <w:br/>
        <w:t xml:space="preserve">    202. La Corte considera que las obligaciones incumplidas por el  Estado,</w:t>
        <w:br/>
        <w:t xml:space="preserve">         es decir la obligación de  adoptar  salvaguardas  para  evitar  los</w:t>
        <w:br/>
        <w:t xml:space="preserve">         efectos negativos de la privatización llevada a cabo  por  decisión</w:t>
        <w:br/>
        <w:t xml:space="preserve">         del Estado, la de informar al señor Muelle Flores  sobre  la  forma</w:t>
        <w:br/>
        <w:t xml:space="preserve">         mediante  la   cual   se   garantizaría   su   pensión   reconocida</w:t>
        <w:br/>
        <w:t xml:space="preserve">         judicialmente, la de establecer con claridad qué entidad  se  haría</w:t>
        <w:br/>
        <w:t xml:space="preserve">         cargo del pago,  así  como  el  cumplimiento  y  ejecución  de  las</w:t>
        <w:br/>
        <w:t xml:space="preserve">         sentencias  judiciales  internas,  son  obligaciones  de   carácter</w:t>
        <w:br/>
        <w:t xml:space="preserve">         inmediato, que no tienen que ver con el desarrollo  progresivo  del</w:t>
        <w:br/>
        <w:t xml:space="preserve">         derecho.</w:t>
        <w:br/>
        <w:br/>
        <w:t xml:space="preserve">    203. Por otro lado, la  Corte  observa  que,  conforme  a  la  normativa</w:t>
        <w:br/>
        <w:t xml:space="preserve">         peruana, los pensionistas que se jubilaban bajo el Decreto Ley  No.</w:t>
        <w:br/>
        <w:t xml:space="preserve">         20530 tenían derecho a obtener un seguro de salud con  EsSalud,  la</w:t>
        <w:br/>
        <w:t xml:space="preserve">         entidad prestadora de salud en el marco de la seguridad  social  en</w:t>
        <w:br/>
        <w:t xml:space="preserve">         el Perú. El pensionista accedía a este seguro  ya  que  la  entidad</w:t>
        <w:br/>
        <w:t xml:space="preserve">         responsable del pago de su pensión obligatoriamente retenía  el  4%</w:t>
        <w:br/>
        <w:t xml:space="preserve">         de su pensión para  pagar  el  seguro  de  salud  mencionado.  Esta</w:t>
        <w:br/>
        <w:t xml:space="preserve">         retención era de obligatorio cumplimiento, es decir que, el  seguro</w:t>
        <w:br/>
        <w:t xml:space="preserve">         de salud que le correspondía al señor Muelle Flores, al igual que a</w:t>
        <w:br/>
        <w:t xml:space="preserve">         cualquier otro pensionista bajo el régimen referido, se le brindaba</w:t>
        <w:br/>
        <w:t xml:space="preserve">         con base en los aportes desembolsados por el mismo. En el  presente</w:t>
        <w:br/>
        <w:t xml:space="preserve">         caso, debido a que el Estado dejó de pagar  las  pensiones  que  le</w:t>
        <w:br/>
        <w:t xml:space="preserve">         correspondían por derecho adquirido al señor Muelle Flores, derecho</w:t>
        <w:br/>
        <w:t xml:space="preserve">         posteriormente reconocido judicialmente, el aporte  necesario  para</w:t>
        <w:br/>
        <w:t xml:space="preserve">         acceder al seguro de salud que le correspondía  no  fue  realizado,</w:t>
        <w:br/>
        <w:t xml:space="preserve">         por ende, la víctima no contó con la cobertura de salud que también</w:t>
        <w:br/>
        <w:t xml:space="preserve">         le correspondía conforme al derecho peruano,  la  que,  a  su  vez,</w:t>
        <w:br/>
        <w:t xml:space="preserve">         forma  parte  del  derecho  a  la  seguridad  social.  Ante   dicho</w:t>
        <w:br/>
        <w:t xml:space="preserve">         escenario, las diversas afectaciones a la salud de la  víctima  que</w:t>
        <w:br/>
        <w:t xml:space="preserve">         se fueron presentando, así como su tratamiento  y  las  operaciones</w:t>
        <w:br/>
        <w:t xml:space="preserve">         quirúrgicas requeridas (supra, párr. 84), debieron ser  solventadas</w:t>
        <w:br/>
        <w:t xml:space="preserve">         con el  propio  peculio  del  señor  Muelle  Flores,  y  no  fueron</w:t>
        <w:br/>
        <w:t xml:space="preserve">         cubiertas por el  seguro  social  de  salud  que  le  correspondía,</w:t>
        <w:br/>
        <w:t xml:space="preserve">         ocasionando esta situación, una  vulneración  a  su  derecho  a  la</w:t>
        <w:br/>
        <w:t xml:space="preserve">         seguridad social.</w:t>
        <w:br/>
        <w:br/>
        <w:t xml:space="preserve">    204. Por otra parte, la Corte considera que en un contexto de no pago de</w:t>
        <w:br/>
        <w:t xml:space="preserve">         la pensión reconocida judicialmente, los derechos  a  la  seguridad</w:t>
        <w:br/>
        <w:t xml:space="preserve">         social,  a  la  integridad  personal  y  la  dignidad   humana   se</w:t>
        <w:br/>
        <w:t xml:space="preserve">         interrelacionan, y en  ocasiones,  la  vulneración  de  uno  genera</w:t>
        <w:br/>
        <w:t xml:space="preserve">         directamente la afectación del otro, situación que se acentúa en el</w:t>
        <w:br/>
        <w:t xml:space="preserve">         caso de las personas mayores. A pesar de que ni la Comisión ni  las</w:t>
        <w:br/>
        <w:t xml:space="preserve">         representantes alegaron de  manera  expresa  la  violación  de  los</w:t>
        <w:br/>
        <w:t xml:space="preserve">         artículos 5.1 y 11.1 de la Convención en el presente caso, ello  no</w:t>
        <w:br/>
        <w:t xml:space="preserve">         impide que dichos preceptos sean aplicados por esta Corte en virtud</w:t>
        <w:br/>
        <w:t xml:space="preserve">         de un principio general de Derecho, iura novit curia, del  cual  se</w:t>
        <w:br/>
        <w:t xml:space="preserve">         ha valido reiteradamente  la  jurisprudencia  internacional  en  el</w:t>
        <w:br/>
        <w:t xml:space="preserve">         sentido de que el juzgador posee la facultad, e inclusive el deber,</w:t>
        <w:br/>
        <w:t xml:space="preserve">         de aplicar las disposiciones jurídicas pertinentes  en  una  causa,</w:t>
        <w:br/>
        <w:t xml:space="preserve">         aun cuando las partes no las invoquen expresamente[216].</w:t>
        <w:br/>
        <w:br/>
        <w:t xml:space="preserve">    205. En efecto, la ausencia de recursos  económicos  ocasionada  por  la</w:t>
        <w:br/>
        <w:t xml:space="preserve">         falta de pago de las mesadas  pensionales  genera  en  una  persona</w:t>
        <w:br/>
        <w:t xml:space="preserve">         mayor directamente un menoscabo en su dignidad, pues en esta  etapa</w:t>
        <w:br/>
        <w:t xml:space="preserve">         de su vida la pensión constituye la principal  fuente  de  recursos</w:t>
        <w:br/>
        <w:t xml:space="preserve">         económicos para solventar sus necesidades primarias  y  elementales</w:t>
        <w:br/>
        <w:t xml:space="preserve">         del ser humano.</w:t>
        <w:br/>
        <w:br/>
        <w:t xml:space="preserve">    206. Del mismo modo la afectación del derecho a la seguridad social  por</w:t>
        <w:br/>
        <w:t xml:space="preserve">         el no pago de las mesadas pensionales implica angustia, inseguridad</w:t>
        <w:br/>
        <w:t xml:space="preserve">         e incertidumbre en cuanto al futuro de una  persona  mayor  por  la</w:t>
        <w:br/>
        <w:t xml:space="preserve">         posible falta de recursos económicos para su subsistencia,  ya  que</w:t>
        <w:br/>
        <w:t xml:space="preserve">         la privación de un ingreso lleva intrínsecamente la  afectación  en</w:t>
        <w:br/>
        <w:t xml:space="preserve">         el avance y desarrollo de su calidad de vida  y  de  su  integridad</w:t>
        <w:br/>
        <w:t xml:space="preserve">         personal.</w:t>
        <w:br/>
        <w:br/>
        <w:t xml:space="preserve">    207. La falta de materialización del derecho a la seguridad  social  por</w:t>
        <w:br/>
        <w:t xml:space="preserve">         más de 27 años generó un grave perjuicio en la calidad de vida y la</w:t>
        <w:br/>
        <w:t xml:space="preserve">         cobertura de salud del señor Muelle, una persona  en  situación  de</w:t>
        <w:br/>
        <w:t xml:space="preserve">         especial protección por ser una persona mayor con discapacidad.  La</w:t>
        <w:br/>
        <w:t xml:space="preserve">         vulneración generada por la falta de pago de la pensión se extendió</w:t>
        <w:br/>
        <w:t xml:space="preserve">         más allá del plazo razonable debido, y al ser este el único ingreso</w:t>
        <w:br/>
        <w:t xml:space="preserve">         de  la  víctima,   la   ausencia   prolongada   del   pago   generó</w:t>
        <w:br/>
        <w:t xml:space="preserve">         indefectiblemente una precariedad económica que afectó la cobertura</w:t>
        <w:br/>
        <w:t xml:space="preserve">         de sus necesidades  básicas,  y  por  ende  también  su  integridad</w:t>
        <w:br/>
        <w:t xml:space="preserve">         psicológica y moral, así como su dignidad.</w:t>
        <w:br/>
        <w:br/>
        <w:t>C.3 Conclusión</w:t>
        <w:br/>
        <w:br/>
        <w:br/>
        <w:t xml:space="preserve">    208. Con base en lo expuesto anteriormente, el Estado es responsable por</w:t>
        <w:br/>
        <w:t xml:space="preserve">         la violación  del  artículo  26  de  la  Convención  Americana,  en</w:t>
        <w:br/>
        <w:t xml:space="preserve">         relación con los artículos 5, 8.1, 11.1, 25.1, 25.2.c)  y  1.1  del</w:t>
        <w:br/>
        <w:t xml:space="preserve">         mismo  instrumento,  así  como  el  artículo  2  de  la  Convención</w:t>
        <w:br/>
        <w:t xml:space="preserve">         Americana, en perjuicio del señor Oscar Muelle Flores.</w:t>
        <w:br/>
        <w:br/>
        <w:br/>
        <w:t>Derecho a la propiedad</w:t>
        <w:br/>
        <w:br/>
        <w:br/>
        <w:br/>
        <w:t>D.1 Argumentos de las partes y de la Comisión</w:t>
        <w:br/>
        <w:br/>
        <w:br/>
        <w:t xml:space="preserve">    209. La Comisión señaló que el señor Muelle Flores: i) accedió de manera</w:t>
        <w:br/>
        <w:t xml:space="preserve">         legal al régimen pensionario del Decreto Ley No. 20530 lo cual  fue</w:t>
        <w:br/>
        <w:t xml:space="preserve">         declarado judicialmente en dos procesos de amparo e incluso  en  la</w:t>
        <w:br/>
        <w:t xml:space="preserve">         decisión sobre la demanda interpuesta por la  propia  empresa;  ii)</w:t>
        <w:br/>
        <w:t xml:space="preserve">         fue privado de continuar con los beneficios de dicho régimen;  iii)</w:t>
        <w:br/>
        <w:t xml:space="preserve">         presentó  recursos   judiciales   a   efectos   de   solicitar   su</w:t>
        <w:br/>
        <w:t xml:space="preserve">         reincorporación  a  dicho  régimen;  iv)   contó   con   sentencias</w:t>
        <w:br/>
        <w:t xml:space="preserve">         judiciales en firme favorables a su pretensión; y v) a la fecha  no</w:t>
        <w:br/>
        <w:t xml:space="preserve">         se ha cumplido con la ejecución de  dichos  fallos.  Por  ello,  la</w:t>
        <w:br/>
        <w:t xml:space="preserve">         Comisión alegó que todos estos elementos han generado un impacto en</w:t>
        <w:br/>
        <w:t xml:space="preserve">         el patrimonio del señor Muelle Flores y que,  consecuentemente,  el</w:t>
        <w:br/>
        <w:t xml:space="preserve">         Estado  del  Perú,  violó  el  derecho  a  la   propiedad   privada</w:t>
        <w:br/>
        <w:t xml:space="preserve">         establecido en el artículo 21 de la Convención.</w:t>
        <w:br/>
        <w:br/>
        <w:t xml:space="preserve">    210. Las representantes señalaron que el derecho a la propiedad  privada</w:t>
        <w:br/>
        <w:t xml:space="preserve">         abarcaba no sólo los bienes materiales en  sentido  estricto,  sino</w:t>
        <w:br/>
        <w:t xml:space="preserve">         que también englobaba la protección a los derechos  adquiridos  que</w:t>
        <w:br/>
        <w:t xml:space="preserve">         integran el patrimonio de sus titulares. Afirmaron que desde  1991,</w:t>
        <w:br/>
        <w:t xml:space="preserve">         el señor Muelle Flores  no  recibe  ningún  valor  en  concepto  de</w:t>
        <w:br/>
        <w:t xml:space="preserve">         pensión, a pesar de que su derecho fue reconocido  judicialmente  y</w:t>
        <w:br/>
        <w:t xml:space="preserve">         de forma definitiva en 1993. Alegaron,  que  el  incumplimiento  de</w:t>
        <w:br/>
        <w:t xml:space="preserve">         ambas sentencias internas generó una  violación  al  derecho  a  la</w:t>
        <w:br/>
        <w:t xml:space="preserve">         propiedad privada sobre los  efectos  patrimoniales  derivados  del</w:t>
        <w:br/>
        <w:t xml:space="preserve">         derecho a la pensión nivelada  adquirida,  según  la  ley  nacional</w:t>
        <w:br/>
        <w:t xml:space="preserve">         peruana, con base en el  Decreto  Ley  No.  20530.  Por  ello,  las</w:t>
        <w:br/>
        <w:t xml:space="preserve">         representantes concluyeron que el Estado violó el artículo 21 de la</w:t>
        <w:br/>
        <w:t xml:space="preserve">         Convención Americana.</w:t>
        <w:br/>
        <w:br/>
        <w:t xml:space="preserve">    211. El Estado consideró que los casos Cinco  Pensionistas  Vs.  Perú  y</w:t>
        <w:br/>
        <w:t xml:space="preserve">         Acevedo Buendía y otros ("Cesantes y Jubilados de la  Contraloría")</w:t>
        <w:br/>
        <w:t xml:space="preserve">         Vs. Perú no eran asimilables al presente  caso,  ya  que  estos  se</w:t>
        <w:br/>
        <w:t xml:space="preserve">         referían a pensionistas de entidades públicas y  el  caso  que  nos</w:t>
        <w:br/>
        <w:t xml:space="preserve">         ocupa se trata de un pensionista de una empresa pública que después</w:t>
        <w:br/>
        <w:t xml:space="preserve">         fue privatizada. Asimismo, afirmó que en el caso Acevedo Buendía  y</w:t>
        <w:br/>
        <w:t xml:space="preserve">         otros Vs. Perú se demostró en sede interna que el Estado  tenía  la</w:t>
        <w:br/>
        <w:t xml:space="preserve">         obligación de pagar a las víctimas los montos correspondientes a la</w:t>
        <w:br/>
        <w:t xml:space="preserve">         pensión nivelable, quedando pendiente  solo  la  determinación  del</w:t>
        <w:br/>
        <w:t xml:space="preserve">         monto, mientras que en el caso del señor Muelle Flores,  no  se  ha</w:t>
        <w:br/>
        <w:t xml:space="preserve">         demostrado que el Estado peruano deba pagar la pensión, ya  que  la</w:t>
        <w:br/>
        <w:t xml:space="preserve">         empresa  estatal  inicialmente  obligada   se   privatizó,   y   la</w:t>
        <w:br/>
        <w:t xml:space="preserve">         legislación  sobre  la   materia   cambió,   generando   ello   una</w:t>
        <w:br/>
        <w:t xml:space="preserve">         incertidumbre respecto de la entidad responsable del pago.  Además,</w:t>
        <w:br/>
        <w:t xml:space="preserve">         arguyó que no se podía alegar falta absoluta  de  cumplimiento  del</w:t>
        <w:br/>
        <w:t xml:space="preserve">         pago de la pensión puesto que existieron pagos parciales entre 1999</w:t>
        <w:br/>
        <w:t xml:space="preserve">         y 2001. Por todo ello, el Estado concluyó que  no  era  responsable</w:t>
        <w:br/>
        <w:t xml:space="preserve">         por la violación del artículo 21 de la Convención.</w:t>
        <w:br/>
        <w:br/>
        <w:t>D.2 Consideraciones de la Corte</w:t>
        <w:br/>
        <w:br/>
        <w:br/>
        <w:t xml:space="preserve">    212. El Tribunal ha desarrollado en su jurisprudencia[217], un  concepto</w:t>
        <w:br/>
        <w:t xml:space="preserve">         amplio de propiedad privada que abarca, entre otros, el uso y  goce</w:t>
        <w:br/>
        <w:t xml:space="preserve">         de los bienes, definidos como cosas materiales apropiables  o  como</w:t>
        <w:br/>
        <w:t xml:space="preserve">         objetos intangibles, así como todo derecho que pueda  formar  parte</w:t>
        <w:br/>
        <w:t xml:space="preserve">         del patrimonio de una persona[218]. La Corte se pronunció sobre  el</w:t>
        <w:br/>
        <w:t xml:space="preserve">         concepto de bienes, en el caso Ivcher Bronstein  vs.  Perú,  en  el</w:t>
        <w:br/>
        <w:t xml:space="preserve">         cual lo definió como “cosas materiales apropiables, así  como  todo</w:t>
        <w:br/>
        <w:t xml:space="preserve">         derecho que pueda formar parte del patrimonio  de  una  persona”  y</w:t>
        <w:br/>
        <w:t xml:space="preserve">         consideró  que  “dicho  concepto  comprende  todos  los  muebles  e</w:t>
        <w:br/>
        <w:t xml:space="preserve">         inmuebles, los elementos corporales e incorporales y cualquier otro</w:t>
        <w:br/>
        <w:t xml:space="preserve">         objeto inmaterial susceptible de valor”[219].</w:t>
        <w:br/>
        <w:br/>
        <w:t xml:space="preserve">    213. En los casos Cinco Pensionistas Vs. Perú y Acevedo Buendía y  Otros</w:t>
        <w:br/>
        <w:t xml:space="preserve">         Vs. Perú, la Corte declaró la violación del derecho a la  propiedad</w:t>
        <w:br/>
        <w:t xml:space="preserve">         por la afectación patrimonial  causada  por  el  incumplimiento  de</w:t>
        <w:br/>
        <w:t xml:space="preserve">         sentencias que pretendían proteger el derecho  a  una  pensión,  el</w:t>
        <w:br/>
        <w:t xml:space="preserve">         cual había sido adquirido por las víctimas, de conformidad  con  la</w:t>
        <w:br/>
        <w:t xml:space="preserve">         normativa interna. En el caso  Cinco  Pensionistas[220],  la  Corte</w:t>
        <w:br/>
        <w:t xml:space="preserve">         señaló que, desde  el  momento  en  que  un  pensionista  paga  sus</w:t>
        <w:br/>
        <w:t xml:space="preserve">         contribuciones a un fondo de pensiones y deja de prestar  servicios</w:t>
        <w:br/>
        <w:t xml:space="preserve">         a  la  institución  concernida  para   acogerse   al   régimen   de</w:t>
        <w:br/>
        <w:t xml:space="preserve">         jubilaciones previsto en la ley,  adquiere  el  derecho  a  que  su</w:t>
        <w:br/>
        <w:t xml:space="preserve">         pensión se rija en los términos y condiciones  previstas  en  dicha</w:t>
        <w:br/>
        <w:t xml:space="preserve">         ley. Asimismo, en el caso Acevedo Buendía y  otros  Vs.  Perú[221],</w:t>
        <w:br/>
        <w:t xml:space="preserve">         declaró que el derecho a la  pensión  que  adquiere  dicha  persona</w:t>
        <w:br/>
        <w:t xml:space="preserve">         tiene “efectos patrimoniales”, los cuales están protegidos bajo  el</w:t>
        <w:br/>
        <w:t xml:space="preserve">         artículo 21 de la Convención.</w:t>
        <w:br/>
        <w:br/>
        <w:t xml:space="preserve">    214. Asimismo, la Corte resalta  y  coincide  con  lo  señalado  por  el</w:t>
        <w:br/>
        <w:t xml:space="preserve">         dictamen pericial de Christian Courtis en relación con  que  “[l]os</w:t>
        <w:br/>
        <w:t xml:space="preserve">         beneficios que se derivan  de  la  seguridad  social,  incluido  el</w:t>
        <w:br/>
        <w:t xml:space="preserve">         derecho a una  pensión  de  vejez,  forman  parte  del  derecho  de</w:t>
        <w:br/>
        <w:t xml:space="preserve">         propiedad  y  por  tanto   deben   estar   protegidos   contra   la</w:t>
        <w:br/>
        <w:t xml:space="preserve">         interferencia arbitraria del Estado.  El  derecho  a  la  propiedad</w:t>
        <w:br/>
        <w:t xml:space="preserve">         puede  cubrir  aún  las  expectativas  legítimas  del  titular  del</w:t>
        <w:br/>
        <w:t xml:space="preserve">         derecho, en particular cuando haya efectuado aportes en un  sistema</w:t>
        <w:br/>
        <w:t xml:space="preserve">         contributivo.  Con  muchísima  más  razón,   cubre   los   derechos</w:t>
        <w:br/>
        <w:t xml:space="preserve">         adquiridos una vez perfeccionadas las condiciones para  obtener  un</w:t>
        <w:br/>
        <w:t xml:space="preserve">         beneficio tal como la pensión de vejez, más aún cuando ese  derecho</w:t>
        <w:br/>
        <w:t xml:space="preserve">         ha  sido  reconocido  a   través   de   una   sentencia   judicial.</w:t>
        <w:br/>
        <w:t xml:space="preserve">         Complementariamente, entre el abanico de intereses  protegidos  por</w:t>
        <w:br/>
        <w:t xml:space="preserve">         el derecho a la propiedad, los beneficios de  la  seguridad  social</w:t>
        <w:br/>
        <w:t xml:space="preserve">         adquieren particular importancia  por  su  ya  mencionado  carácter</w:t>
        <w:br/>
        <w:t xml:space="preserve">         alimentario y sustitutivo del salario”[222].</w:t>
        <w:br/>
        <w:br/>
        <w:t xml:space="preserve">    215. En el presente caso, la Corte observa que con base  en  el  Decreto</w:t>
        <w:br/>
        <w:t xml:space="preserve">         Ley No. 20530 el señor Muelle  Flores  adquirió  el  derecho  a  la</w:t>
        <w:br/>
        <w:t xml:space="preserve">         pensión nivelada al jubilarse, el 30 de septiembre de 1990,  de  su</w:t>
        <w:br/>
        <w:t xml:space="preserve">         cargo de Gerente General Adjunto de la empresa estatal Tintaya S.A.</w:t>
        <w:br/>
        <w:t xml:space="preserve">         (supra párr.  43).  Asimismo,  dicha  incorporación  fue  declarada</w:t>
        <w:br/>
        <w:t xml:space="preserve">         conforme  a   ley,   luego   de   un   procedimiento   contencioso-</w:t>
        <w:br/>
        <w:t xml:space="preserve">         administrativo, en donde se estableció que el señor  Muelle  Flores</w:t>
        <w:br/>
        <w:t xml:space="preserve">         cumplía los requisitos necesarios para la adquisición del derecho a</w:t>
        <w:br/>
        <w:t xml:space="preserve">         una pensión nivelada.  Asimismo,  se  dictaron  dos  sentencias  de</w:t>
        <w:br/>
        <w:t xml:space="preserve">         amparo ordenando el pago  de  su  pensión,  las  cuales  no  fueron</w:t>
        <w:br/>
        <w:t xml:space="preserve">         cumplidas.</w:t>
        <w:br/>
        <w:br/>
        <w:t xml:space="preserve">    216. El señor Oscar Muelle Flores se jubiló el 30 de septiembre de  1990</w:t>
        <w:br/>
        <w:t xml:space="preserve">         y recibió el pago de su pensión de forma completa desde octubre  de</w:t>
        <w:br/>
        <w:t xml:space="preserve">         1990 hasta enero de 1991, ya que el pago  por  dicho  concepto  fue</w:t>
        <w:br/>
        <w:t xml:space="preserve">         suspendido a partir de febrero de 1991. Si bien se efectuaron pagos</w:t>
        <w:br/>
        <w:t xml:space="preserve">         de 1999 al 2001 por parte de la  empresa  privada,  no  del  Estado</w:t>
        <w:br/>
        <w:t xml:space="preserve">         peruano, estos cubrieron el pago por concepto de  pensión  pero  de</w:t>
        <w:br/>
        <w:t xml:space="preserve">         forma parcial,  como  expresamente  señalan  las  boletas  de  pago</w:t>
        <w:br/>
        <w:t xml:space="preserve">         emitidas por la empresa (supra párr.  80).  En  este  sentido,  los</w:t>
        <w:br/>
        <w:t xml:space="preserve">         montos pagados a la víctima por concepto de pensión  desde  febrero</w:t>
        <w:br/>
        <w:t xml:space="preserve">         de 1991 hasta junio de 2001 consistieron en pagos parciales, ya que</w:t>
        <w:br/>
        <w:t xml:space="preserve">         lo pagado no se  correspondió  con  el  monto  nivelado  que  debió</w:t>
        <w:br/>
        <w:t xml:space="preserve">         recibir bajo el régimen del Decreto Ley No. 20530, al  menos  hasta</w:t>
        <w:br/>
        <w:t xml:space="preserve">         la reforma constitucional de noviembre de 2004 (supra  párr.  103).</w:t>
        <w:br/>
        <w:t xml:space="preserve">         Además, la Corte constata que a partir de julio de 2001,  el  señor</w:t>
        <w:br/>
        <w:t xml:space="preserve">         Muelle Flores no ha recibido ningún pago por concepto  de  pensión,</w:t>
        <w:br/>
        <w:t xml:space="preserve">         es decir que la víctima no ha materializado su derecho a la pensión</w:t>
        <w:br/>
        <w:t xml:space="preserve">         por más de 27 años.</w:t>
        <w:br/>
        <w:br/>
        <w:t xml:space="preserve">    217. La Corte estima que el derecho a la pensión nivelada  que  adquirió</w:t>
        <w:br/>
        <w:t xml:space="preserve">         la víctima y que se encontraba en vigencia en el Perú hasta el  año</w:t>
        <w:br/>
        <w:t xml:space="preserve">         2004, así como el derecho a su  pensión  conforme  a  las  reformas</w:t>
        <w:br/>
        <w:t xml:space="preserve">         constitucionales acontecidas en dicha fecha, generó un efecto en el</w:t>
        <w:br/>
        <w:t xml:space="preserve">         patrimonio del señor Muelle Flores. En efecto, el derecho a recibir</w:t>
        <w:br/>
        <w:t xml:space="preserve">         una pensión fue adquirido luego de que el señor  Muelle  dejara  de</w:t>
        <w:br/>
        <w:t xml:space="preserve">         prestar servicios a la institución para la cual  laboró,  al  haber</w:t>
        <w:br/>
        <w:t xml:space="preserve">         cumplido con los  requisitos  para  ello  y  con  el  pago  de  las</w:t>
        <w:br/>
        <w:t xml:space="preserve">         contribuciones correspondientes, de conformidad  con  la  normativa</w:t>
        <w:br/>
        <w:t xml:space="preserve">         interna peruana. En este sentido, tal patrimonio  se  vio  afectado</w:t>
        <w:br/>
        <w:t xml:space="preserve">         directamente por la decisión del Estado de suspender los pagos, así</w:t>
        <w:br/>
        <w:t xml:space="preserve">         como  por  el  incumplimiento  y  la  falta  de  ejecución  de  las</w:t>
        <w:br/>
        <w:t xml:space="preserve">         sentencias  judiciales.  Por  ello,  la  víctima  no   pudo   gozar</w:t>
        <w:br/>
        <w:t xml:space="preserve">         integralmente de su  derecho  a  la  propiedad  privada  sobre  los</w:t>
        <w:br/>
        <w:t xml:space="preserve">         efectos  patrimoniales  de  su  pensión,   legalmente   reconocida,</w:t>
        <w:br/>
        <w:t xml:space="preserve">         entendiendo aquéllos como los montos dejados de percibir. De  igual</w:t>
        <w:br/>
        <w:t xml:space="preserve">         manera, debido a que el  Estado  aún  no  ha  hecho  efectivas  las</w:t>
        <w:br/>
        <w:t xml:space="preserve">         sentencias a nivel interno que ordenaron el pago de  las  pensiones</w:t>
        <w:br/>
        <w:t xml:space="preserve">         del señor Muelle Flores, la afectación de su  patrimonio  continúa.</w:t>
        <w:br/>
        <w:t xml:space="preserve">         Lo anterior es una consecuencia directa de la falta de cumplimiento</w:t>
        <w:br/>
        <w:t xml:space="preserve">         de lo ordenado en las sentencias de la Corte Suprema y el  Tribunal</w:t>
        <w:br/>
        <w:t xml:space="preserve">         Constitucional[223].</w:t>
        <w:br/>
        <w:br/>
        <w:t xml:space="preserve">    218. Por todo lo anteriormente expuesto y  teniendo  en  cuenta  que  la</w:t>
        <w:br/>
        <w:t xml:space="preserve">         falta de protección judicial afectó el derecho  a  la  pensión  que</w:t>
        <w:br/>
        <w:t xml:space="preserve">         había ingresado al patrimonio de la víctima, la Corte  declara  que</w:t>
        <w:br/>
        <w:t xml:space="preserve">         el Estado violó el derecho a la propiedad privada reconocido en  el</w:t>
        <w:br/>
        <w:t xml:space="preserve">         artículo 21.1 y 21.2, en relación con los artículos 25.1,  25.2.c),</w:t>
        <w:br/>
        <w:t xml:space="preserve">         26 y 1.1 de la Convención Americana, en perjuicio del señor  Muelle</w:t>
        <w:br/>
        <w:t xml:space="preserve">         Flores.</w:t>
        <w:br/>
        <w:br/>
        <w:br/>
        <w:t>Conclusión del capítulo</w:t>
        <w:br/>
        <w:br/>
        <w:br/>
        <w:t xml:space="preserve">    219. Con base en todo lo señalado, la Corte concluye que el  Estado  del</w:t>
        <w:br/>
        <w:t xml:space="preserve">         Perú es  responsable  por  la  violación  de  los  derechos  a  las</w:t>
        <w:br/>
        <w:t xml:space="preserve">         garantías judiciales, a la  protección  judicial,  a  la  seguridad</w:t>
        <w:br/>
        <w:t xml:space="preserve">         social, a la integridad personal, a la dignidad, y a  la  propiedad</w:t>
        <w:br/>
        <w:t xml:space="preserve">         privada, reconocidos en los artículos 8.1, 25.1,  25.2.c),  26,  5,</w:t>
        <w:br/>
        <w:t xml:space="preserve">         11.1, 21.1, y 21.2 de la Convención Americana, respectivamente,  en</w:t>
        <w:br/>
        <w:t xml:space="preserve">         relación con el artículo 1.1, en perjuicio de Oscar Muelle  Flores.</w:t>
        <w:br/>
        <w:t xml:space="preserve">         Asimismo, el Estado es responsable por la violación de su deber  de</w:t>
        <w:br/>
        <w:t xml:space="preserve">         adoptar disposiciones de derecho interno, recogido en el artículo 2</w:t>
        <w:br/>
        <w:t xml:space="preserve">         de la Convención Americana, en perjuicio de Oscar Muelle Flores.</w:t>
        <w:br/>
        <w:br/>
        <w:t>VIII</w:t>
        <w:br/>
        <w:t>REPARACIONES</w:t>
        <w:br/>
        <w:t>(Aplicación del artículo 63.1 de la Convención Americana)</w:t>
        <w:br/>
        <w:br/>
        <w:t xml:space="preserve">    220. Sobre la base de lo dispuesto en el artículo 63.1 de la  Convención</w:t>
        <w:br/>
        <w:t xml:space="preserve">         Americana[224], la Corte ha indicado  que  toda  violación  de  una</w:t>
        <w:br/>
        <w:t xml:space="preserve">         obligación internacional que haya producido daño comporta el  deber</w:t>
        <w:br/>
        <w:t xml:space="preserve">         de repararlo adecuadamente y que esa disposición recoge  una  norma</w:t>
        <w:br/>
        <w:t xml:space="preserve">         consuetudinaria que constituye uno de los principios  fundamentales</w:t>
        <w:br/>
        <w:t xml:space="preserve">         del Derecho Internacional contemporáneo sobre responsabilidad de un</w:t>
        <w:br/>
        <w:t xml:space="preserve">         Estado[225].</w:t>
        <w:br/>
        <w:br/>
        <w:t xml:space="preserve">    221. La  reparación  del  daño  ocasionado  por  la  infracción  de  una</w:t>
        <w:br/>
        <w:t xml:space="preserve">         obligación internacional requiere,  siempre  que  sea  posible,  la</w:t>
        <w:br/>
        <w:t xml:space="preserve">         plena restitución (restitutio in  integrum),  que  consiste  en  el</w:t>
        <w:br/>
        <w:t xml:space="preserve">         restablecimiento de la situación anterior. De no ser esto factible,</w:t>
        <w:br/>
        <w:t xml:space="preserve">         como ocurre en la mayoría de los casos de  violaciones  a  derechos</w:t>
        <w:br/>
        <w:t xml:space="preserve">         humanos,  el  Tribunal  determinará  medidas  para  garantizar  los</w:t>
        <w:br/>
        <w:t xml:space="preserve">         derechos  conculcados  y  reparar   las   consecuencias   que   las</w:t>
        <w:br/>
        <w:t xml:space="preserve">         infracciones produjeron[226]. Por tanto, la Corte ha considerado la</w:t>
        <w:br/>
        <w:t xml:space="preserve">         necesidad de otorgar  diversas  medidas  de  reparación  a  fin  de</w:t>
        <w:br/>
        <w:t xml:space="preserve">         resarcir los daños de manera integral por lo  que,  además  de  las</w:t>
        <w:br/>
        <w:t xml:space="preserve">         compensaciones   pecuniarias,   las   medidas    de    restitución,</w:t>
        <w:br/>
        <w:t xml:space="preserve">         rehabilitación, satisfacción y garantías de  no  repetición  tienen</w:t>
        <w:br/>
        <w:t xml:space="preserve">         especial relevancia por los daños ocasionados[227].</w:t>
        <w:br/>
        <w:br/>
        <w:t xml:space="preserve">    222. La Corte ha establecido que las reparaciones deben  tener  un  nexo</w:t>
        <w:br/>
        <w:t xml:space="preserve">         causal con los hechos del caso,  las  violaciones  declaradas,  los</w:t>
        <w:br/>
        <w:t xml:space="preserve">         daños acreditados, así como las medidas  solicitadas  para  reparar</w:t>
        <w:br/>
        <w:t xml:space="preserve">         los daños respectivos. Por lo tanto, la Corte deberá observar dicha</w:t>
        <w:br/>
        <w:t xml:space="preserve">         concurrencia   para   pronunciarse   debidamente   y   conforme   a</w:t>
        <w:br/>
        <w:t xml:space="preserve">         derecho[228].</w:t>
        <w:br/>
        <w:br/>
        <w:t xml:space="preserve">    223. Tomando  en  cuenta  las  violaciones  a  la  Convención  Americana</w:t>
        <w:br/>
        <w:t xml:space="preserve">         declaradas en los capítulos anteriores, a la luz de  los  criterios</w:t>
        <w:br/>
        <w:t xml:space="preserve">         fijados en la  jurisprudencia  del  Tribunal  en  relación  con  la</w:t>
        <w:br/>
        <w:t xml:space="preserve">         naturaleza y alcances de la obligación de  reparar[229],  la  Corte</w:t>
        <w:br/>
        <w:t xml:space="preserve">         analizará las  pretensiones  presentadas  por  la  Comisión  y  las</w:t>
        <w:br/>
        <w:t xml:space="preserve">         representantes, así como los argumentos del Estado al respecto, con</w:t>
        <w:br/>
        <w:t xml:space="preserve">         el objeto de disponer  a  continuación  las  medidas  tendientes  a</w:t>
        <w:br/>
        <w:t xml:space="preserve">         reparar dichas violaciones.</w:t>
        <w:br/>
        <w:br/>
        <w:br/>
        <w:t xml:space="preserve">      Parte Lesionada</w:t>
        <w:br/>
        <w:br/>
        <w:br/>
        <w:t xml:space="preserve">    224. Se considera parte lesionada, en los términos del artículo 63.1  de</w:t>
        <w:br/>
        <w:t xml:space="preserve">         la Convención,  a  quienes  han  sido  declaradas  víctimas  de  la</w:t>
        <w:br/>
        <w:t xml:space="preserve">         violación de algún derecho consagrado en esta. Por lo  tanto,  esta</w:t>
        <w:br/>
        <w:t xml:space="preserve">         Corte considera como “parte lesionada” al señor Oscar Rubén  Muelle</w:t>
        <w:br/>
        <w:t xml:space="preserve">         Flores, quien  en  su  condición  de  víctima  de  las  violaciones</w:t>
        <w:br/>
        <w:t xml:space="preserve">         declaradas en esta Sentencia será considerada beneficiario  de  las</w:t>
        <w:br/>
        <w:t xml:space="preserve">         reparaciones que la Corte ordene.</w:t>
        <w:br/>
        <w:br/>
        <w:br/>
        <w:t>Restitución de la pensión del  señor  Muelle  Flores:  cumplimiento  de  las</w:t>
        <w:br/>
        <w:t>sentencias definitivas dictadas a nivel interno</w:t>
        <w:br/>
        <w:br/>
        <w:br/>
        <w:t>B.1. Argumentos de la Comisión y de las partes</w:t>
        <w:br/>
        <w:br/>
        <w:br/>
        <w:t xml:space="preserve">    225. La Comisión  solicitó  a  la  Corte  que  ordenara  al  Estado  dar</w:t>
        <w:br/>
        <w:t xml:space="preserve">         cumplimiento, a la brevedad, de las sentencias de la Corte  Suprema</w:t>
        <w:br/>
        <w:t xml:space="preserve">         de Justicia del 2 de febrero de 1993 y del Tribunal  Constitucional</w:t>
        <w:br/>
        <w:t xml:space="preserve">         del 10 de diciembre de 1999 y que, de forma inmediata, se adoptaran</w:t>
        <w:br/>
        <w:t xml:space="preserve">         las medidas necesarias para el pago de la pensión al  señor  Muelle</w:t>
        <w:br/>
        <w:t xml:space="preserve">         Flores en los  términos  mediante  los  cuales  le  fue  reconocido</w:t>
        <w:br/>
        <w:t xml:space="preserve">         judicialmente, es decir, bajo el régimen del Decreto Ley N° 20530.</w:t>
        <w:br/>
        <w:br/>
        <w:t xml:space="preserve">    226. Las  representantes  solicitaron  que  se  condenara  al  Estado  a</w:t>
        <w:br/>
        <w:t xml:space="preserve">         implementar de manera inmediata la pensión  nivelada  a  favor  del</w:t>
        <w:br/>
        <w:t xml:space="preserve">         señor Muelle Flores de acuerdo con los términos  señalados  en  las</w:t>
        <w:br/>
        <w:t xml:space="preserve">         sentencias  de  la  Corte  Suprema  de  Justicia  y  del   Tribunal</w:t>
        <w:br/>
        <w:t xml:space="preserve">         Constitucional.  Asimismo,  solicitaron  que  el  Estado   adoptara</w:t>
        <w:br/>
        <w:t xml:space="preserve">         algunas obligaciones secundarias mínimas, a saber: i) que  el  pago</w:t>
        <w:br/>
        <w:t xml:space="preserve">         de la pensión respete el  derecho  a  la  nivelación  como  derecho</w:t>
        <w:br/>
        <w:t xml:space="preserve">         adquirido de la víctima y que sea  equivalente  a  la  remuneración</w:t>
        <w:br/>
        <w:t xml:space="preserve">         actual  del  funcionario  que  ocupa  un  cargo  del  mismo   nivel</w:t>
        <w:br/>
        <w:t xml:space="preserve">         jerárquico que el señor Muelle Flores al momento de la  jubilación;</w:t>
        <w:br/>
        <w:t xml:space="preserve">         ii) que se garantizara al señor Muelle Flores “el inmediato  acceso</w:t>
        <w:br/>
        <w:t xml:space="preserve">         al sistema de salud” y a  todos  los  beneficios  de  la  seguridad</w:t>
        <w:br/>
        <w:t xml:space="preserve">         social con los  que  cuentan  los  pensionistas  amparados  por  el</w:t>
        <w:br/>
        <w:t xml:space="preserve">         régimen previsional del Decreto Ley  No.  20.530,  y  iii)  que  se</w:t>
        <w:br/>
        <w:t xml:space="preserve">         reestableciera el pago de una pensión provisional  de  S/800  soles</w:t>
        <w:br/>
        <w:t xml:space="preserve">         mensuales, de forma inmediata y provisional, hasta que  el  cálculo</w:t>
        <w:br/>
        <w:t xml:space="preserve">         del valor total de la pensión nivelada se determine.</w:t>
        <w:br/>
        <w:br/>
        <w:t xml:space="preserve">    227. Las representantes señalaron en su escrito de 9 de enero de 2019, y</w:t>
        <w:br/>
        <w:t xml:space="preserve">         en relación con las  medidas  adoptadas  por  el  Estado  descritas</w:t>
        <w:br/>
        <w:t xml:space="preserve">         infra, que la implementación de la pensión  provisional  del  señor</w:t>
        <w:br/>
        <w:t xml:space="preserve">         Muelle Flores constituía un paso importantísimo  para  la  solución</w:t>
        <w:br/>
        <w:t xml:space="preserve">         del  caso  y  la  garantía  de  sus  derechos.  Sin  embargo,   las</w:t>
        <w:br/>
        <w:t xml:space="preserve">         representantes consideraron que esta era una medida  provisional  y</w:t>
        <w:br/>
        <w:t xml:space="preserve">         controvirtieron el monto calculado por el Estado (S/1,337.61 nuevos</w:t>
        <w:br/>
        <w:t xml:space="preserve">         soles), en el entendido de que no  correspondía  al  monto  de  una</w:t>
        <w:br/>
        <w:t xml:space="preserve">         pensión nivelada que  debía  tomar  como  base  de  referencia,  el</w:t>
        <w:br/>
        <w:t xml:space="preserve">         salario de un funcionario que  ocupe  el  mismo  cargo  jerárquico.</w:t>
        <w:br/>
        <w:t xml:space="preserve">         Alegaron que enfrentaban obstáculos probatorios para determinar  el</w:t>
        <w:br/>
        <w:t xml:space="preserve">         valor actualizado de la pensión nivelada, pero que  como  punto  de</w:t>
        <w:br/>
        <w:t xml:space="preserve">         referencia,  conforme  a  los  ingresos  actuales  de  funcionarios</w:t>
        <w:br/>
        <w:t xml:space="preserve">         públicos que ocupaban  cargos  estratégicos  y/o  de  gerencia,  de</w:t>
        <w:br/>
        <w:t xml:space="preserve">         conformidad con el Portal de Transparencia del Estado, los salarios</w:t>
        <w:br/>
        <w:t xml:space="preserve">         actuales iban desde los  S/13,000  a  los  S/22,600  nuevos  soles.</w:t>
        <w:br/>
        <w:t xml:space="preserve">         Destacaron  que  algunas  funciones  con  una  menor  exigencia  de</w:t>
        <w:br/>
        <w:t xml:space="preserve">         instrucción, como chofer y otras, recibían  ingresos  más  elevados</w:t>
        <w:br/>
        <w:t xml:space="preserve">         que aquellos propuestos por el Estado peruano.  Las  representantes</w:t>
        <w:br/>
        <w:t xml:space="preserve">         solicitaron que se decidiera el monto con base en  el  criterio  de</w:t>
        <w:br/>
        <w:t xml:space="preserve">         equidad, tomando como base los  montos  actuales  que  reciben  los</w:t>
        <w:br/>
        <w:t xml:space="preserve">         cargos de gerencia en la administración pública, con  un  valor  no</w:t>
        <w:br/>
        <w:t xml:space="preserve">         inferior a S/15,600 nuevos soles.</w:t>
        <w:br/>
        <w:br/>
        <w:t xml:space="preserve">    228. El Estado alegó que el Poder Judicial actualmente estaba llevando a</w:t>
        <w:br/>
        <w:t xml:space="preserve">         cabo acciones tendientes a concluir el  proceso  de  ejecución  del</w:t>
        <w:br/>
        <w:t xml:space="preserve">         primer amparo, aclarando que la Comisión no había invocado  retraso</w:t>
        <w:br/>
        <w:t xml:space="preserve">         alguno  sobre  la  ejecución  del  segundo  amparo.  Adicionalmente</w:t>
        <w:br/>
        <w:t xml:space="preserve">         destacó que, en caso de ordenarse el pago de la  pensión  nivelada,</w:t>
        <w:br/>
        <w:t xml:space="preserve">         corresponderá   deducir   del    total    ordenado,    las    sumas</w:t>
        <w:br/>
        <w:t xml:space="preserve">         correspondientes a los pagos realizados entre el año 1999  y  2001,</w:t>
        <w:br/>
        <w:t xml:space="preserve">         reiterando que los mismos han sido debidamente acreditados  con  la</w:t>
        <w:br/>
        <w:t xml:space="preserve">         documentación respectiva. Resaltó que si  la  Corte  encontraba  al</w:t>
        <w:br/>
        <w:t xml:space="preserve">         Estado  responsable,  no  se  opondría  a   adoptar   las   medidas</w:t>
        <w:br/>
        <w:t xml:space="preserve">         contempladas en la normativa interna para la ejecución del pago  de</w:t>
        <w:br/>
        <w:t xml:space="preserve">         las sumas devengadas, y el interés  correspondiente,  como  tampoco</w:t>
        <w:br/>
        <w:t xml:space="preserve">         respecto del “aseguramiento de salud” solicitado.</w:t>
        <w:br/>
        <w:br/>
        <w:t xml:space="preserve">    229. Asimismo, en su escrito de 20  de  diciembre  de  2018,  el  Estado</w:t>
        <w:br/>
        <w:t xml:space="preserve">         informó que mediante la Resolución Directoral No. 635-2018-EF/43.02</w:t>
        <w:br/>
        <w:t xml:space="preserve">         del MEF, y en el marco de la  solicitud  de  medidas  provisionales</w:t>
        <w:br/>
        <w:t xml:space="preserve">         presentadas  por  las  representantes  (supra  párr.  12),  decidió</w:t>
        <w:br/>
        <w:t xml:space="preserve">         reestablecer de oficio, y de  forma  provisional,  la  pensión  del</w:t>
        <w:br/>
        <w:t xml:space="preserve">         señor Muelle Flores por una suma ascendente a  S/800  nuevos  soles</w:t>
        <w:br/>
        <w:t xml:space="preserve">         mensuales, afecta a los descuentos de ley, a partir del 1 de  enero</w:t>
        <w:br/>
        <w:t xml:space="preserve">         de 2018 y hasta que la Corte emita la Sentencia correspondiente. El</w:t>
        <w:br/>
        <w:t xml:space="preserve">         Estado señaló que luego de ello, la ONP determinará el cargo, nivel</w:t>
        <w:br/>
        <w:t xml:space="preserve">         remunerativo y monto que a la víctima le  corresponde  recibir,  el</w:t>
        <w:br/>
        <w:t xml:space="preserve">         cual, según fue informado por el Perú,  ascendería  a  la  suma  de</w:t>
        <w:br/>
        <w:t xml:space="preserve">         S/1,337.61 nuevos soles, conforme a lo establecido por el  MEF.  De</w:t>
        <w:br/>
        <w:t xml:space="preserve">         igual manera, el Estado informó que reestableció la atención médica</w:t>
        <w:br/>
        <w:t xml:space="preserve">         del señor Muelle  Flores  a  través  del  seguro  social  de  salud</w:t>
        <w:br/>
        <w:t xml:space="preserve">         EsSalud, por lo que debía inscribirse para acceder inmediatamente a</w:t>
        <w:br/>
        <w:t xml:space="preserve">         dichos servicios. En virtud de  las  acciones  tomadas,  el  Estado</w:t>
        <w:br/>
        <w:t xml:space="preserve">         solicitó  a  la  Corte  que  descontara  los  montos  asignados  de</w:t>
        <w:br/>
        <w:t xml:space="preserve">         cualquier indemnización que sea eventualmente ordenada.</w:t>
        <w:br/>
        <w:br/>
        <w:t>B.2. Consideraciones de la Corte</w:t>
        <w:br/>
        <w:br/>
        <w:br/>
        <w:t xml:space="preserve">    230. Como ya ha  establecido  este  Tribunal,  la  reparación  del  daño</w:t>
        <w:br/>
        <w:t xml:space="preserve">         ocasionado  por  la  infracción  de  una  obligación  internacional</w:t>
        <w:br/>
        <w:t xml:space="preserve">         requiere, siempre que sea posible, la plena restitución (restitutio</w:t>
        <w:br/>
        <w:t xml:space="preserve">         in integrum), que consiste en el restablecimiento de  la  situación</w:t>
        <w:br/>
        <w:t xml:space="preserve">         anterior. En este sentido, si bien la Corte  resalta  positivamente</w:t>
        <w:br/>
        <w:t xml:space="preserve">         la voluntad del Estado para dar  cumplimiento  a  sus  obligaciones</w:t>
        <w:br/>
        <w:t xml:space="preserve">         pensionarias con respecto  al  señor  Muelle  Flores,  el  Tribunal</w:t>
        <w:br/>
        <w:t xml:space="preserve">         constata que han pasado más de 25 años de  la  firmeza  con  mérito</w:t>
        <w:br/>
        <w:t xml:space="preserve">         ejecutorio de la sentencia de 2 de febrero de 1993 y 19 años  desde</w:t>
        <w:br/>
        <w:t xml:space="preserve">         la adopción de la sentencia de 10 de diciembre de 1999, sin que las</w:t>
        <w:br/>
        <w:t xml:space="preserve">         mismas se hayan cumplido o ejecutado. En virtud  de  ello,  es  que</w:t>
        <w:br/>
        <w:t xml:space="preserve">         este Tribunal declaró la responsabilidad del Estado peruano por  la</w:t>
        <w:br/>
        <w:t xml:space="preserve">         violación de los artículos 8.1, 25.1 y 25.2.c de la Convención, así</w:t>
        <w:br/>
        <w:t xml:space="preserve">         como de los artículos 26, 5.1, 11.1, 21.1 y 21.2 de  la  misma,  en</w:t>
        <w:br/>
        <w:t xml:space="preserve">         perjuicio de Oscar Muelle Flores.</w:t>
        <w:br/>
        <w:br/>
        <w:t xml:space="preserve">    231. Sin perjuicio de lo anterior, la Corte considera  muy  positiva  la</w:t>
        <w:br/>
        <w:t xml:space="preserve">         decisión del Estado de restablecer de forma provisional, el pago de</w:t>
        <w:br/>
        <w:t xml:space="preserve">         una pensión en beneficio del  señor  Muelle  Flores,  así  como  el</w:t>
        <w:br/>
        <w:t xml:space="preserve">         restablecimiento de la  atención  médica  brindada  por  el  seguro</w:t>
        <w:br/>
        <w:t xml:space="preserve">         social en el Perú a la  víctima.  Esta  decisión  fue  adoptada  de</w:t>
        <w:br/>
        <w:t xml:space="preserve">         oficio por el Estado, con el fin de  garantizar  a  la  víctima  el</w:t>
        <w:br/>
        <w:t xml:space="preserve">         acceso a una mejor calidad de vida, por lo que denota  una  actitud</w:t>
        <w:br/>
        <w:t xml:space="preserve">         positiva de cumplimiento  por  parte  del  Estado  peruano  de  sus</w:t>
        <w:br/>
        <w:t xml:space="preserve">         obligaciones internacionales conforme a la Convención Americana.</w:t>
        <w:br/>
        <w:br/>
        <w:t xml:space="preserve">    232. Debido a que  el  Estado  señaló  que  las  medidas  adoptadas  son</w:t>
        <w:br/>
        <w:t xml:space="preserve">         provisionales  hasta   que   esta   Corte   adopte   la   Sentencia</w:t>
        <w:br/>
        <w:t xml:space="preserve">         correspondiente, luego de notificada la misma, el Estado deberá dar</w:t>
        <w:br/>
        <w:t xml:space="preserve">         cumplimiento a las sentencias proferidas a favor de  la  víctima  y</w:t>
        <w:br/>
        <w:t xml:space="preserve">         garantizar de manera efectiva el pago de la pensión del señor Oscar</w:t>
        <w:br/>
        <w:t xml:space="preserve">         Muelle Flores en los términos del Decreto Ley No.  20530  y  de  la</w:t>
        <w:br/>
        <w:t xml:space="preserve">         normativa vigente en la materia[230], en un plazo  máximo  de  seis</w:t>
        <w:br/>
        <w:t xml:space="preserve">         meses contados a partir de la notificación del presente fallo. Para</w:t>
        <w:br/>
        <w:t xml:space="preserve">         ello, las autoridades judiciales deberán  implementar  las  medidas</w:t>
        <w:br/>
        <w:t xml:space="preserve">         que sean  necesarias  en  caso  de  incumplimiento  de  la  entidad</w:t>
        <w:br/>
        <w:t xml:space="preserve">         responsable del pago de las pensiones del señor Muelle  Flores.  La</w:t>
        <w:br/>
        <w:t xml:space="preserve">         Corte resalta que, de conformidad con lo señalado por el Estado  en</w:t>
        <w:br/>
        <w:t xml:space="preserve">         el  presente  proceso  contencioso,  la  entidad  encargada  de  la</w:t>
        <w:br/>
        <w:t xml:space="preserve">         administración y pago de las pensiones del Decreto Ley No. 20530 es</w:t>
        <w:br/>
        <w:t xml:space="preserve">         el Ministerio de Economía y Finanzas. Los montos devengados por las</w:t>
        <w:br/>
        <w:t xml:space="preserve">         pensiones dejadas de percibir por  el  señor  Muelle  Flores  desde</w:t>
        <w:br/>
        <w:t xml:space="preserve">         febrero de 1991, fecha en la que se suspendieron los pagos hasta la</w:t>
        <w:br/>
        <w:t xml:space="preserve">         notificación del presente fallo, serán analizados en el acápite  de</w:t>
        <w:br/>
        <w:t xml:space="preserve">         daño material.</w:t>
        <w:br/>
        <w:br/>
        <w:t xml:space="preserve">    233. Por otro lado, el Tribunal  constata  que  el  señor  Oscar  Muelle</w:t>
        <w:br/>
        <w:t xml:space="preserve">         Flores se encuentra en  una  edad  avanzada  y  sufre  de  diversos</w:t>
        <w:br/>
        <w:t xml:space="preserve">         padecimientos físicos debido al deterioro en su salud, entre  ellos</w:t>
        <w:br/>
        <w:t xml:space="preserve">         la enfermedad de  Alzheimer  (supra  párr.  52)  y  ha  tenido  que</w:t>
        <w:br/>
        <w:t xml:space="preserve">         recurrir al apoyo económico de sus familiares para poder sobrevivir</w:t>
        <w:br/>
        <w:t xml:space="preserve">         y afrontar los pagos de su tratamiento de salud. Si bien el  Estado</w:t>
        <w:br/>
        <w:t xml:space="preserve">         reestableció de forma provisional el pago de una pensión  de  S/800</w:t>
        <w:br/>
        <w:t xml:space="preserve">         en favor de la víctima, la Corte ordena, por equidad, que luego  de</w:t>
        <w:br/>
        <w:t xml:space="preserve">         notificado el presente fallo,  y  hasta  que  no  se  garantice  el</w:t>
        <w:br/>
        <w:t xml:space="preserve">         cumplimiento de las  ejecutorias  firmes  a  nivel  interno,  y  se</w:t>
        <w:br/>
        <w:t xml:space="preserve">         calcule el monto de pensión que  le  corresponde  al  señor  Muelle</w:t>
        <w:br/>
        <w:t xml:space="preserve">         Flores,  tomando  en  consideración  los  criterios   sobre   nivel</w:t>
        <w:br/>
        <w:t xml:space="preserve">         suficiente establecidos por esta Corte (supra párr. 187), así  como</w:t>
        <w:br/>
        <w:t xml:space="preserve">         los montos  alegados  por  las  representantes,  el  Estado  deberá</w:t>
        <w:br/>
        <w:t xml:space="preserve">         otorgar una pensión provisional, no inferior a dos salarios mínimos</w:t>
        <w:br/>
        <w:t xml:space="preserve">         en el Perú para solventar las condiciones básicas de vida digna  de</w:t>
        <w:br/>
        <w:t xml:space="preserve">         la víctima. Asimismo, la Corte por equidad dispone que, si bien  el</w:t>
        <w:br/>
        <w:t xml:space="preserve">         Estado deberá calcular el monto de pensión que  le  corresponde  al</w:t>
        <w:br/>
        <w:t xml:space="preserve">         señor Muelle Flores, dicho  monto  no  podrá  ser  inferior  a  dos</w:t>
        <w:br/>
        <w:t xml:space="preserve">         salarios mínimos en el Perú.</w:t>
        <w:br/>
        <w:br/>
        <w:t xml:space="preserve">    234. Asimismo, la Corte nota que con el cese de los pagos pensionarios y</w:t>
        <w:br/>
        <w:t xml:space="preserve">         la suspensión del  régimen  previsional  citado,  el  señor  Muelle</w:t>
        <w:br/>
        <w:t xml:space="preserve">         Flores se vio imposibilitado de aportar al seguro social  de  salud</w:t>
        <w:br/>
        <w:t xml:space="preserve">         correspondiente, a efectos de acceder al sistema de  salud  público</w:t>
        <w:br/>
        <w:t xml:space="preserve">         en las  mismas  condiciones  que  las  personas  beneficiarias  del</w:t>
        <w:br/>
        <w:t xml:space="preserve">         régimen del Decreto Ley No. 20530.  El  sistema  de  salud  que  le</w:t>
        <w:br/>
        <w:t xml:space="preserve">         correspondía era el bridado por el Seguro Social de Salud  EsSalud,</w:t>
        <w:br/>
        <w:t xml:space="preserve">         a través de un régimen contributivo que brinda un plan de cobertura</w:t>
        <w:br/>
        <w:t xml:space="preserve">         completa[231].</w:t>
        <w:br/>
        <w:br/>
        <w:t xml:space="preserve">    235. En efecto, el artículo 3 de la Ley Nº 26790 “Ley  de  Modernización</w:t>
        <w:br/>
        <w:t xml:space="preserve">         de la Seguridad Social  en  Salud”  de  17  de  mayo  de  1997,  en</w:t>
        <w:br/>
        <w:t xml:space="preserve">         concordancia con el  artículo  30,  inciso  b)  de  su  Reglamento,</w:t>
        <w:br/>
        <w:t xml:space="preserve">         aprobado por Decreto Supremo No. 009-97-SA de  9  de  setiembre  de</w:t>
        <w:br/>
        <w:t xml:space="preserve">         1997, “son asegurados del  Régimen  Contributivo  de  la  Seguridad</w:t>
        <w:br/>
        <w:t xml:space="preserve">         Social de Salud, en calidad de afiliados  regulares,  entre  otros,</w:t>
        <w:br/>
        <w:t xml:space="preserve">         los pensionistas que  perciben  pensión  de  cesantía,  jubilación,</w:t>
        <w:br/>
        <w:t xml:space="preserve">         incapacidad o de sobrevivencia, cualquiera fuere el  régimen  legal</w:t>
        <w:br/>
        <w:t xml:space="preserve">         al cual se encuentran sujetos”. De igual manera, el artículo  6  de</w:t>
        <w:br/>
        <w:t xml:space="preserve">         dicha ley señala que los aportes por afiliación al seguro social de</w:t>
        <w:br/>
        <w:t xml:space="preserve">         salud  son  de  carácter  mensual  y  que,   para   los   afiliados</w:t>
        <w:br/>
        <w:t xml:space="preserve">         pensionistas, el aporte es de 4% de la pensión, el cual es de cargo</w:t>
        <w:br/>
        <w:t xml:space="preserve">         del pensionista, siendo responsabilidad de la  entidad  empleadora,</w:t>
        <w:br/>
        <w:t xml:space="preserve">         de la ONP o de la Administración de Fondos  de  Pensiones  AFP,  la</w:t>
        <w:br/>
        <w:t xml:space="preserve">         afiliación, retención, declaración y pago, en el  mes  siguiente  a</w:t>
        <w:br/>
        <w:t xml:space="preserve">         aquel en que se pagó o se puso a disposición las pensiones afectas,</w:t>
        <w:br/>
        <w:t xml:space="preserve">         sean estas provisionales o definitivas. A su vez,  el  artículo  35</w:t>
        <w:br/>
        <w:t xml:space="preserve">         del reglamento citado establece que los pensionistas tienen derecho</w:t>
        <w:br/>
        <w:t xml:space="preserve">         de cobertura de EsSalud sin periodo de carencia, desde la fecha  en</w:t>
        <w:br/>
        <w:t xml:space="preserve">         que se  les  constituye  como  pensionistas,  y  siempre  que  sean</w:t>
        <w:br/>
        <w:t xml:space="preserve">         declarados por la entidad  que  pague  las  pensiones,  manteniendo</w:t>
        <w:br/>
        <w:t xml:space="preserve">         dicha    condición,    si    se    cumple    con    los     aportes</w:t>
        <w:br/>
        <w:t xml:space="preserve">         correspondientes[232].</w:t>
        <w:br/>
        <w:br/>
        <w:t xml:space="preserve">    236.  En  consecuencia,  teniendo  en  cuanta  la  condición  actual  de</w:t>
        <w:br/>
        <w:t xml:space="preserve">         vulnerabilidad de la víctima, y que conforme a la  información  que</w:t>
        <w:br/>
        <w:t xml:space="preserve">         el Estado brindó a este Tribunal sobre el  restablecimiento  de  la</w:t>
        <w:br/>
        <w:t xml:space="preserve">         atención en salud a través del seguro  social  EsSalud,  el  Estado</w:t>
        <w:br/>
        <w:t xml:space="preserve">         deberá mantener ininterrumpidamente dicha cobertura, de conformidad</w:t>
        <w:br/>
        <w:t xml:space="preserve">         con lo establecido en la legislación interna pertinente.  La  Corte</w:t>
        <w:br/>
        <w:t xml:space="preserve">         considera pertinente destacar que dicha afiliación no  podrá  verse</w:t>
        <w:br/>
        <w:t xml:space="preserve">         limitada respecto a condiciones de preexistencia alguna  del  señor</w:t>
        <w:br/>
        <w:t xml:space="preserve">         Muelle Flores. El Estado deberá pagar los aportes  a  la  seguridad</w:t>
        <w:br/>
        <w:t xml:space="preserve">         social del señor Muelle Flores y podrá deducir el monto  legal  que</w:t>
        <w:br/>
        <w:t xml:space="preserve">         corresponda del pago provisional ordenado (supra párr. 233).</w:t>
        <w:br/>
        <w:br/>
        <w:br/>
        <w:t>Medidas de satisfacción</w:t>
        <w:br/>
        <w:br/>
        <w:br/>
        <w:t>a) Publicación de la Sentencia</w:t>
        <w:br/>
        <w:br/>
        <w:br/>
        <w:t xml:space="preserve">    237. Las representantes solicitaron a la Corte que ordenara al Estado la</w:t>
        <w:br/>
        <w:t xml:space="preserve">         publicación del “resumen ejecutivo” de la sentencia  en  el  Diario</w:t>
        <w:br/>
        <w:t xml:space="preserve">         Oficial, como así también en otro periódico  de  mayor  circulación</w:t>
        <w:br/>
        <w:t xml:space="preserve">         nacional, y la sentencia  íntegra  en  un  sitio  web  oficial  del</w:t>
        <w:br/>
        <w:t xml:space="preserve">         Estado, de manera accesible al público y desde la página de  inicio</w:t>
        <w:br/>
        <w:t xml:space="preserve">         del sitio web. El Estado señaló que haría la respectiva publicación</w:t>
        <w:br/>
        <w:t xml:space="preserve">         en el caso que la Corte así lo considere en su sentencia.</w:t>
        <w:br/>
        <w:br/>
        <w:t xml:space="preserve">    238. La Comisión no presentó alegatos específicos sobre este punto.</w:t>
        <w:br/>
        <w:br/>
        <w:t xml:space="preserve">    239. La Corte estima, como lo ha dispuesto en otros casos[233],  que  el</w:t>
        <w:br/>
        <w:t xml:space="preserve">         Estado debe publicar, en el plazo de seis meses, contado  a  partir</w:t>
        <w:br/>
        <w:t xml:space="preserve">         de la notificación de la presente Sentencia: a) el resumen  oficial</w:t>
        <w:br/>
        <w:t xml:space="preserve">         de la presente Sentencia elaborado por la Corte, por una sola  vez,</w:t>
        <w:br/>
        <w:t xml:space="preserve">         en el Diario Oficial en un tamaño de letra legible y  adecuado;  b)</w:t>
        <w:br/>
        <w:t xml:space="preserve">         el resumen oficial de la presente Sentencia elaborado por la Corte,</w:t>
        <w:br/>
        <w:t xml:space="preserve">         por una sola vez, en un diario de amplia circulación nacional en un</w:t>
        <w:br/>
        <w:t xml:space="preserve">         tamaño de letra legible y adecuado, y c) la presente  Sentencia  en</w:t>
        <w:br/>
        <w:t xml:space="preserve">         su integridad, disponible por un período de un año, en un sitio web</w:t>
        <w:br/>
        <w:t xml:space="preserve">         oficial del Estado, de manera accesible al público desde su  página</w:t>
        <w:br/>
        <w:t xml:space="preserve">         de inicio.</w:t>
        <w:br/>
        <w:br/>
        <w:t xml:space="preserve">    240. El Estado deberá informar de forma inmediata a  este  Tribunal  una</w:t>
        <w:br/>
        <w:t xml:space="preserve">         vez  que  proceda  a  realizar  cada  una  de   las   publicaciones</w:t>
        <w:br/>
        <w:t xml:space="preserve">         dispuestas, independientemente del plazo de un año  para  presentar</w:t>
        <w:br/>
        <w:t xml:space="preserve">         su primer informe dispuesto en el punto resolutivo  décimo  segundo</w:t>
        <w:br/>
        <w:t xml:space="preserve">         de la Sentencia.</w:t>
        <w:br/>
        <w:br/>
        <w:br/>
        <w:t>Otras medidas solicitadas</w:t>
        <w:br/>
        <w:br/>
        <w:br/>
        <w:t xml:space="preserve">    241. La Comisión solicitó a la Corte  que  ordenara  al  Estado  adoptar</w:t>
        <w:br/>
        <w:t xml:space="preserve">         medidas legislativas o de otra índole, necesarias  para  evitar  la</w:t>
        <w:br/>
        <w:t xml:space="preserve">         repetición de las violaciones declaradas en su informe de fondo. En</w:t>
        <w:br/>
        <w:t xml:space="preserve">         este sentido, consideró que el Estado debía  disponer  las  medidas</w:t>
        <w:br/>
        <w:t xml:space="preserve">         necesarias para: i) asegurar que las empresas estatales cumplan con</w:t>
        <w:br/>
        <w:t xml:space="preserve">         los fallos judiciales que  reconocen  derechos  pensionarios  a  ex</w:t>
        <w:br/>
        <w:t xml:space="preserve">         trabajadores; ii) asegurar que en el marco de la  privatización  de</w:t>
        <w:br/>
        <w:t xml:space="preserve">         empresas privadas se dispongan las debidas  salvaguardas  para  que</w:t>
        <w:br/>
        <w:t xml:space="preserve">         tal actuación no impida el cumplimiento de sentencias judiciales  a</w:t>
        <w:br/>
        <w:t xml:space="preserve">         favor de las personas jubiladas; iii) asegurar que los procesos  de</w:t>
        <w:br/>
        <w:t xml:space="preserve">         ejecución de sentencia cumplan  con  el  estándar  convencional  de</w:t>
        <w:br/>
        <w:t xml:space="preserve">         sencillez y rapidez; y iv) asegurar que las autoridades  judiciales</w:t>
        <w:br/>
        <w:t xml:space="preserve">         que conocen tales procesos se encuentren  facultados  legalmente  y</w:t>
        <w:br/>
        <w:t xml:space="preserve">         apliquen en la práctica los mecanismos coercitivos necesarios  para</w:t>
        <w:br/>
        <w:t xml:space="preserve">         garantizar el cumplimiento de los fallos judiciales.</w:t>
        <w:br/>
        <w:br/>
        <w:t xml:space="preserve">    242. Las representantes coincidieron con las peticiones  formuladas  por</w:t>
        <w:br/>
        <w:t xml:space="preserve">         la Comisión. Adicionalmente, solicitaron que se  ordene  al  Estado</w:t>
        <w:br/>
        <w:t xml:space="preserve">         capacitar a sus agentes en el respeto de los  derechos  humanos,  a</w:t>
        <w:br/>
        <w:t xml:space="preserve">         través  de  la  realización  de  cursos  para  “Jueces,   Fiscalía,</w:t>
        <w:br/>
        <w:t xml:space="preserve">         Defensoría del Pueblo y agentes de la ONP o que trabajen en materia</w:t>
        <w:br/>
        <w:t xml:space="preserve">         previsional en la Administración Pública, como los  del  Ministerio</w:t>
        <w:br/>
        <w:t xml:space="preserve">         de Economía y Finanzas”. Por otra parte, solicitaron a la Corte que</w:t>
        <w:br/>
        <w:t xml:space="preserve">         ordene al Estado diseñar una publicación o cartilla que  desarrolle</w:t>
        <w:br/>
        <w:t xml:space="preserve">         en forma sintética, clara y accesible los derechos de las  personas</w:t>
        <w:br/>
        <w:t xml:space="preserve">         mayores en relación con la seguridad social,  contemplados  en  los</w:t>
        <w:br/>
        <w:t xml:space="preserve">         estándares establecidos en  este  caso,  como  en  los  precedentes</w:t>
        <w:br/>
        <w:t xml:space="preserve">         “Cinco Pensionistas” y  “Acevedo  Buendía”.  Reclamaron  que  dicha</w:t>
        <w:br/>
        <w:t xml:space="preserve">         publicación (impresa y/o digital) se encuentre  disponible  en  las</w:t>
        <w:br/>
        <w:t xml:space="preserve">         reparticiones públicas que trabajen con la temática  previsional  y</w:t>
        <w:br/>
        <w:t xml:space="preserve">         en el sitio web del MEF  y  ONP.  Finalmente,  solicitaron  que  se</w:t>
        <w:br/>
        <w:t xml:space="preserve">         ordene al Estado implementar durante el plazo de tres  años,  desde</w:t>
        <w:br/>
        <w:t xml:space="preserve">         la  notificación  de  la  sentencia,  una  “política   general   de</w:t>
        <w:br/>
        <w:t xml:space="preserve">         protección integral a las personas mayores de conformidad  con  los</w:t>
        <w:br/>
        <w:t xml:space="preserve">         estándares en la materia”. Asimismo, las representantes solicitaron</w:t>
        <w:br/>
        <w:t xml:space="preserve">         la realización de un acto público de pedido de disculpas por  parte</w:t>
        <w:br/>
        <w:t xml:space="preserve">         de las más altas autoridades del Estado.</w:t>
        <w:br/>
        <w:br/>
        <w:t xml:space="preserve">    243. El Estado sostuvo que  la  medida  tendiente  a  que  las  empresas</w:t>
        <w:br/>
        <w:t xml:space="preserve">         estatales  cumplieran  con  los  fallos  judiciales  que  reconocen</w:t>
        <w:br/>
        <w:t xml:space="preserve">         derechos pensionarios a ex trabajadores, no  se  relaciona  con  el</w:t>
        <w:br/>
        <w:t xml:space="preserve">         presente caso, debido a que la empresa que debía cumplir  el  fallo</w:t>
        <w:br/>
        <w:t xml:space="preserve">         judicial dejó de ser estatal, siendo privatizada, con posterioridad</w:t>
        <w:br/>
        <w:t xml:space="preserve">         al primer proceso de amparo. Asimismo, señaló  que  de  conformidad</w:t>
        <w:br/>
        <w:t xml:space="preserve">         con la Ley N° 30137 el Estado debía dar prioridad a las  sentencias</w:t>
        <w:br/>
        <w:t xml:space="preserve">         que ordenaran el pago de deudas pensionarias y resaltó la  reciente</w:t>
        <w:br/>
        <w:t xml:space="preserve">         implementación de un mecanismo que determina  con  mayor  exactitud</w:t>
        <w:br/>
        <w:t xml:space="preserve">         aquellas sentencias cuyos pagos se encuentran pendientes, entre las</w:t>
        <w:br/>
        <w:t xml:space="preserve">         que están incluidos los “pagos pensionarios”.</w:t>
        <w:br/>
        <w:br/>
        <w:t xml:space="preserve">    244. En cuanto a la pretensión de adoptar las medidas legislativas o  de</w:t>
        <w:br/>
        <w:t xml:space="preserve">         otra índole necesarias para asegurar  que  las  empresas  estatales</w:t>
        <w:br/>
        <w:t xml:space="preserve">         cumplan  con  los  fallos   judiciales   que   reconocen   derechos</w:t>
        <w:br/>
        <w:t xml:space="preserve">         pensionarios a extrabajadores, así como con respeto a  la  adopción</w:t>
        <w:br/>
        <w:t xml:space="preserve">         de  salvaguardias  para  la  protección  de  los  derechos  de  los</w:t>
        <w:br/>
        <w:t xml:space="preserve">         pensionistas en contextos de privatizaciones, la Corte observa que,</w:t>
        <w:br/>
        <w:t xml:space="preserve">         en la actualidad, en el  ordenamiento  jurídico  del  Perú  existen</w:t>
        <w:br/>
        <w:t xml:space="preserve">         normas legales que permiten a las  autoridades  judiciales  imponer</w:t>
        <w:br/>
        <w:t xml:space="preserve">         medidas coercitivas  para  lograr  el  cumplimiento  de  decisiones</w:t>
        <w:br/>
        <w:t xml:space="preserve">         judiciales en general, así como  normas  desde  el  año  2002,  que</w:t>
        <w:br/>
        <w:t xml:space="preserve">         establecen que el MEF es la  entidad  encargado  de  los  pagos  de</w:t>
        <w:br/>
        <w:t xml:space="preserve">         pensiones de extrabajadores de empresas privatizadas (supra  párrs.</w:t>
        <w:br/>
        <w:t xml:space="preserve">         141 y 142). Ahora bien, si bien dicha normativa no fue aplicada  al</w:t>
        <w:br/>
        <w:t xml:space="preserve">         caso  concreto,  la  Corte  no  considera  pertinente  ordenar  las</w:t>
        <w:br/>
        <w:t xml:space="preserve">         garantías de repetición solicitadas. Tampoco  considera  pertinente</w:t>
        <w:br/>
        <w:t xml:space="preserve">         ordenar  un  acto  público  de  reconocimiento  de  responsabilidad</w:t>
        <w:br/>
        <w:t xml:space="preserve">         internacional, las capacitaciones, ni las  demás  garantías  de  no</w:t>
        <w:br/>
        <w:t xml:space="preserve">         repetición solicitadas por las representantes.</w:t>
        <w:br/>
        <w:br/>
        <w:br/>
        <w:t>Indemnizaciones compensatorias</w:t>
        <w:br/>
        <w:br/>
        <w:br/>
        <w:br/>
        <w:t xml:space="preserve">    245. La Comisión  solicitó  a  la  Corte,  en  términos  generales,  que</w:t>
        <w:br/>
        <w:t xml:space="preserve">         ordenara  al  Estado  reparar  integralmente  las  violaciones   de</w:t>
        <w:br/>
        <w:t xml:space="preserve">         derechos humanos declaradas en su Informe de  Fondo,  tanto  en  el</w:t>
        <w:br/>
        <w:t xml:space="preserve">         aspecto material como en el moral.</w:t>
        <w:br/>
        <w:br/>
        <w:t>D.1 Daño material</w:t>
        <w:br/>
        <w:br/>
        <w:br/>
        <w:t xml:space="preserve">    246. La Corte ha desarrollado en su jurisprudencia el concepto  de  daño</w:t>
        <w:br/>
        <w:t xml:space="preserve">         material y ha establecido que éste supone la pérdida  o  detrimento</w:t>
        <w:br/>
        <w:t xml:space="preserve">         de los ingresos de las víctimas, los gastos efectuados  con  motivo</w:t>
        <w:br/>
        <w:t xml:space="preserve">         de los hechos y las consecuencias de carácter pecuniario que tengan</w:t>
        <w:br/>
        <w:t xml:space="preserve">         un nexo causal con los hechos del caso[234].</w:t>
        <w:br/>
        <w:br/>
        <w:t>a) Daño emergente</w:t>
        <w:br/>
        <w:br/>
        <w:br/>
        <w:t xml:space="preserve">    247. Las representantes alegaron  que  el  Estado  debía  compensar  los</w:t>
        <w:br/>
        <w:t xml:space="preserve">         gastos incurridos con motivo de la tramitación del proceso judicial</w:t>
        <w:br/>
        <w:t xml:space="preserve">         interno durante casi 27 años, así como los honorarios  de  abogados</w:t>
        <w:br/>
        <w:t xml:space="preserve">         contratados. Igualmente solicitaron,  se  reembolsaran  los  gastos</w:t>
        <w:br/>
        <w:t xml:space="preserve">         médicos incurridos  y  “futuros”  del  señor  Muelle  Flores,  como</w:t>
        <w:br/>
        <w:t xml:space="preserve">         consecuencia de  haber  desarrollado  una  “hipoacusia  severa  con</w:t>
        <w:br/>
        <w:t xml:space="preserve">         pérdida total de un oído e importante reducción en la  audición  en</w:t>
        <w:br/>
        <w:t xml:space="preserve">         el otro”[235], agravamiento de su estado de salud por  Alzheimer  y</w:t>
        <w:br/>
        <w:t xml:space="preserve">         fractura de fémur. Las representantes destacaron que dichos  gastos</w:t>
        <w:br/>
        <w:t xml:space="preserve">         fueron ocasionados por el hecho de que el señor  Muelle  Flores  no</w:t>
        <w:br/>
        <w:t xml:space="preserve">         pudo acceder al seguro público en las  mismas  condiciones  que  el</w:t>
        <w:br/>
        <w:t xml:space="preserve">         resto de los pensionistas, debido  a  que  su  pensión  no  se  vio</w:t>
        <w:br/>
        <w:t xml:space="preserve">         materializada. Por  ello,  solicitaron  el  pago  de  una  suma  en</w:t>
        <w:br/>
        <w:t xml:space="preserve">         equidad, no inferior a US$52.000,00 (cincuenta y  dos  mil  dólares</w:t>
        <w:br/>
        <w:t xml:space="preserve">         americanos) “en base a un valor estimado  de  US$2.000,00  dos  mil</w:t>
        <w:br/>
        <w:t xml:space="preserve">         dólares americanos por año”.</w:t>
        <w:br/>
        <w:br/>
        <w:t xml:space="preserve">    248. El Estado sostuvo  que,  en  oposición  a  lo  solicitado  por  las</w:t>
        <w:br/>
        <w:t xml:space="preserve">         representantes, los gastos derivados del proceso  judicial  interno</w:t>
        <w:br/>
        <w:t xml:space="preserve">         no  podían  ser  alegados  como   daño   material,   debiendo   ser</w:t>
        <w:br/>
        <w:t xml:space="preserve">         peticionados como costas y gastos, por lo cual solicitó a la  Corte</w:t>
        <w:br/>
        <w:t xml:space="preserve">         su  rechazo  “por  no  ajustarse  con  el  concepto  de  la  medida</w:t>
        <w:br/>
        <w:t xml:space="preserve">         solicitada”. Asimismo, señaló que las representantes no  adjuntaron</w:t>
        <w:br/>
        <w:t xml:space="preserve">         documentación que acreditara los costos afrontados por  el  proceso</w:t>
        <w:br/>
        <w:t xml:space="preserve">         judicial interno, ni por la  enfermedad  auditiva  de  la  presunta</w:t>
        <w:br/>
        <w:t xml:space="preserve">         víctima,   ambos   conceptos   invocados   como   daño   emergente.</w:t>
        <w:br/>
        <w:t xml:space="preserve">         Adicionalmente, resaltó la inexistencia de  nexo  causal  entre  la</w:t>
        <w:br/>
        <w:t xml:space="preserve">         responsabilidad del Estado y las afectaciones a la salud del  señor</w:t>
        <w:br/>
        <w:t xml:space="preserve">         Muelle  Flores,  argumentando  que  se  desprende  del  escrito  de</w:t>
        <w:br/>
        <w:t xml:space="preserve">         solicitudes y argumentos que el origen de la dolencia era  anterior</w:t>
        <w:br/>
        <w:t xml:space="preserve">         a los hechos que motivaron el presente caso, y que  tampoco  se  ha</w:t>
        <w:br/>
        <w:t xml:space="preserve">         alegado que en la actualidad el señor Muelle Flores no tenga acceso</w:t>
        <w:br/>
        <w:t xml:space="preserve">         a tratamiento médico ni medicina. En consecuencia, concluyó que “no</w:t>
        <w:br/>
        <w:t xml:space="preserve">         concurr[ían] las condiciones  necesarias  para  que  se  otorg[ara]</w:t>
        <w:br/>
        <w:t xml:space="preserve">         válidamente  una  reparación  pecuniaria  por  concepto   de   daño</w:t>
        <w:br/>
        <w:t xml:space="preserve">         emergente”, solicitando a la Corte desestimar dicha pretensión.</w:t>
        <w:br/>
        <w:br/>
        <w:t xml:space="preserve">    249. La Corte considerará bajo el rubro de  daño  emergente  los  gastos</w:t>
        <w:br/>
        <w:t xml:space="preserve">         incurridos por el señor Muelle Flores que no estén relacionados con</w:t>
        <w:br/>
        <w:t xml:space="preserve">         los gastos relativos a la  tramitación  del  caso,  tanto  a  nivel</w:t>
        <w:br/>
        <w:t xml:space="preserve">         interno como ante la Comisión, los cuales serán analizados bajo  el</w:t>
        <w:br/>
        <w:t xml:space="preserve">         concepto de costas y gastos[236] (infra párrs. 270 a 273).</w:t>
        <w:br/>
        <w:br/>
        <w:t xml:space="preserve">    250. En relación con el  daño  emergente,  la  Corte  advierte  que  las</w:t>
        <w:br/>
        <w:t xml:space="preserve">         representantes basaron el monto solicitado en una serie  de  gastos</w:t>
        <w:br/>
        <w:t xml:space="preserve">         médicos desembolsados por el señor Muelle Flores como  consecuencia</w:t>
        <w:br/>
        <w:t xml:space="preserve">         de los padecimientos físicos a causa  del  deterioro  de  su  salud</w:t>
        <w:br/>
        <w:t xml:space="preserve">         (supra párrs. 52  y  164).  Al  respecto,  la  Corte  determinó  la</w:t>
        <w:br/>
        <w:t xml:space="preserve">         responsabilidad  internacional  del  Estado   por   la   falta   de</w:t>
        <w:br/>
        <w:t xml:space="preserve">         cumplimiento y posterior ejecución de los fallos internos, los que,</w:t>
        <w:br/>
        <w:t xml:space="preserve">         de haber sido cumplidos habrían permitido a la víctima acceder a un</w:t>
        <w:br/>
        <w:t xml:space="preserve">         régimen  de  prestación  del  servicio  de  salud  en  las   mismas</w:t>
        <w:br/>
        <w:t xml:space="preserve">         condiciones que los demás beneficiarios del régimen pensionario del</w:t>
        <w:br/>
        <w:t xml:space="preserve">         Decreto Ley N° 20530, como fue señalado por  este  Tribunal  (supra</w:t>
        <w:br/>
        <w:t xml:space="preserve">         párr.  149).  Asimismo,  la  Corte  concluyó  que   la   falta   de</w:t>
        <w:br/>
        <w:t xml:space="preserve">         materialización del derecho a la seguridad social  impidió  que  el</w:t>
        <w:br/>
        <w:t xml:space="preserve">         señor Muelle Flores accediera al seguro  social  de  salud  que  le</w:t>
        <w:br/>
        <w:t xml:space="preserve">         correspondía como jubilado. A pesar de que el Estado alegó  que  el</w:t>
        <w:br/>
        <w:t xml:space="preserve">         señor Muelle Flores podía haber  accedido  al  Seguro  Integral  de</w:t>
        <w:br/>
        <w:t xml:space="preserve">         Salud (SIS)[237], el propio Estado reconoció que  la  cobertura  de</w:t>
        <w:br/>
        <w:t xml:space="preserve">         este seguro variaba en relación con el que  le  correspondía  a  la</w:t>
        <w:br/>
        <w:t xml:space="preserve">         víctima, en su calidad  de  pensionista,  brindando  el  seguro  de</w:t>
        <w:br/>
        <w:t xml:space="preserve">         EsSalud una cobertura completa. Además, la Corte nota  que  el  SIS</w:t>
        <w:br/>
        <w:t xml:space="preserve">         fue creado en el año 2002. La Corte estima que  el  seguro  que  le</w:t>
        <w:br/>
        <w:t xml:space="preserve">         correspondía por derecho al señor Muelle Flores era el brindado por</w:t>
        <w:br/>
        <w:t xml:space="preserve">         la seguridad social a través de EsSalud. La víctima no  pudo  verse</w:t>
        <w:br/>
        <w:t xml:space="preserve">         beneficiado del mismo debido a la falta de pago de  sus  pensiones,</w:t>
        <w:br/>
        <w:t xml:space="preserve">         lo cual generó que los  tratamientos  de  salud  a  los  que  debió</w:t>
        <w:br/>
        <w:t xml:space="preserve">         someterse debieron ser costeados con su propio peculio.</w:t>
        <w:br/>
        <w:br/>
        <w:t xml:space="preserve">    251. Los representantes  presentaron  comprobantes  por  ciertos  gastos</w:t>
        <w:br/>
        <w:t xml:space="preserve">         médicos en conexión con la discapacidad auditiva de la víctima, así</w:t>
        <w:br/>
        <w:t xml:space="preserve">         como por concepto de diagnóstico  y  gastos  médicos[238]  por  una</w:t>
        <w:br/>
        <w:t xml:space="preserve">         fractura de cadera y por su padecimiento de síndrome de  Alzheimer.</w:t>
        <w:br/>
        <w:t xml:space="preserve">         Además, señalaron  que  por  el  transcurso  del  tiempo  se  veían</w:t>
        <w:br/>
        <w:t xml:space="preserve">         imposibilitados de adjuntar comprobantes anteriores y  de  calcular</w:t>
        <w:br/>
        <w:t xml:space="preserve">         el monto total desembolsado por la víctima por concepto  de  salud.</w:t>
        <w:br/>
        <w:t xml:space="preserve">         En consecuencia, si bien el monto comprobado en el expediente  ante</w:t>
        <w:br/>
        <w:t xml:space="preserve">         esta Corte se refiere a los gastos de salud más recientes del señor</w:t>
        <w:br/>
        <w:t xml:space="preserve">         Muelle Flores, ascendentes a la suma de S/8,626.41 nuevos soles, es</w:t>
        <w:br/>
        <w:t xml:space="preserve">         decir  US$2,590.00  aproximadamente  (dos  mil  quinientos  noventa</w:t>
        <w:br/>
        <w:t xml:space="preserve">         dólares de los Estados Unidos de América), la Corte presume que  el</w:t>
        <w:br/>
        <w:t xml:space="preserve">         señor Muelle Flores incurrió en gastos adicionales derivados de las</w:t>
        <w:br/>
        <w:t xml:space="preserve">         violaciones de derechos humanos  cometidas  por  el  Estado  en  el</w:t>
        <w:br/>
        <w:t xml:space="preserve">         presente caso.  En  este  sentido,  la  Corte  considera  razonable</w:t>
        <w:br/>
        <w:t xml:space="preserve">         ordenar el pago de la suma de US$ 10.000,00 (diez  mil  dólares  de</w:t>
        <w:br/>
        <w:t xml:space="preserve">         los Estados Unidos de América), por concepto de daño emergente,  el</w:t>
        <w:br/>
        <w:t xml:space="preserve">         que deberá ser pagado a favor del señor Muelle Flores, en el  plazo</w:t>
        <w:br/>
        <w:t xml:space="preserve">         de  seis  meses,  a  partir  de  la  notificación  de  la  presente</w:t>
        <w:br/>
        <w:t xml:space="preserve">         Sentencia. La Corte considera que la solicitud sobre  la  cobertura</w:t>
        <w:br/>
        <w:t xml:space="preserve">         de gastos futuros de la víctima queda cubierta bajo  la  medida  de</w:t>
        <w:br/>
        <w:t xml:space="preserve">         restitución de derechos ordenada.</w:t>
        <w:br/>
        <w:br/>
        <w:t>b) Pérdida de ingresos</w:t>
        <w:br/>
        <w:br/>
        <w:br/>
        <w:t xml:space="preserve">    252. La Comisión solicitó a  la  Corte  que  ordenara  el  pago  de  las</w:t>
        <w:br/>
        <w:t xml:space="preserve">         pensiones dejadas de percibir desde el momento de la jubilación del</w:t>
        <w:br/>
        <w:t xml:space="preserve">         señor Muelle Flores hasta la fecha en que se haga efectivo el pago.</w:t>
        <w:br/>
        <w:br/>
        <w:br/>
        <w:br/>
        <w:t xml:space="preserve">    253. Las representantes solicitaron que el pago de la pensión del  señor</w:t>
        <w:br/>
        <w:t xml:space="preserve">         Muelle Flores se haga de  manera  retroactiva,  con  la  corrección</w:t>
        <w:br/>
        <w:t xml:space="preserve">         monetaria y el interés por mora correspondiente, desde la fecha  de</w:t>
        <w:br/>
        <w:t xml:space="preserve">         su cesación arbitraria en febrero 1991 hasta el cumplimiento  total</w:t>
        <w:br/>
        <w:t xml:space="preserve">         efectivo de dicha pensión, respetando nivelación  y  aplicando  las</w:t>
        <w:br/>
        <w:t xml:space="preserve">         normas más  favorables  para  el  pensionista.  Las  representantes</w:t>
        <w:br/>
        <w:t xml:space="preserve">         controvirtieron en su escrito de 9 de enero de 2019, y en  relación</w:t>
        <w:br/>
        <w:t xml:space="preserve">         con las medidas adoptadas por el Estado descritas infra,  el  monto</w:t>
        <w:br/>
        <w:t xml:space="preserve">         calculado por el Estado (S/1,337.61 nuevos soles) como remuneración</w:t>
        <w:br/>
        <w:t xml:space="preserve">         nivelada, y señalaron que dicho monto no se correspondía con lo que</w:t>
        <w:br/>
        <w:t xml:space="preserve">         un funcionario público del nivel jerárquico del señor Muelle Flores</w:t>
        <w:br/>
        <w:t xml:space="preserve">         debía ganar. De forma subsidiaria, y solo para el caso  en  que  se</w:t>
        <w:br/>
        <w:t xml:space="preserve">         determine que el monto de la pensión nivelada corresponde a la suma</w:t>
        <w:br/>
        <w:t xml:space="preserve">         de S/1,337.61 nuevos soles, solicitaron  que  esta  sea  reconocida</w:t>
        <w:br/>
        <w:t xml:space="preserve">         desde que el señor Muelle dejó de  recibir  su  pensión,  es  decir</w:t>
        <w:br/>
        <w:t xml:space="preserve">         desde  febrero  de  1991,  y  se  considere  la  incidencia  de  la</w:t>
        <w:br/>
        <w:t xml:space="preserve">         corrección monetaria, más los intereses por mora y demás devengados</w:t>
        <w:br/>
        <w:t xml:space="preserve">         desde el ilícito.  Asimismo,  las  representantes  manifestaron  su</w:t>
        <w:br/>
        <w:t xml:space="preserve">         desacuerdo con el descuento retroactivo de S/6,563.93 nuevos  soles</w:t>
        <w:br/>
        <w:t xml:space="preserve">         respecto al 4% de EsSalud, ya  que  del  periodo  1991  a  2018  la</w:t>
        <w:br/>
        <w:t xml:space="preserve">         víctima no tuvo acceso a los servicios de salud pública.</w:t>
        <w:br/>
        <w:br/>
        <w:t xml:space="preserve">    254. El Estado señaló que se realizaron una  serie  de  pagos  parciales</w:t>
        <w:br/>
        <w:t xml:space="preserve">         entre 1999 y 2001 y en consecuencia dichos pagos deben ser tornados</w:t>
        <w:br/>
        <w:t xml:space="preserve">         en cuenta al momento de analizar las  reparaciones  económicas.  El</w:t>
        <w:br/>
        <w:t xml:space="preserve">         Estado señaló en su escrito de prueba para mejor  resolver  que  de</w:t>
        <w:br/>
        <w:t xml:space="preserve">         conformidad  con  el  Ministerio  de  Economía  y  Finanzas,   ente</w:t>
        <w:br/>
        <w:t xml:space="preserve">         responsable del pago de las pensiones del señor Muelle  Flores,  en</w:t>
        <w:br/>
        <w:t xml:space="preserve">         su calidad de administrador del régimen del Decreto Ley No.  20530,</w:t>
        <w:br/>
        <w:t xml:space="preserve">         informó que “[d]e conformidad con la Escala 11 del Decreto  Supremo</w:t>
        <w:br/>
        <w:t xml:space="preserve">         No.051-91-PCM, vigente al 01  de  febrero  de  1991,  al  cargo  de</w:t>
        <w:br/>
        <w:t xml:space="preserve">         Gerente General  Adjunto,  le  correspondería  la  categoría  F-4”.</w:t>
        <w:br/>
        <w:t xml:space="preserve">         Asimismo, el MEF informó que con base en lo señalado por el  perito</w:t>
        <w:br/>
        <w:t xml:space="preserve">         del Estado peruano, el contrato de compraventa suscrito en el marco</w:t>
        <w:br/>
        <w:t xml:space="preserve">         de la privatización de la empresa estatal Tintaya  S.A.  establecía</w:t>
        <w:br/>
        <w:t xml:space="preserve">         que la misma “no te[nía] jubilados”, por lo que de forma  explícita</w:t>
        <w:br/>
        <w:t xml:space="preserve">         se señala que dicha empresa no contaba con  pasivos  previsionales,</w:t>
        <w:br/>
        <w:t xml:space="preserve">         en tal sentido no se contaba con  toda  la  información  sobre  los</w:t>
        <w:br/>
        <w:t xml:space="preserve">         pagos de pensiones  que  venía  percibiendo  el  pensionista  hasta</w:t>
        <w:br/>
        <w:t xml:space="preserve">         febrero de 1991, solamente que sus  últimos  pagos  eran  de  S/800</w:t>
        <w:br/>
        <w:t xml:space="preserve">         soles. Además, el Estado indicó que, conforme al peritaje del señor</w:t>
        <w:br/>
        <w:t xml:space="preserve">         González Hunt, no se  podían  efectuar  las  nivelaciones  con  los</w:t>
        <w:br/>
        <w:t xml:space="preserve">         trabajadores de actividad privada, sino que  se  deberían  efectuar</w:t>
        <w:br/>
        <w:t xml:space="preserve">         con trabajadores sujetos al régimen de la  actividad  pública.  Por</w:t>
        <w:br/>
        <w:t xml:space="preserve">         todo ello, el Estado señaló que el MEF hizo un cálculo con base  en</w:t>
        <w:br/>
        <w:t xml:space="preserve">         los reportes de pagos anuales de funcionarios de la misma categoría</w:t>
        <w:br/>
        <w:t xml:space="preserve">         F-4 que laboraban  en  el  MEF  y  concluyó  que  percibieron  como</w:t>
        <w:br/>
        <w:t xml:space="preserve">         remuneración total permanente (remuneración principal, bonificación</w:t>
        <w:br/>
        <w:t xml:space="preserve">         personal y familiar, remuneración transitoria para  homologación  y</w:t>
        <w:br/>
        <w:t xml:space="preserve">         bonificación por refrigerio y  movilidad)  la  suma  aproximada  de</w:t>
        <w:br/>
        <w:t xml:space="preserve">         S/263.83 Soles (a febrero de 1991).  El  MEF  señaló  que  la  suma</w:t>
        <w:br/>
        <w:t xml:space="preserve">         nivelada con progresión hasta la actualidad es de S/1,337.61 soles.</w:t>
        <w:br/>
        <w:br/>
        <w:t xml:space="preserve">    255. El Estado resaltó la diferencia del monto que la víctima percibía a</w:t>
        <w:br/>
        <w:t xml:space="preserve">         febrero de 1991 (S/800 soles) y lo que percibían  los  funcionarios</w:t>
        <w:br/>
        <w:t xml:space="preserve">         de  la  misma  categoría  remunerativa  del  MEF  (S/263.83  soles,</w:t>
        <w:br/>
        <w:t xml:space="preserve">         funcionarios públicos de régimen laboral público). Sin embargo,  el</w:t>
        <w:br/>
        <w:t xml:space="preserve">         Estado señaló que para no generar reajustes menores a lo que  venía</w:t>
        <w:br/>
        <w:t xml:space="preserve">         percibiendo  el  señor  Muelle  Flores,  el  MEF  establecería  que</w:t>
        <w:br/>
        <w:t xml:space="preserve">         correspondía abonar en forma definitiva  la  suma  de  S/800  desde</w:t>
        <w:br/>
        <w:t xml:space="preserve">         febrero de 1991 y desde la eventual emisión de la Sentencia  de  la</w:t>
        <w:br/>
        <w:t xml:space="preserve">         Corte, la suma nivelada de S/1,337.61 soles.</w:t>
        <w:br/>
        <w:br/>
        <w:t xml:space="preserve">    256. Asimismo, en su escrito de 20  de  diciembre  de  2018,  el  Estado</w:t>
        <w:br/>
        <w:t xml:space="preserve">         informó que mediante la Resolución Directoral No. 635-2018-EF/43.02</w:t>
        <w:br/>
        <w:t xml:space="preserve">         del MEF, y en el marco de la  solicitud  de  medidas  provisionales</w:t>
        <w:br/>
        <w:t xml:space="preserve">         presentadas  por  las  representantes  (supra  párr.  12),  decidió</w:t>
        <w:br/>
        <w:t xml:space="preserve">         “reconocer el  pago  con  eficacia  anticipada”  de  las  pensiones</w:t>
        <w:br/>
        <w:t xml:space="preserve">         dejadas de percibir, por un monto ascendente a S/. 175,898.00 soles</w:t>
        <w:br/>
        <w:t xml:space="preserve">         ($53,791  aprox.),  de  los  cuales  se  realizó  un  descuento  de</w:t>
        <w:br/>
        <w:t xml:space="preserve">         S/6,563.92 nuevos soles,  correspondiente  al  4%  del  aporte  del</w:t>
        <w:br/>
        <w:t xml:space="preserve">         pensionista Muelle Flores, con el fin  de  que  tuviera  acceso  al</w:t>
        <w:br/>
        <w:t xml:space="preserve">         seguro de salud EsSalud. En virtud  de  las  acciones  tomadas,  el</w:t>
        <w:br/>
        <w:t xml:space="preserve">         Estado solicitó a la Corte que descontara los montos  asignados  de</w:t>
        <w:br/>
        <w:t xml:space="preserve">         cualquier indemnización que sea eventualmente ordenada.</w:t>
        <w:br/>
        <w:br/>
        <w:t xml:space="preserve">    257. La Corte sostuvo que el señor Muelle Flores sufrió una  vulneración</w:t>
        <w:br/>
        <w:t xml:space="preserve">         de sus derechos a la seguridad social, a la integridad personal,  a</w:t>
        <w:br/>
        <w:t xml:space="preserve">         la dignidad, a la propiedad, a las  garantías  judiciales  y  a  la</w:t>
        <w:br/>
        <w:t xml:space="preserve">         protección judicial, con motivo de la falta  de  ejecución  de  las</w:t>
        <w:br/>
        <w:t xml:space="preserve">         sentencias que le otorgaron el derecho a la pensión,  ya  que  esta</w:t>
        <w:br/>
        <w:t xml:space="preserve">         fue suspendida desde febrero de 1991 y no ha sido restituida  hasta</w:t>
        <w:br/>
        <w:t xml:space="preserve">         la actualidad (supra párrs. 149 y 208). De este modo,  el  Tribunal</w:t>
        <w:br/>
        <w:t xml:space="preserve">         considera  que  existe  un  nexo  causal  entre   las   violaciones</w:t>
        <w:br/>
        <w:t xml:space="preserve">         declaradas en el presente caso y los daños económicos por  concepto</w:t>
        <w:br/>
        <w:t xml:space="preserve">         de pérdida de ingresos pensionarios.</w:t>
        <w:br/>
        <w:br/>
        <w:t xml:space="preserve">    258. En el presente caso, la Corte resalta  que  las  representantes  no</w:t>
        <w:br/>
        <w:t xml:space="preserve">         solicitaron un monto  específico  por  concepto  de  las  pensiones</w:t>
        <w:br/>
        <w:t xml:space="preserve">         adeudadas  y  no  ofrecieron  prueba  al  respecto,  debido  a   la</w:t>
        <w:br/>
        <w:t xml:space="preserve">         imposibilidad en  la  que  se  encontraban  de  calcular  el  monto</w:t>
        <w:br/>
        <w:t xml:space="preserve">         nivelado que le hubiera correspondido al señor Muelle  Flores.  Sin</w:t>
        <w:br/>
        <w:t xml:space="preserve">         embargo, de modo referencial, el señor  Muelle  Flores  señaló  que</w:t>
        <w:br/>
        <w:t xml:space="preserve">         luego de su jubilación, el salario de un  Gerente  General  Adjunto</w:t>
        <w:br/>
        <w:t xml:space="preserve">         ascendía a la suma de S/3,000 soles, y las representantes indicaron</w:t>
        <w:br/>
        <w:t xml:space="preserve">         que de conformidad con el  Portal  de  Transparencia  peruano,  los</w:t>
        <w:br/>
        <w:t xml:space="preserve">         montos  actuales  que  recibían  los  cargos  de  gerencia  de   la</w:t>
        <w:br/>
        <w:t xml:space="preserve">         Administración Pública no eran inferiores a un  valor  de  S/15,600</w:t>
        <w:br/>
        <w:t xml:space="preserve">         nuevos  soles  mensuales.  Asimismo,  conforme  a  la   información</w:t>
        <w:br/>
        <w:t xml:space="preserve">         propuesta por el Estado, las sumas por concepto de  pensión  serían</w:t>
        <w:br/>
        <w:t xml:space="preserve">         de S/263.83 y de S/1,337.61 si  fueran  niveladas.  Ante  ello,  la</w:t>
        <w:br/>
        <w:t xml:space="preserve">         Corte nota que existe una diferencia sustancial entre el  resultado</w:t>
        <w:br/>
        <w:t xml:space="preserve">         final de los cálculos que  presenta  el  Estado  y  la  información</w:t>
        <w:br/>
        <w:t xml:space="preserve">         referencial del señor Muelle Flores, así como la aportada  por  las</w:t>
        <w:br/>
        <w:t xml:space="preserve">         representantes  de  conformidad  con  el  Portal  de  Transparencia</w:t>
        <w:br/>
        <w:t xml:space="preserve">         peruano. Con el objetivo de determinar los montos por  concepto  de</w:t>
        <w:br/>
        <w:t xml:space="preserve">         pensión que debió haber recibido el señor Muelle Flores se solicitó</w:t>
        <w:br/>
        <w:t xml:space="preserve">         prueba para mejor  resolver  al  Estado  y  se  otorgaron  diversas</w:t>
        <w:br/>
        <w:t xml:space="preserve">         posibilidades  para  que  cada  parte  desvirtuara  los   criterios</w:t>
        <w:br/>
        <w:t xml:space="preserve">         utilizados  por  la  contraparte  para  efectuar  el  cálculo.  Sin</w:t>
        <w:br/>
        <w:t xml:space="preserve">         embargo, la Corte entiende que dicha  información  recae  en  manos</w:t>
        <w:br/>
        <w:t xml:space="preserve">         solo del Estado, siendo muy difícil para las  representantes  poder</w:t>
        <w:br/>
        <w:t xml:space="preserve">         aportar criterios que desvirtúen lo alegado por el mismo.</w:t>
        <w:br/>
        <w:br/>
        <w:t xml:space="preserve">    259.  En consecuencia, teniendo en cuenta: i) lo alegado por las  partes</w:t>
        <w:br/>
        <w:t xml:space="preserve">         respecto  a  los  montos  dejados  de  percibir  por  concepto   de</w:t>
        <w:br/>
        <w:t xml:space="preserve">         pensiones;  ii)  la  significativa  diferencia  entre  los   montos</w:t>
        <w:br/>
        <w:t xml:space="preserve">         propuestos por el Estado y por la  víctima  y  sus  representantes;</w:t>
        <w:br/>
        <w:t xml:space="preserve">         iii)  los  pagos  parciales  efectuados  por  la  empresa   privada</w:t>
        <w:br/>
        <w:t xml:space="preserve">         ascendente a la suma de S/97,600 soles; iv) los pagos de S/800  por</w:t>
        <w:br/>
        <w:t xml:space="preserve">         concepto de pensión provisional realizados por el Estado desde el 1</w:t>
        <w:br/>
        <w:t xml:space="preserve">         de enero de 2018; v) el pago con eficacia anticipada  por  concepto</w:t>
        <w:br/>
        <w:t xml:space="preserve">         de pensiones devengadas no cobradas de S/175,989.00  nuevos  soles;</w:t>
        <w:br/>
        <w:t xml:space="preserve">         vi) que no se podían efectuar las nivelaciones con los trabajadores</w:t>
        <w:br/>
        <w:t xml:space="preserve">         de  actividad  privada,  sino  que   se   deberían   efectuar   con</w:t>
        <w:br/>
        <w:t xml:space="preserve">         trabajadores sujetos al régimen de la actividad pública[239];  vii)</w:t>
        <w:br/>
        <w:t xml:space="preserve">         que los  pensionistas  tienen  derecho  al  pago  de  12  pensiones</w:t>
        <w:br/>
        <w:t xml:space="preserve">         anuales,  una  bonificación  por  escolaridad,  una  aguinaldo  por</w:t>
        <w:br/>
        <w:t xml:space="preserve">         fiestas patrias y un aguinaldo por navidad, y viii) la  complejidad</w:t>
        <w:br/>
        <w:t xml:space="preserve">         del cálculo, la Corte dispone, la suma de  US$  120,000.00  (ciento</w:t>
        <w:br/>
        <w:t xml:space="preserve">         veinte  mil  dólares  de  los  Estados  Unidos  de  América)   como</w:t>
        <w:br/>
        <w:t xml:space="preserve">         indemnización compensatoria por concepto de  pensiones  dejadas  de</w:t>
        <w:br/>
        <w:t xml:space="preserve">         percibir desde el 1 de febrero de  1991  hasta  el  momento  de  la</w:t>
        <w:br/>
        <w:t xml:space="preserve">         notificación de la presente Sentencia.  Dicha  suma  comprende  los</w:t>
        <w:br/>
        <w:t xml:space="preserve">         intereses y moras aplicables. De igual manera, la  Corte  considera</w:t>
        <w:br/>
        <w:t xml:space="preserve">         que no es  procedente  que  el  Estado  haya  cobrado  la  suma  de</w:t>
        <w:br/>
        <w:t xml:space="preserve">         S/6,563.92 nuevos soles de forma retroactiva al señor Muelle Flores</w:t>
        <w:br/>
        <w:t xml:space="preserve">         por concepto de cobertura de gastos de salud respecto a un  periodo</w:t>
        <w:br/>
        <w:t xml:space="preserve">         en el cual la víctima no gozó de dicha cobertura,  por  lo  que  el</w:t>
        <w:br/>
        <w:t xml:space="preserve">         Estado deberá reembolsar dicho  monto  a  la  víctima.  Los  montos</w:t>
        <w:br/>
        <w:t xml:space="preserve">         ordenados deberán ser pagados en el plazo de  seis  meses,  por  el</w:t>
        <w:br/>
        <w:t xml:space="preserve">         Ministerio de Economía y Finanzas, o por cualquier entidad  que  en</w:t>
        <w:br/>
        <w:t xml:space="preserve">         su reemplazo designe el Estado, contado a partir de la notificación</w:t>
        <w:br/>
        <w:t xml:space="preserve">         de la Sentencia. Los montos deberán ser  pagados  al  señor  Muelle</w:t>
        <w:br/>
        <w:t xml:space="preserve">         Flores  directamente,  o  por  intermedio   de   un   representante</w:t>
        <w:br/>
        <w:t xml:space="preserve">         debidamente acreditado, en el caso de que no se  encuentre  en  las</w:t>
        <w:br/>
        <w:t xml:space="preserve">         posibilidades de hacerlo, debido a su condición de salud.</w:t>
        <w:br/>
        <w:br/>
        <w:t>D.2   Daño inmaterial</w:t>
        <w:br/>
        <w:br/>
        <w:br/>
        <w:t xml:space="preserve">    260. Las representantes invocaron “la angustia continuada sufrida”,  una</w:t>
        <w:br/>
        <w:t xml:space="preserve">         “muy larga espera” y el “grave deterioro en las condiciones de vida</w:t>
        <w:br/>
        <w:t xml:space="preserve">         de la víctima”, respecto de la cual alegaron que  se  encuentra  en</w:t>
        <w:br/>
        <w:t xml:space="preserve">         una “especial situación de vulnerabilidad social”, agravada por  la</w:t>
        <w:br/>
        <w:t xml:space="preserve">         edad avanzada (82 años) y por  su  discapacidad  auditiva  crónica,</w:t>
        <w:br/>
        <w:t xml:space="preserve">         solicitando un monto calculado  sobre  la  base  de  equidad  y  no</w:t>
        <w:br/>
        <w:t xml:space="preserve">         inferior a US$ 20.000,00 (veinte mil dólares americanos) de acuerdo</w:t>
        <w:br/>
        <w:t xml:space="preserve">         a lo establecido en el Caso Lagos del Campo Vs. Perú,  peticionando</w:t>
        <w:br/>
        <w:t xml:space="preserve">         su  elevación  en   virtud   de   las   circunstancias   agravantes</w:t>
        <w:br/>
        <w:t xml:space="preserve">         mencionadas.</w:t>
        <w:br/>
        <w:br/>
        <w:t xml:space="preserve">    261. El Estado señaló que “no se ha explicado de forma detallada  y  con</w:t>
        <w:br/>
        <w:t xml:space="preserve">         precisiones el grave deterioro en las condiciones  de  vida  de  la</w:t>
        <w:br/>
        <w:t xml:space="preserve">         víctima”. Agregó que ello no ha  sido  demostrado,  y  que  tampoco</w:t>
        <w:br/>
        <w:t xml:space="preserve">         puede presumirse. Asimismo, remarcó su oposición al otorgamiento de</w:t>
        <w:br/>
        <w:t xml:space="preserve">         una reparación pecuniaria por concepto de daño al proyecto de  vida</w:t>
        <w:br/>
        <w:t xml:space="preserve">         por considerarlo una categoría “en desuso”, solicitando a la  Corte</w:t>
        <w:br/>
        <w:t xml:space="preserve">         su rechazo.</w:t>
        <w:br/>
        <w:br/>
        <w:t xml:space="preserve">    262. La Corte ha establecido en su jurisprudencia que el daño inmaterial</w:t>
        <w:br/>
        <w:t xml:space="preserve">         “puede comprender tanto los sufrimientos y las aflicciones causados</w:t>
        <w:br/>
        <w:t xml:space="preserve">         por la violación como el menoscabo de  valores  muy  significativos</w:t>
        <w:br/>
        <w:t xml:space="preserve">         para  las  personas  y  cualquier  alteración,   de   carácter   no</w:t>
        <w:br/>
        <w:t xml:space="preserve">         pecuniario, en las condiciones de existencia de las víctimas”.  Por</w:t>
        <w:br/>
        <w:t xml:space="preserve">         otra parte, dado que no es posible asignar al  daño  inmaterial  un</w:t>
        <w:br/>
        <w:t xml:space="preserve">         equivalente  monetario  preciso,   sólo   puede   ser   objeto   de</w:t>
        <w:br/>
        <w:t xml:space="preserve">         compensación, para  los  fines  de  la  reparación  integral  a  la</w:t>
        <w:br/>
        <w:t xml:space="preserve">         víctima, mediante el pago de una cantidad de dinero o la entrega de</w:t>
        <w:br/>
        <w:t xml:space="preserve">         bienes o servicios apreciables en dinero, que el Tribunal determine</w:t>
        <w:br/>
        <w:t xml:space="preserve">         en aplicación razonable del arbitrio  judicial  y  en  términos  de</w:t>
        <w:br/>
        <w:t xml:space="preserve">         equidad[240].</w:t>
        <w:br/>
        <w:br/>
        <w:t xml:space="preserve">    263. Corresponde entonces que la Corte  determine  si,  en  el  presente</w:t>
        <w:br/>
        <w:t xml:space="preserve">         caso, el incumplimiento de las sentencias de la  Corte  Suprema  de</w:t>
        <w:br/>
        <w:t xml:space="preserve">         Justicia y del Tribunal Constitucional y la consecuente  afectación</w:t>
        <w:br/>
        <w:t xml:space="preserve">         al derecho a la seguridad  social  y  a  la  propiedad  privada  en</w:t>
        <w:br/>
        <w:t xml:space="preserve">         relación con la falta de tutela judicial efectiva, generó  un  daño</w:t>
        <w:br/>
        <w:t xml:space="preserve">         inmaterial en perjuicio de la víctima.</w:t>
        <w:br/>
        <w:br/>
        <w:t xml:space="preserve">    264. Al respecto, la Corte toma nota de que el señor  Muelle  Flores  no</w:t>
        <w:br/>
        <w:t xml:space="preserve">         pudo remitir su declaración jurada, debido a la situación de  salud</w:t>
        <w:br/>
        <w:t xml:space="preserve">         en la cual se encuentra actualmente, ya que fue  diagnosticado  con</w:t>
        <w:br/>
        <w:t xml:space="preserve">         “demencia senil tipo Alzheimer”. En este sentido, la Corte constató</w:t>
        <w:br/>
        <w:t xml:space="preserve">         mediante dos videos allegados  como  prueba  sobreviniente  de  los</w:t>
        <w:br/>
        <w:t xml:space="preserve">         representantes, el deterioro de la condición física de la víctima.</w:t>
        <w:br/>
        <w:br/>
        <w:t xml:space="preserve">    265. Sin embargo, su hija Vibeke Ann Muelle Jensen declaró que su  padre</w:t>
        <w:br/>
        <w:t xml:space="preserve">         le expresó  “su  preocupación”  por  lo  que  “se  le  debía”;  las</w:t>
        <w:br/>
        <w:t xml:space="preserve">         “necesidades límite”  que  sufría,  así  como  “los  problemas  que</w:t>
        <w:br/>
        <w:t xml:space="preserve">         significa[ron] no tener atención en  salud”.  Asimismo  resaltó  la</w:t>
        <w:br/>
        <w:t xml:space="preserve">         angustia que padecía por “las diligencias  [judiciales]  que  tenía</w:t>
        <w:br/>
        <w:t xml:space="preserve">         que hacer  [é]l  para  poder”  acceder  a  su  pensión.  Finalmente</w:t>
        <w:br/>
        <w:t xml:space="preserve">         describió la consecuencia que significaba la “limitación para poder</w:t>
        <w:br/>
        <w:t xml:space="preserve">         cubrir su tema de salud y […] no tener una situación  de  bienestar</w:t>
        <w:br/>
        <w:t xml:space="preserve">         de acuerdo a  la  condición  profesional  que  ha  tenido  toda  su</w:t>
        <w:br/>
        <w:t xml:space="preserve">         vida”[241]. Por su parte, Jesús Aníbal Delgado Flores,  hermano  de</w:t>
        <w:br/>
        <w:t xml:space="preserve">         la víctima señaló que éste sufrió “una depresión nerviosa  tremenda</w:t>
        <w:br/>
        <w:t xml:space="preserve">         y” que tuvo “que apoyarlo económicamente y en la casa [ya  que]  ha</w:t>
        <w:br/>
        <w:t xml:space="preserve">         perdido la audición por el estrés”[242].</w:t>
        <w:br/>
        <w:br/>
        <w:t xml:space="preserve">    266. De dichas declaraciones, se resalta que la víctima no pudo gozar de</w:t>
        <w:br/>
        <w:t xml:space="preserve">         la seguridad económica que representa el goce de la pensión íntegra</w:t>
        <w:br/>
        <w:t xml:space="preserve">         a la que se hizo acreedor a partir de sus aportaciones, durante más</w:t>
        <w:br/>
        <w:t xml:space="preserve">         de 27 años,  debiendo  sobrevivir  de  la  buena  voluntad  de  sus</w:t>
        <w:br/>
        <w:t xml:space="preserve">         familiares, así como de la falta de ejecución de las sentencias por</w:t>
        <w:br/>
        <w:t xml:space="preserve">         más de 25 años. En consecuencia, la Corte  estima  que  la  víctima</w:t>
        <w:br/>
        <w:t xml:space="preserve">         experimentó  frustraciones,  angustia  y  sufrimiento,  aunado   al</w:t>
        <w:br/>
        <w:t xml:space="preserve">         deterioro progresivo y actualmente agravado de su estado de salud.</w:t>
        <w:br/>
        <w:br/>
        <w:t xml:space="preserve">    267. Si bien en reiterada jurisprudencia este  Tribunal  ha  establecido</w:t>
        <w:br/>
        <w:t xml:space="preserve">         que  una  sentencia  declaratoria  de  una  violación  de  derechos</w:t>
        <w:br/>
        <w:t xml:space="preserve">         constituye per se una forma de reparación[243], y así lo reitera en</w:t>
        <w:br/>
        <w:t xml:space="preserve">         esta ocasión, en  el  presente  caso  la  Corte  considera  que  la</w:t>
        <w:br/>
        <w:t xml:space="preserve">         incertidumbre, angustia y sufrimiento del señor Muelle Flores, como</w:t>
        <w:br/>
        <w:t xml:space="preserve">         consecuencia  del  incumplimiento  de  las  sentencias   judiciales</w:t>
        <w:br/>
        <w:t xml:space="preserve">         emitidas  a  su  favor,  determina  la  configuración  de  un  daño</w:t>
        <w:br/>
        <w:t xml:space="preserve">         inmaterial susceptible de  reparación  mediante  una  indemnización</w:t>
        <w:br/>
        <w:t xml:space="preserve">         compensatoria, conforme a  la  equidad[244].  En  consecuencia,  la</w:t>
        <w:br/>
        <w:t xml:space="preserve">         Corte fija en equidad, por concepto de daño inmaterial, la cantidad</w:t>
        <w:br/>
        <w:t xml:space="preserve">         de US$ 7.000,00  (siete  mil  dólares  de  los  Estados  Unidos  de</w:t>
        <w:br/>
        <w:t xml:space="preserve">         América) a favor del señor Oscar  Muelle  Flores.  El  Estado  debe</w:t>
        <w:br/>
        <w:t xml:space="preserve">         efectuar el pago de este monto dentro del plazo de  seis  meses,  a</w:t>
        <w:br/>
        <w:t xml:space="preserve">         partir de la notificación de la presente Sentencia.</w:t>
        <w:br/>
        <w:br/>
        <w:br/>
        <w:t>Costas y Gastos</w:t>
        <w:br/>
        <w:br/>
        <w:br/>
        <w:br/>
        <w:t xml:space="preserve">    268. Las representantes solicitaron a la Corte que ordenara al Estado el</w:t>
        <w:br/>
        <w:t xml:space="preserve">         pago de las costas y gastos que se hayan originado y originen en la</w:t>
        <w:br/>
        <w:t xml:space="preserve">         tramitación del caso, tanto en  el  ámbito  interno  como  ante  el</w:t>
        <w:br/>
        <w:t xml:space="preserve">         sistema interamericano. En particular,  solicitaron  que  la  Corte</w:t>
        <w:br/>
        <w:t xml:space="preserve">         ordenara a la víctima el reembolso de los valores desembolsados  en</w:t>
        <w:br/>
        <w:t xml:space="preserve">         la tramitación  del  proceso  judicial  a  nivel  interno,  de  los</w:t>
        <w:br/>
        <w:t xml:space="preserve">         honorarios de los abogados en el litigio, así como  de  los  costos</w:t>
        <w:br/>
        <w:t xml:space="preserve">         del  envío  documental  a  la  Comisión.   Advirtieron   que   como</w:t>
        <w:br/>
        <w:t xml:space="preserve">         consecuencia del largo tiempo trascurrido  no  había  sido  posible</w:t>
        <w:br/>
        <w:t xml:space="preserve">         precisar el importe  exacto  de  estos  gastos  debido  a  que  los</w:t>
        <w:br/>
        <w:t xml:space="preserve">         comprobantes fueron extraviados. No obstante ello, solicitaron  que</w:t>
        <w:br/>
        <w:t xml:space="preserve">         en virtud de lo resuelto por la Corte en  otras  oportunidades,  se</w:t>
        <w:br/>
        <w:t xml:space="preserve">         reconozcan los gastos efectuados, en equidad.</w:t>
        <w:br/>
        <w:br/>
        <w:t xml:space="preserve">    269. El  Estado  señaló  que  los  gastos  del  litigio  interno  fueron</w:t>
        <w:br/>
        <w:t xml:space="preserve">         solicitados por las  representantes  como  daño  emergente,  cuando</w:t>
        <w:br/>
        <w:t xml:space="preserve">         debieron pedirse bajo el rubro de costas y gastos e indicó que  las</w:t>
        <w:br/>
        <w:t xml:space="preserve">         representantes no proporcionaron documentación que acreditara tales</w:t>
        <w:br/>
        <w:t xml:space="preserve">         gastos.</w:t>
        <w:br/>
        <w:br/>
        <w:t xml:space="preserve">    270. La Comisión no se pronunció respecto de las costas y gastos.</w:t>
        <w:br/>
        <w:br/>
        <w:t xml:space="preserve">    271. La Corte reitera que, conforme a su jurisprudencia,  las  costas  y</w:t>
        <w:br/>
        <w:t xml:space="preserve">         gastos hacen parte del concepto de  reparación,  toda  vez  que  la</w:t>
        <w:br/>
        <w:t xml:space="preserve">         actividad desplegada  por  las  víctimas  con  el  fin  de  obtener</w:t>
        <w:br/>
        <w:t xml:space="preserve">         justicia,  tanto  a  nivel  nacional  como  internacional,  implica</w:t>
        <w:br/>
        <w:t xml:space="preserve">         erogaciones que deben ser  compensadas  cuando  la  responsabilidad</w:t>
        <w:br/>
        <w:t xml:space="preserve">         internacional  del  Estado  es  declarada  mediante  una  sentencia</w:t>
        <w:br/>
        <w:t xml:space="preserve">         condenatoria[245]. En cuanto al reembolso de las costas  y  gastos,</w:t>
        <w:br/>
        <w:t xml:space="preserve">         corresponde al Tribunal apreciar prudentemente su alcance, el  cual</w:t>
        <w:br/>
        <w:t xml:space="preserve">         comprende  los  gastos  generados  ante  las  autoridades   de   la</w:t>
        <w:br/>
        <w:t xml:space="preserve">         jurisdicción interna, así  como  los  generados  en  el  curso  del</w:t>
        <w:br/>
        <w:t xml:space="preserve">         proceso ante el sistema  interamericano,  teniendo  en  cuenta  las</w:t>
        <w:br/>
        <w:t xml:space="preserve">         circunstancias del caso concreto y la naturaleza de la jurisdicción</w:t>
        <w:br/>
        <w:t xml:space="preserve">         internacional de protección de derechos humanos.  Esta  apreciación</w:t>
        <w:br/>
        <w:t xml:space="preserve">         puede ser realizada con base en el principio de equidad  y  tomando</w:t>
        <w:br/>
        <w:t xml:space="preserve">         en cuenta los gastos señalados  por  las  partes,  siempre  que  su</w:t>
        <w:br/>
        <w:t xml:space="preserve">         quantum sea razonable[246].</w:t>
        <w:br/>
        <w:br/>
        <w:t xml:space="preserve">    272. El Tribunal ha señalado que “las pretensiones de las víctimas o sus</w:t>
        <w:br/>
        <w:t xml:space="preserve">         representantes en materia de costas y gastos, y las pruebas que las</w:t>
        <w:br/>
        <w:t xml:space="preserve">         sustentan, deben presentarse  a  la  Corte  en  el  primer  momento</w:t>
        <w:br/>
        <w:t xml:space="preserve">         procesal que se les concede, esto es, en el escrito de  solicitudes</w:t>
        <w:br/>
        <w:t xml:space="preserve">         y argumentos, sin perjuicio de que tales pretensiones se actualicen</w:t>
        <w:br/>
        <w:t xml:space="preserve">         en un momento posterior, conforme a las nuevas costas y  gastos  en</w:t>
        <w:br/>
        <w:t xml:space="preserve">         que se haya incurrido  con  ocasión  del  procedimiento  ante  esta</w:t>
        <w:br/>
        <w:t xml:space="preserve">         Corte”[247]. Asimismo, la Corte reitera que  no  es  suficiente  la</w:t>
        <w:br/>
        <w:t xml:space="preserve">         remisión de documentos probatorios, sino que se  requiere  que  las</w:t>
        <w:br/>
        <w:t xml:space="preserve">         partes hagan una argumentación que relacione la prueba con el hecho</w:t>
        <w:br/>
        <w:t xml:space="preserve">         que se considera representado,  y  que,  al  tratarse  de  alegados</w:t>
        <w:br/>
        <w:t xml:space="preserve">         desembolsos económicos, se establezcan con claridad los rubros y la</w:t>
        <w:br/>
        <w:t xml:space="preserve">         justificación de los mismos[248].</w:t>
        <w:br/>
        <w:br/>
        <w:t xml:space="preserve">    273. Si bien el reembolso de los gastos  derivados  de  los  procesos  a</w:t>
        <w:br/>
        <w:t xml:space="preserve">         nivel interno, así como del gasto por  envío  de  documentos  a  la</w:t>
        <w:br/>
        <w:t xml:space="preserve">         Comisión, fue solicitado bajo el rubro de daño emergente, debido  a</w:t>
        <w:br/>
        <w:t xml:space="preserve">         la naturaleza, serán analizados como costas y gastos (supra,  párr.</w:t>
        <w:br/>
        <w:t xml:space="preserve">         246). La Corte nota que no fueron  aportados  comprobantes  de  los</w:t>
        <w:br/>
        <w:t xml:space="preserve">         gastos derivados de la búsqueda de justicia a nivel interno ni ante</w:t>
        <w:br/>
        <w:t xml:space="preserve">         la  Comisión  Interamericana,  ni  respecto  a  los  honorarios  de</w:t>
        <w:br/>
        <w:t xml:space="preserve">         abogados que habrían  representado  al  señor  Muelle  Flores  ante</w:t>
        <w:br/>
        <w:t xml:space="preserve">         dichas instancias. Sin perjuicio de ello, la Corte considera que es</w:t>
        <w:br/>
        <w:t xml:space="preserve">         de presumir que la víctima incurrió en gastos adicionales debido  a</w:t>
        <w:br/>
        <w:t xml:space="preserve">         las  distintas  vías  a  las  cuales  recurrió   para   lograr   el</w:t>
        <w:br/>
        <w:t xml:space="preserve">         cumplimiento y la ejecución de las sentencias dictadas a su favor a</w:t>
        <w:br/>
        <w:t xml:space="preserve">         nivel interno durante  25  años,  así  como  ante  su  búsqueda  de</w:t>
        <w:br/>
        <w:t xml:space="preserve">         justicia  ante  la  Comisión  Interamericana.  La  Corte  considera</w:t>
        <w:br/>
        <w:t xml:space="preserve">         preciso indicar que dicho monto no incluye el pago por concepto  de</w:t>
        <w:br/>
        <w:t xml:space="preserve">         gastos incurridos a raíz del proceso ante esta  Corte,  los  cuales</w:t>
        <w:br/>
        <w:t xml:space="preserve">         fueron cubiertos por el  Fondo  de  Asistencia  Legal  de  Víctimas</w:t>
        <w:br/>
        <w:t xml:space="preserve">         (infra párr. 276).</w:t>
        <w:br/>
        <w:br/>
        <w:t xml:space="preserve">    274. En consecuencia, la Corte decide fijar el pago de  un  monto  total</w:t>
        <w:br/>
        <w:t xml:space="preserve">         razonable de US$ 10.000,00 (diez mil dólares de los Estados  Unidos</w:t>
        <w:br/>
        <w:t xml:space="preserve">         de América) por concepto de costas y gastos.  Dicha  cantidad  será</w:t>
        <w:br/>
        <w:t xml:space="preserve">         entregada al señor Oscar Muelle  Flores.  En  el  procedimiento  de</w:t>
        <w:br/>
        <w:t xml:space="preserve">         supervisión de cumplimiento de la presente Sentencia,  el  Tribunal</w:t>
        <w:br/>
        <w:t xml:space="preserve">         podrá disponer el reembolso por parte del Estado a la víctima o sus</w:t>
        <w:br/>
        <w:t xml:space="preserve">         representantes de los gastos razonables debidamente comprobados  en</w:t>
        <w:br/>
        <w:t xml:space="preserve">         dicha etapa procesal[249].</w:t>
        <w:br/>
        <w:br/>
        <w:br/>
        <w:t>Reintegro de los gastos al Fondo de Asistencia Legal de Víctimas</w:t>
        <w:br/>
        <w:br/>
        <w:br/>
        <w:br/>
        <w:t xml:space="preserve">    275. En el presente caso, mediante Resolución del Presidente  de  27  de</w:t>
        <w:br/>
        <w:t xml:space="preserve">         julio  de  2018[250]  se  otorgó,  con  cargo  a  dicho  Fondo,  la</w:t>
        <w:br/>
        <w:t xml:space="preserve">         asistencia económica necesaria para cubrir los gastos de: i) viaje,</w:t>
        <w:br/>
        <w:t xml:space="preserve">         traslados y estadía necesarios para la reunión  sostenida  en  Lima</w:t>
        <w:br/>
        <w:t xml:space="preserve">         con la presunta víctima en octubre de  2017;  ii)  los  costos  que</w:t>
        <w:br/>
        <w:t xml:space="preserve">         generen la rendición de las declaraciones de la  presunta  víctima,</w:t>
        <w:br/>
        <w:t xml:space="preserve">         dos testigos y una perita ante fedatario público, todos  propuestos</w:t>
        <w:br/>
        <w:t xml:space="preserve">         por las defensoras, según se especifica en la parte  resolutiva  de</w:t>
        <w:br/>
        <w:t xml:space="preserve">         esta Resolución, y iii) los demás gastos razonables y necesarios en</w:t>
        <w:br/>
        <w:t xml:space="preserve">         que hayan incurrido o puedan incurrir las representantes,  para  lo</w:t>
        <w:br/>
        <w:t xml:space="preserve">         cual debían remitir al Tribunal tanto  la  justificación  de  tales</w:t>
        <w:br/>
        <w:t xml:space="preserve">         gastos como sus comprobantes.</w:t>
        <w:br/>
        <w:br/>
        <w:t xml:space="preserve">    276. El Estado tuvo la oportunidad de presentar sus observaciones  sobre</w:t>
        <w:br/>
        <w:t xml:space="preserve">         las erogaciones  realizadas  en  el  presente  caso,  sin  embargo,</w:t>
        <w:br/>
        <w:t xml:space="preserve">         manifestó en su escrito de 28 de noviembre de  2018  que  no  tenía</w:t>
        <w:br/>
        <w:t xml:space="preserve">         observaciones que formular al respecto.</w:t>
        <w:br/>
        <w:br/>
        <w:t xml:space="preserve">    277. Por lo tanto, en razón de las violaciones declaradas en la presente</w:t>
        <w:br/>
        <w:t xml:space="preserve">         Sentencia y que se cumplió con  los  requisitos  para  acogerse  al</w:t>
        <w:br/>
        <w:t xml:space="preserve">         Fondo, la Corte ordena al Estado el reintegro a dicho Fondo  de  la</w:t>
        <w:br/>
        <w:t xml:space="preserve">         suma de US$ 2,334.04 (dos mil  trescientos  treinta  y  cuatro  con</w:t>
        <w:br/>
        <w:t xml:space="preserve">         04/100 dólares de los  Estados  Unidos  de  América).  Dicho  monto</w:t>
        <w:br/>
        <w:t xml:space="preserve">         deberá ser reintegrado en el plazo de seis meses, contados a partir</w:t>
        <w:br/>
        <w:t xml:space="preserve">         de la notificación del presente Fallo.</w:t>
        <w:br/>
        <w:br/>
        <w:br/>
        <w:br/>
        <w:t>Modalidad de cumplimiento de los pagos ordenados</w:t>
        <w:br/>
        <w:br/>
        <w:br/>
        <w:t xml:space="preserve">    278. El Estado deberá  efectuar  el  pago  de  las  indemnizaciones  por</w:t>
        <w:br/>
        <w:t xml:space="preserve">         concepto de daño material e inmaterial y el reintegro de  costas  y</w:t>
        <w:br/>
        <w:t xml:space="preserve">         gastos establecidos en la presente Sentencia directamente al  señor</w:t>
        <w:br/>
        <w:t xml:space="preserve">         Muelle Flores, o por intermedio  de  un  representante  debidamente</w:t>
        <w:br/>
        <w:t xml:space="preserve">         acreditado, en el caso de que no se encuentre en las  posibilidades</w:t>
        <w:br/>
        <w:t xml:space="preserve">         de hacerlo, debido a su condición de salud,  dentro  del  plazo  de</w:t>
        <w:br/>
        <w:t xml:space="preserve">         seis meses, contado a partir de la notificación del presente Fallo,</w:t>
        <w:br/>
        <w:t xml:space="preserve">         sin  perjuicio  de  los  plazos  específicamente  señalados  en  el</w:t>
        <w:br/>
        <w:t xml:space="preserve">         apartado correspondiente (supra párr. 232).</w:t>
        <w:br/>
        <w:br/>
        <w:t xml:space="preserve">    279. En caso de que el beneficiario haya fallecido o fallezca  antes  de</w:t>
        <w:br/>
        <w:t xml:space="preserve">         que le sea entregada la indemnización respectiva, ésta se efectuará</w:t>
        <w:br/>
        <w:t xml:space="preserve">         directamente a sus derechohabientes, conforme  al  derecho  interno</w:t>
        <w:br/>
        <w:t xml:space="preserve">         aplicable.</w:t>
        <w:br/>
        <w:br/>
        <w:t xml:space="preserve">    280. El Estado debe cumplir sus obligaciones monetarias mediante el pago</w:t>
        <w:br/>
        <w:t xml:space="preserve">         en dólares de los Estados Unidos de América  o  su  equivalente  en</w:t>
        <w:br/>
        <w:t xml:space="preserve">         moneda nacional, utilizando para el cálculo respectivo el  tipo  de</w:t>
        <w:br/>
        <w:t xml:space="preserve">         cambio que se encuentre vigente en la bolsa de Nueva York,  Estados</w:t>
        <w:br/>
        <w:t xml:space="preserve">         Unidos de América, el día anterior al pago.</w:t>
        <w:br/>
        <w:br/>
        <w:t xml:space="preserve">    281. Si por causas atribuibles al beneficiario de las indemnizaciones  o</w:t>
        <w:br/>
        <w:t xml:space="preserve">         a sus derechohabientes no fuese posible el pago de  las  cantidades</w:t>
        <w:br/>
        <w:t xml:space="preserve">         determinadas dentro del plazo indicado, el Estado consignará dichos</w:t>
        <w:br/>
        <w:t xml:space="preserve">         montos a su favor en una cuenta o certificado de  depósito  en  una</w:t>
        <w:br/>
        <w:t xml:space="preserve">         institución financiera peruana solvente, en dólares de los  Estados</w:t>
        <w:br/>
        <w:t xml:space="preserve">         Unidos de América, y en las condiciones financieras más  favorables</w:t>
        <w:br/>
        <w:t xml:space="preserve">         que permitan la legislación  y  la  práctica  bancaria.  Si  no  se</w:t>
        <w:br/>
        <w:t xml:space="preserve">         reclama la indemnización correspondiente una vez transcurridos diez</w:t>
        <w:br/>
        <w:t xml:space="preserve">         años, las cantidades serán devueltas al Estado  con  los  intereses</w:t>
        <w:br/>
        <w:t xml:space="preserve">         devengados.</w:t>
        <w:br/>
        <w:br/>
        <w:br/>
        <w:t xml:space="preserve">    282.  Las  cantidades  asignadas   en   la   presente   Sentencia   como</w:t>
        <w:br/>
        <w:t xml:space="preserve">         indemnización y como reintegro  de  costas  y  gastos  deberán  ser</w:t>
        <w:br/>
        <w:t xml:space="preserve">         entregadas a las  personas  y  organizaciones  indicadas  en  forma</w:t>
        <w:br/>
        <w:t xml:space="preserve">         íntegra,  conforme  a  lo  establecido  en  esta   Sentencia,   sin</w:t>
        <w:br/>
        <w:t xml:space="preserve">         reducciones derivadas de eventuales cargas fiscales.</w:t>
        <w:br/>
        <w:br/>
        <w:br/>
        <w:t xml:space="preserve">    283. En caso de que el Estado  incurriera  en  mora,  incluyendo  en  el</w:t>
        <w:br/>
        <w:t xml:space="preserve">         reintegro de los gastos al Fondo de Asistencia Legal  de  Víctimas,</w:t>
        <w:br/>
        <w:t xml:space="preserve">         deberá pagar un interés sobre la cantidad adeudada, correspondiente</w:t>
        <w:br/>
        <w:t xml:space="preserve">         al interés bancario moratorio en la República de del Perú.</w:t>
        <w:br/>
        <w:br/>
        <w:br/>
        <w:t>IX</w:t>
        <w:br/>
        <w:t>PUNTOS RESOLUTIVOS</w:t>
        <w:br/>
        <w:br/>
        <w:br/>
        <w:t>284. Por tanto,</w:t>
        <w:br/>
        <w:br/>
        <w:t>LA CORTE</w:t>
        <w:br/>
        <w:br/>
        <w:t>DECIDE,</w:t>
        <w:br/>
        <w:br/>
        <w:t>Por unanimidad,</w:t>
        <w:br/>
        <w:br/>
        <w:t xml:space="preserve">   1. Desestimar la excepción preliminar interpuesta por el Estado sobre  la</w:t>
        <w:br/>
        <w:t xml:space="preserve">      alegada falta de agotamiento de los recursos internos en los  términos</w:t>
        <w:br/>
        <w:t xml:space="preserve">      de los párrafos 25 a 28 de esta Sentencia.</w:t>
        <w:br/>
        <w:br/>
        <w:t>Por 4 votos a favor y 2 en contra,</w:t>
        <w:br/>
        <w:br/>
        <w:t xml:space="preserve">   2. Desestimar la excepción preliminar interpuesta por el Estado sobre  la</w:t>
        <w:br/>
        <w:t xml:space="preserve">      alegada falta de competencia en razón de la materia y  justiciabilidad</w:t>
        <w:br/>
        <w:t xml:space="preserve">      directa del artículo 26 de  la  Convención  en  los  términos  de  los</w:t>
        <w:br/>
        <w:t xml:space="preserve">      párrafos 33 a 37 de esta Sentencia.</w:t>
        <w:br/>
        <w:br/>
        <w:t>Disienten los jueces Eduardo Vio Grossi y Humberto Antonio Sierra Porto.</w:t>
        <w:br/>
        <w:br/>
        <w:t>DECLARA,</w:t>
        <w:br/>
        <w:br/>
        <w:t>Por unanimidad, que</w:t>
        <w:br/>
        <w:br/>
        <w:t xml:space="preserve">   3. El Estado es responsable por la violación  del  derecho  a  la  tutela</w:t>
        <w:br/>
        <w:t xml:space="preserve">      judicial efectiva y protección judicial, establecidos en los artículos</w:t>
        <w:br/>
        <w:t xml:space="preserve">      25.1 y 25.2.c) de la Convención Americana, en relación con el artículo</w:t>
        <w:br/>
        <w:t xml:space="preserve">      1.1 del mismo instrumento, así como el artículo  2  de  la  Convención</w:t>
        <w:br/>
        <w:t xml:space="preserve">      Americana, en perjuicio del señor Oscar Muelle Flores  de  conformidad</w:t>
        <w:br/>
        <w:t xml:space="preserve">      con lo expuesto en los párrafos 123 a 149 de la presente Sentencia.</w:t>
        <w:br/>
        <w:br/>
        <w:t>Por unanimidad,</w:t>
        <w:br/>
        <w:br/>
        <w:t xml:space="preserve">   4. El Estado es responsable de la violación al plazo razonable reconocido</w:t>
        <w:br/>
        <w:t xml:space="preserve">      en el artículo 8.1 de la Convención  Americana,  en  relación  con  el</w:t>
        <w:br/>
        <w:t xml:space="preserve">      artículo 1.1 del mismo  instrumento,  en  perjuicio  de  Oscar  Muelle</w:t>
        <w:br/>
        <w:t xml:space="preserve">      Flores, de conformidad con lo expuesto en los párrafos 154 a 166 de la</w:t>
        <w:br/>
        <w:t xml:space="preserve">      presente Sentencia.</w:t>
        <w:br/>
        <w:br/>
        <w:t>Por 4 votos a favor y 2 en contra,</w:t>
        <w:br/>
        <w:br/>
        <w:t xml:space="preserve">   5. El Estado es responsable por la violación del derecho a  la  seguridad</w:t>
        <w:br/>
        <w:t xml:space="preserve">      social, de conformidad con el artículo 26 de la Convención  Americana,</w:t>
        <w:br/>
        <w:t xml:space="preserve">      en relación con los artículos 5, 8.1, 11.1, 25.1, 25.2.c)  y  1.1  del</w:t>
        <w:br/>
        <w:t xml:space="preserve">      mismo instrumento, así como del artículo 2 de la Convención Americana,</w:t>
        <w:br/>
        <w:t xml:space="preserve">      en perjuicio del señor Oscar Muelle  Flores,  de  conformidad  con  lo</w:t>
        <w:br/>
        <w:t xml:space="preserve">      expuesto en los párrafos 170 a 208 de la presente Sentencia.</w:t>
        <w:br/>
        <w:br/>
        <w:t>Disienten los jueces Eduardo Vio Grossi y Humberto Antonio Sierra Porto.</w:t>
        <w:br/>
        <w:br/>
        <w:t>Por 4 votos a favor y 2 en contra,</w:t>
        <w:br/>
        <w:br/>
        <w:t xml:space="preserve">   6. El Estado es responsable por la violación del derecho a  la  propiedad</w:t>
        <w:br/>
        <w:t xml:space="preserve">      privada reconocido en el artículo 21.1 y 21.2,  en  relación  con  los</w:t>
        <w:br/>
        <w:t xml:space="preserve">      artículos 25.1, 25.2.c), 26 y  1.1  de  la  Convención  Americana,  en</w:t>
        <w:br/>
        <w:t xml:space="preserve">      perjuicio de Oscar Muelle Flores, de conformidad con  lo  expuesto  en</w:t>
        <w:br/>
        <w:t xml:space="preserve">      los párrafos 212 a 218 de la presente Sentencia.</w:t>
        <w:br/>
        <w:br/>
        <w:t>Disienten los jueces Eduardo Vio Grossi y Humberto Antonio Sierra Porto.</w:t>
        <w:br/>
        <w:br/>
        <w:br/>
        <w:t>Y DISPONE,</w:t>
        <w:br/>
        <w:br/>
        <w:t>Por unanimidad, que:</w:t>
        <w:br/>
        <w:br/>
        <w:t xml:space="preserve">   7. Esta Sentencia constituye por sí misma una forma de reparación.</w:t>
        <w:br/>
        <w:br/>
        <w:t xml:space="preserve">   8. El Estado debe dar cumplimiento a las sentencias internas adoptadas en</w:t>
        <w:br/>
        <w:t xml:space="preserve">      favor de la víctima y garantizar de manera  efectiva  el  pago  de  la</w:t>
        <w:br/>
        <w:t xml:space="preserve">      pensión del señor Oscar Muelle Flores, en  un  plazo  máximo  de  seis</w:t>
        <w:br/>
        <w:t xml:space="preserve">      meses contados a partir de la notificación  del  presente  Fallo,  así</w:t>
        <w:br/>
        <w:t xml:space="preserve">      como mantener el pago provisional de la misma y el  acceso  al  seguro</w:t>
        <w:br/>
        <w:t xml:space="preserve">      social de salud, de conformidad con lo establecido en los párrafos 230</w:t>
        <w:br/>
        <w:t xml:space="preserve">      a 236 de la presente Sentencia.</w:t>
        <w:br/>
        <w:br/>
        <w:t xml:space="preserve">   9. El Estado debe realizar, en un plazo de seis  meses  a  partir  de  la</w:t>
        <w:br/>
        <w:t xml:space="preserve">      notificación de la presente Sentencia, las publicaciones indicadas  en</w:t>
        <w:br/>
        <w:t xml:space="preserve">      el párrafo 239 de la Sentencia,  en  los  términos  dispuestos  en  el</w:t>
        <w:br/>
        <w:t xml:space="preserve">      mismo.</w:t>
        <w:br/>
        <w:br/>
        <w:t xml:space="preserve">  10. El Estado debe  pagar  en  los  plazos  establecidos,  las  cantidades</w:t>
        <w:br/>
        <w:t xml:space="preserve">      fijadas en los párrafos 251, 259, 267 y 274 de la  presente  Sentencia</w:t>
        <w:br/>
        <w:t xml:space="preserve">      por  concepto  de  indemnizaciones  compensatorias  así  como  por  el</w:t>
        <w:br/>
        <w:t xml:space="preserve">      reintegro de gastos, en los términos de los referidos  párrafos  y  de</w:t>
        <w:br/>
        <w:t xml:space="preserve">      los párrafos 278 a 283 del presente Fallo.</w:t>
        <w:br/>
        <w:br/>
        <w:t xml:space="preserve">  11. El Estado debe reintegrar al Fondo de Asistencia Legal de Víctimas  de</w:t>
        <w:br/>
        <w:t xml:space="preserve">      la Corte  Interamericana  de  Derechos  Humanos  la  cantidad  erogada</w:t>
        <w:br/>
        <w:t xml:space="preserve">      durante la tramitación del  presente  caso,  en  los  términos  de  lo</w:t>
        <w:br/>
        <w:t xml:space="preserve">      establecido en el párrafo 277 de esta Sentencia.</w:t>
        <w:br/>
        <w:br/>
        <w:t xml:space="preserve">  12. El Estado debe rendir al Tribunal un informe, dentro del plazo  de  un</w:t>
        <w:br/>
        <w:t xml:space="preserve">      año contado a partir de la notificación de esta Sentencia,  sobre  las</w:t>
        <w:br/>
        <w:t xml:space="preserve">      medidas adoptadas para cumplir con la misma.</w:t>
        <w:br/>
        <w:br/>
        <w:t xml:space="preserve">  13. La Corte supervisará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 sobre Derechos Humanos, y dará́  por</w:t>
        <w:br/>
        <w:t xml:space="preserve">      concluido el presente caso una vez  que  el  Estado  haya  dado  cabal</w:t>
        <w:br/>
        <w:t xml:space="preserve">      cumplimiento a lo dispuesto en la misma.</w:t>
        <w:br/>
        <w:br/>
        <w:t>El Juez Eduardo Ferrer Mac-Gregor Poisot dio a conocer a la  Corte  su  voto</w:t>
        <w:br/>
        <w:t>individual razonado, y los jueces  Eduardo  Vio  Grossi  y  Humberto  Sierra</w:t>
        <w:br/>
        <w:t>Porto hicieron conocer sus votos  individuales  parcialmente  disidente,  el</w:t>
        <w:br/>
        <w:t>cual acompaña esta Sentencia.</w:t>
        <w:br/>
        <w:br/>
        <w:br/>
        <w:t>Redactada en español en San José, Costa Rica, el 06 de marzo de 2019.</w:t>
        <w:br/>
        <w:br/>
        <w:br/>
        <w:br/>
        <w:br/>
        <w:br/>
        <w:t>Corte IDH. Caso Muelle Flores Vs.  Perú.  Excepciones  Preliminares,  Fondo,</w:t>
        <w:br/>
        <w:t>Reparaciones y Costas. Sentencia de 6 de marzo de 2019.</w:t>
        <w:br/>
        <w:br/>
        <w:br/>
        <w:br/>
        <w:br/>
        <w:br/>
        <w:t xml:space="preserve">                      Eduardo Ferrer Mac-Gregor Poisot</w:t>
        <w:br/>
        <w:t xml:space="preserve">                                 Presidente</w:t>
        <w:br/>
        <w:br/>
        <w:br/>
        <w:br/>
        <w:br/>
        <w:br/>
        <w:t xml:space="preserve"> Eduardo Vio Grossi                                      Humberto A.  Sierra</w:t>
        <w:br/>
        <w:t>Porto</w:t>
        <w:br/>
        <w:br/>
        <w:br/>
        <w:br/>
        <w:br/>
        <w:br/>
        <w:t>Elizabeth   Odio   Benito                                     Eugenio   Raúl</w:t>
        <w:br/>
        <w:t>Zaffaroni</w:t>
        <w:br/>
        <w:br/>
        <w:br/>
        <w:br/>
        <w:br/>
        <w:br/>
        <w:t xml:space="preserve">                         L. Patricio Pazmiño Freire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Eduardo Ferrer Mac-Gregor Poisot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t>-----------------------</w:t>
        <w:br/>
        <w:t>* El Juez Ricardo Pérez Manrique no participó en la deliberación y firma  de</w:t>
        <w:br/>
        <w:t>la presente Sentencia debido a que se incorporó a la Corte el 1 de enero  de</w:t>
        <w:br/>
        <w:t>2019, cuando el presente caso se encontraba en estado de sentencia.</w:t>
        <w:br/>
        <w:t>[1]   La Comisión hizo al Estado una serie de recomendaciones, a saber:  “i)</w:t>
        <w:br/>
        <w:t>[d]ar cumplimiento a la mayor brevedad posible a las sentencias de la  Corte</w:t>
        <w:br/>
        <w:t>Suprema de Justicia de 2 de febrero de 1993 y  del  Tribunal  Constitucional</w:t>
        <w:br/>
        <w:t>de 10 de diciembre de 1999. Esto implica la  adopción  inmediata  por  parte</w:t>
        <w:br/>
        <w:t>del Estado peruano de las medidas necesarias para el pago de la  pensión  al</w:t>
        <w:br/>
        <w:t>señor Muelle Flores  en  los  términos  en  los  cuales  le  fue  reconocido</w:t>
        <w:br/>
        <w:t>judicialmente, es decir, bajo el régimen del Decreto Ley 20530. Lo  anterior</w:t>
        <w:br/>
        <w:t>incluye el pago de las pensiones dejadas de percibir desde el momento de  su</w:t>
        <w:br/>
        <w:t>jubilación hasta la fecha en que  se  haga  efectivo  el  pago.  Tomando  en</w:t>
        <w:br/>
        <w:t>cuenta los  estándares  desarrollados  en  el  presente  informe  sobre  las</w:t>
        <w:br/>
        <w:t>obligaciones del Estado en el marco de privatización de empresas  estatales,</w:t>
        <w:br/>
        <w:t>Perú no podrá oponer la privatización  de  la  empresa  para  abstenerse  de</w:t>
        <w:br/>
        <w:t>cumplir con esta recomendación; ii) [r]eparar integralmente las  violaciones</w:t>
        <w:br/>
        <w:t>declaradas en el presente informe, incluyendo una  debida  compensación  que</w:t>
        <w:br/>
        <w:t>incluya el daño material e inmaterial causado, y iii) [a]doptar las  medidas</w:t>
        <w:br/>
        <w:t>legislativas o de otra índole necesarias para evitar la  repetición  de  las</w:t>
        <w:br/>
        <w:t>violaciones declaradas en  el  presente  informe.  Al  respecto,  el  Estado</w:t>
        <w:br/>
        <w:t>deberá disponer las medidas necesarias para: a) Asegurar  que  las  empresas</w:t>
        <w:br/>
        <w:t>estatales  cumplan  con  los  fallos  judiciales  que   reconocen   derechos</w:t>
        <w:br/>
        <w:t>pensionarios  a  ex-trabajadores;  b)  Asegurar  que  en  el  marco  de   la</w:t>
        <w:br/>
        <w:t>privatización de empresas privadas se  dispongan  las  debidas  salvaguardas</w:t>
        <w:br/>
        <w:t>para que tal actuación no impida el cumplimiento de sentencias judiciales  a</w:t>
        <w:br/>
        <w:t>favor de las personas jubiladas; c) Asegurar que los procesos  de  ejecución</w:t>
        <w:br/>
        <w:t>de sentencia cumplan con el estándar convencional de sencillez y rapidez,  y</w:t>
        <w:br/>
        <w:t>d) Asegurar que las autoridades judiciales que  conocen  tales  procesos  se</w:t>
        <w:br/>
        <w:t>encuentren facultados legalmente y apliquen en la  práctica  los  mecanismos</w:t>
        <w:br/>
        <w:t>coercitivos  necesarios  para  garantizar  el  cumplimiento  de  los  fallos</w:t>
        <w:br/>
        <w:t>judiciales”.</w:t>
        <w:br/>
        <w:t>[2]   Mediante comunicación de 11 de  septiembre  de  2017  se  solicitó  al</w:t>
        <w:br/>
        <w:t>Coordinador General  de  AIDEF,  teniendo  en  cuenta  lo  dispuesto  en  el</w:t>
        <w:br/>
        <w:t>artículo 2 del  Acuerdo  de  Entendimiento  entre  la  Corte  y  aquélla,  y</w:t>
        <w:br/>
        <w:t>siguiendo instrucciones del Presidente de la Corte,  que  designara,  dentro</w:t>
        <w:br/>
        <w:t>del  plazo  de  10  días,  al  defensor  o   defensora   que   asumiría   la</w:t>
        <w:br/>
        <w:t>representación legal en el caso e informara del  lugar  donde  se  le  debía</w:t>
        <w:br/>
        <w:t>notificar las comunicaciones pertinentes.</w:t>
        <w:br/>
        <w:t>[3]   La AIDEF designó como Defensora Publica Interamericana suplente  a  la</w:t>
        <w:br/>
        <w:t>señora Alicia Margarita Contero Bastidas (Ecuador).</w:t>
        <w:br/>
        <w:t>[4]   Mediante comunicación de 9 de noviembre de 2017 el Estado  informó  la</w:t>
        <w:br/>
        <w:t>designación   como   agente   titular   al   Procurador   Público    Adjunto</w:t>
        <w:br/>
        <w:t>Supranacional, Iván Arturo Bazán Chacón, y como  agentes  alternos  a  Doris</w:t>
        <w:br/>
        <w:t>Margarita  Yalle  Jorges  y  Silvana  Lucía  Gómez  Salazar.  Mediante   las</w:t>
        <w:br/>
        <w:t>comunicaciones de 19 y 21 de febrero de 2018, el  Estado  informó  sobre  la</w:t>
        <w:br/>
        <w:t>designación de la abogada Sofía Janett Donaires Vega como agente  titular  y</w:t>
        <w:br/>
        <w:t>el abogado Sergio Manuel Tamayo Yañez como agente alterno en el  caso  Oscar</w:t>
        <w:br/>
        <w:t>Muelle Flores.</w:t>
        <w:br/>
        <w:t>[5]   Asimismo, mediante dicha Resolución el Presidente ordenó  recibir  por</w:t>
        <w:br/>
        <w:t>medio  de  declaración  rendida  ante  fedatario   público   (afidávit)   el</w:t>
        <w:br/>
        <w:t>testimonio  de  la  presunta  víctima  Oscar  Muelle  Flores;  los  testigos</w:t>
        <w:br/>
        <w:t>ofrecidos por las representantes Vibeke Ann Muelle  Jensen  y  Jesús  Aníbal</w:t>
        <w:br/>
        <w:t>Delgado Flores; el perito propuesto por la Comisión  Christian  Courtis,  la</w:t>
        <w:br/>
        <w:t>perito ofrecida por las representantes,  Maria  Virginia  Brás  Gomes  y  el</w:t>
        <w:br/>
        <w:t>perito ofrecido por el Estado, César Gonzáles Hunt. Asimismo, se dispuso  la</w:t>
        <w:br/>
        <w:t>asistencia económica que sería brindada a través del Fondo de Asistencia  de</w:t>
        <w:br/>
        <w:t>la Corte.  Las  declaraciones  solicitadas  ante  fedatario  público  fueron</w:t>
        <w:br/>
        <w:t>recibidas los días 27, 28 y 30 de agosto de 2018. La declaración  del  señor</w:t>
        <w:br/>
        <w:t>Muelle Flores no fue remitida debido a la  imposibilidad  de  recabarla  con</w:t>
        <w:br/>
        <w:t>motivo de su estado de salud. Asimismo, las representantes  desistieron  del</w:t>
        <w:br/>
        <w:t>dictamen pericial de Maria Virginia Brás Gomes. Cfr. Caso Muelle Flores  Vs.</w:t>
        <w:br/>
        <w:t>Perú. Resolución del Presidente  de  la  Corte  de  27  de  julio  de  2018,</w:t>
        <w:br/>
        <w:t>considerando          número           8.           Disponible           en:</w:t>
        <w:br/>
        <w:t>http://www.corteidh.or.cr/docs/asuntos/muelle_27_07_18.pdf</w:t>
        <w:br/>
        <w:t>[6]    Cfr.  Caso  Las  Palmeras  Vs.  Colombia.  Excepciones  Preliminares.</w:t>
        <w:br/>
        <w:t>Sentencia de 4 de febrero de 2000. Serie C No. 67, párr. 34, y Caso  Mujeres</w:t>
        <w:br/>
        <w:t>Víctimas de Tortura Sexual en Atenco Vs. México.  Excepciones  Preliminares,</w:t>
        <w:br/>
        <w:t>Fondo, Reparaciones y Costas. Sentencia de 28 de noviembre  de  2018.  Serie</w:t>
        <w:br/>
        <w:t>C. No.374, párr.21.</w:t>
        <w:br/>
        <w:t>[7]   Cfr. Caso Castañeda Gutman Vs. Estados Unidos  Mexicanos.  Excepciones</w:t>
        <w:br/>
        <w:t>Preliminares, Fondo, Reparaciones y Costas. Sentencia  de  6  de  agosto  de</w:t>
        <w:br/>
        <w:t>2008, párr. 39, y Caso Herzog y otros Vs. Brasil. Excepciones  Preliminares,</w:t>
        <w:br/>
        <w:t>Fondo, Reparaciones y Costas. Sentencia de 15 de marzo de 2018. Serie C  No.</w:t>
        <w:br/>
        <w:t>353, párr. 97.</w:t>
        <w:br/>
        <w:t>[8]   Cfr. Castañeda Gutman Vs. Estados Unidos Mexicanos, supra,  párr.  39,</w:t>
        <w:br/>
        <w:t>y  Caso  Lagos  del  Campo  Vs.  Perú.  Excepciones   Preliminares,   Fondo,</w:t>
        <w:br/>
        <w:t>Reparaciones y Costas. Sentencia de 31 de agosto de 2017. Serie C  No.  340,</w:t>
        <w:br/>
        <w:t>párr. 17.</w:t>
        <w:br/>
        <w:t>[9]   Es preciso destacar  que  en  el  caso  de  Acevedo  Buendía  y  otros</w:t>
        <w:br/>
        <w:t>(“Cesantes y Jubilados de  la  Contraloría”)  Vs.  Perú,  la  Corte  analizó</w:t>
        <w:br/>
        <w:t>alegatos de esta naturaleza a través de una excepción preliminar  por  razón</w:t>
        <w:br/>
        <w:t>de la materia. Cfr. Caso Acevedo Buendía y otros (“Cesantes y  Jubilados  de</w:t>
        <w:br/>
        <w:t>la Contraloría”) Vs.  Perú.  Excepción  Preliminar,  Fondo,  Reparaciones  y</w:t>
        <w:br/>
        <w:t>Costas. Sentencia de 1 de julio de 2009. Serie C No. 198, párrs. 12 a 19.</w:t>
        <w:br/>
        <w:t>[10]  Cfr. Caso Velásquez Rodríguez Vs. Honduras. Excepciones  Preliminares.</w:t>
        <w:br/>
        <w:t>Sentencia de 26 de junio de 1987. Serie C No. 1, párr. 85, y Caso Amrhein  y</w:t>
        <w:br/>
        <w:t>otros Vs.  Costa  Rica.  Excepciones  Preliminares,  Fondo,  Reparaciones  y</w:t>
        <w:br/>
        <w:t>Costas. Sentencia de 25 de abril de 2018. Serie C No.354, párr.39.</w:t>
        <w:br/>
        <w:t>[11]  Cfr. Caso Velásquez Rodríguez Vs. Honduras. Fondo. Sentencia de 29  de</w:t>
        <w:br/>
        <w:t>julio de 1988. Serie C No. 4, párr. 61, y  Caso  Favela  Nova  Brasilia  Vs.</w:t>
        <w:br/>
        <w:t>Brasil. Excepciones Preliminares, Fondo, Reparaciones  y  Costas.  Sentencia</w:t>
        <w:br/>
        <w:t>de 16 de febrero de 2017. Serie C No. 33, párr. 86.</w:t>
        <w:br/>
        <w:t>[12]  Cfr. Caso Velásquez Rodríguez Vs. Honduras. Fondo,  supra,  párr.  63;</w:t>
        <w:br/>
        <w:t>Caso Favela  Nova  Brasilia  Vs.  Brasil,  supra,  párr.  86,  y  Duque  Vs.</w:t>
        <w:br/>
        <w:t>Colombia. Excepciones Preliminares, Fondo, Reparaciones y Costas.  Sentencia</w:t>
        <w:br/>
        <w:t>de 26 de febrero de 2016. Serie C No.310, supra, párr. 35.</w:t>
        <w:br/>
        <w:t>[13]  Cfr. Caso Velásquez Rodríguez Vs. Honduras. Excepciones  Preliminares,</w:t>
        <w:br/>
        <w:t>supra, párr. 88, y Caso Duque Vs. Colombia, supra, párr. 23.</w:t>
        <w:br/>
        <w:t>[14]  Cfr. Caso Granier y otros (Radio Caracas  Televisión)  Vs.  Venezuela.</w:t>
        <w:br/>
        <w:t>Excepciones Preliminares, Fondo, Reparaciones y Costas. Sentencia de  22  de</w:t>
        <w:br/>
        <w:t>junio de 2015. Serie C No. 293, párr. 28, y Caso V.R.P., V.P.C.Y  otros  Vs.</w:t>
        <w:br/>
        <w:t>Nicaragua.  Excepciones  Preliminares,   Fondo,   Reparaciones   y   Costas.</w:t>
        <w:br/>
        <w:t>Sentencia de 8 de marzo de 2018. Serie C No. 350, párr. 22.</w:t>
        <w:br/>
        <w:t>[15]  Cfr. Caso Velásquez Rodríguez Vs. Honduras. Excepciones  Preliminares,</w:t>
        <w:br/>
        <w:t>supra, párrs. 88 y 91, y Caso Duque Vs. Colombia, supra, párr. 23.</w:t>
        <w:br/>
        <w:t>[16]  Cfr.  Caso  Reverón  Trujillo  Vs.  Venezuela.  Excepción  Preliminar,</w:t>
        <w:br/>
        <w:t>Fondo, Reparaciones y Costas. Sentencia de 30 de junio de 2009. Serie C  No.</w:t>
        <w:br/>
        <w:t>197, párr. 23, y Caso Amrhein y otros vs Costa Rica, supra, párr.39.</w:t>
        <w:br/>
        <w:t>[17]   Cfr.  Caso  de  Personas  dominicanas  y  haitianas  expulsadas   Vs.</w:t>
        <w:br/>
        <w:t>República  Dominicana.  Excepciones  Preliminares,  Fondo,  Reparaciones   y</w:t>
        <w:br/>
        <w:t>Costas. Sentencia de 28 de agosto de 2014. Serie C  No.  282,  párr.  30,  y</w:t>
        <w:br/>
        <w:t>Caso Trabajadores  cesados  de  Petroperú  y  otros  Vs.  Perú.  Excepciones</w:t>
        <w:br/>
        <w:t>Preliminares, Fondo, Reparaciones y Costas. Sentencia de 23 de noviembre  de</w:t>
        <w:br/>
        <w:t>2017. Serie C.No. 344, párr.27.</w:t>
        <w:br/>
        <w:t>[18]  Cfr. Informe No.  48-2010-JUS/PPES  del  Estado  del  Perú  de  25  de</w:t>
        <w:br/>
        <w:t>febrero de 2010, recibido por la Comisión Interamericana el 1  de  marzo  de</w:t>
        <w:br/>
        <w:t>2010 (expediente de prueba, folios 39.8 a 39.9).</w:t>
        <w:br/>
        <w:t>[19]  La falta de interposición de la excepción de agotamiento  de  recursos</w:t>
        <w:br/>
        <w:t>internos fue recogida por la Comisión en su  Informe  de  Admisibilidad  No.</w:t>
        <w:br/>
        <w:t>106/10. Cfr. Informe de Admisibilidad No.  106/10,  Petición  147-98,  Oscar</w:t>
        <w:br/>
        <w:t>Muelle Flores, Perú, 16 de julio de 2010, párr. 327 (expediente  de  prueba,</w:t>
        <w:br/>
        <w:t>folio 225).</w:t>
        <w:br/>
        <w:t>[20]  Caso Tenorio Roca y otros Vs. Perú. Excepciones  Preliminares,  Fondo,</w:t>
        <w:br/>
        <w:t>Reparaciones y Costas. Sentencia de 22 de junio de 2016. Serie  C  No.  314,</w:t>
        <w:br/>
        <w:t>párr. 24.</w:t>
        <w:br/>
        <w:t>[21]  Cfr. Caso  Díaz  Peña  Vs.  Venezuela.  Excepción  Preliminar,  Fondo,</w:t>
        <w:br/>
        <w:t>Reparaciones y Costas. Sentencia de 26 de junio de 2012. Serie  C  No.  244,</w:t>
        <w:br/>
        <w:t>párrs. 118 y 122, y Caso Tenorio Roca y otros Vs. Perú, supra, párr. 23.</w:t>
        <w:br/>
        <w:t>[22]  Este caso no declaró una violación del artículo 26  de  la  Convención</w:t>
        <w:br/>
        <w:t>ni se analizó a fondo la obligación de desarrollo progresivo y el  deber  de</w:t>
        <w:br/>
        <w:t>no regresividad de los Estados, obligación en la cual  la  Corte  se  centró</w:t>
        <w:br/>
        <w:t>para el análisis del artículo 26.</w:t>
        <w:br/>
        <w:t>[23]  Cfr. Caso Lagos del Campo Vs. Perú, supra, párrs. 142 y 145.</w:t>
        <w:br/>
        <w:br/>
        <w:t>[24]  Cfr. Caso Acevedo  Buendía  y  otros  (“Cesantes  y  Jubilados  de  la</w:t>
        <w:br/>
        <w:t>Contraloría”) Vs. Perú, supra, párrs. 16, 17 y 100, y Caso Lagos  del  Campo</w:t>
        <w:br/>
        <w:t>Vs. Perú, supra, párr. 154.</w:t>
        <w:br/>
        <w:br/>
        <w:br/>
        <w:t>[25]  Cfr. Caso Lagos del Campo Vs.  Perú,  supra,  párrs.  142  y  154.  El</w:t>
        <w:br/>
        <w:t>párrafo estableció que “[e]n [este] sentido, el Tribunal [sostuvo]  que  los</w:t>
        <w:br/>
        <w:t>términos amplios en que está redactada la Convención indican  que  la  Corte</w:t>
        <w:br/>
        <w:t>ejerce una jurisdicción plena sobre todos  sus  artículos  y  disposiciones.</w:t>
        <w:br/>
        <w:t>Asimismo, resulta pertinente notar que si bien el artículo 26  se  encuentra</w:t>
        <w:br/>
        <w:t>en el  capítulo  III  de  la  Convención,  (titulado  ‘Derechos  Económicos,</w:t>
        <w:br/>
        <w:t>Sociales  y  Culturales’),  se  ubica  también  en  la  Parte  I  de   dicho</w:t>
        <w:br/>
        <w:t>instrumento, titulado ‘Deberes de los Estados y Derechos Protegidos’ y,  por</w:t>
        <w:br/>
        <w:t>ende, está sujeto a las obligaciones generales contenidas en  los  artículos</w:t>
        <w:br/>
        <w:t>1.1 y 2 señalados en el capítulo I (titulado ‘Enumeración de Deberes’),  así</w:t>
        <w:br/>
        <w:t>como lo están los artículos 3 al 25 señalados en el  capítulo  II  (titulado</w:t>
        <w:br/>
        <w:t>‘Derechos  Civiles  y  Políticos’)”.  Cfr.  Caso  Acevedo  Buendía  y  otros</w:t>
        <w:br/>
        <w:t>(“Cesantes y Jubilados de la Contraloría”) Vs. Perú,  supra,  párr.  100,  y</w:t>
        <w:br/>
        <w:t>Comité de Derechos Económicos, Sociales y  Culturales  de  Naciones  Unidas,</w:t>
        <w:br/>
        <w:t>Observación General No 13: El  derecho  a  la  educación  (artículo  13  del</w:t>
        <w:br/>
        <w:t>Pacto), U.N Doc. E/C.12/1999/10, 8 de diciembre de 1999, párr. 50.</w:t>
        <w:br/>
        <w:br/>
        <w:t>[26]  Cfr. Caso Cuscul Pivaral y otros Vs. Guatemala. Excepción  Preliminar,</w:t>
        <w:br/>
        <w:t>Fondo, Reparaciones y Costas. Sentencia de 23 de agosto  de  2018.  Serie  C</w:t>
        <w:br/>
        <w:t>No. 359, párrs. 75 a 97; Medio ambiente  y  derechos  humanos  (obligaciones</w:t>
        <w:br/>
        <w:t>estatales en relación con el medio ambiente en el marco de la  protección  y</w:t>
        <w:br/>
        <w:t>garantía  de  los  derechos  a  la  vida  y  a  la  integridad  personal   -</w:t>
        <w:br/>
        <w:t>interpretación y alcance de los artículos 4.1 y 5.1,  en  relación  con  los</w:t>
        <w:br/>
        <w:t>artículos 1.1 y 2  de  la  Convención  Americana  sobre  Derechos  Humanos).</w:t>
        <w:br/>
        <w:t>Opinión Consultiva OC-23/17 de 15 de noviembre de  2017.  Serie  A  No.  23,</w:t>
        <w:br/>
        <w:t>párr. 57; Caso Trabajadores Cesados de Petroperú y otros  Vs.  Perú,  supra,</w:t>
        <w:br/>
        <w:t>párr. 192; Caso San Miguel Sosa y otras Vs. Venezuela.  Fondo,  Reparaciones</w:t>
        <w:br/>
        <w:t>y Costas. Sentencia de 8 de febrero de 2018. Serie C  No.  348,  párr.  220;</w:t>
        <w:br/>
        <w:t>Caso Poblete Vilches y  otros  Vs.  Chile.  Fondo,  Reparaciones  y  Costas.</w:t>
        <w:br/>
        <w:t>Sentencia de 8 de marzo de 2018. Serie C No. 349, párr. 100,  y  Caso  Lagos</w:t>
        <w:br/>
        <w:t>del Campo Vs. Perú, supra, párrs. 142 y 145.</w:t>
        <w:br/>
        <w:t>[27]  Cfr. Caso Cuscul Pivaral y otros Vs. Guatemala,  supra,  párrs.  75  a</w:t>
        <w:br/>
        <w:t>97.</w:t>
        <w:br/>
        <w:t>[28]  Cfr. Caso Velásquez Rodríguez Vs. Honduras. Fondo, supra,  párr.  140,</w:t>
        <w:br/>
        <w:t>y Caso V.R.P., V.P.C. y otros Vs. Nicaragua, supra, párr. 59.</w:t>
        <w:br/>
        <w:t>[29]   La  prueba  documental  puede  ser  presentada,  en  general   y   de</w:t>
        <w:br/>
        <w:t>conformidad con el artículo 57.2 del Reglamento, junto con los  escritos  de</w:t>
        <w:br/>
        <w:t>sometimiento del caso, de solicitudes y argumentos o de contestación,  según</w:t>
        <w:br/>
        <w:t>corresponda,  y  no  es  admisible  la  prueba  remitida   fuera   de   esas</w:t>
        <w:br/>
        <w:t>oportunidades procesales,  salvo  en  las  excepciones  establecidas  en  el</w:t>
        <w:br/>
        <w:t>referido artículo 57.2 del Reglamento (a saber,  fuerza  mayor,  impedimento</w:t>
        <w:br/>
        <w:t>grave) o salvo si se tratara de un hecho superviniente, es  decir,  ocurrido</w:t>
        <w:br/>
        <w:t>con posterioridad a los  citados  momentos  procesales.  Cfr.  Caso  Familia</w:t>
        <w:br/>
        <w:t>Barrios Vs. Venezuela. Fondo, Reparaciones y  Costas.  Sentencia  de  24  de</w:t>
        <w:br/>
        <w:t>noviembre de 2011. Serie C No.  237,  párrs.  17  y  18,  y  Caso  Colindres</w:t>
        <w:br/>
        <w:t>Schonenberg Vs. El Salvador. Fondo, Reparaciones y Costas.  Sentencia  de  4</w:t>
        <w:br/>
        <w:t>de febrero de 2019. Serie C No. 373, párr. 14..</w:t>
        <w:br/>
        <w:t>[30]  Cfr. Caso Velásquez Rodríguez Vs. Honduras. Fondo, supra,  párr.  140,</w:t>
        <w:br/>
        <w:t>y Caso Omeara Carrascal Y Otros Vs. Colombia. Fondo, Reparaciones y  Costas.</w:t>
        <w:br/>
        <w:t>Sentencia de 21 de noviembre de 2018. Serie C No. 368, párr.64.</w:t>
        <w:br/>
        <w:t>[31]  La Corte recibió las declaraciones  rendidas  ante  fedatario  público</w:t>
        <w:br/>
        <w:t>(affidávit) por los testigos ofrecidos por  las  representantes  Vibeke  Ann</w:t>
        <w:br/>
        <w:t>Muelle Jensen y  Jesús  Aníbal  Delgado  Flores,  así  como  los  dictámenes</w:t>
        <w:br/>
        <w:t>periciales de Christian Courtis y César  Gonzáles  Hunt,  ofrecidos  por  la</w:t>
        <w:br/>
        <w:t>Comisión y el Estado, respectivamente. Los objetos  de  estas  declaraciones</w:t>
        <w:br/>
        <w:t>se encuentran establecidos en la Resolución  de  la  Presidencia  de  27  de</w:t>
        <w:br/>
        <w:t>julio     de     2018     (supra     párr.     10).      Disponible      en:</w:t>
        <w:br/>
        <w:t>http://www.corteidh.or.cr/docs/asuntos/muelle_27_07_18.pdf</w:t>
        <w:br/>
        <w:t>[32]  Cfr. Caso Díaz Peña Vs. Venezuela, supra, 33, y Caso Omeara  Carrascal</w:t>
        <w:br/>
        <w:t>y otros Vs. Colombia, supra, párr. 69.</w:t>
        <w:br/>
        <w:t>[33]  Cfr. Hoja de vida  de  Oscar  Muelle  Flores  (expediente  de  prueba,</w:t>
        <w:br/>
        <w:t>folios 1482 a 1483 y 1486 a 1487).</w:t>
        <w:br/>
        <w:t>[34]  Cfr. Sentencia  emitida  por  la  Corte  Suprema  de  Justicia  de  la</w:t>
        <w:br/>
        <w:t>República de 2 de febrero 1993 (expediente de prueba, folio 13),  y  Escrito</w:t>
        <w:br/>
        <w:t>No. 2 de Laos, Aguilar, Celi &amp; Vinatea Abogados de 24 de septiembre de  1996</w:t>
        <w:br/>
        <w:t>(expediente de prueba, folio 4).</w:t>
        <w:br/>
        <w:t>[35]   Cfr.  Escrito  de  la  Oficina  de  Normalización  Previsional  (ONP)</w:t>
        <w:br/>
        <w:t>presentado ante la Sala Contencioso Administrativa de la Corte  Superior  de</w:t>
        <w:br/>
        <w:t>Lima de 24 de septiembre de 1996 (expediente de prueba, folio 4).</w:t>
        <w:br/>
        <w:t>[36]  Cfr. Sentencia  emitida  por  la  Corte  Suprema  de  Justicia  de  la</w:t>
        <w:br/>
        <w:t>República de 2 de febrero 1993 (expediente de prueba, folio 13),  y  Escrito</w:t>
        <w:br/>
        <w:t>No. 2 de Laos, Aguilar, Celi &amp; Vinatea Abogados de 24 de septiembre de  1996</w:t>
        <w:br/>
        <w:t>(expediente de prueba, folio 4).</w:t>
        <w:br/>
        <w:t>[37]  Cfr. Sentencia  emitida  por  el  Tribunal  Constitucional  de  10  de</w:t>
        <w:br/>
        <w:t>diciembre de 1999 (expediente de prueba, folio 28) y Escrito No. 2 de  Laos,</w:t>
        <w:br/>
        <w:t>Aguilar, Celi &amp; Vinatea Abogados de 24 de septiembre de 1996 (expediente  de</w:t>
        <w:br/>
        <w:t>prueba, folio 4).</w:t>
        <w:br/>
        <w:t>[38]  Cfr. Dictamen No.  735-97  emitido  por  la  Fiscalía  Suprema  en  lo</w:t>
        <w:br/>
        <w:t>Contencioso-Administrativo   del   Ministerio   Público   ante    la    Sala</w:t>
        <w:br/>
        <w:t>Constitucional y Social de la Corte Suprema de Justicia de la  República  de</w:t>
        <w:br/>
        <w:t>22 de agosto de 1997 (expediente de prueba, folio 10 a 11).</w:t>
        <w:br/>
        <w:t>[39]  Cfr. Demanda de amparo de Oscar Muelle Flores ante el  Quinto  Juzgado</w:t>
        <w:br/>
        <w:t>de lo Civil de Lima de 18 de abril de  1991  (expediente  de  prueba,  folio</w:t>
        <w:br/>
        <w:t>16), y Resolución No. 6 emitida por el Quinto Juzgado de lo  Civil  de  Lima</w:t>
        <w:br/>
        <w:t>el 19 de julio de 1991 (expediente de prueba, folio 22).</w:t>
        <w:br/>
        <w:t>[40]  Cfr. Artículo 1 del Decreto Ley No. 20530 que  estableció  el  Régimen</w:t>
        <w:br/>
        <w:t>de Pensiones y Compensaciones por Servicios Civiles  Prestados  al  Servicio</w:t>
        <w:br/>
        <w:t>del Estado no comprendidos en el Decreto Ley No. 19990, promulgado el 27  de</w:t>
        <w:br/>
        <w:t>febrero de 1974. Cfr. Declaración rendida ante fedatario público  por  César</w:t>
        <w:br/>
        <w:t>José Gonzáles Hunt el 24 de agosto de  2018  (expediente  de  prueba,  folio</w:t>
        <w:br/>
        <w:t>1849).</w:t>
        <w:br/>
        <w:t>[41]  Declaración rendida ante fedatario público  por  César  José  Gonzáles</w:t>
        <w:br/>
        <w:t>Hunt el 24 de agosto de 2018 (expediente de prueba, folio 1849).</w:t>
        <w:br/>
        <w:t>[42]  Cfr. Artículo 4 del Decreto Ley No. 20530, supra.</w:t>
        <w:br/>
        <w:t>[43]  Declaración rendida ante fedatario público  por  César  José  Gonzáles</w:t>
        <w:br/>
        <w:t>Hunt el 24 de agosto de 2018 (expediente de prueba, folio 1849).</w:t>
        <w:br/>
        <w:t>[44]  La  Octava  Disposición  General  y  Transitoria  de  la  Constitución</w:t>
        <w:br/>
        <w:t>Política del Perú de 1979, establecía que:“[l]as pensiones de  los  cesantes</w:t>
        <w:br/>
        <w:t>con más de veinte años de servicios y de los jubilados de la  administración</w:t>
        <w:br/>
        <w:t>pública, no sometidas al régimen del  Seguro  Social  del  Perú  o  a  otros</w:t>
        <w:br/>
        <w:t>regímenes especiales, se nivelan progresivamente  con  los  haberes  de  los</w:t>
        <w:br/>
        <w:t>servidores públicos en actividad de las respectivas categorías,  durante  el</w:t>
        <w:br/>
        <w:t>término de  diez  ejercicios,  a  partir  del  1  de  enero  de  1980  deben</w:t>
        <w:br/>
        <w:t>consignarse en el Presupuesto de la República las partidas consiguientes”.</w:t>
        <w:br/>
        <w:t>[45]  Cfr.  Declaración  rendida  ante  fedatario  público  por  César  José</w:t>
        <w:br/>
        <w:t>Gonzáles Hunt el 24 de agosto de 2018 (expediente de prueba, folio 1850).</w:t>
        <w:br/>
        <w:t>[46]  Artículo 5  de  la  Ley  No.  23495,  “Nivelación  Progresiva  de  las</w:t>
        <w:br/>
        <w:t>Pensiones de los Cesantes y de los Jubilados de  la  Administración  Pública</w:t>
        <w:br/>
        <w:t>no sometidos al Régimen del Seguro Social o a otros  regímenes  especiales”,</w:t>
        <w:br/>
        <w:t>adoptada el 19 de noviembre de 1982.</w:t>
        <w:br/>
        <w:t>[47]  Cfr. Sentencia emitida por el Quinto Juzgado de lo Civil  de  Lima  de</w:t>
        <w:br/>
        <w:t>19 de julio de 1991 (expediente de prueba, folios  23  a  24),  y  Sentencia</w:t>
        <w:br/>
        <w:t>emitida por la Corte Suprema de Justicia de la República  de  2  de  febrero</w:t>
        <w:br/>
        <w:t>1993 (expediente de prueba, folio 13).</w:t>
        <w:br/>
        <w:t>[48]  Cfr. Escrito de la Empresa Minera  Especial  Tintaya  S.A.  al  Quinto</w:t>
        <w:br/>
        <w:t>Juzgado de lo Civil de Lima de 3 de mayo  de  1991  (expediente  de  prueba,</w:t>
        <w:br/>
        <w:t>folios 588 a 589).</w:t>
        <w:br/>
        <w:t>[49]  Cfr. Comunicación del Estado de 18 de diciembre  de  2012  (expediente</w:t>
        <w:br/>
        <w:t>de prueba, folio 109) y escrito de la Empresa Minera Especial  Tintaya  S.A.</w:t>
        <w:br/>
        <w:t>al Quinto Juzgado de lo Civil de Lima de 3 de mayo de  1991  (expediente  de</w:t>
        <w:br/>
        <w:t>prueba folios 588 a 589).</w:t>
        <w:br/>
        <w:t>[50]  Asimismo, el señor Muelle Flores interpuso una denuncia penal ante  la</w:t>
        <w:br/>
        <w:t>Fiscalía  Provincial  en  lo  Penal  de  Lima  contra  algunos  funcionarios</w:t>
        <w:br/>
        <w:t>públicos por los delitos de violación a la libertad de trabajo  y  abuso  de</w:t>
        <w:br/>
        <w:t>autoridad,  mediante  escrito  de  30  de  diciembre  de  1993,  debido   el</w:t>
        <w:br/>
        <w:t>incumplimiento del pago de  su  pensión,  ordenado  mediante  sentencias  de</w:t>
        <w:br/>
        <w:t>amparo. El 30 de junio de 1997 la  Segunda  Sala  Penal  declaró  que  dicha</w:t>
        <w:br/>
        <w:t>acción había prescrito, y ordenó  el  archivo  del  proceso.  Cfr.  Denuncia</w:t>
        <w:br/>
        <w:t>interpuesta por Oscar Muelle de 30  de  diciembre  de  1993  (expediente  de</w:t>
        <w:br/>
        <w:t>prueba, folios 353 a 358), y Sentencia emitida por la Segunda Sala Penal  el</w:t>
        <w:br/>
        <w:t>30 de junio de 1997 (expediente de prueba, folios 351 a 352).</w:t>
        <w:br/>
        <w:t>[51]  Cfr. Ayuda memoria, documento el cual indica que  Oscar  Rubén  Muelle</w:t>
        <w:br/>
        <w:t>Flores nació el 25 de marzo de 1936, y declaración  rendida  ante  fedatario</w:t>
        <w:br/>
        <w:t>público por Oscar Muelle Flores el 25 de  octubre  de  2017  (expediente  de</w:t>
        <w:br/>
        <w:t>prueba, folios 1520 y 1612).</w:t>
        <w:br/>
        <w:t>[52]  Cfr. Informe de Diagnóstico Médico emitido  por  “Audición,  audífonos</w:t>
        <w:br/>
        <w:t>de última generación” (expediente de prueba, folios 1499 a 1519).</w:t>
        <w:br/>
        <w:t>[53]  Cfr. Informe de Alta emitido por el  Hospital  Central  de  la  Fuerza</w:t>
        <w:br/>
        <w:t>Aérea del Perú (FAP) y certificados médicos (expediente  de  prueba,  folios</w:t>
        <w:br/>
        <w:t>1878 a 1890). En las declaraciones juradas ante  la  Corte,  tanto  su  hija</w:t>
        <w:br/>
        <w:t>Vibeke Ann Muelle, como su medio hermano, Jesús Aníbal  Delgado  Flores,  se</w:t>
        <w:br/>
        <w:t>refirieron a la condición de salud del señor Muelle Flores. Su  hija  señaló</w:t>
        <w:br/>
        <w:t>que su padre padecía de demencia senil, y su hermano destacó  que  el  señor</w:t>
        <w:br/>
        <w:t>Muelle Flores sufrió  una  depresión  nerviosa  y  perdió  la  audición  por</w:t>
        <w:br/>
        <w:t>estrés. Cfr. Declaración rendida  ante  fedatario  público  por  Vibeke  Ann</w:t>
        <w:br/>
        <w:t>Muelle Jensen el 22 de agosto de 2018 (expediente de prueba, folio 1840),  y</w:t>
        <w:br/>
        <w:t>declaración rendida ante fedatario público por Jesús Aníbal  Delgado  Flores</w:t>
        <w:br/>
        <w:t>el 22 de agosto de 2018 (expediente de prueba, folios 1841 a 1842).</w:t>
        <w:br/>
        <w:t>[54]  Cfr. Demanda de amparo de Oscar Muelle Flores ante el  Quinto  Juzgado</w:t>
        <w:br/>
        <w:t>de lo Civil de Lima de 18 de abril de 1991 (expediente de prueba, folios  16</w:t>
        <w:br/>
        <w:t>a 20).</w:t>
        <w:br/>
        <w:t>[55]  Cfr. Sentencia emitida por el Quinto Juzgado de lo Civil  de  Lima  de</w:t>
        <w:br/>
        <w:t>19 de julio de 1991 (expediente de prueba, folios 22 a 24).</w:t>
        <w:br/>
        <w:t>[56]  Cfr. Sentencia emitida por la Segunda Sala Civil de la Corte  Superior</w:t>
        <w:br/>
        <w:t>de Lima de 29 de mayo de 1992 (expediente de prueba, folios 592-593).</w:t>
        <w:br/>
        <w:t>[57]  Cfr. Sentencia emitida por la  Corte  Suprema  de  Justicia  de  2  de</w:t>
        <w:br/>
        <w:t>febrero 1993 (expediente de prueba, folio 13).</w:t>
        <w:br/>
        <w:t>[58]  Cfr. Resolución N. 08 emitida por la Segunda Sala Civil  de  la  Corte</w:t>
        <w:br/>
        <w:t>Superior de Justicia de Lima  de  10  de  octubre  de  2013  (expediente  de</w:t>
        <w:br/>
        <w:t>prueba, folio 1725) y declaración rendida ante fedatario público  por  César</w:t>
        <w:br/>
        <w:t>José Gonzáles Hunt el 24 de agosto de  2018  (expediente  de  prueba,  folio</w:t>
        <w:br/>
        <w:t>1848).</w:t>
        <w:br/>
        <w:t>[59]  Cfr. Resolución N. 08 emitida por la Segunda Sala Civil  de  la  Corte</w:t>
        <w:br/>
        <w:t>Superior de Justicia de Lima  de  10  de  octubre  de  2013  (expediente  de</w:t>
        <w:br/>
        <w:t>prueba, folio 1725), y declaración rendida ante fedatario público por  César</w:t>
        <w:br/>
        <w:t>José Gonzáles Hunt el 24 de agosto de  2018  (expediente  de  prueba,  folio</w:t>
        <w:br/>
        <w:t>1848).</w:t>
        <w:br/>
        <w:t>[60]  Resolución No. 08 emitida por  la  Segunda  Sala  Civil  de  la  Corte</w:t>
        <w:br/>
        <w:t>Superior de Justicia de Lima  de  10  de  octubre  de  2013  (expediente  de</w:t>
        <w:br/>
        <w:t>prueba, folio 1726), y declaración rendida ante fedatario público por  César</w:t>
        <w:br/>
        <w:t>José Gonzáles Hunt el 24 de agosto de  2018  (expediente  de  prueba,  folio</w:t>
        <w:br/>
        <w:t>1848).</w:t>
        <w:br/>
        <w:t>[61]  Resolución No. 08 emitida por  la  Segunda  Sala  Civil  de  la  Corte</w:t>
        <w:br/>
        <w:t>Superior de Justicia de Lima 10 de octubre de 2013  (expediente  de  prueba,</w:t>
        <w:br/>
        <w:t>folio 1726), y Declaración rendida ante fedatario  público  por  César  José</w:t>
        <w:br/>
        <w:t>Gonzáles Hunt el 24 de agosto de 2018 (expediente de prueba, folio 1848).</w:t>
        <w:br/>
        <w:t>[62]  Cfr. Resolución No. 08 emitida por la Segunda Sala Civil de  la  Corte</w:t>
        <w:br/>
        <w:t>Superior de Justicia de Lima de 10 octubre de 2013  (expediente  de  prueba,</w:t>
        <w:br/>
        <w:t>folio 1726), y declaración rendida ante fedatario  público  por  César  José</w:t>
        <w:br/>
        <w:t>Gonzáles Hunt el 24 de agosto de 2018 (expediente de prueba, folio 1848).</w:t>
        <w:br/>
        <w:t>[63]   El  numeral  segundo  estableció  que   existía   litigio   con   dos</w:t>
        <w:br/>
        <w:t>funcionarios, sin especificar cuáles o de qué tipo. Cfr. Resolución  No.  08</w:t>
        <w:br/>
        <w:t>emitida por la Segunda Sala Civil de la Corte Superior de Justicia  de  Lima</w:t>
        <w:br/>
        <w:t>de 10 de octubre de 2013 (expediente de  prueba,  folios  1726  a  1727),  y</w:t>
        <w:br/>
        <w:t>declaración rendida ante fedatario público por César José Gonzáles  Hunt  el</w:t>
        <w:br/>
        <w:t>24 de agosto de 2018 (expediente de prueba, folios 1848 a 1849).</w:t>
        <w:br/>
        <w:t>[64]  Cfr. Escrito de apersonamiento de la empresa Xstrata Tintaya  S.A.  de</w:t>
        <w:br/>
        <w:t>13  de  abril  de  2009  presentado  ante  el  38°  Juzgado  Civil  de  Lima</w:t>
        <w:br/>
        <w:t>(expediente de prueba, folio 63 a 64).</w:t>
        <w:br/>
        <w:t>[65]   Después  de  la  privatización  de  Tintaya  S.A.  su  propiedad  fue</w:t>
        <w:br/>
        <w:t>transferida en distintas ocasiones cambiando  su  razón  social.  Por  ello,</w:t>
        <w:br/>
        <w:t>durante el desarrollo de la presente Sentencia la Corte utilizará  la  razón</w:t>
        <w:br/>
        <w:t>social pertinente en el  momento  de  sus  intervenciones  en  los  procesos</w:t>
        <w:br/>
        <w:t>judiciales internos.</w:t>
        <w:br/>
        <w:t>[66]  Cfr. Sentencia  emitida  por  el  Tribunal  Constitucional  de  10  de</w:t>
        <w:br/>
        <w:t>diciembre de 1999 (expediente de prueba, folio 26).</w:t>
        <w:br/>
        <w:t>[67]  Cfr. Sentencia  emitida  por  el  Tribunal  Constitucional  de  10  de</w:t>
        <w:br/>
        <w:t>diciembre de 1999 (expediente de prueba, folio 28).</w:t>
        <w:br/>
        <w:t>[68]  Cfr. Sentencia  emitida  por  el  Tribunal  Constitucional  de  10  de</w:t>
        <w:br/>
        <w:t>diciembre de 1999 (expediente de prueba, folio 26).</w:t>
        <w:br/>
        <w:t>[69]  Cfr. Sentencia  emitida  por  el  Tribunal  Constitucional  de  10  de</w:t>
        <w:br/>
        <w:t>diciembre de 1999 (expediente de prueba, folio 27).</w:t>
        <w:br/>
        <w:t>[70]  Cfr. Sentencia  emitida  por  el  Tribunal  Constitucional  de  10  de</w:t>
        <w:br/>
        <w:t>diciembre de 1999 (expediente de prueba, folio 27).</w:t>
        <w:br/>
        <w:t>[71]  Cfr. Sentencia  emitida  por  el  Tribunal  Constitucional  de  10  de</w:t>
        <w:br/>
        <w:t>diciembre de 1999 (expediente de prueba, folio 27).</w:t>
        <w:br/>
        <w:t>[72]  Cfr. Sentencia  emitida  por  el  Tribunal  Constitucional  de  10  de</w:t>
        <w:br/>
        <w:t>diciembre de 1999 (expediente de prueba, folio 29).</w:t>
        <w:br/>
        <w:t>[73]  Cfr. Sentencia  emitida  por  el  Tribunal  Constitucional  de  10  de</w:t>
        <w:br/>
        <w:t>diciembre de 1999 (expediente de prueba, folio 29).</w:t>
        <w:br/>
        <w:t>[74]  Cfr. Sentencia emitida por la Sala de Derecho Constitucional y  Social</w:t>
        <w:br/>
        <w:t>de la Corte Suprema de Justicia de 29 de  octubre  de  1997  (expediente  de</w:t>
        <w:br/>
        <w:t>prueba folio 387).</w:t>
        <w:br/>
        <w:t>[75]  Cfr. Primera Disposición Complementaria del  Decreto  Legislativo  No.</w:t>
        <w:br/>
        <w:t>817, publicado el 23 de abril de 1996  en  el  Diario  Oficial  El  Peruano.</w:t>
        <w:br/>
        <w:t>Algunos artículos de esta norma fueron declarados inconstitucionales por  el</w:t>
        <w:br/>
        <w:t>Tribunal Constitucional en la sentencia de 23 de abril de  1997  recaída  en</w:t>
        <w:br/>
        <w:t>el Expediente No.  008-96-I/TC.  Véase  también,  Declaración  rendida  ante</w:t>
        <w:br/>
        <w:t>fedatario público por César José Gonzáles Hunt  el  24  de  agosto  de  2018</w:t>
        <w:br/>
        <w:t>(expediente de prueba, folio 1853 a 1855).</w:t>
        <w:br/>
        <w:t>[76]  Cfr. Resolución emitida por la Sala Contencioso Administrativa  de  la</w:t>
        <w:br/>
        <w:t>Corte Superior de Lima de 30 de julio de 1996 (expediente de  prueba,  folio</w:t>
        <w:br/>
        <w:t>417).</w:t>
        <w:br/>
        <w:t>[77]  Cfr. Cédula de notificación de  la  Resolución  emitida  por  la  Sala</w:t>
        <w:br/>
        <w:t>Contencioso Administrativa de la Corte Superior de Lima de 15 de  agosto  de</w:t>
        <w:br/>
        <w:t>1996 (expediente de prueba, folio 418).</w:t>
        <w:br/>
        <w:t>[78]   Cfr.  Escrito  de  la  Oficina  de  Normalización  Previsional  (ONP)</w:t>
        <w:br/>
        <w:t>presentado ante la Sala Contencioso Administrativa de la Corte  Superior  de</w:t>
        <w:br/>
        <w:t>Lima de 24 de septiembre de 1996 (expediente de prueba, folio 4).</w:t>
        <w:br/>
        <w:t>[79]  Cfr. Dictamen emitido por  la  Fiscalía  Suprema  en  lo  Contencioso-</w:t>
        <w:br/>
        <w:t>Administrativo del Ministerio Público ante la Sala Constitucional  y  Social</w:t>
        <w:br/>
        <w:t>de la Corte Suprema de Justicia el 22  de  agosto  de  1997  (expediente  de</w:t>
        <w:br/>
        <w:t>prueba, folio 10) y Sentencia emitida por la Sala de Derecho  Constitucional</w:t>
        <w:br/>
        <w:t>y Social de  la  Corte  Suprema  de  Justicia  de  29  de  octubre  de  1997</w:t>
        <w:br/>
        <w:t>(expediente de prueba, folio 387).</w:t>
        <w:br/>
        <w:t>[80]  Cfr. Dictamen emitido por  la  Fiscalía  Suprema  en  lo  Contencioso-</w:t>
        <w:br/>
        <w:t>Administrativo del Ministerio Público ante la Sala Constitucional  y  Social</w:t>
        <w:br/>
        <w:t>de la Corte Suprema de Justicia de 22  de  agosto  de  1997  (expediente  de</w:t>
        <w:br/>
        <w:t>prueba, folios 10 a 11).</w:t>
        <w:br/>
        <w:t>[81]  Cfr. Dictamen emitido por  la  Fiscalía  Suprema  en  lo  Contencioso-</w:t>
        <w:br/>
        <w:t>Administrativo del Ministerio Público ante la Sala Constitucional  y  Social</w:t>
        <w:br/>
        <w:t>de la Corte Suprema de Justicia el 22  de  agosto  de  1997  (expediente  de</w:t>
        <w:br/>
        <w:t>prueba, folios 10  a  11)  y  Sentencia  emitida  por  la  Sala  de  Derecho</w:t>
        <w:br/>
        <w:t>Constitucional y Social de la Corte Suprema de Justicia el 29 de octubre  de</w:t>
        <w:br/>
        <w:t>1997 (expediente de prueba, folio 387).</w:t>
        <w:br/>
        <w:t>[82]  Cfr. Carta notarial de 30  de  octubre  de  1998  remitida  por  Oscar</w:t>
        <w:br/>
        <w:t>Muelle Flores a la  Oficina  de  Normalización  Previsional  (expediente  de</w:t>
        <w:br/>
        <w:t>prueba,  folios  344  a  346),  y  cartas  emitidas  por   la   Oficina   de</w:t>
        <w:br/>
        <w:t>Normalización Previsional el 27 de noviembre y 7 de  diciembre  de  1998  en</w:t>
        <w:br/>
        <w:t>donde se hace referencia a las cartas notariales de 30 de octubre,  4  y  17</w:t>
        <w:br/>
        <w:t>de noviembre de 1998 remitidas por Oscar Muelle Flores a la ONP  (expediente</w:t>
        <w:br/>
        <w:t>de prueba, folios 259 a 260).</w:t>
        <w:br/>
        <w:t>[83]  Carta emitida por la Oficina de Normalización  Previsional  de  27  de</w:t>
        <w:br/>
        <w:t>noviembre de 1998 (expediente de prueba, folios 261 a 262).</w:t>
        <w:br/>
        <w:t>[84]  Cfr. Cartas emitidas por la Oficina de  Normalización  Previsional  de</w:t>
        <w:br/>
        <w:t>27 de noviembre y 7 de diciembre de 1998 (expediente de prueba,  folios  259</w:t>
        <w:br/>
        <w:t>a 260).</w:t>
        <w:br/>
        <w:t>[85]  Cfr. Resolución emitida por el  Quinto  Juzgado  Especializado  en  lo</w:t>
        <w:br/>
        <w:t>Civil de Lima de 18 de diciembre de 1995 (expediente de prueba, folio 31).</w:t>
        <w:br/>
        <w:t>[86]  Cfr. Resolución emitida por el  Quinto  Juzgado  Especializado  en  lo</w:t>
        <w:br/>
        <w:t>Civil de Lima de 7 de abril de 1997 (expediente de prueba, folio 34).</w:t>
        <w:br/>
        <w:t>[87]  Cfr. Resolución emitida por el Primer Juzgado Corporativo  Transitorio</w:t>
        <w:br/>
        <w:t>Especializado en Derecho Público de 20 de octubre  de  1999  (expediente  de</w:t>
        <w:br/>
        <w:t>prueba, folio 1719).</w:t>
        <w:br/>
        <w:t>[88]  Cfr. Comunicación de 24 de agosto de 2000 remitida  por  Oscar  Muelle</w:t>
        <w:br/>
        <w:t>Flores a la Oficina de Normalización Previsional  el  19  de  septiembre  de</w:t>
        <w:br/>
        <w:t>2000 (expediente de prueba, folio 36).</w:t>
        <w:br/>
        <w:t>[89]  De conformidad con la  prueba  aportada  por  las  partes,  los  pagos</w:t>
        <w:br/>
        <w:t>efectuados al señor Muelle Flores fueron los siguientes: a) el 19  de  marzo</w:t>
        <w:br/>
        <w:t>de  1999,  por  un  monto  de  59,200  soles,   por   pensiones   devengadas</w:t>
        <w:br/>
        <w:t>correspondientes a los meses de febrero de 1993 hasta marzo de 1999;  b)  el</w:t>
        <w:br/>
        <w:t>26 de junio de 1999, por un monto de 19,200 soles por  pensiones  devengadas</w:t>
        <w:br/>
        <w:t>correspondientes a los meses de febrero de 1991  a  octubre  de  1992  y  de</w:t>
        <w:br/>
        <w:t>abril a junio de 1999; c) el 21 de septiembre  de  1999,  por  un  monto  de</w:t>
        <w:br/>
        <w:t>2,400 soles por pensiones devengadas correspondientes a los meses  de  julio</w:t>
        <w:br/>
        <w:t>a septiembre de 1999; d) el 3 de diciembre de 1999, por un  monto  de  2,400</w:t>
        <w:br/>
        <w:t>soles por pensiones devengadas correspondientes a los  meses  de  octubre  a</w:t>
        <w:br/>
        <w:t>diciembre de 1999; e) el 18 de febrero de 2000, por un monto de 2,400  soles</w:t>
        <w:br/>
        <w:t>por pensiones devengadas correspondientes a los meses de enero  a  marzo  de</w:t>
        <w:br/>
        <w:t>2000; f) el 11 de mayo del 2000, por un monto de 2,400 soles  por  pensiones</w:t>
        <w:br/>
        <w:t>devengadas correspondientes a los meses de abril a junio de 2000; g)  el  22</w:t>
        <w:br/>
        <w:t>de septiembre de 2000, por un monto de 4,800 soles por pensiones  devengadas</w:t>
        <w:br/>
        <w:t>correspondientes a los meses de julio a diciembre de 2000, y h) 4,800  soles</w:t>
        <w:br/>
        <w:t>por pensiones devengadas correspondientes a los meses de  enero  a  junio  a</w:t>
        <w:br/>
        <w:t>diciembre de 2001. En relación con este último pago, si  bien  la  Corte  no</w:t>
        <w:br/>
        <w:t>cuenta con  el  recibo  correspondiente,  el  señor  Muelle  Flores  admitió</w:t>
        <w:br/>
        <w:t>haberlo recibido por el periodo de tiempo mencionado. Cfr. Recibo de pago  y</w:t>
        <w:br/>
        <w:t>acta de entrega suscrita por la representante legal de BHP Tintaya  y  Oscar</w:t>
        <w:br/>
        <w:t>Muelles Flores de 19 de marzo de 1999; recibos de pago de 26  de  junio,  21</w:t>
        <w:br/>
        <w:t>de septiembre y 3 de diciembre de 1999, de 18 de febrero, 11 de  mayo  y  22</w:t>
        <w:br/>
        <w:t>de septiembre de 2000 (expediente de prueba,  folios  1673  a  1688).  Véase</w:t>
        <w:br/>
        <w:t>también, Escrito de interposición de recurso de apelación  de  Oscar  Muelle</w:t>
        <w:br/>
        <w:t>de 17 de mayo de 2010, (expediente de prueba, folios 74 y 75).</w:t>
        <w:br/>
        <w:t>[90]  Cfr. Acta de entrega  suscrita  por  la  representante  legal  de  BHP</w:t>
        <w:br/>
        <w:t>Tintaya y Oscar Muelles Flores  de  19  de  marzo  de  1999  (expediente  de</w:t>
        <w:br/>
        <w:t>prueba, folio 1675).</w:t>
        <w:br/>
        <w:t>[91]  Cfr. Comunicación de la Oficina de Normalización Previsional de 26  de</w:t>
        <w:br/>
        <w:t>octubre de 2000 (expediente de prueba, folio 38).</w:t>
        <w:br/>
        <w:t>[92]  Cfr. Carta notarial de 5 de julio de 2004 remitida  por  Oscar  Muelle</w:t>
        <w:br/>
        <w:t>Flores a la Oficina de Normalización Previsional el 23  de  agosto  de  2004</w:t>
        <w:br/>
        <w:t>(expediente de prueba, folios 251 a 256).</w:t>
        <w:br/>
        <w:t>[93]  Cfr. Carta emitida por la  Oficina  de  Normalización  Previsional  de</w:t>
        <w:br/>
        <w:t>noviembre de 2004 (expediente de prueba, folio 250).</w:t>
        <w:br/>
        <w:t>[94]  Cfr. Carta emitida por el Ministerio  de  Economía  y  Finanzas  el  3</w:t>
        <w:br/>
        <w:t>noviembre de 2004 e Informe No. 466-2004-EF/65.16 el 27 de octubre  de  2004</w:t>
        <w:br/>
        <w:t>(expediente de prueba, folios 246 a 249).</w:t>
        <w:br/>
        <w:t>[95]  Cfr. Comunicación de Oscar  Muelle  Flores  de  29  de  mayo  de  2010</w:t>
        <w:br/>
        <w:t>recibida por la Comisión Interamericana el 8 de julio  de  2010  (expediente</w:t>
        <w:br/>
        <w:t>de prueba, folios 237 a 238).</w:t>
        <w:br/>
        <w:t>[96]  Cfr. Comunicación de Oscar  Muelle  Flores  de  29  de  mayo  de  2010</w:t>
        <w:br/>
        <w:t>recibida por la Comisión Interamericana el 8 de julio  de  2010  (expediente</w:t>
        <w:br/>
        <w:t>de prueba, folios 237 a 238).</w:t>
        <w:br/>
        <w:t>[97]  Cfr. Resolución emitida por el 38° Juzgado Civil  de  Lima  de  26  de</w:t>
        <w:br/>
        <w:t>abril de 2010 (expediente de prueba, folio 68).</w:t>
        <w:br/>
        <w:t>[98]  Cfr. Informe No.  48-2010-JUS/PPES  del  Estado  del  Perú  de  25  de</w:t>
        <w:br/>
        <w:t>febrero de 2010 recibido por la Comisión Interamericana el  1  de  marzo  de</w:t>
        <w:br/>
        <w:t>2010 (expediente de prueba, folios 39.8 a 39.9).</w:t>
        <w:br/>
        <w:t>[99]  Cfr. Escrito de apersonamiento de la empresa Xstrata Tintaya  S.A.  de</w:t>
        <w:br/>
        <w:t>13  de  abril  de  2009  presentado  ante  el  38°  Juzgado  Civil  de  Lima</w:t>
        <w:br/>
        <w:t>(expediente de prueba, folios 62 a 64).</w:t>
        <w:br/>
        <w:t>[100]       Cfr. Escrito de apersonamiento de  la  empresa  Xstrata  Tintaya</w:t>
        <w:br/>
        <w:t>S.A. de 13 de abril de 2009 presentado ante el 38°  Juzgado  Civil  de  Lima</w:t>
        <w:br/>
        <w:t>(expediente de prueba, folios 62 a 64).</w:t>
        <w:br/>
        <w:t>[101]       Cfr. Resolución emitida por el 38° Juzgado Civil de Lima  de  26</w:t>
        <w:br/>
        <w:t>de abril de 2010 (expediente de prueba, folio 68).</w:t>
        <w:br/>
        <w:t>[102]       Cfr. Resolución emitida por el 38° Juzgado Civil de Lima  de  26</w:t>
        <w:br/>
        <w:t>de abril de 2010 (expediente de prueba, folio 68).</w:t>
        <w:br/>
        <w:t>[103]       Cfr. Recurso de apelación de Oscar Muelle de 17 de mayo de  2010</w:t>
        <w:br/>
        <w:t>(expediente de pruebas, folio 70).</w:t>
        <w:br/>
        <w:t>[104]       Cfr. Resolución emitida por el 38° Juzgado Civil de Lima  de  19</w:t>
        <w:br/>
        <w:t>de mayo de 2010 (expediente de pruebas, folio 83).</w:t>
        <w:br/>
        <w:t>[105]       Cfr. Recurso de apelación de Oscar Muelle de 17 de mayo de  2010</w:t>
        <w:br/>
        <w:t>(expediente de prueba, folios 74 y 75).</w:t>
        <w:br/>
        <w:t>[106]       Cfr. Resolución emitida por la Segunda Sala Civil  de  la  Corte</w:t>
        <w:br/>
        <w:t>Superior de Lima de 13 de abril de 2011 (expediente de pruebas, folio 98).</w:t>
        <w:br/>
        <w:t>[107]       Cfr. Resolución No. 08 emitida por la Segunda Sala Civil  de  la</w:t>
        <w:br/>
        <w:t>Corte Superior de Justicia de 10 de octubre de 2013 (expediente  de  prueba,</w:t>
        <w:br/>
        <w:t>folio 1721).</w:t>
        <w:br/>
        <w:t>[108]       Cfr. Resolución No. 08 emitida por la Segunda Sala Civil  de  la</w:t>
        <w:br/>
        <w:t>Corte Superior de Justicia de 10 de octubre de 2013 (expediente  de  prueba,</w:t>
        <w:br/>
        <w:t>folio 1721).</w:t>
        <w:br/>
        <w:t>[109] Resolución emitida por el 33° Juzgado Civil de Lima de 30  de  octubre</w:t>
        <w:br/>
        <w:t>de 2012 (expediente de prueba, folio 114).</w:t>
        <w:br/>
        <w:t>[110]       Cfr. Recurso de Apelación de Oscar Muelle de 20 de noviembre  de</w:t>
        <w:br/>
        <w:t>2012 (expediente de prueba, folio 116).</w:t>
        <w:br/>
        <w:t>[111]       Cfr. Resolución No. 08 emitida por la Segunda Sala Civil  de  la</w:t>
        <w:br/>
        <w:t>Corte Superior de Justicia de 10 de octubre de 2013 (expediente  de  prueba,</w:t>
        <w:br/>
        <w:t>folios 1725 a 1729).</w:t>
        <w:br/>
        <w:t>[112]       Cfr. Resolución No. 08 emitida por la Segunda Sala Civil  de  la</w:t>
        <w:br/>
        <w:t>Corte Superior de Justicia de 10 de octubre de 2013 (expediente  de  prueba,</w:t>
        <w:br/>
        <w:t>folio 1728).</w:t>
        <w:br/>
        <w:t>[113]       Cfr. Resolución No. 08 emitida por la Segunda Sala Civil  de  la</w:t>
        <w:br/>
        <w:t>Corte Superior de Justicia de 10 de octubre de 2013 (expediente  de  prueba,</w:t>
        <w:br/>
        <w:t>folio 1730).</w:t>
        <w:br/>
        <w:t>[114]       Cfr. Resolución No. 08 emitida por la Segunda Sala Civil  de  la</w:t>
        <w:br/>
        <w:t>Corte Superior de Justicia de 16 de octubre de 2013 (expediente  de  prueba,</w:t>
        <w:br/>
        <w:t>folios 1737 a 1738).</w:t>
        <w:br/>
        <w:t>[115]        Cfr.  Resolución  No.  104   emitida   por   el   33°   Juzgado</w:t>
        <w:br/>
        <w:t>Especializado en lo Civil de Lima el  5  de  septiembre  de  2014  y  Oficio</w:t>
        <w:br/>
        <w:t>emitido por el 33° Juzgado Especializado  en  lo  Civil  de  Lima  el  9  de</w:t>
        <w:br/>
        <w:t>septiembre de 2014 (expediente de prueba, folios 1740 a 1741).</w:t>
        <w:br/>
        <w:t>[116]        Cfr.  Resolución  No.  106   emitida   por   el   33°   Juzgado</w:t>
        <w:br/>
        <w:t>Especializado Civil de Lima el 11 de junio de 2015  (expediente  de  prueba,</w:t>
        <w:br/>
        <w:t>folios 1743-1746).</w:t>
        <w:br/>
        <w:t>[117]        Cfr.  Resolución  No.  109   emitida   por   el   33°   Juzgado</w:t>
        <w:br/>
        <w:t>Especializado Civil de Lima el 26 de octubre de 2015 (expediente de  prueba,</w:t>
        <w:br/>
        <w:t>folio 1748). Este Juzgado solicitó la información a Proinversión,  luego  de</w:t>
        <w:br/>
        <w:t>que el MEF indicara el 21 de julio de  2015,  que  la  entidad  estatal  que</w:t>
        <w:br/>
        <w:t>debía dar respuesta sobre los activos y pasivos asumidos por la  ex  empresa</w:t>
        <w:br/>
        <w:t>estatal Tintaya S.A. debía ser el Fondo  de  la  Actividad  Empresarial  del</w:t>
        <w:br/>
        <w:t>Estado (FONAFE). A su vez, el 17 de julio  de  2015  FONAFE  señaló  que  la</w:t>
        <w:br/>
        <w:t>entidad que debía dar respuesta a dicha  solicitud  era  PROINVERSIÓN.  Cfr.</w:t>
        <w:br/>
        <w:t>Escrito del señor Muelle de 3 de mayo de 2017 (expediente de prueba,  folios</w:t>
        <w:br/>
        <w:t>1754 a 1755).</w:t>
        <w:br/>
        <w:t>[118]       Cfr. Escrito del señor Muelle de 7 de junio de 2016  (expediente</w:t>
        <w:br/>
        <w:t>de prueba, folios 1750-1751).</w:t>
        <w:br/>
        <w:t>[119]       Cfr. Escrito del señor Muelle  Flores  de  3  de  mayo  de  2017</w:t>
        <w:br/>
        <w:t>(expediente de prueba, folios 1754 a 1758).</w:t>
        <w:br/>
        <w:t>[120]       Cfr. Resolución emitida por la Segunda Sala Civil  de  la  Corte</w:t>
        <w:br/>
        <w:t>Superior de Justicia de Lima  el  14  de  febrero  de  2017  (expediente  de</w:t>
        <w:br/>
        <w:t>prueba, folios 1760 a 1762).</w:t>
        <w:br/>
        <w:t>[121]       Cfr. Resolución emitida por la Segunda Sala Civil  de  la  Corte</w:t>
        <w:br/>
        <w:t>Superior de Justicia de Lima  el  14  de  febrero  de  2017  (expediente  de</w:t>
        <w:br/>
        <w:t>prueba, folio 1761).</w:t>
        <w:br/>
        <w:t>[122]       Cfr. Informe oral emitido por el 33° Juzgado Civil  de  Lima  27</w:t>
        <w:br/>
        <w:t>de marzo de 2018 (expediente de prueba, folio 1770).</w:t>
        <w:br/>
        <w:t>[123]       Según informó el Estado, el 29 de septiembre de 1994 se  publicó</w:t>
        <w:br/>
        <w:t>en el Diario Oficial El Peruano, el  Decreto  Supremo  No.  125-94-EF,  cuyo</w:t>
        <w:br/>
        <w:t>artículo 1 estableció lo siguiente: "Articulo 1.- Autorícese  al  Ministerio</w:t>
        <w:br/>
        <w:t>de Economía y Finanzas a asumir el saldo que resulte de la  compensación  de</w:t>
        <w:br/>
        <w:t>los activos - constituidos par la disponibilidad de efectivo y  cuentas  por</w:t>
        <w:br/>
        <w:t>cobrar- y pasivos que la Empresa Minera Especial Tintaya  S.A.,  mantiene  a</w:t>
        <w:br/>
        <w:t>la fecha de entrada en vigencia del  presente  dispositivo  legal,  con  los</w:t>
        <w:br/>
        <w:t>organismos y empresas que  se  señalan  en  el  párrafo  siguiente  de  este</w:t>
        <w:br/>
        <w:t>artículo. Si el saldo de dicha  compensación  fuera  deudor,  es  decir  los</w:t>
        <w:br/>
        <w:t>pasivos mayores que los activos, este será capitalizado,  quedando  obligada</w:t>
        <w:br/>
        <w:t>la  Empresa  Minera  Especial   Tintaya   S.A.   a   emitir   las   acciones</w:t>
        <w:br/>
        <w:t>correspondientes a nombre de la Empresa Minera del Perú S.A. -MINERD  PERU-.</w:t>
        <w:br/>
        <w:t>Si el saldo fuera acreedor, es decir, los activos mayores que  los  pasivos,</w:t>
        <w:br/>
        <w:t>este se constituirá en favor del Ministerio de Economía  y  Finanzas,  quien</w:t>
        <w:br/>
        <w:t>se hará cargo de la gestión de cobro, debiendo la  Empresa  Minera  Especial</w:t>
        <w:br/>
        <w:t>Tintaya S.A. efectuar la reducción de capital correspondiente.</w:t>
        <w:br/>
        <w:t>Los organismos y empresas con los que se autoriza a  hacer  la  compensación</w:t>
        <w:br/>
        <w:t>de  activos  y  pasivos  son  los  siguientes:   el   Tesoro   Público,   la</w:t>
        <w:br/>
        <w:t>Superintendencia Nacional de Administración Tributaria - SUNAT-, la  Empresa</w:t>
        <w:br/>
        <w:t>Minera de Comercialización –MINPECO S.A.- en liquidación,  el  Banco  Minero</w:t>
        <w:br/>
        <w:t>del Perú  en  liquidación,  el  Instituto  Geológico  Minero  y  Metalúrgico</w:t>
        <w:br/>
        <w:t>-INGEMMET-, Gobierno Regional Inka,  el  Fonda  Nacional  de  Financiamiento</w:t>
        <w:br/>
        <w:t>Empresarial -FONAFE- y el Instituto Peruano de Seguridad Social -IPSS-".</w:t>
        <w:br/>
        <w:t>[124]        Artículo  7  de  la  Ley  No  27719  “Ley  de   Reconocimiento,</w:t>
        <w:br/>
        <w:t>Declaración y Calificación de los Derechos Pensionaros Legalmente  obtenidos</w:t>
        <w:br/>
        <w:t>al  amparo  del  Decreto  Ley  N°  20530  y  sus  normas  modificatorias   y</w:t>
        <w:br/>
        <w:t>complementaria”, publicada en el Diario Oficial El Peruano el 12 de mayo  de</w:t>
        <w:br/>
        <w:t>2012 (expediente de prueba, folio 1691).</w:t>
        <w:br/>
        <w:t>[125]       Artículo 1 de la Ley No. 28115  denominada  “Ley  que  amplía  y</w:t>
        <w:br/>
        <w:t>precisa los alcances de la Ley N°27719 “Ley de  reconocimiento,  declaración</w:t>
        <w:br/>
        <w:t>y calificación de los derechos pensionarios legalmente obtenidos  al  amparo</w:t>
        <w:br/>
        <w:t>del  Decreto  Ley  N°20530  y  normas  modificatorias  y   complementarias”,</w:t>
        <w:br/>
        <w:t>publicada en el Diario  Oficial  El  Peruano  el  6  de  diciembre  de  2003</w:t>
        <w:br/>
        <w:t>(expediente de prueba, folio 1694).</w:t>
        <w:br/>
        <w:t>[126]       Cfr. artículo 3 de la Ley No. 28389 denominada “Ley  de  reforma</w:t>
        <w:br/>
        <w:t>de los artículos 11°, 103° y Primera Disposición final y transitoria  de  la</w:t>
        <w:br/>
        <w:t>Constitución Política  del  Perú”  publicada  en  el  Periódico  Oficial  El</w:t>
        <w:br/>
        <w:t>Peruano, de 17 de noviembre de 2004 (expediente de prueba, folio 1696).</w:t>
        <w:br/>
        <w:t>[127]       Cfr. Artículo 3 de la Ley N° 28389 denominada  “Ley  de  reforma</w:t>
        <w:br/>
        <w:t>de los artículos 11°, 103° y Primera Disposición final y transitoria  de  la</w:t>
        <w:br/>
        <w:t>Constitución Política  del  Perú”  publicada  en  el  Periódico  Oficial  El</w:t>
        <w:br/>
        <w:t>Peruano, de 17 de noviembre de 2004  (expediente  de  prueba,  folio  1696).</w:t>
        <w:br/>
        <w:t>Dicho artículo  señala:  “[d]eclárase  cerrado  definitivamente  el  régimen</w:t>
        <w:br/>
        <w:t>pensionario del Decreto Ley No  20530.  En  consecuencia,  a  partir  de  la</w:t>
        <w:br/>
        <w:t>entrada en vigor de esta Reforma Constitucional: 1. No están permitidas  las</w:t>
        <w:br/>
        <w:t>nuevas  incorporaciones  o  reincorporaciones  al  régimen  pensionario  del</w:t>
        <w:br/>
        <w:t>Decreto Ley No  20530.  2.  Los  trabajadores  que,  perteneciendo  a  dicho</w:t>
        <w:br/>
        <w:t>régimen, no hayan cumplido  con  los  requisitos  para  obtener  la  pensión</w:t>
        <w:br/>
        <w:t>correspondiente, deberán optar entre el Sistema Nacional de Pensiones  o  el</w:t>
        <w:br/>
        <w:t>Sistema Privado de Administradoras de Fondos de Pensiones.</w:t>
        <w:br/>
        <w:t>Par razones de interés social, las nuevas reglas  pensionarias  establecidas</w:t>
        <w:br/>
        <w:t>por ley se aplicarán inmediatamente a los  trabajadores  y  pensionistas  de</w:t>
        <w:br/>
        <w:t>los regímenes pensionarios a cargo del  Estado,  según  corresponda.  No  se</w:t>
        <w:br/>
        <w:t>podrá  prever  en  ellas  la   nivelación   de   las   pensiones   con   las</w:t>
        <w:br/>
        <w:t>remuneraciones, ni la reducción  del  importe  de  las  pensiones  que  sean</w:t>
        <w:br/>
        <w:t>inferiores a una Unidad Impositiva Tributaria.</w:t>
        <w:br/>
        <w:t>La ley dispondrá la aplicación progresiva  de  topes  a  las  pensiones  que</w:t>
        <w:br/>
        <w:t>excedan de una Unidad Impositiva Tributaria.</w:t>
        <w:br/>
        <w:t>El ahorro presupuestal que  provenga  de  la  aplicación  de  nuevas  reglas</w:t>
        <w:br/>
        <w:t>pensionarias será destinado a incrementar las pensiones más bajas,  conforme</w:t>
        <w:br/>
        <w:t>a ley. Las modificaciones que se introduzcan en los  regímenes  pensionarios</w:t>
        <w:br/>
        <w:t>actuales, así como los nuevos regímenes pensionarios que se  establezcan  en</w:t>
        <w:br/>
        <w:t>el futuro, deberán regirse por los criterios de sostenibilidad financiera  y</w:t>
        <w:br/>
        <w:t>no nivelación […]”.</w:t>
        <w:br/>
        <w:t>[128]       Cfr. Artículo  4  de  la  Ley  No.  28449  denominada  “Ley  que</w:t>
        <w:br/>
        <w:t>establece las nuevas reglas del régimen de  pensiones  del  Decreto  Ley  N°</w:t>
        <w:br/>
        <w:t>20530”, publicada en el Periódico Oficial El Peruano, de 30 de diciembre  de</w:t>
        <w:br/>
        <w:t>2004 (expediente de prueba, folio 1700).</w:t>
        <w:br/>
        <w:t>[129]       Cfr. Artículo 10 de la Ley 28449 denominada “Ley  que  establece</w:t>
        <w:br/>
        <w:t>las nuevas reglas del régimen  de  pensiones  del  Decreto  Ley  N°  20530”,</w:t>
        <w:br/>
        <w:t>publicada en el Periódico Oficial El Peruano, de 30  de  diciembre  de  2004</w:t>
        <w:br/>
        <w:t>(expediente de prueba, folio 1698).  Dicho  artículo  establece  que:  “[e]l</w:t>
        <w:br/>
        <w:t>Ministerio de Economía y Finanzas es la entidad del  Gobierno  Nacional  que</w:t>
        <w:br/>
        <w:t>administra el régimen de pensiones del Decreto Ley No  20530.  Toda  alusión</w:t>
        <w:br/>
        <w:t>normativa a entidades responsables de las funciones relacionadas al  régimen</w:t>
        <w:br/>
        <w:t>regulado par la presente Ley debe entenderse como referida al Ministerio  de</w:t>
        <w:br/>
        <w:t>Economía y Finanzas, excepto en  lo  relativo  al  pago  de  las  pensiones,</w:t>
        <w:br/>
        <w:t>mientras esta función no le sea encargada par decreto supremo, con  el  voto</w:t>
        <w:br/>
        <w:t>aprobatorio del Consejo de Ministros".</w:t>
        <w:br/>
        <w:t>[130]       El artículo 8.1 de la Convención  dispone  que  “[t]oda  persona</w:t>
        <w:br/>
        <w:t>tiene derecho a ser oída, con las debidas garantías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carácter”.</w:t>
        <w:br/>
        <w:t>[131]       El artículo 25 de la Convención  establece,  en  lo  pertinente,</w:t>
        <w:br/>
        <w:t>que:</w:t>
        <w:br/>
        <w:t>1. Toda persona tiene derecho a un recurso sencillo y rápido o  a  cualquier</w:t>
        <w:br/>
        <w:t>otro recurso efectivo ante los  jueces  o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oficiales.</w:t>
        <w:br/>
        <w:t>2. Los Estados Partes se comprometen:  a)  a  garantizar  que  la  autoridad</w:t>
        <w:br/>
        <w:t>competente prevista por el sistema  legal  del  Estado  decidirá  sobre  los</w:t>
        <w:br/>
        <w:t>derechos de toda persona que interponga tal recurso.</w:t>
        <w:br/>
        <w:t>[132]       El artículo 26  de  la  Convención  establece  que:  “Desarrollo</w:t>
        <w:br/>
        <w:t>Progresivo. Los Estados Partes se comprometen a adoptar providencias,  tanto</w:t>
        <w:br/>
        <w:t>a nivel interno como mediante la  cooperación  internacional,  especialmente</w:t>
        <w:br/>
        <w:t>económica y técnica, para lograr progresivamente  la  plena  efectividad  de</w:t>
        <w:br/>
        <w:t>los derechos que se derivan de  las  normas  económicas,  sociales  y  sobre</w:t>
        <w:br/>
        <w:t>educación, ciencia y cultura, contenidas en la Carta de la  Organización  de</w:t>
        <w:br/>
        <w:t>los Estados Americanos, reformada por el Protocolo de Buenos  Aires,  en  la</w:t>
        <w:br/>
        <w:t>medida de los recursos disponibles,  por  vía  legislativa  u  otros  medios</w:t>
        <w:br/>
        <w:t>apropiados”.</w:t>
        <w:br/>
        <w:t>[133]       El artículo 5.1 establece que: “Toda  persona  tiene  derecho  a</w:t>
        <w:br/>
        <w:t>que se respete su integridad física, psíquica y moral”.</w:t>
        <w:br/>
        <w:t>[134]       El artículo 11.1 establece que: “Toda persona tiene  derecho  al</w:t>
        <w:br/>
        <w:t>respeto de su honra y al reconocimiento de su dignidad”.</w:t>
        <w:br/>
        <w:t>[135]       El artículo 21 de la Convención establece que “1.  Toda  persona</w:t>
        <w:br/>
        <w:t>tiene derecho al uso y goce de sus bienes. La ley puede subordinar  tal  uso</w:t>
        <w:br/>
        <w:t>y goce al interés social. 2.  Ninguna  persona  puede  ser  privada  de  sus</w:t>
        <w:br/>
        <w:t>bienes, excepto mediante el pago de  indemnización  justa,  por  razones  de</w:t>
        <w:br/>
        <w:t>utilidad pública o de interés social y en  los  casos  y  según  las  formas</w:t>
        <w:br/>
        <w:t>establecidas por la ley. 3. Tanto la usura  como  cualquier  otra  forma  de</w:t>
        <w:br/>
        <w:t>explotación del hombre por el hombre, deben ser prohibidas por la ley”.</w:t>
        <w:br/>
        <w:t>[136]       El artículo 2 de la Convención establece que  “Si  el  ejercicio</w:t>
        <w:br/>
        <w:t>de los derechos y libertades mencionados en el artículo 1  no  estuviere  ya</w:t>
        <w:br/>
        <w:t>garantizado por disposiciones legislativas o de otro carácter,  los  Estados</w:t>
        <w:br/>
        <w:t>Partes  se  comprometen  a  adoptar,  con  arreglo  a   sus   procedimientos</w:t>
        <w:br/>
        <w:t>constitucionales y a las  disposiciones  de  esta  Convención,  las  medidas</w:t>
        <w:br/>
        <w:t>legislativas o de otro carácter que fueren necesarias para  hacer  efectivos</w:t>
        <w:br/>
        <w:t>tales derechos y libertades.</w:t>
        <w:br/>
        <w:t>[137]       Cfr. Caso de los  “Niños  de  la  Calle”  (Villagrán  Morales  y</w:t>
        <w:br/>
        <w:t>otros) Vs. Guatemala. Fondo. Sentencia de 19 de noviembre de 1999.  Serie  C</w:t>
        <w:br/>
        <w:t>No. 63, párr. 237, y Caso Favela Nova Brasilia Vs Brasil, supra, párr. 234.</w:t>
        <w:br/>
        <w:t>[138]       Cfr.  Caso  Baena  Ricardo  y  otros  Vs.  Panamá.  Competencia.</w:t>
        <w:br/>
        <w:t>Sentencia de 28 de noviembre de 2003. Serie C No.  104,  párr.  79,  y  Caso</w:t>
        <w:br/>
        <w:t>Favela Nova Brasilia Vs Brasil, supra, párr. 234.</w:t>
        <w:br/>
        <w:t>[139]       Cfr. Caso Acevedo Jaramillo y otros Vs. Perú, supra, párr.  167,</w:t>
        <w:br/>
        <w:t>y Caso Comunidad Garífuna De Punta  Piedra  y  Sus  Miembros  Vs.  Honduras.</w:t>
        <w:br/>
        <w:t>Excepciones Preliminares, Fondo, Reparaciones y Costas. Sentencia  de  8  de</w:t>
        <w:br/>
        <w:t>octubre de 2015. Serie C No.304, párr.248.</w:t>
        <w:br/>
        <w:t>[140]       Cfr. Caso Cantos Vs. Argentina. Fondo,  Reparaciones  y  Costas.</w:t>
        <w:br/>
        <w:t>Sentencia 28 de noviembre de  2002.  Serie  C  No.  97,  párr.  54,  y  Caso</w:t>
        <w:br/>
        <w:t>Comunidad Garífuna De Punta Piedra  y  Sus  Miembros  Vs.  Honduras,  supra,</w:t>
        <w:br/>
        <w:t>párr.244.</w:t>
        <w:br/>
        <w:t>[141] Cfr. Garantías judiciales en estados de emergencia (Arts. 27.2,  25  y</w:t>
        <w:br/>
        <w:t>8 Convención Americana sobre Derechos Humanos). Opinión  Consultiva  OC-9/87</w:t>
        <w:br/>
        <w:t>de 6 de octubre de 1987. Serie A No. 9, párr. 24; Caso Acevedo  Jaramillo  y</w:t>
        <w:br/>
        <w:t>otros Vs. Perú, supra,  párr.  220,  y  Caso  Cuscul  Pivaral  y  otros  Vs.</w:t>
        <w:br/>
        <w:t>Guatemala, supra, párr. 169.</w:t>
        <w:br/>
        <w:t>[142]       Cfr. Caso Baena Ricardo y otros Vs. Panamá. Competencia,  supra,</w:t>
        <w:br/>
        <w:t>párr. 73, y Caso Colindres Schonenberg Vs. El Salvador, supra, párr.101.</w:t>
        <w:br/>
        <w:t>[143]       Cfr. Caso Mejía Idrovo Vs.  Ecuador.  Excepciones  Preliminares,</w:t>
        <w:br/>
        <w:t>Fondo, Reparaciones y Costas. Sentencia de 5 de julio de 2011. Serie  C  No.</w:t>
        <w:br/>
        <w:t>228, párr. 105, y Caso Comunidad Garífuna de Punta  Piedra  y  sus  miembros</w:t>
        <w:br/>
        <w:t>Vs. Honduras, supra, párr. 244.</w:t>
        <w:br/>
        <w:t>[144]        Cfr.  Caso  Mejía  Idrovo  Vs.  Ecuador,  párr.  105,   citando</w:t>
        <w:br/>
        <w:t>T.E.D.H., Caso Matheus Vs. Francia,  (No.  62740/01),  Sentencia  de  31  de</w:t>
        <w:br/>
        <w:t>marzo de 2005, párr. 58. Según  los  estándares  elaborados  por  el  Comité</w:t>
        <w:br/>
        <w:t>Consultivo de Jueces Europeos (CCJE), un órgano  consultivo  del  Comité  de</w:t>
        <w:br/>
        <w:t>Ministros  del  Consejo  de  Europa  en  las   materias   relativas   a   la</w:t>
        <w:br/>
        <w:t>independencia, la imparcialidad y la competencia profesional de los  jueces,</w:t>
        <w:br/>
        <w:t>“la ejecución de las decisiones de justicia  debe  ser  equitativa,  rápida,</w:t>
        <w:br/>
        <w:t>efectiva y proporcionada” (Cfr. Opinión  No.  13  (2010),  On  the  role  of</w:t>
        <w:br/>
        <w:t>judges  in  the  enforcement   of   judicial   decisions.   Disponible   en:</w:t>
        <w:br/>
        <w:t>https://wcd.coe.int/wcd/ViewDoc.jsp?Ref=CCJE(2010)2&amp;Language=lanEnglish&amp;Ver=</w:t>
        <w:br/>
        <w:t>original&amp;BackColorInternet=DBDCF2&amp;BackColorIntranet=FDC864&amp;BackColorLogged=F</w:t>
        <w:br/>
        <w:t>DC864.</w:t>
        <w:br/>
        <w:br/>
        <w:t>[145]       Cfr. Caso Mejía Idrovo  Vs.  Ecuador,  supra,  párr.  106.  Cfr.</w:t>
        <w:br/>
        <w:t>Opinion no. 13 (2010) on the role of judges in the enforcement  of  judicial</w:t>
        <w:br/>
        <w:t>decisions, cit., conclusiones,  F),  supra  nota  84.  Ver  también  Matheus</w:t>
        <w:br/>
        <w:t>versus Francia, supra nota 84, párrs. 58 y ss; y  Cabourdin  versus  France,</w:t>
        <w:br/>
        <w:t>nº 60796/00, sentencia de 11 abril 2006, párrs. 28-30.</w:t>
        <w:br/>
        <w:t>[146]       Es decir que su acatamiento sea forzoso y que en caso de que  no</w:t>
        <w:br/>
        <w:t>sean obedecidas voluntariamente, puedan ser exigibles  de  manera  coactiva.</w:t>
        <w:br/>
        <w:t>Cfr. Caso Mejía Idrovo Vs. Ecuador, supra, párr. 106.</w:t>
        <w:br/>
        <w:t>[147]       La Corte Europea ha establecido en  el  Caso  Inmobiliare  Saffi</w:t>
        <w:br/>
        <w:t>versus  Italia:  “Si  se  puede  admitir  en  principio  que   los   Estados</w:t>
        <w:br/>
        <w:t>intervengan en un procedimiento de ejecución de una  decisión  de  justicia,</w:t>
        <w:br/>
        <w:t>tal intervención no puede tener como consecuencia práctica  que  se  impida,</w:t>
        <w:br/>
        <w:t>invalide o retrase de manera excesiva la ejecución en cuestión y  menos  aún</w:t>
        <w:br/>
        <w:t>que  se  cuestione  el  fondo  de  la  decisión”  (traducción  libre  de  la</w:t>
        <w:br/>
        <w:t>Secretaría de la  Corte).  Cfr.  T.E.D.H.,  Caso  Inmobiliare  Saffi  versus</w:t>
        <w:br/>
        <w:t>Italia, n° 22774/93, Sentencia del 28.07.1999, párr.  74.  Cfr.  Caso  Mejía</w:t>
        <w:br/>
        <w:t>Idrovo Vs. Ecuador, supra, párr. 106.</w:t>
        <w:br/>
        <w:t>[148]       La Corte, además, ha establecido que la responsabilidad  estatal</w:t>
        <w:br/>
        <w:t>también  puede  generarse  por  actos  de  particulares  en   principio   no</w:t>
        <w:br/>
        <w:t>atribuibles al Estado. Las obligaciones erga omnes que  tienen  los  Estados</w:t>
        <w:br/>
        <w:t>de respetar y  garantizar  las  normas  de  protección,  y  de  asegurar  la</w:t>
        <w:br/>
        <w:t>efectividad de los derechos, proyectan sus efectos más allá de  la  relación</w:t>
        <w:br/>
        <w:t>entre sus agentes y las  personas  sometidas  a  su  jurisdicción,  pues  se</w:t>
        <w:br/>
        <w:t>manifiestan en la obligación positiva del  Estado  de  adoptar  las  medidas</w:t>
        <w:br/>
        <w:t>necesarias para asegurar la efectiva protección de los derechos  humanos  en</w:t>
        <w:br/>
        <w:t>las relaciones entre particulares. Los supuestos de responsabilidad  estatal</w:t>
        <w:br/>
        <w:t>por violación a los derechos consagrados en la Convención, pueden ser  tanto</w:t>
        <w:br/>
        <w:t>las acciones u omisiones atribuibles a órganos o  funcionarios  del  Estado,</w:t>
        <w:br/>
        <w:t>como la omisión del Estado en prevenir  que  terceros  vulneren  los  bienes</w:t>
        <w:br/>
        <w:t>jurídicos que protegen los derechos humanos. Cfr. Mutatis  mutandi,  Ximenes</w:t>
        <w:br/>
        <w:t>Lopes Vs. Brasil. Sentencia de 4 de julio de 2006. Serie C No.  149,  párrs.</w:t>
        <w:br/>
        <w:t>85 y 86.</w:t>
        <w:br/>
        <w:t>[149]       Cfr. Artículo 1 de la Ley No. 28115 denominada “Ley  que  amplía</w:t>
        <w:br/>
        <w:t>y  precisa  los  alcances  de  la  Ley  N°27719  “Ley   de   reconocimiento,</w:t>
        <w:br/>
        <w:t>declaración  y  calificación  de  los   derechos   pensionarios   legalmente</w:t>
        <w:br/>
        <w:t>obtenidos al amparo del  Decreto  Ley  N°20530  y  normas  modificatorias  y</w:t>
        <w:br/>
        <w:t>complementarias”, publicada  en  el  Diario  Oficial  El  Peruano  el  6  de</w:t>
        <w:br/>
        <w:t>diciembre de 2003 (expediente de prueba, folio 1694).</w:t>
        <w:br/>
        <w:t>[150]       Al año 1996, y de conformidad con  el  Decreto  Legislativo  No.</w:t>
        <w:br/>
        <w:t>817, la Oficina de Normalización Previsional (ONP)  era  el  órgano  estatal</w:t>
        <w:br/>
        <w:t>encargado  de  la  defensa  de  los  intereses  del  Estado  en  todos   los</w:t>
        <w:br/>
        <w:t>procedimientos  judiciales  relativos  a  la  aplicación  de  los   derechos</w:t>
        <w:br/>
        <w:t>pensionarios (supra párr. 70).</w:t>
        <w:br/>
        <w:t>[151]       Cfr. Declaración rendida ante fedatario  público  por  Christian</w:t>
        <w:br/>
        <w:t>Courtis el 30 de agosto de 2018 (expediente  de  prueba,  affidávits,  folio</w:t>
        <w:br/>
        <w:t>1821).</w:t>
        <w:br/>
        <w:t>[152]       Cfr. Escrito de Contestación del Estado al Informe de  Fondo  N°</w:t>
        <w:br/>
        <w:t>3/17 de la CIDH  y  observaciones  al  ESAP  de  los  representantes  de  la</w:t>
        <w:br/>
        <w:t>presunta víctima (expediente de fondo, folio 310).</w:t>
        <w:br/>
        <w:t>[153]       Cfr. Caso Acevedo Jaramillo y otros Vs. Perú, supra, párr. 219.</w:t>
        <w:br/>
        <w:t>[154]       Cfr. Informe del Secretario General de Naciones Unidas sobre  la</w:t>
        <w:br/>
        <w:t>cuestión del ejercicio efectivo,  en  todos  los  países,  de  los  derechos</w:t>
        <w:br/>
        <w:t>económicos, sociales y culturales, Sr. Ban Ki-moon. UN Doc. A/HRC/25/31,  19</w:t>
        <w:br/>
        <w:t>de diciembre de 2013, párr. 35.</w:t>
        <w:br/>
        <w:t>[155]       Cfr. Artículo 4 de la Ley Orgánica  del  Poder  Judicial  (LOPJ)</w:t>
        <w:br/>
        <w:t>señala que: “[t]oda persona  y  autoridad  está  obligada  a  acatar  y  dar</w:t>
        <w:br/>
        <w:t>cumplimiento  a  las  decisiones  judiciales  o  de  índole  administrativa,</w:t>
        <w:br/>
        <w:t>emanadas de autoridad judicial competente,  en  sus  propios  términos,  sin</w:t>
        <w:br/>
        <w:t>poder calificar su contenido o sus fundamentos,  restringir  sus  efectos  o</w:t>
        <w:br/>
        <w:t>interpretar  sus  alcances,  bajo  la   responsabilidad   civil,   penal   o</w:t>
        <w:br/>
        <w:t>administrativa que la ley señala. Ninguna autoridad, [...] puede  dejar  sin</w:t>
        <w:br/>
        <w:t>efecto resoluciones judiciales con autoridad de cosa juzgada,  ni  modificar</w:t>
        <w:br/>
        <w:t>su contenido, ni retardar su ejecución […]."</w:t>
        <w:br/>
        <w:t>[156]       El Código Procesal Constitucional peruano, en  su  artículo  22,</w:t>
        <w:br/>
        <w:t>sobre actuación  de  sentencias,  señala  que:  "[l]a  sentencia  que  cause</w:t>
        <w:br/>
        <w:t>ejecutoria en los procesos constitucionales se actúa conforme a sus  propios</w:t>
        <w:br/>
        <w:t>términos por el juez de la demanda [...].</w:t>
        <w:br/>
        <w:t>La sentencia que ordena la realización de una prestación de dar, hacer o  no</w:t>
        <w:br/>
        <w:t>hacer es de actuación inmediata. Para  su  cumplimiento,  y  de  acuerdo  al</w:t>
        <w:br/>
        <w:t>contenido  específico  del  mandato   y   de   la   magnitud   del   agravio</w:t>
        <w:br/>
        <w:t>constitucional, el Juez podrá hacer uso de multas  fijas  o  acumulativas  e</w:t>
        <w:br/>
        <w:t>incluso disponer la destitución del responsable.</w:t>
        <w:br/>
        <w:t>Cualquiera  de  estas  medidas  coercitivas  debe   ser   incorporada   como</w:t>
        <w:br/>
        <w:t>apercibimiento en la sentencia, sin perjuicio de que, de oficio o  a  pedido</w:t>
        <w:br/>
        <w:t>de parte, las mismas puedan ser modificadas durante la fase de ejecución.</w:t>
        <w:br/>
        <w:t>El monto de las multas lo determina discrecionalmente el Juez, fijándolo  en</w:t>
        <w:br/>
        <w:t>Unidades  de  Referencia  Procesal  y  atendiendo  también  a  la  capacidad</w:t>
        <w:br/>
        <w:t>económica del requerido.</w:t>
        <w:br/>
        <w:t>Su cobro se hará efectivo con el auxilio de la fuerza pública, el recurso  a</w:t>
        <w:br/>
        <w:t>una institución financiera o la ayuda de quien el Juez estime pertinente.</w:t>
        <w:br/>
        <w:t>El Juez puede decidir que las multas acumulativas asciendan  hasta  el  cien</w:t>
        <w:br/>
        <w:t>por ciento por  cada  día  calendario,  hasta  el  acatamiento  del  mandato</w:t>
        <w:br/>
        <w:t>judicial.</w:t>
        <w:br/>
        <w:t>El monto recaudado por  las  multas  constituye  ingreso  propio  del  Poder</w:t>
        <w:br/>
        <w:t>Judicial, salvo que la parte acate el mandato judicial dentro  de  los  tres</w:t>
        <w:br/>
        <w:t>días posteriores a la imposición de la multa.</w:t>
        <w:br/>
        <w:t>En este último caso, el monto recaudado será devuelto en su integridad a  su</w:t>
        <w:br/>
        <w:t>titular."</w:t>
        <w:br/>
        <w:t>[157]        El  artículo  53  del  Código  procesal  Civil   establece   lo</w:t>
        <w:br/>
        <w:t>siguiente: "Articulo 53.- Facultades coercitivas del Juez.  En  atención  al</w:t>
        <w:br/>
        <w:t>fin promovido y buscado en el artículo 52, el Juez puede:</w:t>
        <w:br/>
        <w:t xml:space="preserve">   1. Imponer multa compulsiva y progresiva destinada a que la parte o quien</w:t>
        <w:br/>
        <w:t xml:space="preserve">      corresponda, cumpla sus  mandatos  con  arreglo  al  contenido  de  su</w:t>
        <w:br/>
        <w:t xml:space="preserve">      decisión.</w:t>
        <w:br/>
        <w:t>La multa es establecida discrecionalmente por el Juez dentro de los  límites</w:t>
        <w:br/>
        <w:t>que  fija  este  Código,  pudiendo  reajustarla  o  dejarla  sin  efecto  si</w:t>
        <w:br/>
        <w:t>considera que la desobediencia ha tenido o tiene justificación.</w:t>
        <w:br/>
        <w:t xml:space="preserve">   2. Disponer la detención hasta por veinticuatro horas de quien resiste su</w:t>
        <w:br/>
        <w:t xml:space="preserve">      mandato sin justificación, produciendo agravio  a  la  parte  o  a  la</w:t>
        <w:br/>
        <w:t xml:space="preserve">      majestad del servicio de justicia.</w:t>
        <w:br/>
        <w:t>En atención a la importancia y urgencia de su mandato, el Juez  decidirá  la</w:t>
        <w:br/>
        <w:t>aplicación sucesiva, individual o conjunta de  las  sanciones  reguladas  en</w:t>
        <w:br/>
        <w:t>este artículo.</w:t>
        <w:br/>
        <w:t>Las sanciones se aplicaran sin perjuicio del cumplimiento del mandato".</w:t>
        <w:br/>
        <w:t>[158]       El Tribunal Constitucional peruano ha señalado que el derecho  a</w:t>
        <w:br/>
        <w:t>la efectividad de la sentencia: "[e]xige un particular tipo de actuación.  Y</w:t>
        <w:br/>
        <w:t>es que  si  el  derecho  a  la  ejecución  de  las  resoluciones  judiciales</w:t>
        <w:br/>
        <w:t>garantiza que lo decidido en una sentencia o en una resolución judicial  sea</w:t>
        <w:br/>
        <w:t>cumplido, es claro que quienes las dictan, o quienes  resulten  responsables</w:t>
        <w:br/>
        <w:t>de ejecutarlas,  tienen  la  obligación  de  adoptar,  según  las  normas  y</w:t>
        <w:br/>
        <w:t>procedimientos aplicables -y  con  independencia  de  que  la  resolución  a</w:t>
        <w:br/>
        <w:t>ejecutar haya  de  ser  cumplida  por  un  ente  público  o  no-las  medidas</w:t>
        <w:br/>
        <w:t>necesarias y oportunas para su estricto cumplimiento.”  Cfr.  Sentencia  del</w:t>
        <w:br/>
        <w:t>TC recaída en Exp. No. 015-2001-AI/TC, Exp. No. 016-2001-AI/TC, y  Exp.  No.</w:t>
        <w:br/>
        <w:t>004-2002-AI/TC (Acumulados), fundamento jurídico 12.</w:t>
        <w:br/>
        <w:t>[159]       Cfr. Resolución Administrativa N°  149-2012-P-PJ  “Circular  que</w:t>
        <w:br/>
        <w:t>reitera lineamientos  para  procedimiento  de  ejecución  de  sentencias  de</w:t>
        <w:br/>
        <w:t>condena de pago de sumas de dinero dictadas contra el Estado”,  emitida  por</w:t>
        <w:br/>
        <w:t>la Suprema Corte de Justicia de la República de Perú, el 10 abril del  2012;</w:t>
        <w:br/>
        <w:t>Resolución Administrativa N° 128-2008-CE-PJ y Oficio Circular  emitidos  por</w:t>
        <w:br/>
        <w:t>el Consejo Ejecutivo del Poder Judicial, el 9 de mayo de 2008 y el marzo  de</w:t>
        <w:br/>
        <w:t>2005, los  cuales  establecieron  criterios  para  que  “todos  los  órganos</w:t>
        <w:br/>
        <w:t>jurisdiccionales del país adopten las medidas del  caso  para  la  ejecución</w:t>
        <w:br/>
        <w:t>dentro del plazo razonable de las sentencias de  condena  dineraria  que  se</w:t>
        <w:br/>
        <w:t>hayan dictado contra  las  entidades  del  Estado”  (expediente  de  prueba,</w:t>
        <w:br/>
        <w:t>folios 1702 a 1708).</w:t>
        <w:br/>
        <w:t>[160]        Cfr.  Ley  No.  30137,  “Ley   que   establece   criterios   de</w:t>
        <w:br/>
        <w:t>priorización para la atención del pago de sentencias judiciales”,  publicada</w:t>
        <w:br/>
        <w:t>en el Diario Oficial El Peruano, el 27 de diciembre de 2013  (expediente  de</w:t>
        <w:br/>
        <w:t>prueba, folios 1710 a 1711).</w:t>
        <w:br/>
        <w:t>[161]       Cfr. Declaración rendida ante fedatario  público  por  Christian</w:t>
        <w:br/>
        <w:t>Courtis el 30 de agosto de 2018 (expediente de prueba, folio 1829).</w:t>
        <w:br/>
        <w:t>[162]       Cfr. Declaración rendida ante fedatario  público  por  Christian</w:t>
        <w:br/>
        <w:t>Courtis el 30 de agosto de 2018 (expediente de  prueba,  folio  1833).  Como</w:t>
        <w:br/>
        <w:t>resalta el perito, el artículo 31 de la Convención Interamericana  sobre  la</w:t>
        <w:br/>
        <w:t>Protección de los Derechos Humanos de  las  Personas  Mayores,  referido  al</w:t>
        <w:br/>
        <w:t>derecho  de  acceso  a  la  justicia,  subraya:  "[l]os  Estados  Parte   se</w:t>
        <w:br/>
        <w:t>comprometen a garantizar la debida diligencia y el tratamiento  preferencial</w:t>
        <w:br/>
        <w:t>a la persona mayor para  la  tramitación,  resolución  y  ejecución  de  las</w:t>
        <w:br/>
        <w:t>decisiones en procesos administrativos y judiciales."</w:t>
        <w:br/>
        <w:t>[163]       Cfr. Caso Hilaire, Constantine y Benjamin y otros  Vs.  Trinidad</w:t>
        <w:br/>
        <w:t>y Tobago. Fondo, Reparaciones y Costas. Sentencia de 21 de  junio  de  2002.</w:t>
        <w:br/>
        <w:t>Serie C No. 94, párr. 145, y Caso  Acosta  y  otros  Vs.  Nicaragua,  supra,</w:t>
        <w:br/>
        <w:t>párr. 177.</w:t>
        <w:br/>
        <w:t>[164]       Cfr. ECHR, Case of Hornsby v.Greece, Judgment of 19 March  1997,</w:t>
        <w:br/>
        <w:t>para. 40; Case of Popov  v.  Moldova,  Judgment  of  18  January  2005,  no.</w:t>
        <w:br/>
        <w:t>74153/01, para. 40; Case of Assanidze v. Georgia, Judgment of 8 April  2004,</w:t>
        <w:br/>
        <w:t>no. 71503/01, para. 182; Case of Jasiúniene  v.  Lithuania,  Judgment  of  6</w:t>
        <w:br/>
        <w:t>March 2003, no. 41510/98, para. 27, y Case of Burdov v. Russia, Judgment  of</w:t>
        <w:br/>
        <w:t>7 May 2002, no. 59498/00, para. 34.</w:t>
        <w:br/>
        <w:t>[165]       Cfr. ECHR, Case of Hornsby v.Greece, Judgment of 19 March  1997,</w:t>
        <w:br/>
        <w:t>para. 40.</w:t>
        <w:br/>
        <w:t>[166]       Cfr. Informe del Secretario General de Naciones Unidas sobre  la</w:t>
        <w:br/>
        <w:t>cuestión del ejercicio efectivo,  en  todos  los  países,  de  los  derechos</w:t>
        <w:br/>
        <w:t>económicos, sociales y culturales, Sr. Banki Moon, UN Doc.  A/HRC/25/31,  19</w:t>
        <w:br/>
        <w:t>de diciembre de 2013, párr. 35.</w:t>
        <w:br/>
        <w:t>[167]       Cfr.  Caso  Anzualdo  Castro  Vs.  Perú.  Excepción  Preliminar,</w:t>
        <w:br/>
        <w:t>Fondo, Reparaciones y Costas. Sentencia de 22 de septiembre de  2009.  Serie</w:t>
        <w:br/>
        <w:t>C No. 202, párr. 156, y Caso Mujeres Víctimas De Tortura  Sexual  En  Atenco</w:t>
        <w:br/>
        <w:t>Vs. México, supra, párr. 306.</w:t>
        <w:br/>
        <w:t>[168]       Cfr. Caso Genie Lacayo Vs. Nicaragua, supra, párr.  78,  y  Caso</w:t>
        <w:br/>
        <w:t>Mujeres Víctimas de Tortura Sexual en Atenco Vs. México, supra, párr. 308.</w:t>
        <w:br/>
        <w:t>[169]       Cfr. Caso Mejía Idrovo Vs. Ecuador, supra,  párr.  105,  y  Caso</w:t>
        <w:br/>
        <w:t>Comunidad Garífuna de Punta Piedra  y  sus  miembros  Vs.  Honduras,  supra,</w:t>
        <w:br/>
        <w:t>párr. 244.</w:t>
        <w:br/>
        <w:t>[170]       Cfr. Caso Mejía Idrovo Vs. Ecuador, supra,  párr.  106,  y  Caso</w:t>
        <w:br/>
        <w:t>Ramírez Escobar  y  Otros  Vs.  Guatemala.  Fondo,  Reparaciones  y  Costas.</w:t>
        <w:br/>
        <w:t>Sentencia de 9 de marzo de 2018. Serie C No. 351, párr.  250.  Cfr.  Opinion</w:t>
        <w:br/>
        <w:t>no. 13 (2010)  on  the  role  of  judges  in  the  enforcement  of  judicial</w:t>
        <w:br/>
        <w:t>decisions, cit., conclusiones, H), supra.</w:t>
        <w:br/>
        <w:t>[171]        Cfr.  Caso  Valle  Jaramillo  y  otros  Vs.  Colombia.   Fondo,</w:t>
        <w:br/>
        <w:t>Reparaciones y Costas. Sentencia de 27 de noviembre de  2008.  Serie  C  No.</w:t>
        <w:br/>
        <w:t>192, párr.155, y Caso Mujeres Víctimas  de  Tortura  Sexual  En  Atenco  Vs.</w:t>
        <w:br/>
        <w:t>México, supra, párr.308.</w:t>
        <w:br/>
        <w:t>[172]       Cfr. Escrito del Estado sobre prueba para mejor resolver  de  11</w:t>
        <w:br/>
        <w:t>de diciembre de 2018 (expediente de prueba, folio 1833).</w:t>
        <w:br/>
        <w:t>[173]       Cfr. Declaración rendida ante fedatario público por  Vibeke  Ann</w:t>
        <w:br/>
        <w:t>Muelle Jensen el 22 de agosto de 2018 (expediente de prueba, folio 1840),  y</w:t>
        <w:br/>
        <w:t>declaración rendida ante fedatario público por Jesús Aníbal  Delgado  Flores</w:t>
        <w:br/>
        <w:t>el 22 de agosto de 2018 (expediente de prueba, folios 1841 a 1842).</w:t>
        <w:br/>
        <w:br/>
        <w:t>[174] Cfr. Caso Lagos del Campo Vs. Perú, supra, párrs. 141–150 y 154.</w:t>
        <w:br/>
        <w:t>[175] Cfr. Medio ambiente y  derechos  humanos  (obligaciones  estatales  en</w:t>
        <w:br/>
        <w:t>relación con el medio ambiente en el marco de la protección  y  garantía  de</w:t>
        <w:br/>
        <w:t>los derechos a la vida  y  a  la  integridad  personal  -  interpretación  y</w:t>
        <w:br/>
        <w:t>alcance de los artículos 4.1 y 5.1, en relación con los artículos  1.1  y  2</w:t>
        <w:br/>
        <w:t>de la Convención Americana sobre Derechos Humanos). Opinión  Consultiva  OC-</w:t>
        <w:br/>
        <w:t>23/17 de  15  de  noviembre  de  2017.  Serie  A  No.  23,  párr.  57;  Caso</w:t>
        <w:br/>
        <w:t>Trabajadores Cesados de Petroperú y otros Vs. Perú, supra, párr.  192;  Caso</w:t>
        <w:br/>
        <w:t>San Miguel Sosa y otras  Vs.  Venezuela,  supra,  párr.  220;  Caso  Poblete</w:t>
        <w:br/>
        <w:t>Vilches y otros Vs. Chile, supra, párr. 100,  y  Caso  Cuscul  y  otros  Vs.</w:t>
        <w:br/>
        <w:t>Guatemala, supra, párr. 73.</w:t>
        <w:br/>
        <w:t>[176]       Cfr. Caso Poblete Vilches y otros Vs. Chile, supra,  párr.  103,</w:t>
        <w:br/>
        <w:t>y Caso Cuscul Pivaral y otros Vs. Guatemala, supra, párr. 73.</w:t>
        <w:br/>
        <w:t>[177]       El artículo 3.j)  de  la  Carta  de  la  OEA  establece:  “[l]os</w:t>
        <w:br/>
        <w:t>Estados americanos reafirman los siguientes principios: j) [l]a  justicia  y</w:t>
        <w:br/>
        <w:t>la seguridad social son bases de una paz duradera”.</w:t>
        <w:br/>
        <w:t>[178]       El artículo 45.b) de  la  Carta  de  la  OEA  establece:  “[l]os</w:t>
        <w:br/>
        <w:t>Estados miembros, convencidos de que el hombre sólo puede alcanzar la  plena</w:t>
        <w:br/>
        <w:t>realización de sus aspiraciones dentro de un orden social justo,  acompañado</w:t>
        <w:br/>
        <w:t>de desarrollo económico y verdadera paz, convienen en  dedicar  sus  máximos</w:t>
        <w:br/>
        <w:t>esfuerzos a  la  aplicación  de  los  siguientes  principios  y  mecanismos:</w:t>
        <w:br/>
        <w:t>b) [e]l trabajo es un derecho y un deber social, otorga dignidad a quien  lo</w:t>
        <w:br/>
        <w:t>realiza y debe prestarse  en  condiciones  que,  incluyendo  un  régimen  de</w:t>
        <w:br/>
        <w:t>salarios justos, aseguren la vida, la salud y un  nivel  económico  decoroso</w:t>
        <w:br/>
        <w:t>para el trabajador y su familia, tanto en sus años de  trabajo  como  en  su</w:t>
        <w:br/>
        <w:t>vejez, o cuando cualquier  circunstancia  lo  prive  de  la  posibilidad  de</w:t>
        <w:br/>
        <w:t>trabajar”.</w:t>
        <w:br/>
        <w:t>[179]       El artículo 45.h) de  la  Carta  de  la  OEA  establece:  “[l]os</w:t>
        <w:br/>
        <w:t>Estados miembros, convencidos de que el hombre sólo puede alcanzar la  plena</w:t>
        <w:br/>
        <w:t>realización de sus aspiraciones dentro de un orden social justo,  acompañado</w:t>
        <w:br/>
        <w:t>de desarrollo económico y verdadera paz, convienen en  dedicar  sus  máximos</w:t>
        <w:br/>
        <w:t>esfuerzos a la aplicación de los  siguientes  principios  y  mecanismos:  h)</w:t>
        <w:br/>
        <w:t>[d]esarrollo de una política eficiente de seguridad social”.</w:t>
        <w:br/>
        <w:t>[180] Cfr. Caso de la "Masacre de Mapiripán" Vs. Colombia. Sentencia  de  15</w:t>
        <w:br/>
        <w:t>de septiembre de 2005. Serie C No. 134, párr. 107, y Caso Cuscul  Pivaral  y</w:t>
        <w:br/>
        <w:t>otros Vs. Guatemala, supra, párr. 100.</w:t>
        <w:br/>
        <w:t>[181]  Cfr.  Caso   familia   Pacheco   Tineo   Vs.   Bolivia.   Excepciones</w:t>
        <w:br/>
        <w:t>Preliminares, Fondo, Reparaciones y Costas. Sentencia de 25 de noviembre  de</w:t>
        <w:br/>
        <w:t>2013. Serie C No. 272,  párr.  143,  y  Caso  Cuscul  Pivaral  y  otros  Vs.</w:t>
        <w:br/>
        <w:t>Guatemala, supra, párr. 100.</w:t>
        <w:br/>
        <w:t>[182] Cfr. Caso Poblete Vilches y otros Vs. Chile, supra,  párr.  103;  Caso</w:t>
        <w:br/>
        <w:t>Lagos del  Campo  Vs.  Perú,  supra,  párr.  145;  Caso  I.V.  Vs.  Bolivia.</w:t>
        <w:br/>
        <w:t>Excepciones Preliminares, Fondo, Reparaciones y Costas. Sentencia de  30  de</w:t>
        <w:br/>
        <w:t>noviembre de 2016. Serie C No. 329, párr. 168; Caso  familia  Pacheco  Tineo</w:t>
        <w:br/>
        <w:t>Vs. Bolivia, sura, párr. 129; Caso Atala Riffo y  niñas  Vs.  Chile.  Fondo,</w:t>
        <w:br/>
        <w:t>Reparaciones y Costas. Sentencia de 24 de febrero de 2012. Serie C No.  239,</w:t>
        <w:br/>
        <w:t>párr. 83; Caso Gelman Vs. Uruguay. Fondo y Reparaciones. Sentencia de 24  de</w:t>
        <w:br/>
        <w:t>febrero de 2011. Serie C No. 221, párr. 78 y 121, y Caso  Cuscul  Pivaral  y</w:t>
        <w:br/>
        <w:t>otros Vs. Guatemala, supra, párr. 100.</w:t>
        <w:br/>
        <w:t>[183] Cfr. Caso familia Pacheco Tineo Vs. Bolivia, supra,  párr.143  y  Caso</w:t>
        <w:br/>
        <w:t>Cuscul Pivaral y otros Vs. Guatemala, supra, párr. 101.</w:t>
        <w:br/>
        <w:t>[184] Cfr. Interpretación de la Declaración  Americana  de  los  Derechos  y</w:t>
        <w:br/>
        <w:t>Deberes del Hombre, en el marco del artículo 64 de la  Convención  Americana</w:t>
        <w:br/>
        <w:t>sobre Derechos Humanos. Opinión Consultiva OC-10/89 de 14 de julio de  1989.</w:t>
        <w:br/>
        <w:t>Serie A No. 10. párr. 43, y Caso  Cuscul  Pivaral  y  otros  Vs.  Guatemala,</w:t>
        <w:br/>
        <w:t>supra, párr. 101.</w:t>
        <w:br/>
        <w:t>[185] Cfr. El Derecho a la Información sobre la Asistencia  Consular  en  el</w:t>
        <w:br/>
        <w:t>Marco de las Garantías del Debido  Proceso  Legal.  Opinión  Consultiva  OC-</w:t>
        <w:br/>
        <w:t>16/99 de 1 de octubre de 1999. Serie A No. 16, párr. 114, y  La  institución</w:t>
        <w:br/>
        <w:t>del  asilo  y  su  reconocimiento  como  derecho  humano   en   el   sistema</w:t>
        <w:br/>
        <w:t>interamericano de protección (interpretación y alcance de los  artículos  5,</w:t>
        <w:br/>
        <w:t>22.7 y 22.8, en relación con el artículo  1.1  de  la  Convención  Americana</w:t>
        <w:br/>
        <w:t>sobre Derechos Humanos). Opinión Consultiva OC-25/18 de 30 de mayo de  2018.</w:t>
        <w:br/>
        <w:t>Serie A No. 25, párr. 137.</w:t>
        <w:br/>
        <w:t>[186]       Aprobada en la  Novena  Conferencia  Panamericana  celebrada  en</w:t>
        <w:br/>
        <w:t>Bogotá, Colombia, 1948.</w:t>
        <w:br/>
        <w:t>[187]       Adoptado en San Salvador, El Salvador  el  17  de  noviembre  de</w:t>
        <w:br/>
        <w:t>1988, confirmado en la Asamblea de reunión de Asamblea General en el  décimo</w:t>
        <w:br/>
        <w:t>octavo periodo ordinario de sesiones. Entró en vigor el 16 de  noviembre  de</w:t>
        <w:br/>
        <w:t>1999. Perú lo firmó el 17 de noviembre de 1988 y ratificó el 17 de  mayo  de</w:t>
        <w:br/>
        <w:t>1995. El artículo 9 establece que: “1)  Toda  persona  tiene  derecho  a  la</w:t>
        <w:br/>
        <w:t>seguridad social que la proteja contra las consecuencias de  la vejez  y  de</w:t>
        <w:br/>
        <w:t>la incapacidad que la imposibilite física o  mentalmente  para  obtener  los</w:t>
        <w:br/>
        <w:t>medios para llevar una  vida  digna  y  decorosa.  En  caso  de  muerte  del</w:t>
        <w:br/>
        <w:t>beneficiario, las prestaciones de seguridad social  serán  aplicadas  a  sus</w:t>
        <w:br/>
        <w:t>dependientes. 2) Cuando se trate de personas que se  encuentran  trabajando,</w:t>
        <w:br/>
        <w:t>el derecho a la seguridad social cubrirá al menos la atención  médica  y  el</w:t>
        <w:br/>
        <w:t>subsidio o jubilación en casos de  accidentes  de  trabajo  o de  enfermedad</w:t>
        <w:br/>
        <w:t>profesional  y,  cuando  se  trate  de  mujeres,  licencia  retribuida   por</w:t>
        <w:br/>
        <w:t>maternidad antes y después del parto”.</w:t>
        <w:br/>
        <w:t>[188]       Adoptada y proclamada por la Resolución de la  Asamblea  General</w:t>
        <w:br/>
        <w:t>217 A (iii) del 10 de diciembre de 1948 en París. El artículo  25  establece</w:t>
        <w:br/>
        <w:t>que: “1. Toda persona tiene derecho a un  nivel  de  vida  adecuado  que  le</w:t>
        <w:br/>
        <w:t>asegure, así como a su familia, la salud y el bienestar, y  en  especial  la</w:t>
        <w:br/>
        <w:t>alimentación, el vestido, la vivienda, la asistencia médica y los  servicios</w:t>
        <w:br/>
        <w:t>sociales necesarios; tiene  asimismo  derecho  a  los  seguros  en  caso  de</w:t>
        <w:br/>
        <w:t>desempleo, enfermedad, invalidez, viudez, vejez u otros casos de pérdida  de</w:t>
        <w:br/>
        <w:t>sus  medios  de  subsistencia  por  circunstancias  independientes   de   su</w:t>
        <w:br/>
        <w:t>voluntad. 2. La maternidad  y  la  infancia  tienen  derecho  a  cuidados  y</w:t>
        <w:br/>
        <w:t>asistencia especiales. Todos los niños, nacidos de  matrimonio  o  fuera  de</w:t>
        <w:br/>
        <w:t>matrimonio, tienen derecho a igual protección social”.</w:t>
        <w:br/>
        <w:t>[189]       Adoptado y abierto a la firma, ratificación y  adhesión  por  la</w:t>
        <w:br/>
        <w:t>Asamblea General en su resolución 2200 A (XXI), de 16 de diciembre de  1966.</w:t>
        <w:br/>
        <w:t>Entrada en vigor: 3 de enero de 1976. Ratificado por Perú el 28 de abril  de</w:t>
        <w:br/>
        <w:t>1978. En lo pertinente a la seguridad social, el  artículo  10  señala  que:</w:t>
        <w:br/>
        <w:t>“Los Estados Partes en el presente Pacto reconocen que: 2) Se debe  conceder</w:t>
        <w:br/>
        <w:t>especial protección a las madres durante  un  período  de  tiempo  razonable</w:t>
        <w:br/>
        <w:t>antes y después del parto. Durante dicho período, a las madres que  trabajen</w:t>
        <w:br/>
        <w:t>se les debe conceder licencia con remuneración o con prestaciones  adecuadas</w:t>
        <w:br/>
        <w:t>de seguridad social.</w:t>
        <w:br/>
        <w:t>[190]       El artículo 10 establece que: “Derecho a  la  Seguridad  Social.</w:t>
        <w:br/>
        <w:t>Artículo 10.- El Estado reconoce el derecho universal y progresivo  de  toda</w:t>
        <w:br/>
        <w:t>persona  a  la  seguridad  social,  para  su   protección   frente   a   las</w:t>
        <w:br/>
        <w:t>contingencias que precise la ley y para la elevación de su calidad de  vida.</w:t>
        <w:br/>
        <w:t>El artículo 11 establece que: “Libre acceso a las prestaciones  de  salud  y</w:t>
        <w:br/>
        <w:t>pensiones. Artículo 11.-El Estado garantiza el libre acceso  a  prestaciones</w:t>
        <w:br/>
        <w:t>de salud y a pensiones, a través de entidades públicas, privadas  o  mixtas.</w:t>
        <w:br/>
        <w:t>Supervisa asimismo su eficaz funcionamiento.</w:t>
        <w:br/>
        <w:t>La ley establece  la  entidad  del  Gobierno  Nacional  que  administra  los</w:t>
        <w:br/>
        <w:t>regímenes de pensiones a cargo del Estado”.</w:t>
        <w:br/>
        <w:t>[191]        Cfr.  Grupo  de  Trabajo  para  el  Análisis  de  los  Informes</w:t>
        <w:br/>
        <w:t>Nacionales previstos  en  el  Protocolo  de  San  Salvador,  Indicadores  de</w:t>
        <w:br/>
        <w:t>progreso para medición de derechos  contemplados  en  el  Protocolo  de  San</w:t>
        <w:br/>
        <w:t>Salvador, OEA/Ser.L/XXV.2.1; GT/PSS/doc.2/11 rev.2, de  16  diciembre  2011,</w:t>
        <w:br/>
        <w:t>párr.62.  Dicho  documento  fue  realizado  con  base  en   las   Normas   y</w:t>
        <w:br/>
        <w:t>Lineamientos  presentados  por  la  Comisión  Interamericana   de   Derechos</w:t>
        <w:br/>
        <w:t>Humanos.</w:t>
        <w:br/>
        <w:t>[192]       Artículo 11 de la Declaración sobre el Progreso y El  Desarrollo</w:t>
        <w:br/>
        <w:t>en lo Social de las Naciones Unidas; artículos 11  y  13  de  la  Convención</w:t>
        <w:br/>
        <w:t>sobre la Eliminación de todas Formas de Discriminación contra  la  Mujer  de</w:t>
        <w:br/>
        <w:t>las Naciones Unidas; artículo 26.1 de la Convención sobre los  Derechos  del</w:t>
        <w:br/>
        <w:t>Niño; artículo 5 apartado e), 1), iv) de la Convención  Internacional  sobre</w:t>
        <w:br/>
        <w:t>la Eliminación de todas Formas de Discriminación Racial; artículos 27  y  54</w:t>
        <w:br/>
        <w:t>de la Convención Internacional sobre la Protección de los Derechos de  todos</w:t>
        <w:br/>
        <w:t>los Trabajadores Migratorios y de sus Familiares; artículos 12,13,14  de  la</w:t>
        <w:br/>
        <w:t>Carta  Social  Europea.  Incluir  los  artículos  de  Convenio  102  y   128</w:t>
        <w:br/>
        <w:t>Organización Internacional del Trabajo (Perú no es parte en este último),  y</w:t>
        <w:br/>
        <w:t>Recomendaciones 67, 167 y 202.</w:t>
        <w:br/>
        <w:t>[193]        Cfr.  Convenio  102  Organización  Internacional  del  Trabajo,</w:t>
        <w:br/>
        <w:t>Convenio 128 Organización Internacional del Trabajo, Recomendación  67,  167</w:t>
        <w:br/>
        <w:t>y 202 Organización Internacional del Trabajo.</w:t>
        <w:br/>
        <w:t>[194]       OIT, “Hechos concretos sobre la seguridad  social”,  publicación</w:t>
        <w:br/>
        <w:t>de la Oficina Internacional del Trabajo,  Ginebra,  Suiza,  6  de  junio  de</w:t>
        <w:br/>
        <w:t>2003, disponible en: https://www.ilo.org/wcmsp5/groups/public/---dgreports/-</w:t>
        <w:br/>
        <w:t>--dcomm/documents/publication/wcms_067592.pdf  Asimismo,  la   Comisión   de</w:t>
        <w:br/>
        <w:t>Expertos de la OIT concluyó  que  la  jurisprudencia  de  varios  tribunales</w:t>
        <w:br/>
        <w:t>constitucionales de América Latina  establece  el  derecho  a  la  seguridad</w:t>
        <w:br/>
        <w:t>social a través de siete conceptos  fundamentales:  “[1]  el  derecho  a  la</w:t>
        <w:br/>
        <w:t>seguridad social es un derecho fundamental; [2] el derecho  a  la  seguridad</w:t>
        <w:br/>
        <w:t>social tiene la doble finalidad de proteger a  las  personas  y  mejorar  su</w:t>
        <w:br/>
        <w:t>calidad de vida; [3] el derecho a la seguridad social permite  reconocer  la</w:t>
        <w:br/>
        <w:t>seguridad social  como  una  garantía  institucional;  [4]  el  concepto  de</w:t>
        <w:br/>
        <w:t>seguridad social  hace  referencia  al  conjunto  de  medios  de  protección</w:t>
        <w:br/>
        <w:t>institucionales frente a los riesgos  que  atentan  contra  la  capacidad  y</w:t>
        <w:br/>
        <w:t>oportunidad de  las  personas  humanas  y  sus  familias  para  generar  los</w:t>
        <w:br/>
        <w:t>ingresos suficientes en orden a una subsistencia digna del ser  humano;  [5]</w:t>
        <w:br/>
        <w:t>la seguridad social tiene como cometido propio la cobertura integral de  las</w:t>
        <w:br/>
        <w:t>consecuencias negativas producidas por las contingencias sociales;  [6]  las</w:t>
        <w:br/>
        <w:t>instituciones  nacionales  de  seguridad  social  tienen  la  obligación  de</w:t>
        <w:br/>
        <w:t>calcular correctamente las prestaciones y  de  suministrarlas  íntegramente,</w:t>
        <w:br/>
        <w:t>respetando el principio de las expectativas legítimas  del  beneficiario,  y</w:t>
        <w:br/>
        <w:t>[7] sobre la base de la urgencia de cada caso y de  la  solidaridad  social,</w:t>
        <w:br/>
        <w:t>las personas que no estén cubiertas  por  el  régimen  de  seguridad  social</w:t>
        <w:br/>
        <w:t>pueden tener derecho a  recibir  prestaciones  de  seguridad  social”.  Cfr.</w:t>
        <w:br/>
        <w:t>Conferencia Internacional de Trabajo, 100ª reunión,  2011,  Estudio  General</w:t>
        <w:br/>
        <w:t>relativo a  los  instrumentos  de  la  seguridad  social  a  la  luz  de  la</w:t>
        <w:br/>
        <w:t>Declaración  de  2008  sobre  la  justicia  social  para  una  globalización</w:t>
        <w:br/>
        <w:t>equitativa, Informe de la Comisión de Expertos en Aplicación de Convenios  y</w:t>
        <w:br/>
        <w:t>Recomendaciones (artículos 19, 22 y 35  de  la  Constitución),  Informe  III</w:t>
        <w:br/>
        <w:t>(Parte 1B), p. 131, párr. 281.</w:t>
        <w:br/>
        <w:t>[195]       Cfr. ONU, Comité de Derechos Económicos, Sociales y  Culturales,</w:t>
        <w:br/>
        <w:t>Observación General No. 19, El derecho a la seguridad social  (artículo  9),</w:t>
        <w:br/>
        <w:t>4 de febrero de 2008, párr. 2.</w:t>
        <w:br/>
        <w:t>[196]       Cfr. ONU, Comité de Derechos Económicos, Sociales y  Culturales,</w:t>
        <w:br/>
        <w:t>Observación General No. 19, El derecho a la seguridad social  (artículo  9),</w:t>
        <w:br/>
        <w:t>4 de febrero de 2008, párrs. 9 a 28.</w:t>
        <w:br/>
        <w:t>[197]       Observación General Nº 14 (2000) sobre el  derecho  al  disfrute</w:t>
        <w:br/>
        <w:t>del más alto nivel posible de salud (art. 12).  La  cobertura  debe  incluir</w:t>
        <w:br/>
        <w:t>cualquier condición de morbilidad,  con  independencia  de  sus  causas,  el</w:t>
        <w:br/>
        <w:t>embarazo y el parto y  sus  consecuencias,  la  atención  médica  general  y</w:t>
        <w:br/>
        <w:t>práctica y la hospitalización.</w:t>
        <w:br/>
        <w:t>[198]       Véase el párrafo 4 supra y los párrafos 23 a 27 infra.</w:t>
        <w:br/>
        <w:t>[199]       Véase la Observación general Nº  6  (1995)  sobre  los  derechos</w:t>
        <w:br/>
        <w:t>económicos, sociales y culturales de las personas mayores.</w:t>
        <w:br/>
        <w:t>[200]        Cfr.  OIT,  Recomendación  No.  67,  Recomendación   sobre   la</w:t>
        <w:br/>
        <w:t>seguridad de los medios de  vida,  de  12  de  mayo  de  1944,  adoptada  en</w:t>
        <w:br/>
        <w:t>Filadelfia, 26ª reunión CIT, Principio Directivo 1, el  que  establece  que:</w:t>
        <w:br/>
        <w:t>“1. Los regímenes de seguridad de los medios de  vida  deberían  aliviar  el</w:t>
        <w:br/>
        <w:t>estado de necesidad e  impedir  la  miseria,  restableciendo,  en  un  nivel</w:t>
        <w:br/>
        <w:t>razonable, las entradas perdidas a causa de  la  incapacidad  para  trabajar</w:t>
        <w:br/>
        <w:t>(comprendida la vejez), o para obtener trabajo remunerado o a  causa  de  la</w:t>
        <w:br/>
        <w:t>muerte del jefe de familia”.  Asimismo,  véase  la  Recomendación  No.  202,</w:t>
        <w:br/>
        <w:t>Recomendación sobre los pisos de protección social, de 14 de junio de  2012,</w:t>
        <w:br/>
        <w:t>adoptada en Ginebra, 101ª reunión CIT.  El  artículo  3,  incisos  b)  y  c)</w:t>
        <w:br/>
        <w:t>señalan que: “3. Reconociendo la responsabilidad  general  y  principal  del</w:t>
        <w:br/>
        <w:t>Estado  de  poner  en  práctica  la  presente  Recomendación,  los  Miembros</w:t>
        <w:br/>
        <w:t>deberían aplicar los siguientes principios: b) derecho  a  las  prestaciones</w:t>
        <w:br/>
        <w:t>prescrito por la legislación nacional, y c) adecuación y  previsibilidad  de</w:t>
        <w:br/>
        <w:t>las prestaciones”. El  artículo  4  establece  que:  “4.  Los  Miembros,  en</w:t>
        <w:br/>
        <w:t>función  de  sus  circunstancias  nacionales,  deberían  establecer  lo  más</w:t>
        <w:br/>
        <w:t>rápidamente posible y  mantener  pisos  de  protección  social  propios  que</w:t>
        <w:br/>
        <w:t>incluyan garantías básicas en materia de seguridad social.  Estas  garantías</w:t>
        <w:br/>
        <w:t>deberían asegurar como mínimo que, durante  el  ciclo  de  vida,  todas  las</w:t>
        <w:br/>
        <w:t>personas necesitadas tengan acceso a una atención de salud esencial y a  una</w:t>
        <w:br/>
        <w:t>seguridad básica del ingreso que aseguren conjuntamente un  acceso  efectivo</w:t>
        <w:br/>
        <w:t>a los bienes y servicios definidos como necesarios  a  nivel  nacional”.  El</w:t>
        <w:br/>
        <w:t>artículo 5, incisos a) y d) señalan que: “5. Los pisos de protección  social</w:t>
        <w:br/>
        <w:t>mencionados en el párrafo 4 deberían comprender por lo menos las  siguientes</w:t>
        <w:br/>
        <w:t>garantías básicas de seguridad social: a) acceso a un conjunto de  bienes  y</w:t>
        <w:br/>
        <w:t>servicios definido a nivel nacional, que constituyen la  atención  de  salud</w:t>
        <w:br/>
        <w:t>esencial, incluida la atención de la maternidad, que  cumpla  los  criterios</w:t>
        <w:br/>
        <w:t>de disponibilidad, accesibilidad, aceptabilidad y calidad,  y  d)  seguridad</w:t>
        <w:br/>
        <w:t>básica del ingreso para las personas de edad, por lo menos equivalente a  un</w:t>
        <w:br/>
        <w:t>nivel mínimo definido en  el  plano  nacional”.  Asimismo,  el  artículo  8,</w:t>
        <w:br/>
        <w:t>incisos b) y c) destacan que:  “8.  Al  definir  las  garantías  básicas  de</w:t>
        <w:br/>
        <w:t>seguridad social, los Miembros  deberían  tener  debidamente  en  cuenta  lo</w:t>
        <w:br/>
        <w:t>siguiente: b) la seguridad básica del ingreso  debería  permitir  vivir  con</w:t>
        <w:br/>
        <w:t>dignidad. Los niveles mínimos de ingresos definidos a nivel nacional  podrán</w:t>
        <w:br/>
        <w:t>corresponder al valor  monetario  de  un  conjunto  de  bienes  y  servicios</w:t>
        <w:br/>
        <w:t>necesarios, a  los  umbrales  nacionales  de  pobreza,  a  los  umbrales  de</w:t>
        <w:br/>
        <w:t>ingresos que  dan  derecho  a  la  asistencia  social  o  a  otros  umbrales</w:t>
        <w:br/>
        <w:t>comparables establecidos por la legislación  o  la  práctica  nacionales,  y</w:t>
        <w:br/>
        <w:t>podrán tener en cuenta las diferencias regionales, y c) los niveles  de  las</w:t>
        <w:br/>
        <w:t>garantías básicas de seguridad social deberían ser revisados  periódicamente</w:t>
        <w:br/>
        <w:t>mediante un procedimiento transparente establecido por la legislación  o  la</w:t>
        <w:br/>
        <w:t>práctica nacionales, según proceda”.</w:t>
        <w:br/>
        <w:t>[201]       Además, la Corte  considera  que  el  nivel  suficiente  de  las</w:t>
        <w:br/>
        <w:t>prestaciones debe permitir a la persona un nivel de  vida  adecuado  que  no</w:t>
        <w:br/>
        <w:t>sólo se encamina a satisfacer sus  necesidades  puramente  biológicas,  sino</w:t>
        <w:br/>
        <w:t>que tiende a garantizar una vida en  condiciones  de  dignidad.  Es  preciso</w:t>
        <w:br/>
        <w:t>resaltar que las pensiones por jubilación en  adultos  mayores  constituyen,</w:t>
        <w:br/>
        <w:t>por regla general, la única fuente  de  ingresos  del  pensionado  y  de  su</w:t>
        <w:br/>
        <w:t>núcleo familiar, por lo que un monto equivalente a un  nivel  suficiente  de</w:t>
        <w:br/>
        <w:t>ingresos es de especial importancia  para  los  adultos  mayores.  La  Corte</w:t>
        <w:br/>
        <w:t>Constitucional colombiana ha señalado que: “(…) en las distintas  sentencias</w:t>
        <w:br/>
        <w:t>- algunas de las cuales han contado con un amplio número  de  actores  -  la</w:t>
        <w:br/>
        <w:t>Corte, siguiendo  jurisprudencia  ya  muy  decantada,  ha  señalado  que  el</w:t>
        <w:br/>
        <w:t>derecho a la seguridad social puede  adquirir  el  carácter  de  fundamental</w:t>
        <w:br/>
        <w:t>cuando el no pago de las mesadas  pensionales  vulnera  o  amenaza  vulnerar</w:t>
        <w:br/>
        <w:t>derechos fundamentales, como los derechos a la  vida  o  a  la  salud.  Ello</w:t>
        <w:br/>
        <w:t>ocurre en los casos en los que la ausencia de pago de las pensiones pone  en</w:t>
        <w:br/>
        <w:t>peligro el mínimo vital de los jubilados, situación muy  común  en  aquellos</w:t>
        <w:br/>
        <w:t>que ya pertenecen a la tercera edad, puesto  que  ya  no  se  encuentran  en</w:t>
        <w:br/>
        <w:t>condiciones de poder ingresar al mercado del trabajo  y  que,  generalmente,</w:t>
        <w:br/>
        <w:t>derivan su sustento de manera exclusiva de la mesada”. Asimismo,  estableció</w:t>
        <w:br/>
        <w:t>que “[p]ara establecer la afectación al derecho al mínimo  vital  [que  debe</w:t>
        <w:br/>
        <w:t>ser cubierto con las pensiones de los  jubilados]  esta  Corporación  se  ha</w:t>
        <w:br/>
        <w:t>pronunciado para definirlo como “aquella porción del ingreso que tiene  como</w:t>
        <w:br/>
        <w:t>objeto cubrir las necesidades básicas como alimentación,  salud,  educación,</w:t>
        <w:br/>
        <w:t>recreación,  servicios  públicos  domiciliarios,  etc. Por  ello,  la  misma</w:t>
        <w:br/>
        <w:t>jurisprudencia ha  entendido  que  el  concepto  de  mínimo  vital  no  sólo</w:t>
        <w:br/>
        <w:t>comprende un componente cuantitativo, la simple subsistencia,  sino  también</w:t>
        <w:br/>
        <w:t>un cuantitativo, relacionado con el respeto a la dignidad humana como  valor</w:t>
        <w:br/>
        <w:t>fundante del ordenamiento constitucional”. Cfr. Sentencia T 236/2016  de  13</w:t>
        <w:br/>
        <w:t>de mayo de 2016. Acción de tutela, párrs. 4.1 y 4.4.</w:t>
        <w:br/>
        <w:t>[202]       Los artículos 71 y 72 del Convenio  Nº  102  (1952)  de  la  OIT</w:t>
        <w:br/>
        <w:t>sobre la seguridad social (normas mínimas)  contiene  requisitos  similares.</w:t>
        <w:br/>
        <w:t>Perú ratificó dicho convenio el 23 de agosto de 1961.</w:t>
        <w:br/>
        <w:t>[203]       Cfr. ONU, Comité de Derechos Económicos, Sociales y  Culturales,</w:t>
        <w:br/>
        <w:t>Observación General No. 19, El derecho a la seguridad social  (artículo  9),</w:t>
        <w:br/>
        <w:t>4 de febrero de 2008,  párr.  77.  Véase  también  OIT,  Convenio  No.  102,</w:t>
        <w:br/>
        <w:t>Convenio sobre la seguridad social (norma mínima), de 28 de junio  de  1952,</w:t>
        <w:br/>
        <w:t>adoptado en Ginebra, 35ª  reunión  CIT,  artículo  70,  inciso  1,  el  cual</w:t>
        <w:br/>
        <w:t>establece que: “1. Todo solicitante deberá tener derecho a apelar,  en  caso</w:t>
        <w:br/>
        <w:t>de que se le niegue la prestación o en caso de  queja  sobre  su  calidad  o</w:t>
        <w:br/>
        <w:t>cantidad”. Véase también, OIT, Recomendación No.  202,  Recomendación  sobre</w:t>
        <w:br/>
        <w:t>los pisos de protección  social,  de  14  de  junio  de  2012,  adoptada  en</w:t>
        <w:br/>
        <w:t>Ginebra, 101ª reunión CIT. El artículo  7  señala  que:  “7.  Las  garantías</w:t>
        <w:br/>
        <w:t>básicas de seguridad social deberían establecerse por  ley.  La  legislación</w:t>
        <w:br/>
        <w:t>nacional debería especificar la gama, las condiciones de elegibilidad y  los</w:t>
        <w:br/>
        <w:t>niveles de las prestaciones  que  dan  efecto  a  estas  garantías.  También</w:t>
        <w:br/>
        <w:t>deberían especificarse procedimientos de queja y  de  recursos  imparciales,</w:t>
        <w:br/>
        <w:t>transparentes, eficaces, simples, rápidos, accesibles y  poco  onerosos.  El</w:t>
        <w:br/>
        <w:t>acceso a los procedimientos de queja y de recurso debería  estar  exento  de</w:t>
        <w:br/>
        <w:t>cargos para el solicitante.  Deberían  establecerse  sistemas  que  permitan</w:t>
        <w:br/>
        <w:t>mejorar el cumplimiento de los marcos jurídicos nacionales”.</w:t>
        <w:br/>
        <w:t>[204] El párrafo 48 de la Observación General No. 19  establece  que:  “[l]a</w:t>
        <w:br/>
        <w:t>obligación de facilitar exige a  los  Estados  Partes  que  adopten  medidas</w:t>
        <w:br/>
        <w:t>positivas para ayudar a las personas  y  a  las  comunidades  a  ejercer  el</w:t>
        <w:br/>
        <w:t>derecho a la seguridad social. Esta obligación incluye, entre  otras  cosas,</w:t>
        <w:br/>
        <w:t>la de reconocer debidamente este  derecho  en  el  ordenamiento  político  y</w:t>
        <w:br/>
        <w:t>jurídico nacional,  preferiblemente  aprobando  leyes  para  su  aplicación;</w:t>
        <w:br/>
        <w:t>adoptando una estrategia nacional de seguridad social y un  plan  de  acción</w:t>
        <w:br/>
        <w:t>para la realización  de  este  derecho;  y  asegurando  que  el  sistema  de</w:t>
        <w:br/>
        <w:t>seguridad social sea adecuado, esté al alcance de todos y cubra los  riesgos</w:t>
        <w:br/>
        <w:t>e imprevistos sociales.</w:t>
        <w:br/>
        <w:t>[205]       Cfr. ONU, Comité de Derechos Económicos, Sociales y  Culturales,</w:t>
        <w:br/>
        <w:t>Observación General No. 19, El derecho a la seguridad social  (artículo  9),</w:t>
        <w:br/>
        <w:t>4 de febrero de 2008, párr. 78.</w:t>
        <w:br/>
        <w:t>[206] Cfr. Mutatis mutandi, Caso Poblete Vilches y otros Vs.  Chile.  Fondo,</w:t>
        <w:br/>
        <w:t>Reparaciones y Costas. Sentencia de 8 de marzo de 2018.  Serie  C  No.  349,</w:t>
        <w:br/>
        <w:t>párr. 104 y Caso Cuscul Pivaral y otros Vs. Guatemala, supra, párr. 98.</w:t>
        <w:br/>
        <w:t>[207] Cfr. Comité de Derechos Económicos, Sociales y Culturales,  Comité  de</w:t>
        <w:br/>
        <w:t>Derechos Económicos, Sociales y Culturales, Observación General  No.  3:  La</w:t>
        <w:br/>
        <w:t>índole de las obligaciones de los Estados Partes (párrafo 1 del  artículo  2</w:t>
        <w:br/>
        <w:t>del Pacto), 14 de diciembre de 1990, U.N. Doc. E/1991/23, párr. 3, y  Comité</w:t>
        <w:br/>
        <w:t>de Derechos Económicos, Sociales y Culturales, Observación General  No.  19,</w:t>
        <w:br/>
        <w:t>El derecho a la seguridad social (artículo 9), 4 de febrero de  2008,  párr.</w:t>
        <w:br/>
        <w:t>40.</w:t>
        <w:br/>
        <w:t>[208]  Cfr.  Comité  de  Derechos   Económicos,   Sociales   y   Culturales,</w:t>
        <w:br/>
        <w:t>Observación General No. 3: La índole de  las  obligaciones  de  los  Estados</w:t>
        <w:br/>
        <w:t>Partes (párrafo 1 del artículo 2 del Pacto), 14 de diciembre de  1990,  U.N.</w:t>
        <w:br/>
        <w:t>Doc. E/1991/23, párr.  9,  y  Comité  de  Derechos  Económicos,  Sociales  y</w:t>
        <w:br/>
        <w:t>Culturales, Observación General No. 19, El derecho  a  la  seguridad  social</w:t>
        <w:br/>
        <w:t>(artículo 9), 4 de febrero de 2008, párrs. 40 y 41.</w:t>
        <w:br/>
        <w:t>[209] El artículo 26 de la Convención  establece:  “Artículo  26. Desarrollo</w:t>
        <w:br/>
        <w:t>Progresivo. Los Estados Partes se comprometen a adoptar providencias,  tanto</w:t>
        <w:br/>
        <w:t>a nivel interno como mediante la  cooperación  internacional,  especialmente</w:t>
        <w:br/>
        <w:t>económica y técnica, para lograr progresivamente  la  plena  efectividad  de</w:t>
        <w:br/>
        <w:t>los derechos que se derivan de  las  normas  económicas,  sociales  y  sobre</w:t>
        <w:br/>
        <w:t>educación, ciencia y cultura, contenidas en la Carta de la  Organización  de</w:t>
        <w:br/>
        <w:t>los Estados Americanos, reformada por el Protocolo de Buenos  Aires,  en  la</w:t>
        <w:br/>
        <w:t>medida de los recursos disponibles,  por  vía  legislativa  u  otros  medios</w:t>
        <w:br/>
        <w:t>apropiados”.</w:t>
        <w:br/>
        <w:t>[210]       Cfr. Caso Acevedo Buendía y otros (“Cesantes y Jubilados  de  la</w:t>
        <w:br/>
        <w:t>Contraloría”) Vs. Perú, supra, párrs. 102, 103, y  Caso  Poblete  Vilches  y</w:t>
        <w:br/>
        <w:t>otros Vs. Chile. Fondo, Reparaciones y Costas. Sentencia de 8  de  marzo  de</w:t>
        <w:br/>
        <w:t>2018. Serie C No. 349, párr. 104. Véanse también: “Grupo de Trabajo para  el</w:t>
        <w:br/>
        <w:t>Análisis de los  Informes  Nacionales  previstos  en  el  Protocolo  de  San</w:t>
        <w:br/>
        <w:t>Salvador”.  Inicialmente,  el  Grupo  de  Trabajo   elaboró   el   Documento</w:t>
        <w:br/>
        <w:t>“Indicadores de progreso  para  medición  de  derechos  contemplados  en  el</w:t>
        <w:br/>
        <w:t>Protocolo de San Salvador”, OEA/Ser.L/XXV.2.1; GT/PSS/doc.2/11 rev.2, de  16</w:t>
        <w:br/>
        <w:t>diciembre 2011, realizado con base en las Normas y Lineamientos  presentados</w:t>
        <w:br/>
        <w:t>por la Comisión Interamericana de Derechos Humanos.  Elevado  a  consulta  a</w:t>
        <w:br/>
        <w:t>los Estados y la sociedad civil y aprobado por la  Asamblea  General  en  su</w:t>
        <w:br/>
        <w:t>XLII Período de Sesiones Ordinarias celebrado  en  Cochabamba,  Bolivia,  en</w:t>
        <w:br/>
        <w:t>junio de 2012 (AG/RES. 2713 (XLII-O/12). En dicha ocasión se  abordaron  los</w:t>
        <w:br/>
        <w:t>derechos a la seguridad social, a la salud  y  a  la  educación  (pág.  13).</w:t>
        <w:br/>
        <w:t>Posteriormente, tras un  segundo  agrupamiento  de  derechos,  el  Grupo  de</w:t>
        <w:br/>
        <w:t>Trabajo emitió los “Indicadores de progreso para  la  medición  de  derechos</w:t>
        <w:br/>
        <w:t>contemplados en el Protocolo  Adicional  a  la  Convención  Americana  sobre</w:t>
        <w:br/>
        <w:t>Derechos Humanos en materia de derechos económicos,  sociales  y  culturales</w:t>
        <w:br/>
        <w:t>“Protocolo  de  San  Salvador   –   Segundo   agrupamiento   de   derechos”,</w:t>
        <w:br/>
        <w:t>OEA/Ser.L/XXV.2.1 GT/PSS/doc.9/13, aprobados por la Asamblea General  de  la</w:t>
        <w:br/>
        <w:t>OEA mediante la Resolución AG/RES. 2823 (XLIV-O/14), en  la  Segunda  Sesión</w:t>
        <w:br/>
        <w:t>Plenaria de 4 de junio de 2014. Finalmente, en 2015,  el  Grupo  de  Trabajo</w:t>
        <w:br/>
        <w:t>incorporó ambos agrupamientos  de  derechos  y  fueron  publicados  bajo  el</w:t>
        <w:br/>
        <w:t>título conjunto: “Indicadores de  progreso  para  la  medición  de  derechos</w:t>
        <w:br/>
        <w:t>contemplados en el Protocolo de San Salvador”, OEA/Ser.D/XXVI.11 (2015).  En</w:t>
        <w:br/>
        <w:t>esta ocasión se abordaron los derechos al trabajo y derechos  sindicales,  a</w:t>
        <w:br/>
        <w:t>la alimentación adecuada, al medio ambiente sano, y a los beneficios  de  la</w:t>
        <w:br/>
        <w:t>cultura  (pág.  75).  Cfr.  Comité  de  Derechos  Económicos,   Sociales   y</w:t>
        <w:br/>
        <w:t>Culturales, Observación General No. 19, El derecho  a  la  seguridad  social</w:t>
        <w:br/>
        <w:t>(artículo 9), 4 de febrero de 2008, párr. 42.</w:t>
        <w:br/>
        <w:br/>
        <w:t>[211]       Cfr.  Mutatis  mutandi,  ONU,  Comité  de  Derechos  Económicos,</w:t>
        <w:br/>
        <w:t>Sociales y Culturales (Comité DESC),  Observación  General  No.  24  (2017),</w:t>
        <w:br/>
        <w:t>párr. 21.</w:t>
        <w:br/>
        <w:t>[212]       ONU, Comité DESC, Observación General No. 18 (2005), párr. 25.</w:t>
        <w:br/>
        <w:t>[213]       Cfr. Declaración rendida ante fedatario  público  por  Christian</w:t>
        <w:br/>
        <w:t>Courtis el 30 de agosto de 2018 (expediente de prueba, folio 1823).</w:t>
        <w:br/>
        <w:t>[214]        En  el  sistema  interamericano   se   adoptó   la   Convención</w:t>
        <w:br/>
        <w:t>Interamericana sobre la Protección de los Derechos Humanos de  las  Personas</w:t>
        <w:br/>
        <w:t>Mayores el 15 de junio de 2015,  un  instrumento  de  protección  específico</w:t>
        <w:br/>
        <w:t>para  la  protección  de  las  personas  mayores,  justamente  debido  a  la</w:t>
        <w:br/>
        <w:t>situación de vulnerabilidad que  podrían  enfrentar.  Dicho  instrumento  se</w:t>
        <w:br/>
        <w:t>encuentra en vigencia desde el 11 de enero de 2017. El artículo 2  de  dicho</w:t>
        <w:br/>
        <w:t>instrumento establece que “A efectos de la presente Convención  se  entiende</w:t>
        <w:br/>
        <w:t>por: “[p]ersona mayor”: [a]quella de  60  años  o  más,  salvo  que  la  ley</w:t>
        <w:br/>
        <w:t>interna determine una edad base menor o  mayor,  siempre  que  esta  no  sea</w:t>
        <w:br/>
        <w:t>superior a los 65 años. Este concepto incluye, entre otros,  el  de  persona</w:t>
        <w:br/>
        <w:t>adulta mayor. El Estado del Perú no ha ratificado este tratado.</w:t>
        <w:br/>
        <w:t>[215]       ONU, Comité DESC, Observación General No. 6, (1995), párr. 13.</w:t>
        <w:br/>
        <w:t>[216]       Cfr. Caso Velásquez Rodríguez Vs. Honduras. Fondo, supra,  párr.</w:t>
        <w:br/>
        <w:t>163, y Caso Vereda La Esperanza Vs. Colombia. Excepción  Preliminar,  Fondo,</w:t>
        <w:br/>
        <w:t>Reparaciones y Costas. Sentencia de 31 de agosto de 2017.  Serie  C  No.341,</w:t>
        <w:br/>
        <w:t>párr.239. .</w:t>
        <w:br/>
        <w:t>[217]       Cfr. Caso “Cinco Pensionistas” Vs. Perú. Fondo,  Reparaciones  y</w:t>
        <w:br/>
        <w:t>Costas. Sentencia de 28 de febrero de 2003. Serie C No. 98, párr. 173.  Cfr.</w:t>
        <w:br/>
        <w:t>Caso Acevedo Jaramillo y otros Vs. Perú, supra, párr. 294. Cfr. Caso  Abrill</w:t>
        <w:br/>
        <w:t>Alosilla y Otros Vs. Perú, supra, párr. 82.</w:t>
        <w:br/>
        <w:t>[218]       Cfr. Caso Ivcher Bronstein  Vs.  Perú.  Reparaciones  y  Costas.</w:t>
        <w:br/>
        <w:t>Sentencia de 6 de febrero de 2001. Serie C  No.  74,  párrs.  120-122.  Cfr.</w:t>
        <w:br/>
        <w:t>Caso  Salvador  Chiriboga  Vs.  Ecuador.  Excepción  Preliminar   y   Fondo.</w:t>
        <w:br/>
        <w:t>Sentencia de 6 de mayo de 2008. Serie C No. 179, párr. 55. Cfr Caso  Acevedo</w:t>
        <w:br/>
        <w:t>Buendía y  otros  (“Cesantes  y  Jubilados  de  la  Contraloría)  Vs.  Perú.</w:t>
        <w:br/>
        <w:t>Excepción Preliminar, Fondo, Reparaciones y Costas. Sentencia de 1 de  julio</w:t>
        <w:br/>
        <w:t>de 2009. Serie C No.198, párr.84.Cfr.  Caso  Abrill  Alosilla  y  otros  Vs.</w:t>
        <w:br/>
        <w:t>Perú, supra, párr. 82.</w:t>
        <w:br/>
        <w:t>[219]       Cfr. Caso Ivcher Bronstein Vs. Perú, supra, párr. 122.</w:t>
        <w:br/>
        <w:t>[220]       Cfr. Caso “Cinco Pensionistas” Vs. Perú, supra, párr. 103.</w:t>
        <w:br/>
        <w:t>[221]       Cfr. Caso Acevedo Buendía y Otros (“Cesantes y Jubilados  de  la</w:t>
        <w:br/>
        <w:t>Contraloría) Vs. Perú, supra, párr. 85.</w:t>
        <w:br/>
        <w:t>[222]       Cfr. Declaración rendida ante fedatario  público  por  Christian</w:t>
        <w:br/>
        <w:t>Courtis el 30 de agosto de 2018 (expediente de prueba, folio 1833).</w:t>
        <w:br/>
        <w:t>[223]       Cfr. Caso Acevedo Buendía y Otros (“Cesantes y Jubilados  de  la</w:t>
        <w:br/>
        <w:t>Contraloría) supra, párr. 89.</w:t>
        <w:br/>
        <w:t>[224]       El artículo 63.1 de la Convención dispone que  “[c]uando  decida</w:t>
        <w:br/>
        <w:t>que hubo violación de un derecho o libertad protegidos en  [la]  Convención,</w:t>
        <w:br/>
        <w:t>la Corte dispondrá que se garantice al lesionado en el goce de su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t>[225]       Cfr. Caso  Velásquez  Rodríguez  Vs.  Honduras.  Reparaciones  y</w:t>
        <w:br/>
        <w:t>Costas. Sentencia de 21 de julio de 1989. Serie C No. 7, párr.  25,  y  Caso</w:t>
        <w:br/>
        <w:t>Villaseñor Velarde Y Otros Vs.  Guatemala.  Fondo,  Reparaciones  y  Costas.</w:t>
        <w:br/>
        <w:t>Serie C No. 374, párr. 147.</w:t>
        <w:br/>
        <w:t>[226]       Cfr. Caso  Velásquez  Rodríguez  Vs.  Honduras.  Reparaciones  y</w:t>
        <w:br/>
        <w:t>Costas, supra, párrs. 25 y 26, y Caso Órdenes  Guerra  Y  Otros  Vs.  Chile.</w:t>
        <w:br/>
        <w:t>Fondo, Reparaciones y Costas. Serie C No. 372, párr. 78.</w:t>
        <w:br/>
        <w:t>[227]       Cfr. Caso Cantoral Benavides Vs. Perú.  Reparaciones  y  Costas.</w:t>
        <w:br/>
        <w:t>Sentencia de 3 de diciembre de 2001. Serie C No. 88, párrs. 79 a 81, y  Caso</w:t>
        <w:br/>
        <w:t>Órdenes Guerra Y Otros Vs. Chile, supra, párr. 105.</w:t>
        <w:br/>
        <w:t>[228]       Cfr. Caso Ticona Estrada  Vs.  Bolivia.  Fondo,  Reparaciones  y</w:t>
        <w:br/>
        <w:t>Costas. Sentencia de 27 de noviembre de 2008. Serie C No. 191, párr. 110,  y</w:t>
        <w:br/>
        <w:t>Caso Órdenes Guerra Y Otros Vs. Chile, supra, párr. 115.</w:t>
        <w:br/>
        <w:t>[229] Cfr. Caso Velásquez Rodríguez Vs.  Honduras.  Reparaciones  y  Costas,</w:t>
        <w:br/>
        <w:t>supra, párrs. 25 a 27, y Caso Villaseñor  Velarde  Y  Otros  Vs.  Guatemala,</w:t>
        <w:br/>
        <w:t>supra, párr. 148..</w:t>
        <w:br/>
        <w:t>[230]       Entre ellas, la Ley Nº  28449,  Ley  que  Establece  las  Nuevas</w:t>
        <w:br/>
        <w:t>Reglas del Régimen de Pensiones del Decreto Ley Nº 20530 (supra párr. 104).</w:t>
        <w:br/>
        <w:t>[231]       Cfr. Escrito del Estado sobre prueba para mejor resolver  de  11</w:t>
        <w:br/>
        <w:t>de diciembre de 2018 (expediente de fondo, folio 1001).</w:t>
        <w:br/>
        <w:t>[232]       Cfr. Escrito del Estado sobre prueba para mejor resolver  de  11</w:t>
        <w:br/>
        <w:t>de diciembre de 2018 (expediente de fondo, folio 1000).</w:t>
        <w:br/>
        <w:t>[233]       Cfr. Caso Cantoral Benavides Vs. Perú, supra, párr. 79,  y  Caso</w:t>
        <w:br/>
        <w:t>Alvarado  Espinoza  y  Otros  Vs.  México.  Fondo,  Reparaciones  y   Costas</w:t>
        <w:br/>
        <w:t>Sentencia de 28 de noviembre de 2018. Serie C No. 370, párr.313.</w:t>
        <w:br/>
        <w:t>[234] Cfr. Caso Bámaca  Velásquez  Vs.  Guatemala.  Reparaciones  y  Costas.</w:t>
        <w:br/>
        <w:t>Sentencia de 22 de febrero de 2002.  Serie  C  No.  91,  párr.  43,  y  Caso</w:t>
        <w:br/>
        <w:t>Mujeres Víctimas de Tortura Sexual en Atenco Vs. México, supra, párr. 369.</w:t>
        <w:br/>
        <w:t>[235]       En sus alegatos finales escritos  las  representantes  aclararon</w:t>
        <w:br/>
        <w:t>que en virtud de lo objetado por el Estado a este respecto,  la  víctima  no</w:t>
        <w:br/>
        <w:t>incluye pretensión alguna de reembolso  por  la  asistencia  de  tratamiento</w:t>
        <w:br/>
        <w:t>médico en los Estados Unidos entre 2001  a  2008,  desde  que  el  mismo  no</w:t>
        <w:br/>
        <w:t>implicó costo alguno para el señor Muelle, ya que se efectuó  a  través  del</w:t>
        <w:br/>
        <w:t>apoyo de una  ONG.  Muelle  Flores  sólo  relató  la  realización  de  dicho</w:t>
        <w:br/>
        <w:t>tratamiento en sus peticiones con el fin  de  justificar  ante  la  CIDH  su</w:t>
        <w:br/>
        <w:t>cambio de residencia, además de  reiterar  la  necesidad  de  celeridad  del</w:t>
        <w:br/>
        <w:t>procedimiento  interamericano  ante  su  situación  de  discapacidad.   Crf.</w:t>
        <w:br/>
        <w:t>Escrito de Alegatos Finales de  las  representantes  (expediente  de  fondo,</w:t>
        <w:br/>
        <w:t>folio 704, nota al pie 169).</w:t>
        <w:br/>
        <w:t>[236]       Cfr. Caso de las Hermanas Serrano Cruz Vs. El  Salvador.  Fondo,</w:t>
        <w:br/>
        <w:t>Reparaciones y Costas. Sentencia de 1 de marzo de 2005.  Serie  C  No.  120,</w:t>
        <w:br/>
        <w:t>párr. 152, y Caso V.R.P., V.P.C.* Y Otros Vs. Nicaragua, supra, párr. 410.</w:t>
        <w:br/>
        <w:t>[237]       El SIS es un sistema de salud público y  universal,  creado  con</w:t>
        <w:br/>
        <w:t>la finalidad proteger la salud de  los  peruanos  que  no  contaban  con  un</w:t>
        <w:br/>
        <w:t>seguro de salud, priorizando en aquellas poblacionales  vulnerables  que  se</w:t>
        <w:br/>
        <w:t>encuentran  en  situación  de  pobreza  y  pobreza  extrema.  Cfr.  Ley  del</w:t>
        <w:br/>
        <w:t>Ministerio de Salud Nº 27657, que crea el  Seguro  Integral  de  Salud  como</w:t>
        <w:br/>
        <w:t>Organismo  Público  Descentralizado  del   Ministerio   de   Salud,   siendo</w:t>
        <w:br/>
        <w:t>posteriormente calificado como Organismo Público Ejecutor  mediante  Decreto</w:t>
        <w:br/>
        <w:t>Supremo Nº 034-2008-PCM (expediente de fondo, foja 1001).</w:t>
        <w:br/>
        <w:t>[238]       Cfr. Comprobantes Salud Física  (expediente  de  prueba,  folios</w:t>
        <w:br/>
        <w:t>1877 a 1888).</w:t>
        <w:br/>
        <w:t>[239]        Con  base  en  diversa   normativa   interna,   así   como   la</w:t>
        <w:br/>
        <w:t>jurisprudencia interna del Perú, no es factible  nivelar  las  pensiones  de</w:t>
        <w:br/>
        <w:t>los jubilados del sector público tomando como referente la remuneración  del</w:t>
        <w:br/>
        <w:t>sector privado. En  este  sentido,  la  nivelación  de  pensiones  no  puede</w:t>
        <w:br/>
        <w:t>efectuarse con los trabajadores en actividad sujetos al régimen  laboral  de</w:t>
        <w:br/>
        <w:t>la actividad privada, sino que  debe  efectuarse  con  los  trabajadores  en</w:t>
        <w:br/>
        <w:t>actividad  sujetos  al  régimen  laboral  de  la  actividad  pública.   Cfr.</w:t>
        <w:br/>
        <w:t>Declaración rendida ante fedatario público por César José Gonzáles  Hunt  el</w:t>
        <w:br/>
        <w:t>24 de agosto de 2018 (expediente de prueba, folios 1856 a 1863).  El  perito</w:t>
        <w:br/>
        <w:t>destacó que “[l]os  fundamentos  15  y  16  de  la  sentencia  del  Tribunal</w:t>
        <w:br/>
        <w:t>Constitucional recaída en el  Expediente  No.  189-2002-AA/TC  (caso  Carlos</w:t>
        <w:br/>
        <w:t>Maldonado Duarte, de fecha 18 de junio de 2003) establecieron  con  carácter</w:t>
        <w:br/>
        <w:t>de precedente obligatorio lo siguiente:  “15.  la  nivelación  a  que  tiene</w:t>
        <w:br/>
        <w:t>derecho un pensionista que goza de pensión  nivelable  debe  efectuarse  con</w:t>
        <w:br/>
        <w:t>referencia al funcionario o trabajador de la administración pública  que  se</w:t>
        <w:br/>
        <w:t>encuentre en actividad, del nivel y categoría que ocupó  el  pensionista  al</w:t>
        <w:br/>
        <w:t>momento del  cese  […]”;  16.  la  pretensión  de  nivelar  la  pensión  del</w:t>
        <w:br/>
        <w:t>demandante con la remuneración que percibe un trabajador activo  de  régimen</w:t>
        <w:br/>
        <w:t>laboral de la actividad privada “[…] no procede […]”; El perito destacó  que</w:t>
        <w:br/>
        <w:t>este criterio  ha  sido  ratificado  de  manera  uniforme  por  el  Tribunal</w:t>
        <w:br/>
        <w:t>Constitucional  convirtiéndose   entonces   en   regla   de   aplicación   e</w:t>
        <w:br/>
        <w:t>interpretación firme.  Luego,  la  Ley  No.  28047,  Ley  que  Actualiza  el</w:t>
        <w:br/>
        <w:t>Porcentaje de Aporte destinado al Fondo de  Pensiones  de  los  Trabajadores</w:t>
        <w:br/>
        <w:t>del Sector Público Nacional y  Regula  las  Nivelaciones  de  Pensiones  del</w:t>
        <w:br/>
        <w:t>Régimen del Decreto Ley No. 20530 publicada el 31 de julio de 2003,  dispuso</w:t>
        <w:br/>
        <w:t>en su artículo 3 titulado “De la determinación del monto  de  las  pensiones</w:t>
        <w:br/>
        <w:t>de los cesantes y jubilados sujetos al régimen del  Decreto  Ley  Nº  20530”</w:t>
        <w:br/>
        <w:t>que:“[p]recísese que la nivelación  de  las  pensiones  de  los  cesantes  y</w:t>
        <w:br/>
        <w:t>jubilados sujetos al régimen del Decreto Ley Nº 20530, de las entidades  que</w:t>
        <w:br/>
        <w:t>tengan o hayan tenido regímenes laborales distintos,  se  efectuará  tomando</w:t>
        <w:br/>
        <w:t>como base de referencia la remuneración que, de conformidad con  el  Sistema</w:t>
        <w:br/>
        <w:t>Único de  Remuneraciones  previsto  por  el  Decreto  Legislativo  No.  276,</w:t>
        <w:br/>
        <w:t>perciben los trabajadores de la entidad de origen  del  pensionista.  No  se</w:t>
        <w:br/>
        <w:t>considerarán, para tal efecto, aquellos conceptos que éstos perciban con  el</w:t>
        <w:br/>
        <w:t>carácter de no pensionable. En ningún caso la nivelación de tales  pensiones</w:t>
        <w:br/>
        <w:t>se hará tomando como referencia las  remuneraciones  del  personal  que,  en</w:t>
        <w:br/>
        <w:t>tales entidades, se encuentre sujeto al  régimen  laboral  de  la  actividad</w:t>
        <w:br/>
        <w:t>privada.</w:t>
        <w:br/>
        <w:t>Además, en ningún caso se permitirá una  pensión  nivelable  superior  a  un</w:t>
        <w:br/>
        <w:t>monto mayor a la remuneración de un trabajador activo de su  mismo  cargo  y</w:t>
        <w:br/>
        <w:t>nivel que pudiera corresponderle".</w:t>
        <w:br/>
        <w:t>Así, según el perito, “el artículo en referencia se  enmarcó  dentro  de  la</w:t>
        <w:br/>
        <w:t>corriente  jurisprudencial  establecida  por  el   Tribunal   Constitucional</w:t>
        <w:br/>
        <w:t>expuesta en los fundamentos 15 y 16 (anteriormente citados) de la  sentencia</w:t>
        <w:br/>
        <w:t>recaída en el proceso de amparo seguido por Carlos Maldonado Duarte”.</w:t>
        <w:br/>
        <w:t>[240]       Cfr. Caso de los  “Niños  de  la  Calle”  (Villagrán  Morales  y</w:t>
        <w:br/>
        <w:t>otros) Vs. Guatemala. Reparaciones y Costas. Sentencia  de  26  de  mayo  de</w:t>
        <w:br/>
        <w:t>2001. Serie C No. 77, párr. 84, y Caso Mujeres Víctimas  de  Tortura  Sexual</w:t>
        <w:br/>
        <w:t>en Atenco Vs. México, supra, párr.375.</w:t>
        <w:br/>
        <w:t>[241]        Cfr.  Declaración  jurada  por  Vibeke   Ann   Muelle   Jensen.</w:t>
        <w:br/>
        <w:t>(expediente de prueba, folios 1840 y 1841).</w:t>
        <w:br/>
        <w:t>[242]       Cfr. Declaración jurada de Jesús Aníbal  Delgado  Flores.  (exp.</w:t>
        <w:br/>
        <w:t>prueba, folios 1841 y 1842)</w:t>
        <w:br/>
        <w:t>[243]       Cfr. Caso  Neira  Alegría  y  otros  Vs.  Perú.  Reparaciones  y</w:t>
        <w:br/>
        <w:t>Costas. Sentencia de 19 de septiembre de 1996. Serie C  No.  29,  párr.  56;</w:t>
        <w:br/>
        <w:t>Caso Kawas Fernández, supra nota 13, párr.  184,  y  Caso  Perozo  y  otros,</w:t>
        <w:br/>
        <w:t>supra nota 13, párr. 413.</w:t>
        <w:br/>
        <w:t>[244] Cfr. Caso Acevedo  Buendía  y  otros  (“Cesantes  y  Jubilados  de  la</w:t>
        <w:br/>
        <w:t>Contraloría”) Vs. Perú, supra, párr. 133 y Caso Usón Ramírez Vs.  Venezuela.</w:t>
        <w:br/>
        <w:t>Excepción Preliminar, Fondo, Reparaciones  y  Costas.  Sentencia  de  20  de</w:t>
        <w:br/>
        <w:t>noviembre de 2009. Serie C No. 207, párr. 207.</w:t>
        <w:br/>
        <w:t>[245]       Cfr. Caso Garrido y  Baigorria  Vs.  Argentina.  Reparaciones  y</w:t>
        <w:br/>
        <w:t>Costas. Sentencia de 27 de agosto de 1998. Serie C No. 39, párr. 79, y  Caso</w:t>
        <w:br/>
        <w:t>Órdenes Guerra y otros Vs. Chile, supra, párr. 139.</w:t>
        <w:br/>
        <w:br/>
        <w:t>[246]       Cfr. Caso Garrido y  Baigorria  Vs.  Argentina,  Reparaciones  y</w:t>
        <w:br/>
        <w:t>Costas supra, párr. 82, y Caso Órdenes de Guerra y otros Vs.  Chile,  supra,</w:t>
        <w:br/>
        <w:t>párr. 95.</w:t>
        <w:br/>
        <w:t>[247] Cfr. Caso Garrido y Baigorria Vs. Argentina.  Reparaciones  y  Costas,</w:t>
        <w:br/>
        <w:t>supra, párrs. 79 y 82, y Caso Órdenes de Guerra y otros  Vs.  Chile,  supra,</w:t>
        <w:br/>
        <w:t>párr. 139.</w:t>
        <w:br/>
        <w:t>[248]       Cfr. Caso Chaparro Álvarez y Lapo Íñiguez  Vs.  Ecuador,  supra,</w:t>
        <w:br/>
        <w:t>párr. 277, y Caso de Mujeres  Víctimas  de  Tortura  Sexual  en  Atenco  Vs.</w:t>
        <w:br/>
        <w:t>México, supra, párr. 379.</w:t>
        <w:br/>
        <w:t>[249]       Cfr. Caso Comunidad Indígena Xákmok Kásek Vs.  Paraguay.  Fondo,</w:t>
        <w:br/>
        <w:t>Reparaciones y Costas. Sentencia de 24 de agosto de 2010. Serie C  No.  214,</w:t>
        <w:br/>
        <w:t>párr. 331, y Caso de Mujeres  Víctimas  de  Tortura  Sexual  en  Atenco  Vs.</w:t>
        <w:br/>
        <w:t>México, supra, párr. 379.</w:t>
        <w:br/>
        <w:t>[250]                               Cfr.[pic][251]                         |</w:t>
        <w:br/>
        <w:t>234GIJKOPQ`iqrstu­®îÝÝÝÉµ¨¨¨¨˜˜˜˜†˜†˜˜˜yl˜˜˜_O††huQhæ˜5?CJOJQJaJh`?5?CJO</w:t>
        <w:br/>
        <w:t>Resolución emitida por el Presidente de la Corte Interamericana de  Derechos</w:t>
        <w:br/>
        <w:t>Humanos el 27 de julio  de  2018  (expediente  de  fondo,  folios  496-502).</w:t>
        <w:br/>
        <w:t>Disponible en: http://www.corteidh.or.cr/docs/asuntos/muelle_27_07_18.pdf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