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35CC92" w14:textId="77777777" w:rsidR="00660A12" w:rsidRDefault="00660A12" w:rsidP="00660A12">
      <w:pPr>
        <w:spacing w:line="240" w:lineRule="auto"/>
        <w:ind w:right="-138"/>
        <w:jc w:val="center"/>
        <w:rPr>
          <w:rFonts w:ascii="Verdana" w:eastAsia="MS Mincho" w:hAnsi="Verdana"/>
          <w:b/>
          <w:noProof/>
          <w:sz w:val="20"/>
          <w:szCs w:val="20"/>
          <w:lang w:val="es-ES_tradnl" w:eastAsia="x-none"/>
        </w:rPr>
      </w:pPr>
    </w:p>
    <w:p w14:paraId="02F5DAB4" w14:textId="77777777" w:rsidR="00660A12" w:rsidRDefault="00660A12" w:rsidP="00660A12">
      <w:pPr>
        <w:spacing w:line="240" w:lineRule="auto"/>
        <w:ind w:right="-138"/>
        <w:jc w:val="center"/>
        <w:rPr>
          <w:rFonts w:ascii="Verdana" w:eastAsia="MS Mincho" w:hAnsi="Verdana"/>
          <w:b/>
          <w:noProof/>
          <w:sz w:val="20"/>
          <w:szCs w:val="20"/>
          <w:lang w:val="es-ES_tradnl" w:eastAsia="x-none"/>
        </w:rPr>
      </w:pPr>
    </w:p>
    <w:p w14:paraId="2CD3E0D1" w14:textId="77777777" w:rsidR="00C72A1E" w:rsidRPr="005B560F" w:rsidRDefault="00C72A1E" w:rsidP="008D05FD">
      <w:pPr>
        <w:spacing w:after="0" w:line="240" w:lineRule="auto"/>
        <w:ind w:right="-138"/>
        <w:jc w:val="center"/>
        <w:rPr>
          <w:rFonts w:ascii="Verdana" w:eastAsia="MS Mincho" w:hAnsi="Verdana"/>
          <w:b/>
          <w:noProof/>
          <w:sz w:val="20"/>
          <w:szCs w:val="20"/>
          <w:lang w:val="es-ES_tradnl" w:eastAsia="x-none"/>
        </w:rPr>
      </w:pPr>
      <w:r w:rsidRPr="005B560F">
        <w:rPr>
          <w:rFonts w:ascii="Verdana" w:eastAsia="MS Mincho" w:hAnsi="Verdana"/>
          <w:b/>
          <w:noProof/>
          <w:sz w:val="20"/>
          <w:szCs w:val="20"/>
          <w:lang w:val="es-ES_tradnl" w:eastAsia="x-none"/>
        </w:rPr>
        <w:t>CORTE INTERAMERICANA DE DERECHOS HUMANOS</w:t>
      </w:r>
    </w:p>
    <w:p w14:paraId="576478F6" w14:textId="77777777" w:rsidR="00C72A1E" w:rsidRPr="005B560F" w:rsidRDefault="00C72A1E" w:rsidP="008D05FD">
      <w:pPr>
        <w:spacing w:after="0" w:line="240" w:lineRule="auto"/>
        <w:ind w:right="-138"/>
        <w:rPr>
          <w:rFonts w:ascii="Verdana" w:eastAsia="MS Mincho" w:hAnsi="Verdana"/>
          <w:b/>
          <w:noProof/>
          <w:sz w:val="20"/>
          <w:szCs w:val="20"/>
          <w:lang w:val="es-ES_tradnl" w:eastAsia="x-none"/>
        </w:rPr>
      </w:pPr>
    </w:p>
    <w:p w14:paraId="44814757" w14:textId="77777777" w:rsidR="00C72A1E" w:rsidRPr="005B560F" w:rsidRDefault="00C72A1E" w:rsidP="008D05FD">
      <w:pPr>
        <w:spacing w:after="0" w:line="240" w:lineRule="auto"/>
        <w:ind w:left="-142" w:right="-138"/>
        <w:jc w:val="center"/>
        <w:rPr>
          <w:rFonts w:ascii="Verdana" w:eastAsia="MS Mincho" w:hAnsi="Verdana"/>
          <w:b/>
          <w:noProof/>
          <w:sz w:val="16"/>
          <w:szCs w:val="20"/>
          <w:lang w:val="es-ES_tradnl" w:eastAsia="x-none"/>
        </w:rPr>
      </w:pPr>
      <w:r w:rsidRPr="005B560F">
        <w:rPr>
          <w:rFonts w:ascii="Verdana" w:eastAsia="MS Mincho" w:hAnsi="Verdana"/>
          <w:b/>
          <w:i/>
          <w:noProof/>
          <w:sz w:val="20"/>
          <w:szCs w:val="20"/>
          <w:lang w:val="es-ES_tradnl" w:eastAsia="x-none"/>
        </w:rPr>
        <w:t>CAS</w:t>
      </w:r>
      <w:r w:rsidR="00045855">
        <w:rPr>
          <w:rFonts w:ascii="Verdana" w:eastAsia="MS Mincho" w:hAnsi="Verdana"/>
          <w:b/>
          <w:i/>
          <w:noProof/>
          <w:sz w:val="20"/>
          <w:szCs w:val="20"/>
          <w:lang w:val="es-ES_tradnl" w:eastAsia="x-none"/>
        </w:rPr>
        <w:t xml:space="preserve">O ROSADIO VILLAVICENCIO VS. PERÚ </w:t>
      </w:r>
    </w:p>
    <w:p w14:paraId="2E9AA382" w14:textId="77777777" w:rsidR="00C72A1E" w:rsidRPr="005B560F" w:rsidRDefault="00C72A1E" w:rsidP="008D05FD">
      <w:pPr>
        <w:spacing w:after="0" w:line="240" w:lineRule="auto"/>
        <w:ind w:right="-138"/>
        <w:rPr>
          <w:rFonts w:ascii="Verdana" w:eastAsia="MS Mincho" w:hAnsi="Verdana"/>
          <w:b/>
          <w:noProof/>
          <w:sz w:val="16"/>
          <w:szCs w:val="20"/>
          <w:lang w:val="es-ES_tradnl" w:eastAsia="x-none"/>
        </w:rPr>
      </w:pPr>
    </w:p>
    <w:p w14:paraId="3C02107C" w14:textId="77777777" w:rsidR="008D05FD" w:rsidRPr="00CB38F8" w:rsidRDefault="008D05FD" w:rsidP="008D05FD">
      <w:pPr>
        <w:spacing w:after="0" w:line="240" w:lineRule="auto"/>
        <w:jc w:val="center"/>
        <w:rPr>
          <w:rFonts w:ascii="Verdana" w:hAnsi="Verdana"/>
          <w:sz w:val="20"/>
          <w:szCs w:val="20"/>
        </w:rPr>
      </w:pPr>
      <w:r w:rsidRPr="00CB38F8">
        <w:rPr>
          <w:rFonts w:ascii="Verdana" w:hAnsi="Verdana"/>
          <w:b/>
          <w:bCs/>
          <w:sz w:val="20"/>
          <w:szCs w:val="20"/>
        </w:rPr>
        <w:t xml:space="preserve">SENTENCIA DE </w:t>
      </w:r>
      <w:r>
        <w:rPr>
          <w:rFonts w:ascii="Verdana" w:hAnsi="Verdana"/>
          <w:b/>
          <w:bCs/>
          <w:sz w:val="20"/>
          <w:szCs w:val="20"/>
        </w:rPr>
        <w:t>8</w:t>
      </w:r>
      <w:r w:rsidRPr="00CB38F8">
        <w:rPr>
          <w:rFonts w:ascii="Verdana" w:hAnsi="Verdana"/>
          <w:b/>
          <w:bCs/>
          <w:sz w:val="20"/>
          <w:szCs w:val="20"/>
        </w:rPr>
        <w:t xml:space="preserve"> DE </w:t>
      </w:r>
      <w:r>
        <w:rPr>
          <w:rFonts w:ascii="Verdana" w:hAnsi="Verdana"/>
          <w:b/>
          <w:bCs/>
          <w:sz w:val="20"/>
          <w:szCs w:val="20"/>
        </w:rPr>
        <w:t xml:space="preserve">OCTUBRE </w:t>
      </w:r>
      <w:r w:rsidRPr="00CB38F8">
        <w:rPr>
          <w:rFonts w:ascii="Verdana" w:hAnsi="Verdana"/>
          <w:b/>
          <w:bCs/>
          <w:sz w:val="20"/>
          <w:szCs w:val="20"/>
        </w:rPr>
        <w:t>DE 2020</w:t>
      </w:r>
    </w:p>
    <w:p w14:paraId="2E873969" w14:textId="77777777" w:rsidR="008D05FD" w:rsidRDefault="008D05FD" w:rsidP="008D05FD">
      <w:pPr>
        <w:spacing w:after="0" w:line="240" w:lineRule="auto"/>
        <w:ind w:left="-142" w:right="-138"/>
        <w:jc w:val="center"/>
        <w:rPr>
          <w:rFonts w:ascii="Verdana" w:hAnsi="Verdana"/>
          <w:b/>
          <w:i/>
          <w:iCs/>
          <w:noProof/>
          <w:spacing w:val="15"/>
          <w:sz w:val="20"/>
          <w:lang w:val="es-ES_tradnl" w:eastAsia="x-none"/>
        </w:rPr>
      </w:pPr>
    </w:p>
    <w:p w14:paraId="1CF74A59" w14:textId="11777319" w:rsidR="00C72A1E" w:rsidRPr="005B560F" w:rsidRDefault="008D05FD" w:rsidP="008D05FD">
      <w:pPr>
        <w:spacing w:after="0" w:line="240" w:lineRule="auto"/>
        <w:ind w:left="-142" w:right="-138"/>
        <w:jc w:val="center"/>
        <w:rPr>
          <w:rFonts w:ascii="Verdana" w:hAnsi="Verdana"/>
          <w:b/>
          <w:i/>
          <w:iCs/>
          <w:noProof/>
          <w:spacing w:val="15"/>
          <w:sz w:val="20"/>
          <w:lang w:val="es-ES_tradnl" w:eastAsia="x-none"/>
        </w:rPr>
      </w:pPr>
      <w:r w:rsidRPr="005B560F">
        <w:rPr>
          <w:rFonts w:ascii="Verdana" w:hAnsi="Verdana"/>
          <w:b/>
          <w:i/>
          <w:iCs/>
          <w:noProof/>
          <w:spacing w:val="15"/>
          <w:sz w:val="20"/>
          <w:lang w:val="es-ES_tradnl" w:eastAsia="x-none"/>
        </w:rPr>
        <w:t xml:space="preserve"> </w:t>
      </w:r>
      <w:r w:rsidR="00C72A1E" w:rsidRPr="005B560F">
        <w:rPr>
          <w:rFonts w:ascii="Verdana" w:hAnsi="Verdana"/>
          <w:b/>
          <w:i/>
          <w:iCs/>
          <w:noProof/>
          <w:spacing w:val="15"/>
          <w:sz w:val="20"/>
          <w:lang w:val="es-ES_tradnl" w:eastAsia="x-none"/>
        </w:rPr>
        <w:t>(Interpretación de la Sentencia de</w:t>
      </w:r>
      <w:r w:rsidR="00045855">
        <w:rPr>
          <w:rFonts w:ascii="Verdana" w:hAnsi="Verdana"/>
          <w:b/>
          <w:i/>
          <w:iCs/>
          <w:noProof/>
          <w:spacing w:val="15"/>
          <w:sz w:val="20"/>
          <w:lang w:val="es-ES_tradnl" w:eastAsia="x-none"/>
        </w:rPr>
        <w:t xml:space="preserve"> Excepciones Preliminares,</w:t>
      </w:r>
      <w:r w:rsidR="00C72A1E" w:rsidRPr="005B560F">
        <w:rPr>
          <w:rFonts w:ascii="Verdana" w:hAnsi="Verdana"/>
          <w:b/>
          <w:i/>
          <w:iCs/>
          <w:noProof/>
          <w:spacing w:val="15"/>
          <w:sz w:val="20"/>
          <w:lang w:val="es-ES_tradnl" w:eastAsia="x-none"/>
        </w:rPr>
        <w:t xml:space="preserve"> Fondo, Reparaciones y Costas)</w:t>
      </w:r>
    </w:p>
    <w:p w14:paraId="55EBF64C" w14:textId="77777777" w:rsidR="00C72A1E" w:rsidRPr="005B560F" w:rsidRDefault="00C72A1E" w:rsidP="00C72A1E">
      <w:pPr>
        <w:spacing w:line="240" w:lineRule="auto"/>
        <w:ind w:right="-138"/>
        <w:rPr>
          <w:rFonts w:ascii="Verdana" w:eastAsia="Batang" w:hAnsi="Verdana" w:cs="Times"/>
          <w:sz w:val="20"/>
          <w:szCs w:val="20"/>
          <w:lang w:val="es-ES"/>
        </w:rPr>
      </w:pPr>
    </w:p>
    <w:p w14:paraId="5854A3C4" w14:textId="77777777" w:rsidR="00C72A1E" w:rsidRPr="005B560F" w:rsidRDefault="00C72A1E" w:rsidP="00C72A1E">
      <w:pPr>
        <w:spacing w:line="240" w:lineRule="auto"/>
        <w:ind w:left="-142" w:right="-138"/>
        <w:rPr>
          <w:rFonts w:ascii="Verdana" w:eastAsia="Batang" w:hAnsi="Verdana" w:cs="Times"/>
          <w:sz w:val="20"/>
          <w:szCs w:val="20"/>
          <w:lang w:val="es-ES"/>
        </w:rPr>
      </w:pPr>
    </w:p>
    <w:p w14:paraId="421B6E18" w14:textId="0C2D9AB3" w:rsidR="00C72A1E" w:rsidRPr="005B560F" w:rsidRDefault="00C72A1E" w:rsidP="00C72A1E">
      <w:pPr>
        <w:spacing w:after="0" w:line="240" w:lineRule="auto"/>
        <w:rPr>
          <w:rFonts w:ascii="Verdana" w:eastAsia="Batang" w:hAnsi="Verdana" w:cs="Times"/>
          <w:sz w:val="20"/>
          <w:szCs w:val="20"/>
          <w:lang w:val="es-ES"/>
        </w:rPr>
      </w:pPr>
      <w:r w:rsidRPr="005B560F">
        <w:rPr>
          <w:rFonts w:ascii="Verdana" w:eastAsia="Batang" w:hAnsi="Verdana" w:cs="Times"/>
          <w:sz w:val="20"/>
          <w:szCs w:val="20"/>
          <w:lang w:val="es-ES"/>
        </w:rPr>
        <w:t xml:space="preserve">En el </w:t>
      </w:r>
      <w:r w:rsidR="002C3D73">
        <w:rPr>
          <w:rFonts w:ascii="Verdana" w:eastAsia="Batang" w:hAnsi="Verdana" w:cs="Times"/>
          <w:sz w:val="20"/>
          <w:szCs w:val="20"/>
          <w:lang w:val="es-ES"/>
        </w:rPr>
        <w:t xml:space="preserve">caso </w:t>
      </w:r>
      <w:r w:rsidR="00045855">
        <w:rPr>
          <w:rFonts w:ascii="Verdana" w:eastAsia="Batang" w:hAnsi="Verdana" w:cs="Times"/>
          <w:i/>
          <w:sz w:val="20"/>
          <w:szCs w:val="20"/>
          <w:lang w:val="es-ES"/>
        </w:rPr>
        <w:t>Rosadio Villavicencio</w:t>
      </w:r>
      <w:r>
        <w:rPr>
          <w:rFonts w:ascii="Verdana" w:eastAsia="Batang" w:hAnsi="Verdana" w:cs="Times"/>
          <w:i/>
          <w:sz w:val="20"/>
          <w:szCs w:val="20"/>
          <w:lang w:val="es-ES"/>
        </w:rPr>
        <w:t xml:space="preserve"> </w:t>
      </w:r>
      <w:r w:rsidR="00325EC7">
        <w:rPr>
          <w:rFonts w:ascii="Verdana" w:eastAsia="Batang" w:hAnsi="Verdana" w:cs="Times"/>
          <w:i/>
          <w:sz w:val="20"/>
          <w:szCs w:val="20"/>
          <w:lang w:val="es-ES"/>
        </w:rPr>
        <w:t>V</w:t>
      </w:r>
      <w:r>
        <w:rPr>
          <w:rFonts w:ascii="Verdana" w:eastAsia="Batang" w:hAnsi="Verdana" w:cs="Times"/>
          <w:i/>
          <w:sz w:val="20"/>
          <w:szCs w:val="20"/>
          <w:lang w:val="es-ES"/>
        </w:rPr>
        <w:t xml:space="preserve">s. </w:t>
      </w:r>
      <w:r w:rsidR="00045855">
        <w:rPr>
          <w:rFonts w:ascii="Verdana" w:eastAsia="Batang" w:hAnsi="Verdana" w:cs="Times"/>
          <w:i/>
          <w:sz w:val="20"/>
          <w:szCs w:val="20"/>
          <w:lang w:val="es-ES"/>
        </w:rPr>
        <w:t>Perú</w:t>
      </w:r>
      <w:r w:rsidRPr="005B560F">
        <w:rPr>
          <w:rFonts w:ascii="Verdana" w:eastAsia="Batang" w:hAnsi="Verdana" w:cs="Times"/>
          <w:i/>
          <w:sz w:val="20"/>
          <w:szCs w:val="20"/>
          <w:lang w:val="es-ES"/>
        </w:rPr>
        <w:t>,</w:t>
      </w:r>
    </w:p>
    <w:p w14:paraId="315B6B08" w14:textId="77777777" w:rsidR="00C72A1E" w:rsidRPr="005B560F" w:rsidRDefault="00C72A1E" w:rsidP="00C72A1E">
      <w:pPr>
        <w:spacing w:after="0" w:line="240" w:lineRule="auto"/>
        <w:ind w:left="-142" w:right="-138"/>
        <w:rPr>
          <w:rFonts w:ascii="Verdana" w:eastAsia="Batang" w:hAnsi="Verdana" w:cs="Times"/>
          <w:sz w:val="20"/>
          <w:szCs w:val="20"/>
          <w:lang w:val="es-ES"/>
        </w:rPr>
      </w:pPr>
    </w:p>
    <w:p w14:paraId="1B25E35B" w14:textId="43C2512B" w:rsidR="00C72A1E" w:rsidRPr="005B560F" w:rsidRDefault="00C72A1E" w:rsidP="00C72A1E">
      <w:pPr>
        <w:spacing w:after="0" w:line="240" w:lineRule="auto"/>
        <w:ind w:right="-138"/>
        <w:rPr>
          <w:rFonts w:ascii="Verdana" w:eastAsia="Batang" w:hAnsi="Verdana" w:cs="Times"/>
          <w:sz w:val="20"/>
          <w:lang w:val="es-ES"/>
        </w:rPr>
      </w:pPr>
      <w:r w:rsidRPr="005B560F">
        <w:rPr>
          <w:rFonts w:ascii="Verdana" w:eastAsia="Batang" w:hAnsi="Verdana" w:cs="Times"/>
          <w:sz w:val="20"/>
          <w:lang w:val="es-ES"/>
        </w:rPr>
        <w:t xml:space="preserve">la Corte Interamericana de Derechos Humanos (en adelante “la Corte Interamericana”, “la Corte” o “el Tribunal”), integrada por los siguientes </w:t>
      </w:r>
      <w:r w:rsidR="002C3D73">
        <w:rPr>
          <w:rFonts w:ascii="Verdana" w:eastAsia="Batang" w:hAnsi="Verdana" w:cs="Times"/>
          <w:sz w:val="20"/>
          <w:lang w:val="es-ES"/>
        </w:rPr>
        <w:t>J</w:t>
      </w:r>
      <w:r w:rsidRPr="005B560F">
        <w:rPr>
          <w:rFonts w:ascii="Verdana" w:eastAsia="Batang" w:hAnsi="Verdana" w:cs="Times"/>
          <w:sz w:val="20"/>
          <w:lang w:val="es-ES"/>
        </w:rPr>
        <w:t>ueces</w:t>
      </w:r>
      <w:r w:rsidR="00A16E2D">
        <w:rPr>
          <w:rStyle w:val="Refdenotaalpie"/>
        </w:rPr>
        <w:footnoteReference w:customMarkFollows="1" w:id="1"/>
        <w:sym w:font="Symbol" w:char="F02A"/>
      </w:r>
      <w:r w:rsidRPr="005B560F">
        <w:rPr>
          <w:rFonts w:ascii="Verdana" w:eastAsia="Batang" w:hAnsi="Verdana" w:cs="Times"/>
          <w:sz w:val="20"/>
          <w:lang w:val="es-ES"/>
        </w:rPr>
        <w:t>:</w:t>
      </w:r>
    </w:p>
    <w:p w14:paraId="05595517" w14:textId="07E45332" w:rsidR="00432DC9" w:rsidRDefault="00432DC9" w:rsidP="00A16E2D">
      <w:pPr>
        <w:spacing w:after="0" w:line="240" w:lineRule="auto"/>
        <w:ind w:right="-138"/>
        <w:rPr>
          <w:rFonts w:ascii="Verdana" w:eastAsia="Batang" w:hAnsi="Verdana" w:cs="Times"/>
          <w:sz w:val="20"/>
          <w:lang w:val="es-ES"/>
        </w:rPr>
      </w:pPr>
    </w:p>
    <w:p w14:paraId="4F21F79F" w14:textId="32B16614" w:rsidR="00045855" w:rsidRDefault="00432DC9" w:rsidP="00432DC9">
      <w:pPr>
        <w:spacing w:after="0" w:line="240" w:lineRule="auto"/>
        <w:ind w:left="708" w:right="-138"/>
        <w:rPr>
          <w:rFonts w:ascii="Verdana" w:eastAsia="Batang" w:hAnsi="Verdana" w:cs="Times"/>
          <w:sz w:val="20"/>
          <w:lang w:val="es-ES"/>
        </w:rPr>
      </w:pPr>
      <w:r>
        <w:rPr>
          <w:rFonts w:ascii="Verdana" w:eastAsia="Batang" w:hAnsi="Verdana" w:cs="Times"/>
          <w:sz w:val="20"/>
          <w:lang w:val="es-ES"/>
        </w:rPr>
        <w:t>L. Patricio Pazmiño Freire, Vicepresidente</w:t>
      </w:r>
      <w:r w:rsidR="00C126D5">
        <w:rPr>
          <w:rFonts w:ascii="Verdana" w:eastAsia="Batang" w:hAnsi="Verdana" w:cs="Times"/>
          <w:sz w:val="20"/>
          <w:lang w:val="es-ES"/>
        </w:rPr>
        <w:t>;</w:t>
      </w:r>
    </w:p>
    <w:p w14:paraId="6525654D" w14:textId="77777777" w:rsidR="00C72A1E" w:rsidRPr="005B560F" w:rsidRDefault="00C72A1E" w:rsidP="00C72A1E">
      <w:pPr>
        <w:spacing w:after="0" w:line="240" w:lineRule="auto"/>
        <w:ind w:left="708" w:right="-138"/>
        <w:rPr>
          <w:rFonts w:ascii="Verdana" w:eastAsia="Batang" w:hAnsi="Verdana" w:cs="Times"/>
          <w:sz w:val="20"/>
          <w:lang w:val="es-ES"/>
        </w:rPr>
      </w:pPr>
      <w:r w:rsidRPr="005B560F">
        <w:rPr>
          <w:rFonts w:ascii="Verdana" w:eastAsia="Batang" w:hAnsi="Verdana" w:cs="Times"/>
          <w:sz w:val="20"/>
          <w:lang w:val="es-ES"/>
        </w:rPr>
        <w:t xml:space="preserve">Eduardo Vio Grossi, </w:t>
      </w:r>
      <w:r w:rsidR="00045855">
        <w:rPr>
          <w:rFonts w:ascii="Verdana" w:eastAsia="Batang" w:hAnsi="Verdana" w:cs="Times"/>
          <w:sz w:val="20"/>
          <w:lang w:val="es-ES"/>
        </w:rPr>
        <w:t>Vicepresidente</w:t>
      </w:r>
      <w:r w:rsidRPr="005B560F">
        <w:rPr>
          <w:rFonts w:ascii="Verdana" w:eastAsia="Batang" w:hAnsi="Verdana" w:cs="Times"/>
          <w:sz w:val="20"/>
          <w:lang w:val="es-ES"/>
        </w:rPr>
        <w:t>;</w:t>
      </w:r>
    </w:p>
    <w:p w14:paraId="66AC334E" w14:textId="77777777" w:rsidR="00C72A1E" w:rsidRDefault="00C72A1E" w:rsidP="00C72A1E">
      <w:pPr>
        <w:spacing w:after="0" w:line="240" w:lineRule="auto"/>
        <w:ind w:left="708" w:right="-138"/>
        <w:rPr>
          <w:rFonts w:ascii="Verdana" w:hAnsi="Verdana"/>
          <w:sz w:val="20"/>
          <w:szCs w:val="20"/>
          <w:lang w:val="es-ES"/>
        </w:rPr>
      </w:pPr>
      <w:r>
        <w:rPr>
          <w:rFonts w:ascii="Verdana" w:hAnsi="Verdana"/>
          <w:sz w:val="20"/>
          <w:szCs w:val="20"/>
          <w:lang w:val="es-ES"/>
        </w:rPr>
        <w:t>Humbe</w:t>
      </w:r>
      <w:r w:rsidR="00432DC9">
        <w:rPr>
          <w:rFonts w:ascii="Verdana" w:hAnsi="Verdana"/>
          <w:sz w:val="20"/>
          <w:szCs w:val="20"/>
          <w:lang w:val="es-ES"/>
        </w:rPr>
        <w:t>rto Antonio Sierra Porto, Juez;</w:t>
      </w:r>
    </w:p>
    <w:p w14:paraId="77392C98" w14:textId="77777777" w:rsidR="00432DC9" w:rsidRDefault="00432DC9" w:rsidP="00C72A1E">
      <w:pPr>
        <w:spacing w:after="0" w:line="240" w:lineRule="auto"/>
        <w:ind w:left="708" w:right="-138"/>
        <w:rPr>
          <w:rFonts w:ascii="Verdana" w:hAnsi="Verdana"/>
          <w:sz w:val="20"/>
          <w:szCs w:val="20"/>
          <w:lang w:val="es-ES"/>
        </w:rPr>
      </w:pPr>
      <w:r>
        <w:rPr>
          <w:rFonts w:ascii="Verdana" w:eastAsia="Batang" w:hAnsi="Verdana" w:cs="Times"/>
          <w:sz w:val="20"/>
          <w:lang w:val="es-ES"/>
        </w:rPr>
        <w:t xml:space="preserve">Eduardo Ferrer </w:t>
      </w:r>
      <w:r w:rsidRPr="00045855">
        <w:rPr>
          <w:rFonts w:ascii="Verdana" w:eastAsia="Batang" w:hAnsi="Verdana" w:cs="Times"/>
          <w:sz w:val="20"/>
          <w:lang w:val="es-ES"/>
        </w:rPr>
        <w:t>Mac-</w:t>
      </w:r>
      <w:proofErr w:type="spellStart"/>
      <w:r w:rsidRPr="00045855">
        <w:rPr>
          <w:rFonts w:ascii="Verdana" w:eastAsia="Batang" w:hAnsi="Verdana" w:cs="Times"/>
          <w:sz w:val="20"/>
          <w:lang w:val="es-ES"/>
        </w:rPr>
        <w:t>Gregor</w:t>
      </w:r>
      <w:proofErr w:type="spellEnd"/>
      <w:r w:rsidRPr="00045855">
        <w:rPr>
          <w:rFonts w:ascii="Verdana" w:eastAsia="Batang" w:hAnsi="Verdana" w:cs="Times"/>
          <w:sz w:val="20"/>
          <w:lang w:val="es-ES"/>
        </w:rPr>
        <w:t xml:space="preserve"> </w:t>
      </w:r>
      <w:proofErr w:type="spellStart"/>
      <w:r w:rsidRPr="00045855">
        <w:rPr>
          <w:rFonts w:ascii="Verdana" w:eastAsia="Batang" w:hAnsi="Verdana" w:cs="Times"/>
          <w:sz w:val="20"/>
          <w:lang w:val="es-ES"/>
        </w:rPr>
        <w:t>Poisot</w:t>
      </w:r>
      <w:proofErr w:type="spellEnd"/>
      <w:r>
        <w:rPr>
          <w:rFonts w:ascii="Verdana" w:eastAsia="Batang" w:hAnsi="Verdana" w:cs="Times"/>
          <w:sz w:val="20"/>
          <w:lang w:val="es-ES"/>
        </w:rPr>
        <w:t>, Juez;</w:t>
      </w:r>
    </w:p>
    <w:p w14:paraId="6770CDAF" w14:textId="77777777" w:rsidR="00C72A1E" w:rsidRDefault="00C72A1E" w:rsidP="00432DC9">
      <w:pPr>
        <w:spacing w:after="0" w:line="240" w:lineRule="auto"/>
        <w:ind w:left="708" w:right="-138"/>
        <w:rPr>
          <w:rFonts w:ascii="Verdana" w:hAnsi="Verdana"/>
          <w:sz w:val="20"/>
          <w:szCs w:val="20"/>
          <w:lang w:val="es-ES"/>
        </w:rPr>
      </w:pPr>
      <w:r w:rsidRPr="005B560F">
        <w:rPr>
          <w:rFonts w:ascii="Verdana" w:hAnsi="Verdana"/>
          <w:sz w:val="20"/>
          <w:szCs w:val="20"/>
          <w:lang w:val="es-ES"/>
        </w:rPr>
        <w:t>Eugenio Raúl Zaffaroni, Juez</w:t>
      </w:r>
      <w:r w:rsidR="00045855">
        <w:rPr>
          <w:rFonts w:ascii="Verdana" w:hAnsi="Verdana"/>
          <w:sz w:val="20"/>
          <w:szCs w:val="20"/>
          <w:lang w:val="es-ES"/>
        </w:rPr>
        <w:t>, y</w:t>
      </w:r>
    </w:p>
    <w:p w14:paraId="6D8FA630" w14:textId="77777777" w:rsidR="00045855" w:rsidRPr="005B560F" w:rsidRDefault="00045855" w:rsidP="00C72A1E">
      <w:pPr>
        <w:spacing w:after="0" w:line="240" w:lineRule="auto"/>
        <w:ind w:left="708" w:right="-138"/>
        <w:rPr>
          <w:rFonts w:ascii="Verdana" w:hAnsi="Verdana"/>
          <w:sz w:val="20"/>
          <w:szCs w:val="20"/>
          <w:lang w:val="es-ES"/>
        </w:rPr>
      </w:pPr>
      <w:r>
        <w:rPr>
          <w:rFonts w:ascii="Verdana" w:hAnsi="Verdana"/>
          <w:sz w:val="20"/>
          <w:szCs w:val="20"/>
          <w:lang w:val="es-ES"/>
        </w:rPr>
        <w:t xml:space="preserve">Ricardo Pérez Manrique, Juez; </w:t>
      </w:r>
    </w:p>
    <w:p w14:paraId="3AE763B1" w14:textId="77777777" w:rsidR="00C72A1E" w:rsidRPr="005B560F" w:rsidRDefault="00C72A1E" w:rsidP="00C72A1E">
      <w:pPr>
        <w:spacing w:line="240" w:lineRule="auto"/>
        <w:ind w:right="-138"/>
        <w:rPr>
          <w:rFonts w:ascii="Verdana" w:eastAsia="Batang" w:hAnsi="Verdana" w:cs="Times"/>
          <w:sz w:val="20"/>
          <w:lang w:val="es-ES"/>
        </w:rPr>
      </w:pPr>
    </w:p>
    <w:p w14:paraId="59E858A3" w14:textId="77777777" w:rsidR="00C72A1E" w:rsidRPr="005B560F" w:rsidRDefault="00C72A1E" w:rsidP="00C72A1E">
      <w:pPr>
        <w:spacing w:after="0" w:line="240" w:lineRule="auto"/>
        <w:ind w:right="-138"/>
        <w:jc w:val="both"/>
        <w:rPr>
          <w:rFonts w:ascii="Verdana" w:eastAsia="Batang" w:hAnsi="Verdana" w:cs="Times"/>
          <w:sz w:val="20"/>
          <w:lang w:val="es-ES"/>
        </w:rPr>
      </w:pPr>
      <w:r w:rsidRPr="005B560F">
        <w:rPr>
          <w:rFonts w:ascii="Verdana" w:eastAsia="Batang" w:hAnsi="Verdana" w:cs="Times"/>
          <w:sz w:val="20"/>
          <w:lang w:val="es-ES"/>
        </w:rPr>
        <w:t>presentes, además,</w:t>
      </w:r>
    </w:p>
    <w:p w14:paraId="419D4F2A" w14:textId="77777777" w:rsidR="00C72A1E" w:rsidRPr="005B560F" w:rsidRDefault="00C72A1E" w:rsidP="00C72A1E">
      <w:pPr>
        <w:spacing w:after="0" w:line="240" w:lineRule="auto"/>
        <w:ind w:right="-138"/>
        <w:jc w:val="both"/>
        <w:rPr>
          <w:rFonts w:ascii="Verdana" w:eastAsia="Batang" w:hAnsi="Verdana" w:cs="Times"/>
          <w:sz w:val="20"/>
          <w:lang w:val="es-ES"/>
        </w:rPr>
      </w:pPr>
    </w:p>
    <w:p w14:paraId="4AF2D1F4" w14:textId="4568664C" w:rsidR="00432DC9" w:rsidRDefault="00C72A1E" w:rsidP="00C72A1E">
      <w:pPr>
        <w:spacing w:after="0" w:line="240" w:lineRule="auto"/>
        <w:ind w:firstLine="708"/>
        <w:jc w:val="both"/>
        <w:rPr>
          <w:rFonts w:ascii="Verdana" w:eastAsia="Batang" w:hAnsi="Verdana" w:cs="Times"/>
          <w:sz w:val="20"/>
          <w:lang w:val="es-ES"/>
        </w:rPr>
      </w:pPr>
      <w:r w:rsidRPr="005B560F">
        <w:rPr>
          <w:rFonts w:ascii="Verdana" w:eastAsia="Batang" w:hAnsi="Verdana" w:cs="Times"/>
          <w:sz w:val="20"/>
          <w:lang w:val="es-ES"/>
        </w:rPr>
        <w:t>Pablo Saavedra Alessandri, Secretario,</w:t>
      </w:r>
      <w:r w:rsidR="00325EC7">
        <w:rPr>
          <w:rFonts w:ascii="Verdana" w:eastAsia="Batang" w:hAnsi="Verdana" w:cs="Times"/>
          <w:sz w:val="20"/>
          <w:lang w:val="es-ES"/>
        </w:rPr>
        <w:t xml:space="preserve"> y</w:t>
      </w:r>
    </w:p>
    <w:p w14:paraId="606D535B" w14:textId="77777777" w:rsidR="00C72A1E" w:rsidRDefault="00432DC9" w:rsidP="00C72A1E">
      <w:pPr>
        <w:spacing w:after="0" w:line="240" w:lineRule="auto"/>
        <w:ind w:firstLine="708"/>
        <w:jc w:val="both"/>
        <w:rPr>
          <w:rFonts w:ascii="Verdana" w:eastAsia="Batang" w:hAnsi="Verdana" w:cs="Times"/>
          <w:sz w:val="20"/>
          <w:lang w:val="es-ES"/>
        </w:rPr>
      </w:pPr>
      <w:r w:rsidRPr="00533BE5">
        <w:rPr>
          <w:rFonts w:ascii="Verdana" w:hAnsi="Verdana"/>
          <w:sz w:val="20"/>
          <w:szCs w:val="20"/>
          <w:lang w:val="es-ES"/>
        </w:rPr>
        <w:t>Romina I. Sijniensky, Secretaria Adjunta</w:t>
      </w:r>
      <w:r w:rsidRPr="00B25F3C">
        <w:rPr>
          <w:rFonts w:ascii="Verdana" w:hAnsi="Verdana"/>
          <w:sz w:val="20"/>
          <w:szCs w:val="20"/>
          <w:lang w:val="es-ES"/>
        </w:rPr>
        <w:t>,</w:t>
      </w:r>
      <w:r w:rsidR="00C72A1E" w:rsidRPr="005B560F">
        <w:rPr>
          <w:rFonts w:ascii="Verdana" w:eastAsia="Batang" w:hAnsi="Verdana" w:cs="Times"/>
          <w:sz w:val="20"/>
          <w:lang w:val="es-ES"/>
        </w:rPr>
        <w:t xml:space="preserve"> </w:t>
      </w:r>
    </w:p>
    <w:p w14:paraId="5D23C278" w14:textId="77777777" w:rsidR="00C72A1E" w:rsidRDefault="00C72A1E" w:rsidP="00432DC9">
      <w:pPr>
        <w:spacing w:after="0" w:line="240" w:lineRule="auto"/>
        <w:jc w:val="both"/>
        <w:rPr>
          <w:rFonts w:ascii="Verdana" w:eastAsia="Batang" w:hAnsi="Verdana" w:cs="Times"/>
          <w:sz w:val="20"/>
          <w:lang w:val="es-ES"/>
        </w:rPr>
      </w:pPr>
    </w:p>
    <w:p w14:paraId="3FE84B76" w14:textId="77777777" w:rsidR="00C72A1E" w:rsidRPr="005B560F" w:rsidRDefault="00C72A1E" w:rsidP="00C72A1E">
      <w:pPr>
        <w:spacing w:after="0" w:line="240" w:lineRule="auto"/>
        <w:ind w:right="-138"/>
        <w:jc w:val="both"/>
        <w:rPr>
          <w:rFonts w:ascii="Verdana" w:eastAsia="Batang" w:hAnsi="Verdana" w:cs="Times"/>
          <w:sz w:val="20"/>
          <w:lang w:val="es-ES"/>
        </w:rPr>
      </w:pPr>
    </w:p>
    <w:p w14:paraId="4DA3CDDA" w14:textId="4C948B16" w:rsidR="00C72A1E" w:rsidRDefault="00C72A1E" w:rsidP="00475CAF">
      <w:pPr>
        <w:spacing w:after="0" w:line="240" w:lineRule="auto"/>
        <w:ind w:right="-138"/>
        <w:jc w:val="both"/>
        <w:rPr>
          <w:rFonts w:ascii="Verdana" w:eastAsia="Batang" w:hAnsi="Verdana" w:cs="Verdana"/>
          <w:spacing w:val="-2"/>
          <w:sz w:val="20"/>
          <w:szCs w:val="20"/>
          <w:lang w:val="es-ES_tradnl"/>
        </w:rPr>
      </w:pPr>
      <w:r w:rsidRPr="005B560F">
        <w:rPr>
          <w:rFonts w:ascii="Verdana" w:eastAsia="Batang" w:hAnsi="Verdana" w:cs="Verdana"/>
          <w:spacing w:val="-2"/>
          <w:sz w:val="20"/>
          <w:szCs w:val="20"/>
          <w:lang w:val="es-ES_tradnl"/>
        </w:rPr>
        <w:t>de conformidad con el artículo 67 de la Convención Americana sobre Derechos Humanos (en adelante también “la Convención Americana” o “la Convención”) y el artículo 68 del Reglamento de la Corte (en adelante “el Reglamento”), resuelve la</w:t>
      </w:r>
      <w:r w:rsidR="005C0D31">
        <w:rPr>
          <w:rFonts w:ascii="Verdana" w:eastAsia="Batang" w:hAnsi="Verdana" w:cs="Verdana"/>
          <w:spacing w:val="-2"/>
          <w:sz w:val="20"/>
          <w:szCs w:val="20"/>
          <w:lang w:val="es-ES_tradnl"/>
        </w:rPr>
        <w:t>s</w:t>
      </w:r>
      <w:r w:rsidRPr="005B560F">
        <w:rPr>
          <w:rFonts w:ascii="Verdana" w:eastAsia="Batang" w:hAnsi="Verdana" w:cs="Verdana"/>
          <w:spacing w:val="-2"/>
          <w:sz w:val="20"/>
          <w:szCs w:val="20"/>
          <w:lang w:val="es-ES_tradnl"/>
        </w:rPr>
        <w:t xml:space="preserve"> solicitud</w:t>
      </w:r>
      <w:r w:rsidR="005C0D31">
        <w:rPr>
          <w:rFonts w:ascii="Verdana" w:eastAsia="Batang" w:hAnsi="Verdana" w:cs="Verdana"/>
          <w:spacing w:val="-2"/>
          <w:sz w:val="20"/>
          <w:szCs w:val="20"/>
          <w:lang w:val="es-ES_tradnl"/>
        </w:rPr>
        <w:t>es</w:t>
      </w:r>
      <w:r w:rsidRPr="005B560F">
        <w:rPr>
          <w:rFonts w:ascii="Verdana" w:eastAsia="Batang" w:hAnsi="Verdana" w:cs="Verdana"/>
          <w:spacing w:val="-2"/>
          <w:sz w:val="20"/>
          <w:szCs w:val="20"/>
          <w:lang w:val="es-ES_tradnl"/>
        </w:rPr>
        <w:t xml:space="preserve"> de interpretación de la Sentencia sobre </w:t>
      </w:r>
      <w:r w:rsidR="00045855">
        <w:rPr>
          <w:rFonts w:ascii="Verdana" w:eastAsia="Batang" w:hAnsi="Verdana" w:cs="Verdana"/>
          <w:spacing w:val="-2"/>
          <w:sz w:val="20"/>
          <w:szCs w:val="20"/>
          <w:lang w:val="es-ES_tradnl"/>
        </w:rPr>
        <w:t xml:space="preserve">Excepciones Preliminares, </w:t>
      </w:r>
      <w:r>
        <w:rPr>
          <w:rFonts w:ascii="Verdana" w:eastAsia="Batang" w:hAnsi="Verdana" w:cs="Verdana"/>
          <w:spacing w:val="-2"/>
          <w:sz w:val="20"/>
          <w:szCs w:val="20"/>
          <w:lang w:val="es-ES_tradnl"/>
        </w:rPr>
        <w:t>F</w:t>
      </w:r>
      <w:r w:rsidRPr="005B560F">
        <w:rPr>
          <w:rFonts w:ascii="Verdana" w:eastAsia="Batang" w:hAnsi="Verdana" w:cs="Verdana"/>
          <w:spacing w:val="-2"/>
          <w:sz w:val="20"/>
          <w:szCs w:val="20"/>
          <w:lang w:val="es-ES_tradnl"/>
        </w:rPr>
        <w:t xml:space="preserve">ondo, </w:t>
      </w:r>
      <w:r>
        <w:rPr>
          <w:rFonts w:ascii="Verdana" w:eastAsia="Batang" w:hAnsi="Verdana" w:cs="Verdana"/>
          <w:spacing w:val="-2"/>
          <w:sz w:val="20"/>
          <w:szCs w:val="20"/>
          <w:lang w:val="es-ES_tradnl"/>
        </w:rPr>
        <w:t>R</w:t>
      </w:r>
      <w:r w:rsidRPr="005B560F">
        <w:rPr>
          <w:rFonts w:ascii="Verdana" w:eastAsia="Batang" w:hAnsi="Verdana" w:cs="Verdana"/>
          <w:spacing w:val="-2"/>
          <w:sz w:val="20"/>
          <w:szCs w:val="20"/>
          <w:lang w:val="es-ES_tradnl"/>
        </w:rPr>
        <w:t xml:space="preserve">eparaciones y </w:t>
      </w:r>
      <w:r>
        <w:rPr>
          <w:rFonts w:ascii="Verdana" w:eastAsia="Batang" w:hAnsi="Verdana" w:cs="Verdana"/>
          <w:spacing w:val="-2"/>
          <w:sz w:val="20"/>
          <w:szCs w:val="20"/>
          <w:lang w:val="es-ES_tradnl"/>
        </w:rPr>
        <w:t>C</w:t>
      </w:r>
      <w:r w:rsidRPr="005B560F">
        <w:rPr>
          <w:rFonts w:ascii="Verdana" w:eastAsia="Batang" w:hAnsi="Verdana" w:cs="Verdana"/>
          <w:spacing w:val="-2"/>
          <w:sz w:val="20"/>
          <w:szCs w:val="20"/>
          <w:lang w:val="es-ES_tradnl"/>
        </w:rPr>
        <w:t xml:space="preserve">ostas emitida por este Tribunal el </w:t>
      </w:r>
      <w:r w:rsidR="00045855">
        <w:rPr>
          <w:rFonts w:ascii="Verdana" w:eastAsia="Batang" w:hAnsi="Verdana" w:cs="Verdana"/>
          <w:spacing w:val="-2"/>
          <w:sz w:val="20"/>
          <w:szCs w:val="20"/>
          <w:lang w:val="es-ES_tradnl"/>
        </w:rPr>
        <w:t>14</w:t>
      </w:r>
      <w:r w:rsidRPr="0063629C">
        <w:rPr>
          <w:rFonts w:ascii="Verdana" w:eastAsia="Batang" w:hAnsi="Verdana" w:cs="Verdana"/>
          <w:spacing w:val="-2"/>
          <w:sz w:val="20"/>
          <w:szCs w:val="20"/>
          <w:lang w:val="es-ES_tradnl"/>
        </w:rPr>
        <w:t xml:space="preserve"> de </w:t>
      </w:r>
      <w:r w:rsidR="00045855">
        <w:rPr>
          <w:rFonts w:ascii="Verdana" w:eastAsia="Batang" w:hAnsi="Verdana" w:cs="Verdana"/>
          <w:spacing w:val="-2"/>
          <w:sz w:val="20"/>
          <w:szCs w:val="20"/>
          <w:lang w:val="es-ES_tradnl"/>
        </w:rPr>
        <w:t>octubre</w:t>
      </w:r>
      <w:r w:rsidRPr="0063629C">
        <w:rPr>
          <w:rFonts w:ascii="Verdana" w:eastAsia="Batang" w:hAnsi="Verdana" w:cs="Verdana"/>
          <w:spacing w:val="-2"/>
          <w:sz w:val="20"/>
          <w:szCs w:val="20"/>
          <w:lang w:val="es-ES_tradnl"/>
        </w:rPr>
        <w:t xml:space="preserve"> de 201</w:t>
      </w:r>
      <w:r w:rsidR="00045855">
        <w:rPr>
          <w:rFonts w:ascii="Verdana" w:eastAsia="Batang" w:hAnsi="Verdana" w:cs="Verdana"/>
          <w:spacing w:val="-2"/>
          <w:sz w:val="20"/>
          <w:szCs w:val="20"/>
          <w:lang w:val="es-ES_tradnl"/>
        </w:rPr>
        <w:t>9</w:t>
      </w:r>
      <w:r w:rsidRPr="0063629C">
        <w:rPr>
          <w:rFonts w:ascii="Verdana" w:eastAsia="Batang" w:hAnsi="Verdana" w:cs="Verdana"/>
          <w:spacing w:val="-2"/>
          <w:sz w:val="20"/>
          <w:szCs w:val="20"/>
          <w:lang w:val="es-ES_tradnl"/>
        </w:rPr>
        <w:t xml:space="preserve"> en el presente caso (en adelante tamb</w:t>
      </w:r>
      <w:r w:rsidR="005C0D31">
        <w:rPr>
          <w:rFonts w:ascii="Verdana" w:eastAsia="Batang" w:hAnsi="Verdana" w:cs="Verdana"/>
          <w:spacing w:val="-2"/>
          <w:sz w:val="20"/>
          <w:szCs w:val="20"/>
          <w:lang w:val="es-ES_tradnl"/>
        </w:rPr>
        <w:t>ién “la Sentencia”), presentadas</w:t>
      </w:r>
      <w:r w:rsidRPr="0063629C">
        <w:rPr>
          <w:rFonts w:ascii="Verdana" w:eastAsia="Batang" w:hAnsi="Verdana" w:cs="Verdana"/>
          <w:spacing w:val="-2"/>
          <w:sz w:val="20"/>
          <w:szCs w:val="20"/>
          <w:lang w:val="es-ES_tradnl"/>
        </w:rPr>
        <w:t xml:space="preserve"> el </w:t>
      </w:r>
      <w:r w:rsidR="000925CD">
        <w:rPr>
          <w:rFonts w:ascii="Verdana" w:eastAsia="Batang" w:hAnsi="Verdana" w:cs="Verdana"/>
          <w:spacing w:val="-2"/>
          <w:sz w:val="20"/>
          <w:szCs w:val="20"/>
          <w:lang w:val="es-ES_tradnl"/>
        </w:rPr>
        <w:t>25</w:t>
      </w:r>
      <w:r w:rsidRPr="0063629C">
        <w:rPr>
          <w:rFonts w:ascii="Verdana" w:eastAsia="Batang" w:hAnsi="Verdana" w:cs="Verdana"/>
          <w:spacing w:val="-2"/>
          <w:sz w:val="20"/>
          <w:szCs w:val="20"/>
          <w:lang w:val="es-ES_tradnl"/>
        </w:rPr>
        <w:t xml:space="preserve"> de </w:t>
      </w:r>
      <w:r w:rsidR="000925CD">
        <w:rPr>
          <w:rFonts w:ascii="Verdana" w:eastAsia="Batang" w:hAnsi="Verdana" w:cs="Verdana"/>
          <w:spacing w:val="-2"/>
          <w:sz w:val="20"/>
          <w:szCs w:val="20"/>
          <w:lang w:val="es-ES_tradnl"/>
        </w:rPr>
        <w:t>mayo</w:t>
      </w:r>
      <w:r w:rsidRPr="0063629C">
        <w:rPr>
          <w:rFonts w:ascii="Verdana" w:eastAsia="Batang" w:hAnsi="Verdana" w:cs="Verdana"/>
          <w:spacing w:val="-2"/>
          <w:sz w:val="20"/>
          <w:szCs w:val="20"/>
          <w:lang w:val="es-ES_tradnl"/>
        </w:rPr>
        <w:t xml:space="preserve"> de 20</w:t>
      </w:r>
      <w:r w:rsidR="000925CD">
        <w:rPr>
          <w:rFonts w:ascii="Verdana" w:eastAsia="Batang" w:hAnsi="Verdana" w:cs="Verdana"/>
          <w:spacing w:val="-2"/>
          <w:sz w:val="20"/>
          <w:szCs w:val="20"/>
          <w:lang w:val="es-ES_tradnl"/>
        </w:rPr>
        <w:t>20</w:t>
      </w:r>
      <w:r w:rsidRPr="0063629C">
        <w:rPr>
          <w:rFonts w:ascii="Verdana" w:eastAsia="Batang" w:hAnsi="Verdana" w:cs="Verdana"/>
          <w:spacing w:val="-2"/>
          <w:sz w:val="20"/>
          <w:szCs w:val="20"/>
          <w:lang w:val="es-ES_tradnl"/>
        </w:rPr>
        <w:t>,</w:t>
      </w:r>
      <w:r w:rsidR="00AB3065">
        <w:rPr>
          <w:rFonts w:ascii="Verdana" w:eastAsia="Batang" w:hAnsi="Verdana" w:cs="Verdana"/>
          <w:spacing w:val="-2"/>
          <w:sz w:val="20"/>
          <w:szCs w:val="20"/>
          <w:lang w:val="es-ES_tradnl"/>
        </w:rPr>
        <w:t xml:space="preserve"> respectivamente,</w:t>
      </w:r>
      <w:r w:rsidRPr="0063629C">
        <w:rPr>
          <w:rFonts w:ascii="Verdana" w:eastAsia="Batang" w:hAnsi="Verdana" w:cs="Verdana"/>
          <w:spacing w:val="-2"/>
          <w:sz w:val="20"/>
          <w:szCs w:val="20"/>
          <w:lang w:val="es-ES_tradnl"/>
        </w:rPr>
        <w:t xml:space="preserve"> por</w:t>
      </w:r>
      <w:r w:rsidR="000925CD">
        <w:rPr>
          <w:rFonts w:ascii="Verdana" w:eastAsia="Batang" w:hAnsi="Verdana" w:cs="Verdana"/>
          <w:spacing w:val="-2"/>
          <w:sz w:val="20"/>
          <w:szCs w:val="20"/>
          <w:lang w:val="es-ES_tradnl"/>
        </w:rPr>
        <w:t xml:space="preserve"> la República del Perú (en adelante “el Estado” o “el Perú”) y</w:t>
      </w:r>
      <w:r w:rsidRPr="0063629C">
        <w:rPr>
          <w:rFonts w:ascii="Verdana" w:eastAsia="Batang" w:hAnsi="Verdana" w:cs="Verdana"/>
          <w:spacing w:val="-2"/>
          <w:sz w:val="20"/>
          <w:szCs w:val="20"/>
          <w:lang w:val="es-ES_tradnl"/>
        </w:rPr>
        <w:t xml:space="preserve"> </w:t>
      </w:r>
      <w:r w:rsidR="005C0D31">
        <w:rPr>
          <w:rFonts w:ascii="Verdana" w:eastAsia="Batang" w:hAnsi="Verdana" w:cs="Verdana"/>
          <w:spacing w:val="-2"/>
          <w:sz w:val="20"/>
          <w:szCs w:val="20"/>
          <w:lang w:val="es-ES_tradnl"/>
        </w:rPr>
        <w:t xml:space="preserve">por </w:t>
      </w:r>
      <w:r w:rsidR="000925CD">
        <w:rPr>
          <w:rFonts w:ascii="Verdana" w:eastAsia="Batang" w:hAnsi="Verdana" w:cs="Verdana"/>
          <w:spacing w:val="-2"/>
          <w:sz w:val="20"/>
          <w:szCs w:val="20"/>
          <w:lang w:val="es-ES_tradnl"/>
        </w:rPr>
        <w:t xml:space="preserve">Jorge Enrique Rosadio Villavicencio </w:t>
      </w:r>
      <w:r w:rsidRPr="0063629C">
        <w:rPr>
          <w:rFonts w:ascii="Verdana" w:eastAsia="Batang" w:hAnsi="Verdana" w:cs="Verdana"/>
          <w:spacing w:val="-2"/>
          <w:sz w:val="20"/>
          <w:szCs w:val="20"/>
          <w:lang w:val="es-ES_tradnl"/>
        </w:rPr>
        <w:t>(en</w:t>
      </w:r>
      <w:r w:rsidR="00475CAF">
        <w:rPr>
          <w:rFonts w:ascii="Verdana" w:eastAsia="Batang" w:hAnsi="Verdana" w:cs="Verdana"/>
          <w:spacing w:val="-2"/>
          <w:sz w:val="20"/>
          <w:szCs w:val="20"/>
          <w:lang w:val="es-ES_tradnl"/>
        </w:rPr>
        <w:t xml:space="preserve"> adelante “</w:t>
      </w:r>
      <w:r w:rsidR="000925CD">
        <w:rPr>
          <w:rFonts w:ascii="Verdana" w:eastAsia="Batang" w:hAnsi="Verdana" w:cs="Verdana"/>
          <w:spacing w:val="-2"/>
          <w:sz w:val="20"/>
          <w:szCs w:val="20"/>
          <w:lang w:val="es-ES_tradnl"/>
        </w:rPr>
        <w:t>la víctima</w:t>
      </w:r>
      <w:r w:rsidR="00475CAF">
        <w:rPr>
          <w:rFonts w:ascii="Verdana" w:eastAsia="Batang" w:hAnsi="Verdana" w:cs="Verdana"/>
          <w:spacing w:val="-2"/>
          <w:sz w:val="20"/>
          <w:szCs w:val="20"/>
          <w:lang w:val="es-ES_tradnl"/>
        </w:rPr>
        <w:t>”</w:t>
      </w:r>
      <w:r w:rsidR="00B4334C">
        <w:rPr>
          <w:rFonts w:ascii="Verdana" w:eastAsia="Batang" w:hAnsi="Verdana" w:cs="Verdana"/>
          <w:spacing w:val="-2"/>
          <w:sz w:val="20"/>
          <w:szCs w:val="20"/>
          <w:lang w:val="es-ES_tradnl"/>
        </w:rPr>
        <w:t xml:space="preserve"> o “el señor Rosadio Villavicencio"</w:t>
      </w:r>
      <w:r w:rsidR="00475CAF">
        <w:rPr>
          <w:rFonts w:ascii="Verdana" w:eastAsia="Batang" w:hAnsi="Verdana" w:cs="Verdana"/>
          <w:spacing w:val="-2"/>
          <w:sz w:val="20"/>
          <w:szCs w:val="20"/>
          <w:lang w:val="es-ES_tradnl"/>
        </w:rPr>
        <w:t>)</w:t>
      </w:r>
      <w:r w:rsidR="002C3D73">
        <w:rPr>
          <w:rStyle w:val="Refdenotaalpie"/>
          <w:rFonts w:ascii="Verdana" w:eastAsia="Batang" w:hAnsi="Verdana" w:cs="Verdana"/>
          <w:spacing w:val="-2"/>
          <w:sz w:val="20"/>
          <w:szCs w:val="20"/>
          <w:lang w:val="es-ES_tradnl"/>
        </w:rPr>
        <w:footnoteReference w:id="2"/>
      </w:r>
      <w:r w:rsidR="000925CD">
        <w:rPr>
          <w:rFonts w:ascii="Verdana" w:eastAsia="Batang" w:hAnsi="Verdana" w:cs="Verdana"/>
          <w:spacing w:val="-2"/>
          <w:sz w:val="20"/>
          <w:szCs w:val="20"/>
          <w:lang w:val="es-ES_tradnl"/>
        </w:rPr>
        <w:t xml:space="preserve">. </w:t>
      </w:r>
    </w:p>
    <w:p w14:paraId="201CF1D3" w14:textId="58731B2F" w:rsidR="00475CAF" w:rsidRDefault="00475CAF" w:rsidP="00475CAF">
      <w:pPr>
        <w:spacing w:after="0" w:line="240" w:lineRule="auto"/>
        <w:ind w:right="-138"/>
        <w:jc w:val="both"/>
        <w:rPr>
          <w:rFonts w:ascii="Verdana" w:eastAsia="Batang" w:hAnsi="Verdana" w:cs="Times"/>
          <w:sz w:val="20"/>
          <w:lang w:val="es-ES_tradnl"/>
        </w:rPr>
      </w:pPr>
    </w:p>
    <w:p w14:paraId="52E6ADEB" w14:textId="6F23C7DB" w:rsidR="00896CBD" w:rsidRDefault="00896CBD" w:rsidP="00475CAF">
      <w:pPr>
        <w:spacing w:after="0" w:line="240" w:lineRule="auto"/>
        <w:ind w:right="-138"/>
        <w:jc w:val="both"/>
        <w:rPr>
          <w:rFonts w:ascii="Verdana" w:eastAsia="Batang" w:hAnsi="Verdana" w:cs="Times"/>
          <w:sz w:val="20"/>
          <w:lang w:val="es-ES_tradnl"/>
        </w:rPr>
      </w:pPr>
    </w:p>
    <w:p w14:paraId="4AB70263" w14:textId="77777777" w:rsidR="00A16E2D" w:rsidRDefault="00A16E2D" w:rsidP="00475CAF">
      <w:pPr>
        <w:spacing w:after="0" w:line="240" w:lineRule="auto"/>
        <w:ind w:right="-138"/>
        <w:jc w:val="both"/>
        <w:rPr>
          <w:rFonts w:ascii="Verdana" w:eastAsia="Batang" w:hAnsi="Verdana" w:cs="Times"/>
          <w:sz w:val="20"/>
          <w:lang w:val="es-ES_tradnl"/>
        </w:rPr>
      </w:pPr>
    </w:p>
    <w:p w14:paraId="3CC60575" w14:textId="77777777" w:rsidR="00660A12" w:rsidRDefault="00660A12" w:rsidP="008D05FD">
      <w:pPr>
        <w:spacing w:after="0" w:line="240" w:lineRule="auto"/>
        <w:ind w:right="-138"/>
        <w:jc w:val="both"/>
        <w:rPr>
          <w:rFonts w:ascii="Verdana" w:eastAsia="Batang" w:hAnsi="Verdana" w:cs="Times"/>
          <w:sz w:val="20"/>
          <w:lang w:val="es-ES_tradnl"/>
        </w:rPr>
      </w:pPr>
    </w:p>
    <w:p w14:paraId="13CC37D7" w14:textId="77777777" w:rsidR="00475CAF" w:rsidRPr="00475CAF" w:rsidRDefault="00475CAF" w:rsidP="008D05FD">
      <w:pPr>
        <w:spacing w:after="0" w:line="240" w:lineRule="auto"/>
        <w:ind w:right="-138"/>
        <w:jc w:val="both"/>
        <w:rPr>
          <w:rFonts w:ascii="Verdana" w:eastAsia="Batang" w:hAnsi="Verdana" w:cs="Times"/>
          <w:sz w:val="20"/>
          <w:lang w:val="es-ES_tradnl"/>
        </w:rPr>
      </w:pPr>
    </w:p>
    <w:p w14:paraId="1C8700E2" w14:textId="77777777" w:rsidR="00C72A1E" w:rsidRPr="005B560F" w:rsidRDefault="00C72A1E" w:rsidP="008D05FD">
      <w:pPr>
        <w:keepNext/>
        <w:tabs>
          <w:tab w:val="left" w:pos="567"/>
        </w:tabs>
        <w:spacing w:after="0" w:line="240" w:lineRule="auto"/>
        <w:jc w:val="center"/>
        <w:outlineLvl w:val="1"/>
        <w:rPr>
          <w:rFonts w:ascii="Verdana" w:hAnsi="Verdana" w:cs="Verdana"/>
          <w:b/>
          <w:bCs/>
          <w:iCs/>
          <w:caps/>
          <w:snapToGrid w:val="0"/>
          <w:spacing w:val="-2"/>
          <w:sz w:val="20"/>
          <w:szCs w:val="20"/>
          <w:lang w:val="es-ES_tradnl" w:eastAsia="es-ES"/>
        </w:rPr>
      </w:pPr>
      <w:r w:rsidRPr="005B560F">
        <w:rPr>
          <w:rFonts w:ascii="Verdana" w:hAnsi="Verdana" w:cs="Verdana"/>
          <w:b/>
          <w:bCs/>
          <w:iCs/>
          <w:caps/>
          <w:snapToGrid w:val="0"/>
          <w:spacing w:val="-2"/>
          <w:sz w:val="20"/>
          <w:szCs w:val="20"/>
          <w:lang w:val="es-ES_tradnl" w:eastAsia="es-ES"/>
        </w:rPr>
        <w:lastRenderedPageBreak/>
        <w:t>I</w:t>
      </w:r>
    </w:p>
    <w:p w14:paraId="0239A669" w14:textId="77777777" w:rsidR="00C72A1E" w:rsidRDefault="00475CAF" w:rsidP="008D05FD">
      <w:pPr>
        <w:keepNext/>
        <w:tabs>
          <w:tab w:val="left" w:pos="567"/>
        </w:tabs>
        <w:spacing w:after="0" w:line="240" w:lineRule="auto"/>
        <w:jc w:val="center"/>
        <w:outlineLvl w:val="1"/>
        <w:rPr>
          <w:rFonts w:ascii="Verdana" w:hAnsi="Verdana" w:cs="Verdana"/>
          <w:b/>
          <w:bCs/>
          <w:iCs/>
          <w:caps/>
          <w:snapToGrid w:val="0"/>
          <w:spacing w:val="-2"/>
          <w:sz w:val="20"/>
          <w:szCs w:val="20"/>
          <w:lang w:val="es-ES_tradnl" w:eastAsia="es-ES"/>
        </w:rPr>
      </w:pPr>
      <w:r>
        <w:rPr>
          <w:rFonts w:ascii="Verdana" w:hAnsi="Verdana" w:cs="Verdana"/>
          <w:b/>
          <w:bCs/>
          <w:iCs/>
          <w:caps/>
          <w:snapToGrid w:val="0"/>
          <w:spacing w:val="-2"/>
          <w:sz w:val="20"/>
          <w:szCs w:val="20"/>
          <w:lang w:val="es-ES_tradnl" w:eastAsia="es-ES"/>
        </w:rPr>
        <w:t xml:space="preserve">SOLICITUD DE INTERPRETACIÓN </w:t>
      </w:r>
      <w:r w:rsidR="00C72A1E" w:rsidRPr="005B560F">
        <w:rPr>
          <w:rFonts w:ascii="Verdana" w:hAnsi="Verdana" w:cs="Verdana"/>
          <w:b/>
          <w:bCs/>
          <w:iCs/>
          <w:caps/>
          <w:snapToGrid w:val="0"/>
          <w:spacing w:val="-2"/>
          <w:sz w:val="20"/>
          <w:szCs w:val="20"/>
          <w:lang w:val="es-ES_tradnl" w:eastAsia="es-ES"/>
        </w:rPr>
        <w:t>Y PROCEDIMIENTO ANTE LA cORTE</w:t>
      </w:r>
    </w:p>
    <w:p w14:paraId="78B1C87B" w14:textId="77777777" w:rsidR="00045855" w:rsidRPr="005B560F" w:rsidRDefault="00045855" w:rsidP="008D05FD">
      <w:pPr>
        <w:keepNext/>
        <w:tabs>
          <w:tab w:val="left" w:pos="567"/>
        </w:tabs>
        <w:spacing w:after="0" w:line="240" w:lineRule="auto"/>
        <w:jc w:val="center"/>
        <w:outlineLvl w:val="1"/>
        <w:rPr>
          <w:rFonts w:ascii="Verdana" w:hAnsi="Verdana" w:cs="Verdana"/>
          <w:b/>
          <w:bCs/>
          <w:iCs/>
          <w:caps/>
          <w:snapToGrid w:val="0"/>
          <w:spacing w:val="-2"/>
          <w:sz w:val="20"/>
          <w:szCs w:val="20"/>
          <w:lang w:val="es-ES_tradnl" w:eastAsia="es-ES"/>
        </w:rPr>
      </w:pPr>
    </w:p>
    <w:p w14:paraId="57651BAF" w14:textId="77777777" w:rsidR="00C72A1E" w:rsidRDefault="00C72A1E"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E65474">
        <w:rPr>
          <w:rFonts w:ascii="Verdana" w:eastAsia="Verdana" w:hAnsi="Verdana" w:cs="Verdana"/>
          <w:sz w:val="20"/>
          <w:szCs w:val="20"/>
          <w:lang w:val="es-ES" w:eastAsia="es-CR"/>
        </w:rPr>
        <w:t xml:space="preserve">El </w:t>
      </w:r>
      <w:r w:rsidR="00045855">
        <w:rPr>
          <w:rFonts w:ascii="Verdana" w:eastAsia="Verdana" w:hAnsi="Verdana" w:cs="Verdana"/>
          <w:sz w:val="20"/>
          <w:szCs w:val="20"/>
          <w:lang w:val="es-ES" w:eastAsia="es-CR"/>
        </w:rPr>
        <w:t>14</w:t>
      </w:r>
      <w:r w:rsidRPr="00E65474">
        <w:rPr>
          <w:rFonts w:ascii="Verdana" w:eastAsia="Verdana" w:hAnsi="Verdana" w:cs="Verdana"/>
          <w:sz w:val="20"/>
          <w:szCs w:val="20"/>
          <w:lang w:val="es-ES" w:eastAsia="es-CR"/>
        </w:rPr>
        <w:t xml:space="preserve"> de </w:t>
      </w:r>
      <w:r w:rsidR="00045855">
        <w:rPr>
          <w:rFonts w:ascii="Verdana" w:eastAsia="Verdana" w:hAnsi="Verdana" w:cs="Verdana"/>
          <w:sz w:val="20"/>
          <w:szCs w:val="20"/>
          <w:lang w:val="es-ES" w:eastAsia="es-CR"/>
        </w:rPr>
        <w:t>octubre</w:t>
      </w:r>
      <w:r w:rsidRPr="00E65474">
        <w:rPr>
          <w:rFonts w:ascii="Verdana" w:eastAsia="Verdana" w:hAnsi="Verdana" w:cs="Verdana"/>
          <w:sz w:val="20"/>
          <w:szCs w:val="20"/>
          <w:lang w:val="es-ES" w:eastAsia="es-CR"/>
        </w:rPr>
        <w:t xml:space="preserve"> de 201</w:t>
      </w:r>
      <w:r w:rsidR="00045855">
        <w:rPr>
          <w:rFonts w:ascii="Verdana" w:eastAsia="Verdana" w:hAnsi="Verdana" w:cs="Verdana"/>
          <w:sz w:val="20"/>
          <w:szCs w:val="20"/>
          <w:lang w:val="es-ES" w:eastAsia="es-CR"/>
        </w:rPr>
        <w:t>9</w:t>
      </w:r>
      <w:r w:rsidRPr="00E65474">
        <w:rPr>
          <w:rFonts w:ascii="Verdana" w:eastAsia="Verdana" w:hAnsi="Verdana" w:cs="Verdana"/>
          <w:sz w:val="20"/>
          <w:szCs w:val="20"/>
          <w:lang w:val="es-ES" w:eastAsia="es-CR"/>
        </w:rPr>
        <w:t xml:space="preserve"> la Corte emitió la Sentencia </w:t>
      </w:r>
      <w:r w:rsidR="00475CAF">
        <w:rPr>
          <w:rFonts w:ascii="Verdana" w:eastAsia="Verdana" w:hAnsi="Verdana" w:cs="Verdana"/>
          <w:sz w:val="20"/>
          <w:szCs w:val="20"/>
          <w:lang w:val="es-ES" w:eastAsia="es-CR"/>
        </w:rPr>
        <w:t>de</w:t>
      </w:r>
      <w:r w:rsidR="00045855">
        <w:rPr>
          <w:rFonts w:ascii="Verdana" w:eastAsia="Verdana" w:hAnsi="Verdana" w:cs="Verdana"/>
          <w:sz w:val="20"/>
          <w:szCs w:val="20"/>
          <w:lang w:val="es-ES" w:eastAsia="es-CR"/>
        </w:rPr>
        <w:t xml:space="preserve"> Excepciones Preliminares,</w:t>
      </w:r>
      <w:r w:rsidR="00475CAF">
        <w:rPr>
          <w:rFonts w:ascii="Verdana" w:eastAsia="Verdana" w:hAnsi="Verdana" w:cs="Verdana"/>
          <w:sz w:val="20"/>
          <w:szCs w:val="20"/>
          <w:lang w:val="es-ES" w:eastAsia="es-CR"/>
        </w:rPr>
        <w:t xml:space="preserve"> Fondo, Reparaciones y Costas </w:t>
      </w:r>
      <w:r w:rsidRPr="00E65474">
        <w:rPr>
          <w:rFonts w:ascii="Verdana" w:eastAsia="Verdana" w:hAnsi="Verdana" w:cs="Verdana"/>
          <w:sz w:val="20"/>
          <w:szCs w:val="20"/>
          <w:lang w:val="es-ES" w:eastAsia="es-CR"/>
        </w:rPr>
        <w:t>en el presente caso, la cual fue notificada a las partes y a la Comisión Interamericana de Derechos Humanos (en adelante “la Comisión Interamericana” o “la Comisión”) el 2</w:t>
      </w:r>
      <w:r w:rsidR="00045855">
        <w:rPr>
          <w:rFonts w:ascii="Verdana" w:eastAsia="Verdana" w:hAnsi="Verdana" w:cs="Verdana"/>
          <w:sz w:val="20"/>
          <w:szCs w:val="20"/>
          <w:lang w:val="es-ES" w:eastAsia="es-CR"/>
        </w:rPr>
        <w:t>3</w:t>
      </w:r>
      <w:r w:rsidRPr="00E65474">
        <w:rPr>
          <w:rFonts w:ascii="Verdana" w:eastAsia="Verdana" w:hAnsi="Verdana" w:cs="Verdana"/>
          <w:sz w:val="20"/>
          <w:szCs w:val="20"/>
          <w:lang w:val="es-ES" w:eastAsia="es-CR"/>
        </w:rPr>
        <w:t xml:space="preserve"> de diciembre del mismo año.</w:t>
      </w:r>
    </w:p>
    <w:p w14:paraId="5CE3E2DD" w14:textId="29273D79" w:rsidR="000925CD" w:rsidRPr="000925CD" w:rsidRDefault="000925CD"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El 25 de mayo de 2020 el Estado sometió una solicitud de interpretación respecto a la medida de restitución relacionada con la eliminación de la condición de sanción disciplinaria y de los antecedentes penales de la víctima. </w:t>
      </w:r>
    </w:p>
    <w:p w14:paraId="2D830D68" w14:textId="616E191B" w:rsidR="00C72A1E" w:rsidRPr="00E65474" w:rsidRDefault="00C42986"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bookmarkStart w:id="0" w:name="_Ref363085373"/>
      <w:bookmarkStart w:id="1" w:name="_Ref403060836"/>
      <w:bookmarkStart w:id="2" w:name="_Ref395083029"/>
      <w:r>
        <w:rPr>
          <w:rFonts w:ascii="Verdana" w:eastAsia="Verdana" w:hAnsi="Verdana" w:cs="Verdana"/>
          <w:sz w:val="20"/>
          <w:szCs w:val="20"/>
          <w:lang w:val="es-ES" w:eastAsia="es-CR"/>
        </w:rPr>
        <w:t xml:space="preserve">Asimismo, el </w:t>
      </w:r>
      <w:r w:rsidR="000925CD">
        <w:rPr>
          <w:rFonts w:ascii="Verdana" w:eastAsia="Verdana" w:hAnsi="Verdana" w:cs="Verdana"/>
          <w:sz w:val="20"/>
          <w:szCs w:val="20"/>
          <w:lang w:val="es-ES" w:eastAsia="es-CR"/>
        </w:rPr>
        <w:t>25</w:t>
      </w:r>
      <w:r w:rsidR="00C72A1E" w:rsidRPr="00E65474">
        <w:rPr>
          <w:rFonts w:ascii="Verdana" w:eastAsia="Verdana" w:hAnsi="Verdana" w:cs="Verdana"/>
          <w:sz w:val="20"/>
          <w:szCs w:val="20"/>
          <w:lang w:val="es-ES" w:eastAsia="es-CR"/>
        </w:rPr>
        <w:t xml:space="preserve"> de ma</w:t>
      </w:r>
      <w:r w:rsidR="000925CD">
        <w:rPr>
          <w:rFonts w:ascii="Verdana" w:eastAsia="Verdana" w:hAnsi="Verdana" w:cs="Verdana"/>
          <w:sz w:val="20"/>
          <w:szCs w:val="20"/>
          <w:lang w:val="es-ES" w:eastAsia="es-CR"/>
        </w:rPr>
        <w:t>y</w:t>
      </w:r>
      <w:r w:rsidR="00C72A1E" w:rsidRPr="00E65474">
        <w:rPr>
          <w:rFonts w:ascii="Verdana" w:eastAsia="Verdana" w:hAnsi="Verdana" w:cs="Verdana"/>
          <w:sz w:val="20"/>
          <w:szCs w:val="20"/>
          <w:lang w:val="es-ES" w:eastAsia="es-CR"/>
        </w:rPr>
        <w:t>o de 20</w:t>
      </w:r>
      <w:r w:rsidR="000925CD">
        <w:rPr>
          <w:rFonts w:ascii="Verdana" w:eastAsia="Verdana" w:hAnsi="Verdana" w:cs="Verdana"/>
          <w:sz w:val="20"/>
          <w:szCs w:val="20"/>
          <w:lang w:val="es-ES" w:eastAsia="es-CR"/>
        </w:rPr>
        <w:t>20</w:t>
      </w:r>
      <w:bookmarkStart w:id="3" w:name="_Ref403060837"/>
      <w:bookmarkEnd w:id="0"/>
      <w:bookmarkEnd w:id="1"/>
      <w:bookmarkEnd w:id="2"/>
      <w:r w:rsidR="00C72A1E" w:rsidRPr="00E65474">
        <w:rPr>
          <w:rFonts w:ascii="Verdana" w:eastAsia="Verdana" w:hAnsi="Verdana" w:cs="Verdana"/>
          <w:sz w:val="20"/>
          <w:szCs w:val="20"/>
          <w:lang w:val="es-ES" w:eastAsia="es-CR"/>
        </w:rPr>
        <w:t xml:space="preserve"> </w:t>
      </w:r>
      <w:bookmarkEnd w:id="3"/>
      <w:r w:rsidR="000925CD">
        <w:rPr>
          <w:rFonts w:ascii="Verdana" w:eastAsia="Verdana" w:hAnsi="Verdana" w:cs="Verdana"/>
          <w:sz w:val="20"/>
          <w:szCs w:val="20"/>
          <w:lang w:val="es-ES" w:eastAsia="es-CR"/>
        </w:rPr>
        <w:t xml:space="preserve">la víctima </w:t>
      </w:r>
      <w:r w:rsidR="00475CAF">
        <w:rPr>
          <w:rFonts w:ascii="Verdana" w:eastAsia="Verdana" w:hAnsi="Verdana" w:cs="Verdana"/>
          <w:sz w:val="20"/>
          <w:szCs w:val="20"/>
          <w:lang w:val="es-ES" w:eastAsia="es-CR"/>
        </w:rPr>
        <w:t>someti</w:t>
      </w:r>
      <w:r>
        <w:rPr>
          <w:rFonts w:ascii="Verdana" w:eastAsia="Verdana" w:hAnsi="Verdana" w:cs="Verdana"/>
          <w:sz w:val="20"/>
          <w:szCs w:val="20"/>
          <w:lang w:val="es-ES" w:eastAsia="es-CR"/>
        </w:rPr>
        <w:t>ó</w:t>
      </w:r>
      <w:r w:rsidR="00475CAF">
        <w:rPr>
          <w:rFonts w:ascii="Verdana" w:eastAsia="Verdana" w:hAnsi="Verdana" w:cs="Verdana"/>
          <w:sz w:val="20"/>
          <w:szCs w:val="20"/>
          <w:lang w:val="es-ES" w:eastAsia="es-CR"/>
        </w:rPr>
        <w:t xml:space="preserve"> </w:t>
      </w:r>
      <w:r w:rsidR="00C72A1E" w:rsidRPr="00E65474">
        <w:rPr>
          <w:rFonts w:ascii="Verdana" w:eastAsia="Verdana" w:hAnsi="Verdana" w:cs="Verdana"/>
          <w:sz w:val="20"/>
          <w:szCs w:val="20"/>
          <w:lang w:val="es-ES" w:eastAsia="es-CR"/>
        </w:rPr>
        <w:t xml:space="preserve">una solicitud de interpretación </w:t>
      </w:r>
      <w:r>
        <w:rPr>
          <w:rFonts w:ascii="Verdana" w:eastAsia="Verdana" w:hAnsi="Verdana" w:cs="Verdana"/>
          <w:sz w:val="20"/>
          <w:szCs w:val="20"/>
          <w:lang w:val="es-ES" w:eastAsia="es-CR"/>
        </w:rPr>
        <w:t>relacionada con</w:t>
      </w:r>
      <w:r w:rsidR="005C3FD5">
        <w:rPr>
          <w:rFonts w:ascii="Verdana" w:eastAsia="Verdana" w:hAnsi="Verdana" w:cs="Verdana"/>
          <w:sz w:val="20"/>
          <w:szCs w:val="20"/>
          <w:lang w:val="es-ES" w:eastAsia="es-CR"/>
        </w:rPr>
        <w:t xml:space="preserve"> una nueva argumentación basada en hechos y pruebas supervinientes</w:t>
      </w:r>
      <w:r w:rsidR="00C72A1E" w:rsidRPr="00E65474">
        <w:rPr>
          <w:rFonts w:ascii="Verdana" w:eastAsia="Verdana" w:hAnsi="Verdana" w:cs="Verdana"/>
          <w:sz w:val="20"/>
          <w:szCs w:val="20"/>
          <w:lang w:val="es-ES" w:eastAsia="es-CR"/>
        </w:rPr>
        <w:t>.</w:t>
      </w:r>
      <w:r w:rsidR="005C3FD5">
        <w:rPr>
          <w:rFonts w:ascii="Verdana" w:eastAsia="Verdana" w:hAnsi="Verdana" w:cs="Verdana"/>
          <w:sz w:val="20"/>
          <w:szCs w:val="20"/>
          <w:lang w:val="es-ES" w:eastAsia="es-CR"/>
        </w:rPr>
        <w:t xml:space="preserve"> </w:t>
      </w:r>
    </w:p>
    <w:p w14:paraId="17A60F72" w14:textId="77777777" w:rsidR="00432DC9" w:rsidRDefault="00C72A1E"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bookmarkStart w:id="4" w:name="_Ref403065790"/>
      <w:r w:rsidRPr="00E65474">
        <w:rPr>
          <w:rFonts w:ascii="Verdana" w:eastAsia="Verdana" w:hAnsi="Verdana" w:cs="Verdana"/>
          <w:sz w:val="20"/>
          <w:szCs w:val="20"/>
          <w:lang w:val="es-ES" w:eastAsia="es-CR"/>
        </w:rPr>
        <w:t xml:space="preserve">El </w:t>
      </w:r>
      <w:r w:rsidR="005C3FD5">
        <w:rPr>
          <w:rFonts w:ascii="Verdana" w:eastAsia="Verdana" w:hAnsi="Verdana" w:cs="Verdana"/>
          <w:sz w:val="20"/>
          <w:szCs w:val="20"/>
          <w:lang w:val="es-ES" w:eastAsia="es-CR"/>
        </w:rPr>
        <w:t>29</w:t>
      </w:r>
      <w:r w:rsidRPr="00E65474">
        <w:rPr>
          <w:rFonts w:ascii="Verdana" w:eastAsia="Verdana" w:hAnsi="Verdana" w:cs="Verdana"/>
          <w:sz w:val="20"/>
          <w:szCs w:val="20"/>
          <w:lang w:val="es-ES" w:eastAsia="es-CR"/>
        </w:rPr>
        <w:t xml:space="preserve"> de </w:t>
      </w:r>
      <w:r w:rsidR="005C3FD5">
        <w:rPr>
          <w:rFonts w:ascii="Verdana" w:eastAsia="Verdana" w:hAnsi="Verdana" w:cs="Verdana"/>
          <w:sz w:val="20"/>
          <w:szCs w:val="20"/>
          <w:lang w:val="es-ES" w:eastAsia="es-CR"/>
        </w:rPr>
        <w:t>mayo</w:t>
      </w:r>
      <w:r w:rsidRPr="00E65474">
        <w:rPr>
          <w:rFonts w:ascii="Verdana" w:eastAsia="Verdana" w:hAnsi="Verdana" w:cs="Verdana"/>
          <w:sz w:val="20"/>
          <w:szCs w:val="20"/>
          <w:lang w:val="es-ES" w:eastAsia="es-CR"/>
        </w:rPr>
        <w:t xml:space="preserve"> de 20</w:t>
      </w:r>
      <w:r w:rsidR="005C3FD5">
        <w:rPr>
          <w:rFonts w:ascii="Verdana" w:eastAsia="Verdana" w:hAnsi="Verdana" w:cs="Verdana"/>
          <w:sz w:val="20"/>
          <w:szCs w:val="20"/>
          <w:lang w:val="es-ES" w:eastAsia="es-CR"/>
        </w:rPr>
        <w:t>20</w:t>
      </w:r>
      <w:r w:rsidRPr="00E65474">
        <w:rPr>
          <w:rFonts w:ascii="Verdana" w:eastAsia="Verdana" w:hAnsi="Verdana" w:cs="Verdana"/>
          <w:sz w:val="20"/>
          <w:szCs w:val="20"/>
          <w:lang w:val="es-ES" w:eastAsia="es-CR"/>
        </w:rPr>
        <w:t>, de conformidad con el artículo 68.2 del Reglamento y siguiendo instrucciones de</w:t>
      </w:r>
      <w:r w:rsidR="005C3FD5">
        <w:rPr>
          <w:rFonts w:ascii="Verdana" w:eastAsia="Verdana" w:hAnsi="Verdana" w:cs="Verdana"/>
          <w:sz w:val="20"/>
          <w:szCs w:val="20"/>
          <w:lang w:val="es-ES" w:eastAsia="es-CR"/>
        </w:rPr>
        <w:t xml:space="preserve"> </w:t>
      </w:r>
      <w:r w:rsidRPr="00E65474">
        <w:rPr>
          <w:rFonts w:ascii="Verdana" w:eastAsia="Verdana" w:hAnsi="Verdana" w:cs="Verdana"/>
          <w:sz w:val="20"/>
          <w:szCs w:val="20"/>
          <w:lang w:val="es-ES" w:eastAsia="es-CR"/>
        </w:rPr>
        <w:t>l</w:t>
      </w:r>
      <w:r w:rsidR="005C3FD5">
        <w:rPr>
          <w:rFonts w:ascii="Verdana" w:eastAsia="Verdana" w:hAnsi="Verdana" w:cs="Verdana"/>
          <w:sz w:val="20"/>
          <w:szCs w:val="20"/>
          <w:lang w:val="es-ES" w:eastAsia="es-CR"/>
        </w:rPr>
        <w:t>a</w:t>
      </w:r>
      <w:r w:rsidRPr="00E65474">
        <w:rPr>
          <w:rFonts w:ascii="Verdana" w:eastAsia="Verdana" w:hAnsi="Verdana" w:cs="Verdana"/>
          <w:sz w:val="20"/>
          <w:szCs w:val="20"/>
          <w:lang w:val="es-ES" w:eastAsia="es-CR"/>
        </w:rPr>
        <w:t xml:space="preserve"> President</w:t>
      </w:r>
      <w:r w:rsidR="005C3FD5">
        <w:rPr>
          <w:rFonts w:ascii="Verdana" w:eastAsia="Verdana" w:hAnsi="Verdana" w:cs="Verdana"/>
          <w:sz w:val="20"/>
          <w:szCs w:val="20"/>
          <w:lang w:val="es-ES" w:eastAsia="es-CR"/>
        </w:rPr>
        <w:t>a</w:t>
      </w:r>
      <w:r w:rsidRPr="00E65474">
        <w:rPr>
          <w:rFonts w:ascii="Verdana" w:eastAsia="Verdana" w:hAnsi="Verdana" w:cs="Verdana"/>
          <w:sz w:val="20"/>
          <w:szCs w:val="20"/>
          <w:lang w:val="es-ES" w:eastAsia="es-CR"/>
        </w:rPr>
        <w:t xml:space="preserve"> de la Cor</w:t>
      </w:r>
      <w:r w:rsidR="00475CAF">
        <w:rPr>
          <w:rFonts w:ascii="Verdana" w:eastAsia="Verdana" w:hAnsi="Verdana" w:cs="Verdana"/>
          <w:sz w:val="20"/>
          <w:szCs w:val="20"/>
          <w:lang w:val="es-ES" w:eastAsia="es-CR"/>
        </w:rPr>
        <w:t>te, la Secretaría transmitió la</w:t>
      </w:r>
      <w:r w:rsidR="005C3FD5">
        <w:rPr>
          <w:rFonts w:ascii="Verdana" w:eastAsia="Verdana" w:hAnsi="Verdana" w:cs="Verdana"/>
          <w:sz w:val="20"/>
          <w:szCs w:val="20"/>
          <w:lang w:val="es-ES" w:eastAsia="es-CR"/>
        </w:rPr>
        <w:t>s</w:t>
      </w:r>
      <w:r w:rsidR="00475CAF">
        <w:rPr>
          <w:rFonts w:ascii="Verdana" w:eastAsia="Verdana" w:hAnsi="Verdana" w:cs="Verdana"/>
          <w:sz w:val="20"/>
          <w:szCs w:val="20"/>
          <w:lang w:val="es-ES" w:eastAsia="es-CR"/>
        </w:rPr>
        <w:t xml:space="preserve"> referida</w:t>
      </w:r>
      <w:r w:rsidR="005C3FD5">
        <w:rPr>
          <w:rFonts w:ascii="Verdana" w:eastAsia="Verdana" w:hAnsi="Verdana" w:cs="Verdana"/>
          <w:sz w:val="20"/>
          <w:szCs w:val="20"/>
          <w:lang w:val="es-ES" w:eastAsia="es-CR"/>
        </w:rPr>
        <w:t>s</w:t>
      </w:r>
      <w:r w:rsidR="00475CAF">
        <w:rPr>
          <w:rFonts w:ascii="Verdana" w:eastAsia="Verdana" w:hAnsi="Verdana" w:cs="Verdana"/>
          <w:sz w:val="20"/>
          <w:szCs w:val="20"/>
          <w:lang w:val="es-ES" w:eastAsia="es-CR"/>
        </w:rPr>
        <w:t xml:space="preserve"> solicitud</w:t>
      </w:r>
      <w:r w:rsidR="00432DC9">
        <w:rPr>
          <w:rFonts w:ascii="Verdana" w:eastAsia="Verdana" w:hAnsi="Verdana" w:cs="Verdana"/>
          <w:sz w:val="20"/>
          <w:szCs w:val="20"/>
          <w:lang w:val="es-ES" w:eastAsia="es-CR"/>
        </w:rPr>
        <w:t>es</w:t>
      </w:r>
      <w:r w:rsidRPr="00E65474">
        <w:rPr>
          <w:rFonts w:ascii="Verdana" w:eastAsia="Verdana" w:hAnsi="Verdana" w:cs="Verdana"/>
          <w:sz w:val="20"/>
          <w:szCs w:val="20"/>
          <w:lang w:val="es-ES" w:eastAsia="es-CR"/>
        </w:rPr>
        <w:t xml:space="preserve"> de interpretación a las partes y a la Comisión</w:t>
      </w:r>
      <w:r w:rsidR="00475CAF">
        <w:rPr>
          <w:rFonts w:ascii="Verdana" w:eastAsia="Verdana" w:hAnsi="Verdana" w:cs="Verdana"/>
          <w:sz w:val="20"/>
          <w:szCs w:val="20"/>
          <w:lang w:val="es-ES" w:eastAsia="es-CR"/>
        </w:rPr>
        <w:t>,</w:t>
      </w:r>
      <w:r w:rsidRPr="00E65474">
        <w:rPr>
          <w:rFonts w:ascii="Verdana" w:eastAsia="Verdana" w:hAnsi="Verdana" w:cs="Verdana"/>
          <w:sz w:val="20"/>
          <w:szCs w:val="20"/>
          <w:lang w:val="es-ES" w:eastAsia="es-CR"/>
        </w:rPr>
        <w:t xml:space="preserve"> y les otorgó plazo hasta el </w:t>
      </w:r>
      <w:r w:rsidR="005C3FD5">
        <w:rPr>
          <w:rFonts w:ascii="Verdana" w:eastAsia="Verdana" w:hAnsi="Verdana" w:cs="Verdana"/>
          <w:sz w:val="20"/>
          <w:szCs w:val="20"/>
          <w:lang w:val="es-ES" w:eastAsia="es-CR"/>
        </w:rPr>
        <w:t>1</w:t>
      </w:r>
      <w:r w:rsidRPr="00E65474">
        <w:rPr>
          <w:rFonts w:ascii="Verdana" w:eastAsia="Verdana" w:hAnsi="Verdana" w:cs="Verdana"/>
          <w:sz w:val="20"/>
          <w:szCs w:val="20"/>
          <w:lang w:val="es-ES" w:eastAsia="es-CR"/>
        </w:rPr>
        <w:t xml:space="preserve"> de</w:t>
      </w:r>
      <w:r w:rsidR="005C3FD5">
        <w:rPr>
          <w:rFonts w:ascii="Verdana" w:eastAsia="Verdana" w:hAnsi="Verdana" w:cs="Verdana"/>
          <w:sz w:val="20"/>
          <w:szCs w:val="20"/>
          <w:lang w:val="es-ES" w:eastAsia="es-CR"/>
        </w:rPr>
        <w:t xml:space="preserve"> julio </w:t>
      </w:r>
      <w:r w:rsidRPr="00E65474">
        <w:rPr>
          <w:rFonts w:ascii="Verdana" w:eastAsia="Verdana" w:hAnsi="Verdana" w:cs="Verdana"/>
          <w:sz w:val="20"/>
          <w:szCs w:val="20"/>
          <w:lang w:val="es-ES" w:eastAsia="es-CR"/>
        </w:rPr>
        <w:t>para qu</w:t>
      </w:r>
      <w:r w:rsidR="00432DC9">
        <w:rPr>
          <w:rFonts w:ascii="Verdana" w:eastAsia="Verdana" w:hAnsi="Verdana" w:cs="Verdana"/>
          <w:sz w:val="20"/>
          <w:szCs w:val="20"/>
          <w:lang w:val="es-ES" w:eastAsia="es-CR"/>
        </w:rPr>
        <w:t xml:space="preserve">e presentaran las alegaciones </w:t>
      </w:r>
      <w:r w:rsidRPr="00E65474">
        <w:rPr>
          <w:rFonts w:ascii="Verdana" w:eastAsia="Verdana" w:hAnsi="Verdana" w:cs="Verdana"/>
          <w:sz w:val="20"/>
          <w:szCs w:val="20"/>
          <w:lang w:val="es-ES" w:eastAsia="es-CR"/>
        </w:rPr>
        <w:t>escritas que estimaran pertinentes</w:t>
      </w:r>
      <w:bookmarkEnd w:id="4"/>
      <w:r w:rsidRPr="00E65474">
        <w:rPr>
          <w:rFonts w:ascii="Verdana" w:eastAsia="Verdana" w:hAnsi="Verdana" w:cs="Verdana"/>
          <w:sz w:val="20"/>
          <w:szCs w:val="20"/>
          <w:lang w:val="es-ES" w:eastAsia="es-CR"/>
        </w:rPr>
        <w:t>.</w:t>
      </w:r>
      <w:r w:rsidR="005C3FD5">
        <w:rPr>
          <w:rFonts w:ascii="Verdana" w:eastAsia="Verdana" w:hAnsi="Verdana" w:cs="Verdana"/>
          <w:sz w:val="20"/>
          <w:szCs w:val="20"/>
          <w:lang w:val="es-ES" w:eastAsia="es-CR"/>
        </w:rPr>
        <w:t xml:space="preserve"> </w:t>
      </w:r>
    </w:p>
    <w:p w14:paraId="58AB58E3" w14:textId="71361062" w:rsidR="005C3FD5" w:rsidRDefault="00C72A1E"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5C3FD5">
        <w:rPr>
          <w:rFonts w:ascii="Verdana" w:eastAsia="Verdana" w:hAnsi="Verdana" w:cs="Verdana"/>
          <w:sz w:val="20"/>
          <w:szCs w:val="20"/>
          <w:lang w:val="es-ES" w:eastAsia="es-CR"/>
        </w:rPr>
        <w:t xml:space="preserve">El </w:t>
      </w:r>
      <w:r w:rsidR="005C3FD5" w:rsidRPr="005C3FD5">
        <w:rPr>
          <w:rFonts w:ascii="Verdana" w:eastAsia="Verdana" w:hAnsi="Verdana" w:cs="Verdana"/>
          <w:sz w:val="20"/>
          <w:szCs w:val="20"/>
          <w:lang w:val="es-ES" w:eastAsia="es-CR"/>
        </w:rPr>
        <w:t>1 de julio</w:t>
      </w:r>
      <w:r w:rsidRPr="005C3FD5">
        <w:rPr>
          <w:rFonts w:ascii="Verdana" w:eastAsia="Verdana" w:hAnsi="Verdana" w:cs="Verdana"/>
          <w:sz w:val="20"/>
          <w:szCs w:val="20"/>
          <w:lang w:val="es-ES" w:eastAsia="es-CR"/>
        </w:rPr>
        <w:t xml:space="preserve"> de 20</w:t>
      </w:r>
      <w:r w:rsidR="005C3FD5" w:rsidRPr="005C3FD5">
        <w:rPr>
          <w:rFonts w:ascii="Verdana" w:eastAsia="Verdana" w:hAnsi="Verdana" w:cs="Verdana"/>
          <w:sz w:val="20"/>
          <w:szCs w:val="20"/>
          <w:lang w:val="es-ES" w:eastAsia="es-CR"/>
        </w:rPr>
        <w:t>20</w:t>
      </w:r>
      <w:r w:rsidRPr="005C3FD5">
        <w:rPr>
          <w:rFonts w:ascii="Verdana" w:eastAsia="Verdana" w:hAnsi="Verdana" w:cs="Verdana"/>
          <w:sz w:val="20"/>
          <w:szCs w:val="20"/>
          <w:lang w:val="es-ES" w:eastAsia="es-CR"/>
        </w:rPr>
        <w:t xml:space="preserve"> </w:t>
      </w:r>
      <w:r w:rsidR="005C3FD5" w:rsidRPr="005C3FD5">
        <w:rPr>
          <w:rFonts w:ascii="Verdana" w:eastAsia="Verdana" w:hAnsi="Verdana" w:cs="Verdana"/>
          <w:sz w:val="20"/>
          <w:szCs w:val="20"/>
          <w:lang w:val="es-ES" w:eastAsia="es-CR"/>
        </w:rPr>
        <w:t xml:space="preserve">la víctima </w:t>
      </w:r>
      <w:r w:rsidRPr="005C3FD5">
        <w:rPr>
          <w:rFonts w:ascii="Verdana" w:eastAsia="Verdana" w:hAnsi="Verdana" w:cs="Verdana"/>
          <w:sz w:val="20"/>
          <w:szCs w:val="20"/>
          <w:lang w:val="es-ES" w:eastAsia="es-CR"/>
        </w:rPr>
        <w:t xml:space="preserve">y </w:t>
      </w:r>
      <w:r w:rsidR="005C3FD5" w:rsidRPr="005C3FD5">
        <w:rPr>
          <w:rFonts w:ascii="Verdana" w:eastAsia="Verdana" w:hAnsi="Verdana" w:cs="Verdana"/>
          <w:sz w:val="20"/>
          <w:szCs w:val="20"/>
          <w:lang w:val="es-ES" w:eastAsia="es-CR"/>
        </w:rPr>
        <w:t>el Estado</w:t>
      </w:r>
      <w:r w:rsidRPr="005C3FD5">
        <w:rPr>
          <w:rFonts w:ascii="Verdana" w:eastAsia="Verdana" w:hAnsi="Verdana" w:cs="Verdana"/>
          <w:sz w:val="20"/>
          <w:szCs w:val="20"/>
          <w:lang w:val="es-ES" w:eastAsia="es-CR"/>
        </w:rPr>
        <w:t xml:space="preserve"> remitieron a la Corte sus</w:t>
      </w:r>
      <w:r w:rsidR="00432DC9">
        <w:rPr>
          <w:rFonts w:ascii="Verdana" w:eastAsia="Verdana" w:hAnsi="Verdana" w:cs="Verdana"/>
          <w:sz w:val="20"/>
          <w:szCs w:val="20"/>
          <w:lang w:val="es-ES" w:eastAsia="es-CR"/>
        </w:rPr>
        <w:t xml:space="preserve"> alegatos</w:t>
      </w:r>
      <w:r w:rsidR="005C3FD5">
        <w:rPr>
          <w:rFonts w:ascii="Verdana" w:eastAsia="Verdana" w:hAnsi="Verdana" w:cs="Verdana"/>
          <w:sz w:val="20"/>
          <w:szCs w:val="20"/>
          <w:lang w:val="es-ES" w:eastAsia="es-CR"/>
        </w:rPr>
        <w:t xml:space="preserve">. La Comisión no presentó </w:t>
      </w:r>
      <w:r w:rsidR="00432DC9">
        <w:rPr>
          <w:rFonts w:ascii="Verdana" w:eastAsia="Verdana" w:hAnsi="Verdana" w:cs="Verdana"/>
          <w:sz w:val="20"/>
          <w:szCs w:val="20"/>
          <w:lang w:val="es-ES" w:eastAsia="es-CR"/>
        </w:rPr>
        <w:t xml:space="preserve">alegaciones </w:t>
      </w:r>
      <w:r w:rsidR="005C3FD5">
        <w:rPr>
          <w:rFonts w:ascii="Verdana" w:eastAsia="Verdana" w:hAnsi="Verdana" w:cs="Verdana"/>
          <w:sz w:val="20"/>
          <w:szCs w:val="20"/>
          <w:lang w:val="es-ES" w:eastAsia="es-CR"/>
        </w:rPr>
        <w:t xml:space="preserve">escritas a las solicitudes de interpretación.  </w:t>
      </w:r>
    </w:p>
    <w:p w14:paraId="407DD973" w14:textId="77777777" w:rsidR="005C3FD5" w:rsidRPr="005C3FD5" w:rsidRDefault="005C3FD5" w:rsidP="00A24D53">
      <w:pPr>
        <w:widowControl w:val="0"/>
        <w:tabs>
          <w:tab w:val="left" w:pos="567"/>
        </w:tabs>
        <w:adjustRightInd w:val="0"/>
        <w:spacing w:before="120" w:after="120" w:line="240" w:lineRule="auto"/>
        <w:jc w:val="both"/>
        <w:textAlignment w:val="baseline"/>
        <w:rPr>
          <w:rFonts w:ascii="Verdana" w:eastAsia="Verdana" w:hAnsi="Verdana" w:cs="Verdana"/>
          <w:sz w:val="20"/>
          <w:szCs w:val="20"/>
          <w:lang w:val="es-ES" w:eastAsia="es-CR"/>
        </w:rPr>
      </w:pPr>
    </w:p>
    <w:p w14:paraId="370BFA94" w14:textId="77777777" w:rsidR="00C72A1E" w:rsidRPr="005B560F" w:rsidRDefault="00C72A1E" w:rsidP="00A24D53">
      <w:pPr>
        <w:tabs>
          <w:tab w:val="left" w:pos="567"/>
        </w:tabs>
        <w:spacing w:before="120" w:after="120" w:line="240" w:lineRule="auto"/>
        <w:jc w:val="center"/>
        <w:rPr>
          <w:rFonts w:ascii="Verdana" w:eastAsia="Times" w:hAnsi="Verdana" w:cs="Times"/>
          <w:b/>
          <w:bCs/>
          <w:spacing w:val="-2"/>
          <w:sz w:val="20"/>
          <w:szCs w:val="20"/>
          <w:lang w:val="es-ES_tradnl"/>
        </w:rPr>
      </w:pPr>
      <w:r w:rsidRPr="005B560F">
        <w:rPr>
          <w:rFonts w:ascii="Verdana" w:eastAsia="Times" w:hAnsi="Verdana" w:cs="Times"/>
          <w:b/>
          <w:bCs/>
          <w:spacing w:val="-2"/>
          <w:sz w:val="20"/>
          <w:szCs w:val="20"/>
          <w:lang w:val="es-ES_tradnl"/>
        </w:rPr>
        <w:t>II</w:t>
      </w:r>
    </w:p>
    <w:p w14:paraId="6198C586" w14:textId="77777777" w:rsidR="00C72A1E" w:rsidRDefault="00C72A1E" w:rsidP="00A24D53">
      <w:pPr>
        <w:tabs>
          <w:tab w:val="left" w:pos="567"/>
        </w:tabs>
        <w:spacing w:before="120" w:after="120" w:line="240" w:lineRule="auto"/>
        <w:jc w:val="center"/>
        <w:rPr>
          <w:rFonts w:ascii="Verdana" w:eastAsia="Times" w:hAnsi="Verdana" w:cs="Times"/>
          <w:b/>
          <w:bCs/>
          <w:spacing w:val="-2"/>
          <w:sz w:val="20"/>
          <w:szCs w:val="20"/>
          <w:lang w:val="es-ES_tradnl"/>
        </w:rPr>
      </w:pPr>
      <w:r w:rsidRPr="005B560F">
        <w:rPr>
          <w:rFonts w:ascii="Verdana" w:eastAsia="Times" w:hAnsi="Verdana" w:cs="Times"/>
          <w:b/>
          <w:bCs/>
          <w:spacing w:val="-2"/>
          <w:sz w:val="20"/>
          <w:szCs w:val="20"/>
          <w:lang w:val="es-ES_tradnl"/>
        </w:rPr>
        <w:t>COMPETENCIA</w:t>
      </w:r>
    </w:p>
    <w:p w14:paraId="3CDE83A4" w14:textId="77777777" w:rsidR="005C3FD5" w:rsidRPr="005B560F" w:rsidRDefault="005C3FD5" w:rsidP="00A24D53">
      <w:pPr>
        <w:tabs>
          <w:tab w:val="left" w:pos="567"/>
        </w:tabs>
        <w:spacing w:before="120" w:after="120" w:line="240" w:lineRule="auto"/>
        <w:jc w:val="center"/>
        <w:rPr>
          <w:rFonts w:ascii="Verdana" w:eastAsia="Times" w:hAnsi="Verdana" w:cs="Times"/>
          <w:b/>
          <w:bCs/>
          <w:spacing w:val="-2"/>
          <w:sz w:val="20"/>
          <w:szCs w:val="20"/>
          <w:lang w:val="es-ES_tradnl"/>
        </w:rPr>
      </w:pPr>
    </w:p>
    <w:p w14:paraId="3F6CFBE0" w14:textId="77777777" w:rsidR="00432DC9" w:rsidRDefault="0063629C"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El artículo 67 de la Convención establece que:</w:t>
      </w:r>
      <w:r w:rsidR="005C3FD5">
        <w:rPr>
          <w:rFonts w:ascii="Verdana" w:hAnsi="Verdana"/>
          <w:sz w:val="20"/>
        </w:rPr>
        <w:t xml:space="preserve"> </w:t>
      </w:r>
    </w:p>
    <w:p w14:paraId="53079D49" w14:textId="77777777" w:rsidR="00432DC9" w:rsidRPr="00B67FD4" w:rsidRDefault="00432DC9" w:rsidP="00A24D53">
      <w:pPr>
        <w:spacing w:before="120" w:after="120" w:line="240" w:lineRule="auto"/>
        <w:ind w:left="567" w:right="639"/>
        <w:jc w:val="both"/>
        <w:rPr>
          <w:rFonts w:ascii="Verdana" w:hAnsi="Verdana"/>
          <w:sz w:val="18"/>
          <w:szCs w:val="16"/>
        </w:rPr>
      </w:pPr>
      <w:r w:rsidRPr="00B67FD4">
        <w:rPr>
          <w:rFonts w:ascii="Verdana" w:hAnsi="Verdana"/>
          <w:sz w:val="18"/>
          <w:szCs w:val="16"/>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6629DC59" w14:textId="4663AFC5" w:rsidR="0063629C" w:rsidRPr="005C3FD5" w:rsidRDefault="0063629C"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b/>
          <w:sz w:val="20"/>
        </w:rPr>
      </w:pPr>
      <w:r w:rsidRPr="00F67A27">
        <w:rPr>
          <w:rFonts w:ascii="Verdana" w:hAnsi="Verdana"/>
          <w:sz w:val="20"/>
        </w:rPr>
        <w:t>D</w:t>
      </w:r>
      <w:r w:rsidRPr="004625C4">
        <w:rPr>
          <w:rFonts w:ascii="Verdana" w:hAnsi="Verdana"/>
          <w:sz w:val="20"/>
        </w:rPr>
        <w:t>e conformidad con el artículo citado, la Corte es competente para interpretar sus fallos. Para realizar el examen de la solicitud de interpretación y resolver lo que</w:t>
      </w:r>
      <w:r w:rsidRPr="0031314E">
        <w:rPr>
          <w:rFonts w:ascii="Verdana" w:hAnsi="Verdana"/>
          <w:sz w:val="20"/>
        </w:rPr>
        <w:t xml:space="preserve"> corresponda, el Tribunal debe tener, si es posible, la misma composición que tenía al dictar la Sentencia respectiva, de acuerdo con </w:t>
      </w:r>
      <w:r>
        <w:rPr>
          <w:rFonts w:ascii="Verdana" w:hAnsi="Verdana"/>
          <w:sz w:val="20"/>
        </w:rPr>
        <w:t>el artículo 68.3 del Reglamento.</w:t>
      </w:r>
      <w:r w:rsidR="005C3FD5">
        <w:rPr>
          <w:rFonts w:ascii="Verdana" w:hAnsi="Verdana"/>
          <w:sz w:val="20"/>
        </w:rPr>
        <w:t xml:space="preserve"> En esta ocasión, la Corte está integrada por los mismos Jueces</w:t>
      </w:r>
      <w:r w:rsidR="004D5C1A">
        <w:rPr>
          <w:rFonts w:ascii="Verdana" w:hAnsi="Verdana"/>
          <w:sz w:val="20"/>
        </w:rPr>
        <w:t xml:space="preserve"> y Jueza</w:t>
      </w:r>
      <w:r w:rsidR="005C3FD5">
        <w:rPr>
          <w:rFonts w:ascii="Verdana" w:hAnsi="Verdana"/>
          <w:sz w:val="20"/>
        </w:rPr>
        <w:t xml:space="preserve"> que dictaron la Sentencia cuya interpretación ha sido solicitada.</w:t>
      </w:r>
    </w:p>
    <w:p w14:paraId="6EF73292" w14:textId="77777777" w:rsidR="005C3FD5" w:rsidRPr="00F67A27" w:rsidRDefault="005C3FD5" w:rsidP="00A24D53">
      <w:pPr>
        <w:widowControl w:val="0"/>
        <w:tabs>
          <w:tab w:val="left" w:pos="567"/>
        </w:tabs>
        <w:adjustRightInd w:val="0"/>
        <w:spacing w:before="120" w:after="120" w:line="240" w:lineRule="auto"/>
        <w:jc w:val="both"/>
        <w:textAlignment w:val="baseline"/>
        <w:rPr>
          <w:rFonts w:ascii="Verdana" w:hAnsi="Verdana"/>
          <w:b/>
          <w:sz w:val="20"/>
        </w:rPr>
      </w:pPr>
    </w:p>
    <w:p w14:paraId="1C5C0EFE" w14:textId="77777777" w:rsidR="00C72A1E" w:rsidRPr="005B560F" w:rsidRDefault="00C72A1E" w:rsidP="00A24D53">
      <w:pPr>
        <w:spacing w:before="120" w:after="120" w:line="240" w:lineRule="auto"/>
        <w:jc w:val="center"/>
        <w:rPr>
          <w:rFonts w:ascii="Verdana" w:eastAsia="Calibri" w:hAnsi="Verdana" w:cs="Verdana"/>
          <w:b/>
          <w:spacing w:val="-2"/>
          <w:sz w:val="20"/>
          <w:szCs w:val="20"/>
          <w:lang w:val="es-ES_tradnl"/>
        </w:rPr>
      </w:pPr>
      <w:r w:rsidRPr="005B560F">
        <w:rPr>
          <w:rFonts w:ascii="Verdana" w:eastAsia="Calibri" w:hAnsi="Verdana" w:cs="Verdana"/>
          <w:b/>
          <w:spacing w:val="-2"/>
          <w:sz w:val="20"/>
          <w:szCs w:val="20"/>
          <w:lang w:val="es-ES_tradnl"/>
        </w:rPr>
        <w:t>III</w:t>
      </w:r>
    </w:p>
    <w:p w14:paraId="12B7D4CF" w14:textId="77777777" w:rsidR="0012717C" w:rsidRDefault="00C72A1E" w:rsidP="00A24D53">
      <w:pPr>
        <w:spacing w:before="120" w:after="120" w:line="240" w:lineRule="auto"/>
        <w:jc w:val="center"/>
        <w:rPr>
          <w:rFonts w:ascii="Verdana" w:eastAsia="Calibri" w:hAnsi="Verdana" w:cs="Verdana"/>
          <w:b/>
          <w:spacing w:val="-2"/>
          <w:sz w:val="20"/>
          <w:szCs w:val="20"/>
          <w:lang w:val="es-ES_tradnl"/>
        </w:rPr>
      </w:pPr>
      <w:r w:rsidRPr="005B560F">
        <w:rPr>
          <w:rFonts w:ascii="Verdana" w:eastAsia="Calibri" w:hAnsi="Verdana" w:cs="Verdana"/>
          <w:b/>
          <w:spacing w:val="-2"/>
          <w:sz w:val="20"/>
          <w:szCs w:val="20"/>
          <w:lang w:val="es-ES_tradnl"/>
        </w:rPr>
        <w:t>ADMISIBILIDAD</w:t>
      </w:r>
    </w:p>
    <w:p w14:paraId="316BB4F5" w14:textId="77777777" w:rsidR="005C3FD5" w:rsidRPr="001F3282" w:rsidRDefault="005C3FD5" w:rsidP="00A24D53">
      <w:pPr>
        <w:spacing w:before="120" w:after="120" w:line="240" w:lineRule="auto"/>
        <w:jc w:val="center"/>
        <w:rPr>
          <w:rFonts w:ascii="Verdana" w:eastAsia="Calibri" w:hAnsi="Verdana" w:cs="Verdana"/>
          <w:b/>
          <w:spacing w:val="-2"/>
          <w:sz w:val="20"/>
          <w:szCs w:val="20"/>
          <w:lang w:val="es-ES_tradnl"/>
        </w:rPr>
      </w:pPr>
    </w:p>
    <w:p w14:paraId="0922B01C" w14:textId="17545E38" w:rsidR="006805FE" w:rsidRPr="006805FE" w:rsidRDefault="006805FE" w:rsidP="00A24D53">
      <w:pPr>
        <w:widowControl w:val="0"/>
        <w:numPr>
          <w:ilvl w:val="0"/>
          <w:numId w:val="1"/>
        </w:numPr>
        <w:tabs>
          <w:tab w:val="left" w:pos="567"/>
          <w:tab w:val="num" w:pos="1569"/>
          <w:tab w:val="num" w:pos="12305"/>
        </w:tabs>
        <w:adjustRightInd w:val="0"/>
        <w:spacing w:before="120" w:after="120" w:line="240" w:lineRule="auto"/>
        <w:ind w:left="0" w:firstLine="0"/>
        <w:jc w:val="both"/>
        <w:textAlignment w:val="baseline"/>
        <w:rPr>
          <w:rFonts w:ascii="Verdana" w:hAnsi="Verdana"/>
          <w:sz w:val="20"/>
          <w:szCs w:val="20"/>
        </w:rPr>
      </w:pPr>
      <w:r w:rsidRPr="006805FE">
        <w:rPr>
          <w:rFonts w:ascii="Verdana" w:hAnsi="Verdana"/>
          <w:sz w:val="20"/>
          <w:szCs w:val="20"/>
        </w:rPr>
        <w:t xml:space="preserve">Corresponde a la Corte verificar si las solicitudes presentadas por </w:t>
      </w:r>
      <w:r w:rsidR="00DF6D46">
        <w:rPr>
          <w:rFonts w:ascii="Verdana" w:hAnsi="Verdana"/>
          <w:sz w:val="20"/>
          <w:szCs w:val="20"/>
        </w:rPr>
        <w:t>la víctima</w:t>
      </w:r>
      <w:r w:rsidRPr="006805FE">
        <w:rPr>
          <w:rFonts w:ascii="Verdana" w:hAnsi="Verdana"/>
          <w:sz w:val="20"/>
          <w:szCs w:val="20"/>
        </w:rPr>
        <w:t xml:space="preserve"> y por el Estado cumplen con los requisitos establecidos en las normas aplicables a una solicitud de interpretación de Sentencia, a saber, el artículo 67 de la Convención anteriormente citado, y el artículo 68 del Reglamento. Asimismo, el artículo 31.3 del Reglamento establece que “[c]</w:t>
      </w:r>
      <w:proofErr w:type="spellStart"/>
      <w:r w:rsidRPr="006805FE">
        <w:rPr>
          <w:rFonts w:ascii="Verdana" w:hAnsi="Verdana"/>
          <w:sz w:val="20"/>
          <w:szCs w:val="20"/>
        </w:rPr>
        <w:t>ontra</w:t>
      </w:r>
      <w:proofErr w:type="spellEnd"/>
      <w:r w:rsidRPr="006805FE">
        <w:rPr>
          <w:rFonts w:ascii="Verdana" w:hAnsi="Verdana"/>
          <w:sz w:val="20"/>
          <w:szCs w:val="20"/>
        </w:rPr>
        <w:t xml:space="preserve"> las sentencias y resoluciones de la Corte no procede ningún medio de impugnación”.</w:t>
      </w:r>
    </w:p>
    <w:p w14:paraId="027DC7B9" w14:textId="19AFD247" w:rsidR="00CA023A" w:rsidRPr="00432DC9" w:rsidRDefault="00596841" w:rsidP="00A24D53">
      <w:pPr>
        <w:widowControl w:val="0"/>
        <w:numPr>
          <w:ilvl w:val="0"/>
          <w:numId w:val="1"/>
        </w:numPr>
        <w:tabs>
          <w:tab w:val="left" w:pos="567"/>
          <w:tab w:val="num" w:pos="1569"/>
          <w:tab w:val="num" w:pos="12305"/>
        </w:tabs>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 xml:space="preserve">La Corte nota </w:t>
      </w:r>
      <w:r w:rsidRPr="00B64ADB">
        <w:rPr>
          <w:rFonts w:ascii="Verdana" w:hAnsi="Verdana"/>
          <w:sz w:val="20"/>
          <w:szCs w:val="20"/>
        </w:rPr>
        <w:t>que</w:t>
      </w:r>
      <w:r>
        <w:rPr>
          <w:rFonts w:ascii="Verdana" w:hAnsi="Verdana"/>
          <w:sz w:val="20"/>
          <w:szCs w:val="20"/>
        </w:rPr>
        <w:t xml:space="preserve"> tanto el Estado como la víctima</w:t>
      </w:r>
      <w:r w:rsidRPr="00B64ADB">
        <w:rPr>
          <w:rFonts w:ascii="Verdana" w:hAnsi="Verdana"/>
          <w:sz w:val="20"/>
          <w:szCs w:val="20"/>
        </w:rPr>
        <w:t xml:space="preserve"> present</w:t>
      </w:r>
      <w:r>
        <w:rPr>
          <w:rFonts w:ascii="Verdana" w:hAnsi="Verdana"/>
          <w:sz w:val="20"/>
          <w:szCs w:val="20"/>
        </w:rPr>
        <w:t>aron</w:t>
      </w:r>
      <w:r w:rsidRPr="00B64ADB">
        <w:rPr>
          <w:rFonts w:ascii="Verdana" w:hAnsi="Verdana"/>
          <w:sz w:val="20"/>
          <w:szCs w:val="20"/>
        </w:rPr>
        <w:t xml:space="preserve"> su</w:t>
      </w:r>
      <w:r>
        <w:rPr>
          <w:rFonts w:ascii="Verdana" w:hAnsi="Verdana"/>
          <w:sz w:val="20"/>
          <w:szCs w:val="20"/>
        </w:rPr>
        <w:t>s</w:t>
      </w:r>
      <w:r w:rsidRPr="00B64ADB">
        <w:rPr>
          <w:rFonts w:ascii="Verdana" w:hAnsi="Verdana"/>
          <w:sz w:val="20"/>
          <w:szCs w:val="20"/>
        </w:rPr>
        <w:t xml:space="preserve"> solicitud</w:t>
      </w:r>
      <w:r>
        <w:rPr>
          <w:rFonts w:ascii="Verdana" w:hAnsi="Verdana"/>
          <w:sz w:val="20"/>
          <w:szCs w:val="20"/>
        </w:rPr>
        <w:t>es</w:t>
      </w:r>
      <w:r w:rsidRPr="00B64ADB">
        <w:rPr>
          <w:rFonts w:ascii="Verdana" w:hAnsi="Verdana"/>
          <w:sz w:val="20"/>
          <w:szCs w:val="20"/>
        </w:rPr>
        <w:t xml:space="preserve"> de inte</w:t>
      </w:r>
      <w:r>
        <w:rPr>
          <w:rFonts w:ascii="Verdana" w:hAnsi="Verdana"/>
          <w:sz w:val="20"/>
          <w:szCs w:val="20"/>
        </w:rPr>
        <w:t xml:space="preserve">rpretación el 25 de mayo de 2020, </w:t>
      </w:r>
      <w:r w:rsidRPr="00B64ADB">
        <w:rPr>
          <w:rFonts w:ascii="Verdana" w:hAnsi="Verdana"/>
          <w:sz w:val="20"/>
          <w:szCs w:val="20"/>
        </w:rPr>
        <w:t>dentro del plazo de noventa días establecido en e</w:t>
      </w:r>
      <w:r>
        <w:rPr>
          <w:rFonts w:ascii="Verdana" w:hAnsi="Verdana"/>
          <w:sz w:val="20"/>
          <w:szCs w:val="20"/>
        </w:rPr>
        <w:t>l artículo 67 de la</w:t>
      </w:r>
      <w:r w:rsidR="00C126D5">
        <w:rPr>
          <w:rFonts w:ascii="Verdana" w:hAnsi="Verdana"/>
          <w:sz w:val="20"/>
          <w:szCs w:val="20"/>
        </w:rPr>
        <w:t xml:space="preserve"> Convención. Lo anterior en atención a que</w:t>
      </w:r>
      <w:r>
        <w:rPr>
          <w:rFonts w:ascii="Verdana" w:hAnsi="Verdana"/>
          <w:sz w:val="20"/>
          <w:szCs w:val="20"/>
        </w:rPr>
        <w:t xml:space="preserve"> las partes fueron notificadas de la Sentencia el 23 diciembre</w:t>
      </w:r>
      <w:r w:rsidRPr="00B64ADB">
        <w:rPr>
          <w:rFonts w:ascii="Verdana" w:hAnsi="Verdana"/>
          <w:sz w:val="20"/>
          <w:szCs w:val="20"/>
        </w:rPr>
        <w:t xml:space="preserve"> de 201</w:t>
      </w:r>
      <w:r>
        <w:rPr>
          <w:rFonts w:ascii="Verdana" w:hAnsi="Verdana"/>
          <w:sz w:val="20"/>
          <w:szCs w:val="20"/>
        </w:rPr>
        <w:t>9</w:t>
      </w:r>
      <w:r w:rsidR="00C126D5">
        <w:rPr>
          <w:rFonts w:ascii="Verdana" w:hAnsi="Verdana"/>
          <w:sz w:val="20"/>
          <w:szCs w:val="20"/>
        </w:rPr>
        <w:t>,</w:t>
      </w:r>
      <w:r>
        <w:rPr>
          <w:rFonts w:ascii="Verdana" w:hAnsi="Verdana"/>
          <w:sz w:val="20"/>
          <w:szCs w:val="20"/>
        </w:rPr>
        <w:t xml:space="preserve"> por medio de correo electrónico</w:t>
      </w:r>
      <w:r w:rsidR="00C126D5">
        <w:rPr>
          <w:rFonts w:ascii="Verdana" w:hAnsi="Verdana"/>
          <w:sz w:val="20"/>
          <w:szCs w:val="20"/>
        </w:rPr>
        <w:t>,</w:t>
      </w:r>
      <w:r>
        <w:rPr>
          <w:rFonts w:ascii="Verdana" w:hAnsi="Verdana"/>
          <w:sz w:val="20"/>
          <w:szCs w:val="20"/>
        </w:rPr>
        <w:t xml:space="preserve"> y </w:t>
      </w:r>
      <w:r w:rsidRPr="00432DC9">
        <w:rPr>
          <w:rFonts w:ascii="Verdana" w:hAnsi="Verdana"/>
          <w:sz w:val="20"/>
          <w:szCs w:val="20"/>
        </w:rPr>
        <w:t xml:space="preserve">el </w:t>
      </w:r>
      <w:r>
        <w:rPr>
          <w:rFonts w:ascii="Verdana" w:hAnsi="Verdana"/>
          <w:sz w:val="20"/>
          <w:szCs w:val="20"/>
        </w:rPr>
        <w:t xml:space="preserve">plazo para presentar la solicitud de interpretación vencía </w:t>
      </w:r>
      <w:r w:rsidRPr="00432DC9">
        <w:rPr>
          <w:rFonts w:ascii="Verdana" w:hAnsi="Verdana"/>
          <w:sz w:val="20"/>
          <w:szCs w:val="20"/>
        </w:rPr>
        <w:t>el 12 de junio de 2020</w:t>
      </w:r>
      <w:r>
        <w:rPr>
          <w:rFonts w:ascii="Verdana" w:hAnsi="Verdana"/>
          <w:sz w:val="20"/>
          <w:szCs w:val="20"/>
        </w:rPr>
        <w:t xml:space="preserve">, en virtud </w:t>
      </w:r>
      <w:r w:rsidRPr="00432DC9">
        <w:rPr>
          <w:rFonts w:ascii="Verdana" w:hAnsi="Verdana"/>
          <w:sz w:val="20"/>
          <w:szCs w:val="20"/>
        </w:rPr>
        <w:t>a lo resuelto en los Acuerdos de Corte 1/20 de 17 de marzo de 2020</w:t>
      </w:r>
      <w:r w:rsidRPr="00432DC9">
        <w:rPr>
          <w:rFonts w:ascii="Verdana" w:hAnsi="Verdana"/>
          <w:sz w:val="20"/>
          <w:szCs w:val="20"/>
          <w:vertAlign w:val="superscript"/>
        </w:rPr>
        <w:footnoteReference w:id="3"/>
      </w:r>
      <w:r w:rsidRPr="00432DC9">
        <w:rPr>
          <w:rFonts w:ascii="Verdana" w:hAnsi="Verdana"/>
          <w:sz w:val="20"/>
          <w:szCs w:val="20"/>
        </w:rPr>
        <w:t xml:space="preserve"> y 2/20 de 16 de abril de 2020</w:t>
      </w:r>
      <w:r w:rsidRPr="00432DC9">
        <w:rPr>
          <w:rFonts w:ascii="Verdana" w:hAnsi="Verdana"/>
          <w:sz w:val="20"/>
          <w:szCs w:val="20"/>
          <w:vertAlign w:val="superscript"/>
        </w:rPr>
        <w:footnoteReference w:id="4"/>
      </w:r>
      <w:r w:rsidRPr="00432DC9">
        <w:rPr>
          <w:rFonts w:ascii="Verdana" w:hAnsi="Verdana"/>
          <w:sz w:val="20"/>
          <w:szCs w:val="20"/>
        </w:rPr>
        <w:t>, mediante los cuales la Corte dispuso suspender el cómputo de todos los plazos debido a la emergencia en la salud causada por la pandemia por</w:t>
      </w:r>
      <w:r>
        <w:rPr>
          <w:rFonts w:ascii="Verdana" w:hAnsi="Verdana"/>
          <w:sz w:val="20"/>
          <w:szCs w:val="20"/>
        </w:rPr>
        <w:t xml:space="preserve"> COVID-19</w:t>
      </w:r>
      <w:r w:rsidR="00432DC9" w:rsidRPr="00432DC9">
        <w:rPr>
          <w:rFonts w:ascii="Verdana" w:hAnsi="Verdana"/>
          <w:sz w:val="20"/>
          <w:szCs w:val="20"/>
        </w:rPr>
        <w:t>.</w:t>
      </w:r>
      <w:r w:rsidR="0012717C" w:rsidRPr="00432DC9">
        <w:rPr>
          <w:rFonts w:ascii="Verdana" w:hAnsi="Verdana"/>
          <w:sz w:val="20"/>
          <w:szCs w:val="20"/>
        </w:rPr>
        <w:t xml:space="preserve"> Por ende, la</w:t>
      </w:r>
      <w:r w:rsidR="00432DC9">
        <w:rPr>
          <w:rFonts w:ascii="Verdana" w:hAnsi="Verdana"/>
          <w:sz w:val="20"/>
          <w:szCs w:val="20"/>
        </w:rPr>
        <w:t>s</w:t>
      </w:r>
      <w:r w:rsidR="0012717C" w:rsidRPr="00432DC9">
        <w:rPr>
          <w:rFonts w:ascii="Verdana" w:hAnsi="Verdana"/>
          <w:sz w:val="20"/>
          <w:szCs w:val="20"/>
        </w:rPr>
        <w:t xml:space="preserve"> solicitud</w:t>
      </w:r>
      <w:r w:rsidR="00432DC9">
        <w:rPr>
          <w:rFonts w:ascii="Verdana" w:hAnsi="Verdana"/>
          <w:sz w:val="20"/>
          <w:szCs w:val="20"/>
        </w:rPr>
        <w:t>es</w:t>
      </w:r>
      <w:r w:rsidR="0012717C" w:rsidRPr="00432DC9">
        <w:rPr>
          <w:rFonts w:ascii="Verdana" w:hAnsi="Verdana"/>
          <w:sz w:val="20"/>
          <w:szCs w:val="20"/>
        </w:rPr>
        <w:t xml:space="preserve"> resulta</w:t>
      </w:r>
      <w:r w:rsidR="00432DC9">
        <w:rPr>
          <w:rFonts w:ascii="Verdana" w:hAnsi="Verdana"/>
          <w:sz w:val="20"/>
          <w:szCs w:val="20"/>
        </w:rPr>
        <w:t>n</w:t>
      </w:r>
      <w:r w:rsidR="0012717C" w:rsidRPr="00432DC9">
        <w:rPr>
          <w:rFonts w:ascii="Verdana" w:hAnsi="Verdana"/>
          <w:sz w:val="20"/>
          <w:szCs w:val="20"/>
        </w:rPr>
        <w:t xml:space="preserve"> admisible</w:t>
      </w:r>
      <w:r w:rsidR="00432DC9">
        <w:rPr>
          <w:rFonts w:ascii="Verdana" w:hAnsi="Verdana"/>
          <w:sz w:val="20"/>
          <w:szCs w:val="20"/>
        </w:rPr>
        <w:t>s</w:t>
      </w:r>
      <w:r w:rsidR="0012717C" w:rsidRPr="00432DC9">
        <w:rPr>
          <w:rFonts w:ascii="Verdana" w:hAnsi="Verdana"/>
          <w:sz w:val="20"/>
          <w:szCs w:val="20"/>
        </w:rPr>
        <w:t xml:space="preserve"> en lo que se refiere al plazo de su presentación. En cuanto a los demás requisitos, la Corte realizar</w:t>
      </w:r>
      <w:r w:rsidR="00A20632" w:rsidRPr="00432DC9">
        <w:rPr>
          <w:rFonts w:ascii="Verdana" w:hAnsi="Verdana"/>
          <w:sz w:val="20"/>
          <w:szCs w:val="20"/>
        </w:rPr>
        <w:t>á</w:t>
      </w:r>
      <w:r w:rsidR="0012717C" w:rsidRPr="00432DC9">
        <w:rPr>
          <w:rFonts w:ascii="Verdana" w:hAnsi="Verdana"/>
          <w:sz w:val="20"/>
          <w:szCs w:val="20"/>
        </w:rPr>
        <w:t xml:space="preserve"> el an</w:t>
      </w:r>
      <w:r w:rsidR="00C126D5">
        <w:rPr>
          <w:rFonts w:ascii="Verdana" w:hAnsi="Verdana"/>
          <w:sz w:val="20"/>
          <w:szCs w:val="20"/>
        </w:rPr>
        <w:t xml:space="preserve">álisis respectivo </w:t>
      </w:r>
      <w:r w:rsidR="0012717C" w:rsidRPr="00432DC9">
        <w:rPr>
          <w:rFonts w:ascii="Verdana" w:hAnsi="Verdana"/>
          <w:sz w:val="20"/>
          <w:szCs w:val="20"/>
        </w:rPr>
        <w:t xml:space="preserve">en el próximo capítulo. </w:t>
      </w:r>
    </w:p>
    <w:p w14:paraId="2E63C76B" w14:textId="77777777" w:rsidR="00CA023A" w:rsidRPr="001F3282" w:rsidRDefault="00CA023A" w:rsidP="00A24D53">
      <w:pPr>
        <w:widowControl w:val="0"/>
        <w:tabs>
          <w:tab w:val="left" w:pos="567"/>
        </w:tabs>
        <w:adjustRightInd w:val="0"/>
        <w:spacing w:before="120" w:after="120" w:line="240" w:lineRule="auto"/>
        <w:jc w:val="both"/>
        <w:textAlignment w:val="baseline"/>
        <w:rPr>
          <w:rFonts w:ascii="Verdana" w:hAnsi="Verdana"/>
          <w:sz w:val="20"/>
          <w:szCs w:val="20"/>
        </w:rPr>
      </w:pPr>
    </w:p>
    <w:p w14:paraId="44E62B17" w14:textId="77777777" w:rsidR="00C72A1E" w:rsidRPr="005B560F" w:rsidRDefault="00C72A1E" w:rsidP="00A24D53">
      <w:pPr>
        <w:spacing w:before="120" w:after="120" w:line="240" w:lineRule="auto"/>
        <w:jc w:val="center"/>
        <w:rPr>
          <w:rFonts w:ascii="Verdana" w:eastAsia="Calibri" w:hAnsi="Verdana" w:cs="Verdana"/>
          <w:b/>
          <w:spacing w:val="-2"/>
          <w:sz w:val="20"/>
          <w:szCs w:val="20"/>
          <w:lang w:val="es-ES_tradnl"/>
        </w:rPr>
      </w:pPr>
      <w:r w:rsidRPr="005B560F">
        <w:rPr>
          <w:rFonts w:ascii="Verdana" w:eastAsia="Calibri" w:hAnsi="Verdana" w:cs="Verdana"/>
          <w:b/>
          <w:spacing w:val="-2"/>
          <w:sz w:val="20"/>
          <w:szCs w:val="20"/>
          <w:lang w:val="es-ES_tradnl"/>
        </w:rPr>
        <w:t>IV</w:t>
      </w:r>
    </w:p>
    <w:p w14:paraId="4D0FEC51" w14:textId="77777777" w:rsidR="00C72A1E" w:rsidRDefault="00C72A1E" w:rsidP="00A24D53">
      <w:pPr>
        <w:spacing w:before="120" w:after="120" w:line="240" w:lineRule="auto"/>
        <w:jc w:val="center"/>
        <w:rPr>
          <w:rFonts w:ascii="Verdana" w:eastAsia="Calibri" w:hAnsi="Verdana" w:cs="Verdana"/>
          <w:b/>
          <w:spacing w:val="-2"/>
          <w:sz w:val="20"/>
          <w:szCs w:val="20"/>
          <w:lang w:val="es-ES_tradnl"/>
        </w:rPr>
      </w:pPr>
      <w:r w:rsidRPr="005B560F">
        <w:rPr>
          <w:rFonts w:ascii="Verdana" w:eastAsia="Calibri" w:hAnsi="Verdana" w:cs="Verdana"/>
          <w:b/>
          <w:spacing w:val="-2"/>
          <w:sz w:val="20"/>
          <w:szCs w:val="20"/>
          <w:lang w:val="es-ES_tradnl"/>
        </w:rPr>
        <w:t xml:space="preserve">ANÁLISIS DE LA PROCEDENCIA DE LA SOLICITUD DE INTERPRETACIÓN </w:t>
      </w:r>
    </w:p>
    <w:p w14:paraId="76E9CCE5" w14:textId="77777777" w:rsidR="000657E5" w:rsidRPr="005B560F" w:rsidRDefault="000657E5" w:rsidP="00A24D53">
      <w:pPr>
        <w:spacing w:before="120" w:after="120" w:line="240" w:lineRule="auto"/>
        <w:jc w:val="center"/>
        <w:rPr>
          <w:rFonts w:ascii="Verdana" w:eastAsia="Calibri" w:hAnsi="Verdana" w:cs="Verdana"/>
          <w:b/>
          <w:spacing w:val="-2"/>
          <w:sz w:val="20"/>
          <w:szCs w:val="20"/>
          <w:lang w:val="es-ES_tradnl"/>
        </w:rPr>
      </w:pPr>
    </w:p>
    <w:p w14:paraId="0266557F" w14:textId="77777777" w:rsidR="00D40C8F" w:rsidRPr="00D40C8F" w:rsidRDefault="00D40C8F" w:rsidP="00A24D53">
      <w:pPr>
        <w:numPr>
          <w:ilvl w:val="0"/>
          <w:numId w:val="17"/>
        </w:numPr>
        <w:tabs>
          <w:tab w:val="num" w:pos="720"/>
        </w:tabs>
        <w:spacing w:before="120" w:after="120" w:line="240" w:lineRule="auto"/>
        <w:ind w:left="0" w:firstLine="0"/>
        <w:jc w:val="both"/>
        <w:rPr>
          <w:rFonts w:ascii="Verdana" w:hAnsi="Verdana"/>
          <w:sz w:val="20"/>
          <w:szCs w:val="20"/>
        </w:rPr>
      </w:pPr>
      <w:r w:rsidRPr="00D40C8F">
        <w:rPr>
          <w:rFonts w:ascii="Verdana" w:hAnsi="Verdana"/>
          <w:sz w:val="20"/>
          <w:szCs w:val="20"/>
        </w:rPr>
        <w:t>Este Tribunal analizará las solicitudes del Estado</w:t>
      </w:r>
      <w:r w:rsidR="005158C3">
        <w:rPr>
          <w:rFonts w:ascii="Verdana" w:hAnsi="Verdana"/>
          <w:sz w:val="20"/>
          <w:szCs w:val="20"/>
        </w:rPr>
        <w:t xml:space="preserve"> y de la víctima</w:t>
      </w:r>
      <w:r w:rsidRPr="00D40C8F">
        <w:rPr>
          <w:rFonts w:ascii="Verdana" w:hAnsi="Verdana"/>
          <w:sz w:val="20"/>
          <w:szCs w:val="20"/>
        </w:rPr>
        <w:t xml:space="preserve"> para determinar si, de acuerdo a la normativa y a los estándares desarrollados en su jurisprudencia, procede aclarar el sentido o alcance de algún punto de la Sentencia. </w:t>
      </w:r>
    </w:p>
    <w:p w14:paraId="2AEA969F" w14:textId="41E16DBA" w:rsidR="005158C3" w:rsidRPr="005158C3" w:rsidRDefault="002C0109" w:rsidP="00A24D53">
      <w:pPr>
        <w:numPr>
          <w:ilvl w:val="0"/>
          <w:numId w:val="17"/>
        </w:numPr>
        <w:tabs>
          <w:tab w:val="num" w:pos="720"/>
        </w:tabs>
        <w:spacing w:before="120" w:after="120" w:line="240" w:lineRule="auto"/>
        <w:ind w:left="0" w:firstLine="0"/>
        <w:jc w:val="both"/>
        <w:rPr>
          <w:rFonts w:ascii="Verdana" w:hAnsi="Verdana"/>
          <w:sz w:val="20"/>
          <w:szCs w:val="20"/>
        </w:rPr>
      </w:pPr>
      <w:bookmarkStart w:id="5" w:name="_Ref392082429"/>
      <w:r w:rsidRPr="00533BE5">
        <w:rPr>
          <w:rFonts w:ascii="Verdana" w:hAnsi="Verdana"/>
          <w:sz w:val="20"/>
          <w:szCs w:val="20"/>
        </w:rPr>
        <w:t>La Corte ha señalado que</w:t>
      </w:r>
      <w:r>
        <w:rPr>
          <w:rFonts w:ascii="Verdana" w:hAnsi="Verdana"/>
          <w:color w:val="FF0000"/>
          <w:sz w:val="20"/>
          <w:szCs w:val="20"/>
        </w:rPr>
        <w:t xml:space="preserve"> </w:t>
      </w:r>
      <w:r w:rsidR="005158C3" w:rsidRPr="005158C3">
        <w:rPr>
          <w:rFonts w:ascii="Verdana" w:hAnsi="Verdana"/>
          <w:sz w:val="20"/>
          <w:szCs w:val="20"/>
        </w:rPr>
        <w:t>una solicitud de interpretación de sentencia no puede utilizarse como medio de impugnación de la decisión cuya interpretación se requiere. Dicha solicitud tiene como objeto, exclusivamente, determinar el sentido</w:t>
      </w:r>
      <w:r>
        <w:rPr>
          <w:rFonts w:ascii="Verdana" w:hAnsi="Verdana"/>
          <w:sz w:val="20"/>
          <w:szCs w:val="20"/>
        </w:rPr>
        <w:t xml:space="preserve"> </w:t>
      </w:r>
      <w:r w:rsidRPr="00533BE5">
        <w:rPr>
          <w:rFonts w:ascii="Verdana" w:hAnsi="Verdana"/>
          <w:sz w:val="20"/>
          <w:szCs w:val="20"/>
        </w:rPr>
        <w:t>o alcance</w:t>
      </w:r>
      <w:r>
        <w:rPr>
          <w:rFonts w:ascii="Verdana" w:hAnsi="Verdana"/>
          <w:sz w:val="20"/>
          <w:szCs w:val="20"/>
        </w:rPr>
        <w:t xml:space="preserve"> </w:t>
      </w:r>
      <w:r w:rsidR="005158C3" w:rsidRPr="005158C3">
        <w:rPr>
          <w:rFonts w:ascii="Verdana" w:hAnsi="Verdana"/>
          <w:sz w:val="20"/>
          <w:szCs w:val="20"/>
        </w:rPr>
        <w:t>de un fallo cuando alguna de las partes sostiene que el texto de sus puntos resolutivos o de sus consideraciones carece de claridad o precisión, siempre y cuando esas consideraciones incidan en dicha parte resolutiva. Por lo tanto, no se puede solicitar la modificación</w:t>
      </w:r>
      <w:r>
        <w:rPr>
          <w:rFonts w:ascii="Verdana" w:hAnsi="Verdana"/>
          <w:sz w:val="20"/>
          <w:szCs w:val="20"/>
        </w:rPr>
        <w:t xml:space="preserve"> o </w:t>
      </w:r>
      <w:r w:rsidR="005158C3" w:rsidRPr="005158C3">
        <w:rPr>
          <w:rFonts w:ascii="Verdana" w:hAnsi="Verdana"/>
          <w:sz w:val="20"/>
          <w:szCs w:val="20"/>
        </w:rPr>
        <w:t>anulación</w:t>
      </w:r>
      <w:r>
        <w:rPr>
          <w:rFonts w:ascii="Verdana" w:hAnsi="Verdana"/>
          <w:sz w:val="20"/>
          <w:szCs w:val="20"/>
        </w:rPr>
        <w:t xml:space="preserve"> </w:t>
      </w:r>
      <w:r w:rsidR="005158C3" w:rsidRPr="005158C3">
        <w:rPr>
          <w:rFonts w:ascii="Verdana" w:hAnsi="Verdana"/>
          <w:sz w:val="20"/>
          <w:szCs w:val="20"/>
        </w:rPr>
        <w:t>de la sentencia respectiva a través de una solicitud de interpretación</w:t>
      </w:r>
      <w:r w:rsidR="005158C3" w:rsidRPr="005158C3">
        <w:rPr>
          <w:rFonts w:ascii="Verdana" w:hAnsi="Verdana"/>
          <w:sz w:val="20"/>
          <w:szCs w:val="20"/>
          <w:vertAlign w:val="superscript"/>
        </w:rPr>
        <w:footnoteReference w:id="5"/>
      </w:r>
      <w:r w:rsidR="005158C3" w:rsidRPr="005158C3">
        <w:rPr>
          <w:rFonts w:ascii="Verdana" w:hAnsi="Verdana"/>
          <w:sz w:val="20"/>
          <w:szCs w:val="20"/>
        </w:rPr>
        <w:t>.</w:t>
      </w:r>
      <w:bookmarkEnd w:id="5"/>
    </w:p>
    <w:p w14:paraId="04A10F0F" w14:textId="10F7F636" w:rsidR="005158C3" w:rsidRPr="005158C3" w:rsidRDefault="005158C3" w:rsidP="00A24D53">
      <w:pPr>
        <w:numPr>
          <w:ilvl w:val="0"/>
          <w:numId w:val="17"/>
        </w:numPr>
        <w:tabs>
          <w:tab w:val="num" w:pos="720"/>
        </w:tabs>
        <w:spacing w:before="120" w:after="120" w:line="240" w:lineRule="auto"/>
        <w:ind w:left="0" w:firstLine="0"/>
        <w:jc w:val="both"/>
        <w:rPr>
          <w:rFonts w:ascii="Verdana" w:hAnsi="Verdana"/>
          <w:sz w:val="20"/>
          <w:szCs w:val="20"/>
        </w:rPr>
      </w:pPr>
      <w:r w:rsidRPr="005158C3">
        <w:rPr>
          <w:rFonts w:ascii="Verdana" w:hAnsi="Verdana"/>
          <w:sz w:val="20"/>
          <w:szCs w:val="20"/>
        </w:rPr>
        <w:t xml:space="preserve">Adicionalmente, la Corte ha sostenido la improcedencia de utilizar una solicitud de interpretación para </w:t>
      </w:r>
      <w:r w:rsidRPr="00533BE5">
        <w:rPr>
          <w:rFonts w:ascii="Verdana" w:hAnsi="Verdana"/>
          <w:sz w:val="20"/>
          <w:szCs w:val="20"/>
        </w:rPr>
        <w:t xml:space="preserve">someter </w:t>
      </w:r>
      <w:r w:rsidR="002C0109" w:rsidRPr="00533BE5">
        <w:rPr>
          <w:rFonts w:ascii="Verdana" w:hAnsi="Verdana"/>
          <w:sz w:val="20"/>
          <w:szCs w:val="20"/>
        </w:rPr>
        <w:t>consideraciones sobre</w:t>
      </w:r>
      <w:r w:rsidR="002C0109">
        <w:rPr>
          <w:rFonts w:ascii="Verdana" w:hAnsi="Verdana"/>
          <w:sz w:val="20"/>
          <w:szCs w:val="20"/>
        </w:rPr>
        <w:t xml:space="preserve"> </w:t>
      </w:r>
      <w:r w:rsidRPr="005158C3">
        <w:rPr>
          <w:rFonts w:ascii="Verdana" w:hAnsi="Verdana"/>
          <w:sz w:val="20"/>
          <w:szCs w:val="20"/>
        </w:rPr>
        <w:t>cuestiones de hecho y de derecho que ya fueron planteadas en su oportunidad procesal y sobre las cuales la Corte ya adoptó una decisión</w:t>
      </w:r>
      <w:r w:rsidRPr="005158C3">
        <w:rPr>
          <w:rFonts w:ascii="Verdana" w:hAnsi="Verdana"/>
          <w:sz w:val="20"/>
          <w:szCs w:val="20"/>
          <w:vertAlign w:val="superscript"/>
        </w:rPr>
        <w:footnoteReference w:id="6"/>
      </w:r>
      <w:r w:rsidRPr="005158C3">
        <w:rPr>
          <w:rFonts w:ascii="Verdana" w:hAnsi="Verdana"/>
          <w:sz w:val="20"/>
          <w:szCs w:val="20"/>
        </w:rPr>
        <w:t xml:space="preserve">, así como </w:t>
      </w:r>
      <w:r w:rsidRPr="00533BE5">
        <w:rPr>
          <w:rFonts w:ascii="Verdana" w:hAnsi="Verdana"/>
          <w:sz w:val="20"/>
          <w:szCs w:val="20"/>
        </w:rPr>
        <w:t>para</w:t>
      </w:r>
      <w:r w:rsidRPr="005158C3">
        <w:rPr>
          <w:rFonts w:ascii="Verdana" w:hAnsi="Verdana"/>
          <w:sz w:val="20"/>
          <w:szCs w:val="20"/>
        </w:rPr>
        <w:t xml:space="preserve"> pretender que la Corte valore nuevamente cuestiones que ya han sido resueltas por ésta en su Sentencia</w:t>
      </w:r>
      <w:r w:rsidRPr="005158C3">
        <w:rPr>
          <w:rFonts w:ascii="Verdana" w:hAnsi="Verdana"/>
          <w:sz w:val="20"/>
          <w:szCs w:val="20"/>
          <w:vertAlign w:val="superscript"/>
        </w:rPr>
        <w:footnoteReference w:id="7"/>
      </w:r>
      <w:r w:rsidRPr="005158C3">
        <w:rPr>
          <w:rFonts w:ascii="Verdana" w:hAnsi="Verdana"/>
          <w:sz w:val="20"/>
          <w:szCs w:val="20"/>
        </w:rPr>
        <w:t>. De igual manera, por esta vía tampoco se puede intentar que se amplíe el alcance de una medida de reparación ordenada oportunamente</w:t>
      </w:r>
      <w:r w:rsidRPr="005158C3">
        <w:rPr>
          <w:rFonts w:ascii="Verdana" w:hAnsi="Verdana"/>
          <w:sz w:val="20"/>
          <w:szCs w:val="20"/>
          <w:vertAlign w:val="superscript"/>
        </w:rPr>
        <w:footnoteReference w:id="8"/>
      </w:r>
      <w:r w:rsidRPr="005158C3">
        <w:rPr>
          <w:rFonts w:ascii="Verdana" w:hAnsi="Verdana"/>
          <w:sz w:val="20"/>
          <w:szCs w:val="20"/>
        </w:rPr>
        <w:t>.</w:t>
      </w:r>
    </w:p>
    <w:p w14:paraId="31CB6CE5" w14:textId="421F8174" w:rsidR="00E42F22" w:rsidRDefault="005158C3" w:rsidP="00A24D53">
      <w:pPr>
        <w:numPr>
          <w:ilvl w:val="0"/>
          <w:numId w:val="17"/>
        </w:numPr>
        <w:tabs>
          <w:tab w:val="num" w:pos="720"/>
        </w:tabs>
        <w:spacing w:before="120" w:after="120" w:line="240" w:lineRule="auto"/>
        <w:ind w:left="0" w:firstLine="0"/>
        <w:jc w:val="both"/>
        <w:rPr>
          <w:rFonts w:ascii="Verdana" w:hAnsi="Verdana"/>
          <w:sz w:val="20"/>
          <w:szCs w:val="20"/>
        </w:rPr>
      </w:pPr>
      <w:r w:rsidRPr="005158C3">
        <w:rPr>
          <w:rFonts w:ascii="Verdana" w:hAnsi="Verdana"/>
          <w:sz w:val="20"/>
          <w:szCs w:val="20"/>
        </w:rPr>
        <w:t>A continuación</w:t>
      </w:r>
      <w:r>
        <w:rPr>
          <w:rFonts w:ascii="Verdana" w:hAnsi="Verdana"/>
          <w:sz w:val="20"/>
          <w:szCs w:val="20"/>
        </w:rPr>
        <w:t>,</w:t>
      </w:r>
      <w:r w:rsidRPr="005158C3">
        <w:rPr>
          <w:rFonts w:ascii="Verdana" w:hAnsi="Verdana"/>
          <w:sz w:val="20"/>
          <w:szCs w:val="20"/>
        </w:rPr>
        <w:t xml:space="preserve"> la Corte examinará las cuestiones planteada</w:t>
      </w:r>
      <w:r>
        <w:rPr>
          <w:rFonts w:ascii="Verdana" w:hAnsi="Verdana"/>
          <w:sz w:val="20"/>
          <w:szCs w:val="20"/>
        </w:rPr>
        <w:t xml:space="preserve">s </w:t>
      </w:r>
      <w:r w:rsidRPr="005158C3">
        <w:rPr>
          <w:rFonts w:ascii="Verdana" w:hAnsi="Verdana"/>
          <w:sz w:val="20"/>
          <w:szCs w:val="20"/>
        </w:rPr>
        <w:t>el Estado</w:t>
      </w:r>
      <w:r>
        <w:rPr>
          <w:rFonts w:ascii="Verdana" w:hAnsi="Verdana"/>
          <w:sz w:val="20"/>
          <w:szCs w:val="20"/>
        </w:rPr>
        <w:t xml:space="preserve"> y la víctima</w:t>
      </w:r>
      <w:r w:rsidRPr="005158C3">
        <w:rPr>
          <w:rFonts w:ascii="Verdana" w:hAnsi="Verdana"/>
          <w:sz w:val="20"/>
          <w:szCs w:val="20"/>
        </w:rPr>
        <w:t>, en el siguiente orden: A</w:t>
      </w:r>
      <w:r>
        <w:rPr>
          <w:rFonts w:ascii="Verdana" w:hAnsi="Verdana"/>
          <w:sz w:val="20"/>
          <w:szCs w:val="20"/>
        </w:rPr>
        <w:t>)</w:t>
      </w:r>
      <w:r w:rsidR="00236941">
        <w:rPr>
          <w:rFonts w:ascii="Verdana" w:hAnsi="Verdana"/>
          <w:sz w:val="20"/>
          <w:szCs w:val="20"/>
        </w:rPr>
        <w:t xml:space="preserve"> Aclaración del punto resolutivo </w:t>
      </w:r>
      <w:r w:rsidR="00E50310">
        <w:rPr>
          <w:rFonts w:ascii="Verdana" w:hAnsi="Verdana"/>
          <w:sz w:val="20"/>
          <w:szCs w:val="20"/>
        </w:rPr>
        <w:t xml:space="preserve">vigésimo </w:t>
      </w:r>
      <w:r w:rsidR="00236941">
        <w:rPr>
          <w:rFonts w:ascii="Verdana" w:hAnsi="Verdana"/>
          <w:sz w:val="20"/>
          <w:szCs w:val="20"/>
        </w:rPr>
        <w:t>de la Sentencia</w:t>
      </w:r>
      <w:r w:rsidRPr="005158C3">
        <w:rPr>
          <w:rFonts w:ascii="Verdana" w:hAnsi="Verdana"/>
          <w:sz w:val="20"/>
          <w:szCs w:val="20"/>
        </w:rPr>
        <w:t>, y B</w:t>
      </w:r>
      <w:r w:rsidR="00E42F22">
        <w:rPr>
          <w:rFonts w:ascii="Verdana" w:hAnsi="Verdana"/>
          <w:sz w:val="20"/>
          <w:szCs w:val="20"/>
        </w:rPr>
        <w:t>)</w:t>
      </w:r>
      <w:r w:rsidRPr="005158C3">
        <w:rPr>
          <w:rFonts w:ascii="Verdana" w:hAnsi="Verdana"/>
          <w:sz w:val="20"/>
          <w:szCs w:val="20"/>
        </w:rPr>
        <w:t xml:space="preserve"> </w:t>
      </w:r>
      <w:r w:rsidR="00C95031">
        <w:rPr>
          <w:rFonts w:ascii="Verdana" w:hAnsi="Verdana"/>
          <w:sz w:val="20"/>
          <w:szCs w:val="20"/>
        </w:rPr>
        <w:t xml:space="preserve">la exposición de las alegadas situaciones excepcionales, hechos nuevos y prueba superviniente presentada por la víctima. </w:t>
      </w:r>
    </w:p>
    <w:p w14:paraId="08966B35" w14:textId="77777777" w:rsidR="0050003B" w:rsidRPr="00236941" w:rsidRDefault="0050003B" w:rsidP="00A24D53">
      <w:pPr>
        <w:spacing w:before="120" w:after="120" w:line="240" w:lineRule="auto"/>
        <w:jc w:val="both"/>
        <w:rPr>
          <w:rFonts w:ascii="Verdana" w:hAnsi="Verdana"/>
          <w:sz w:val="20"/>
          <w:szCs w:val="20"/>
        </w:rPr>
      </w:pPr>
    </w:p>
    <w:p w14:paraId="552F04C9" w14:textId="3F3CBDAB" w:rsidR="00E42F22" w:rsidRPr="00DF3597" w:rsidRDefault="00236941" w:rsidP="00A24D53">
      <w:pPr>
        <w:pStyle w:val="Prrafodelista"/>
        <w:numPr>
          <w:ilvl w:val="0"/>
          <w:numId w:val="2"/>
        </w:numPr>
        <w:tabs>
          <w:tab w:val="left" w:pos="1276"/>
        </w:tabs>
        <w:spacing w:before="120" w:after="120" w:line="240" w:lineRule="auto"/>
        <w:ind w:hanging="11"/>
        <w:rPr>
          <w:rFonts w:ascii="Verdana" w:hAnsi="Verdana"/>
          <w:b/>
          <w:sz w:val="20"/>
          <w:szCs w:val="20"/>
          <w:lang w:val="es-CR"/>
        </w:rPr>
      </w:pPr>
      <w:r w:rsidRPr="00236941">
        <w:rPr>
          <w:rFonts w:ascii="Verdana" w:hAnsi="Verdana"/>
          <w:b/>
          <w:sz w:val="20"/>
          <w:szCs w:val="20"/>
          <w:lang w:val="es-CR"/>
        </w:rPr>
        <w:t>Aclaración del punto resolutivo vigésimo de la Sentencia</w:t>
      </w:r>
    </w:p>
    <w:p w14:paraId="07D78417" w14:textId="77777777" w:rsidR="00CA129A" w:rsidRPr="00F81FDD" w:rsidRDefault="00CA129A" w:rsidP="00A24D53">
      <w:pPr>
        <w:pStyle w:val="Ttulo3"/>
        <w:numPr>
          <w:ilvl w:val="0"/>
          <w:numId w:val="8"/>
        </w:numPr>
        <w:spacing w:before="120" w:after="120"/>
        <w:ind w:left="1353" w:firstLine="207"/>
        <w:rPr>
          <w:b w:val="0"/>
          <w:lang w:val="es-ES_tradnl"/>
        </w:rPr>
      </w:pPr>
      <w:r w:rsidRPr="00F81FDD">
        <w:rPr>
          <w:b w:val="0"/>
          <w:lang w:val="es-ES_tradnl"/>
        </w:rPr>
        <w:t xml:space="preserve"> Argumento</w:t>
      </w:r>
      <w:r w:rsidR="00236941">
        <w:rPr>
          <w:b w:val="0"/>
          <w:lang w:val="es-ES_tradnl"/>
        </w:rPr>
        <w:t>s de las partes</w:t>
      </w:r>
    </w:p>
    <w:p w14:paraId="71F31D80" w14:textId="50487B4D" w:rsidR="000A6942" w:rsidRPr="000A6942" w:rsidRDefault="00E42F22"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El </w:t>
      </w:r>
      <w:r w:rsidRPr="0063763C">
        <w:rPr>
          <w:rFonts w:ascii="Verdana" w:eastAsia="Verdana" w:hAnsi="Verdana" w:cs="Verdana"/>
          <w:b/>
          <w:i/>
          <w:sz w:val="20"/>
          <w:szCs w:val="20"/>
          <w:lang w:val="es-ES" w:eastAsia="es-CR"/>
        </w:rPr>
        <w:t>Estado</w:t>
      </w:r>
      <w:r w:rsidR="00C72A1E">
        <w:rPr>
          <w:rFonts w:ascii="Verdana" w:eastAsia="Verdana" w:hAnsi="Verdana" w:cs="Verdana"/>
          <w:sz w:val="20"/>
          <w:szCs w:val="20"/>
          <w:lang w:val="es-ES" w:eastAsia="es-CR"/>
        </w:rPr>
        <w:t xml:space="preserve"> </w:t>
      </w:r>
      <w:r w:rsidR="00A8425D">
        <w:rPr>
          <w:rFonts w:ascii="Verdana" w:eastAsia="Verdana" w:hAnsi="Verdana" w:cs="Verdana"/>
          <w:sz w:val="20"/>
          <w:szCs w:val="20"/>
          <w:lang w:val="es-ES" w:eastAsia="es-CR"/>
        </w:rPr>
        <w:t>sostuvo que</w:t>
      </w:r>
      <w:r w:rsidR="00D0233B">
        <w:rPr>
          <w:rFonts w:ascii="Verdana" w:eastAsia="Verdana" w:hAnsi="Verdana" w:cs="Verdana"/>
          <w:sz w:val="20"/>
          <w:szCs w:val="20"/>
          <w:lang w:val="es-ES" w:eastAsia="es-CR"/>
        </w:rPr>
        <w:t>,</w:t>
      </w:r>
      <w:r w:rsidR="000A6942">
        <w:rPr>
          <w:rFonts w:ascii="Verdana" w:eastAsia="Verdana" w:hAnsi="Verdana" w:cs="Verdana"/>
          <w:sz w:val="20"/>
          <w:szCs w:val="20"/>
          <w:lang w:val="es-ES" w:eastAsia="es-CR"/>
        </w:rPr>
        <w:t xml:space="preserve"> de </w:t>
      </w:r>
      <w:r w:rsidR="00A8425D">
        <w:rPr>
          <w:rFonts w:ascii="Verdana" w:eastAsia="Verdana" w:hAnsi="Verdana" w:cs="Verdana"/>
          <w:sz w:val="20"/>
          <w:szCs w:val="20"/>
          <w:lang w:val="es-ES" w:eastAsia="es-CR"/>
        </w:rPr>
        <w:t>una lectura integral de la Sentencia</w:t>
      </w:r>
      <w:r w:rsidR="000A6942">
        <w:rPr>
          <w:rFonts w:ascii="Verdana" w:eastAsia="Verdana" w:hAnsi="Verdana" w:cs="Verdana"/>
          <w:sz w:val="20"/>
          <w:szCs w:val="20"/>
          <w:lang w:val="es-ES" w:eastAsia="es-CR"/>
        </w:rPr>
        <w:t xml:space="preserve"> y sus puntos resolutivos, no se desprende qu</w:t>
      </w:r>
      <w:r w:rsidR="00A21898">
        <w:rPr>
          <w:rFonts w:ascii="Verdana" w:eastAsia="Verdana" w:hAnsi="Verdana" w:cs="Verdana"/>
          <w:sz w:val="20"/>
          <w:szCs w:val="20"/>
          <w:lang w:val="es-ES" w:eastAsia="es-CR"/>
        </w:rPr>
        <w:t>é</w:t>
      </w:r>
      <w:r w:rsidR="000A6942">
        <w:rPr>
          <w:rFonts w:ascii="Verdana" w:eastAsia="Verdana" w:hAnsi="Verdana" w:cs="Verdana"/>
          <w:sz w:val="20"/>
          <w:szCs w:val="20"/>
          <w:lang w:val="es-ES" w:eastAsia="es-CR"/>
        </w:rPr>
        <w:t xml:space="preserve"> es lo que implica y cuáles son los alcances de </w:t>
      </w:r>
      <w:r w:rsidR="00A8425D">
        <w:rPr>
          <w:rFonts w:ascii="Verdana" w:eastAsia="Verdana" w:hAnsi="Verdana" w:cs="Verdana"/>
          <w:sz w:val="20"/>
          <w:szCs w:val="20"/>
          <w:lang w:val="es-ES" w:eastAsia="es-CR"/>
        </w:rPr>
        <w:t xml:space="preserve">la orden de </w:t>
      </w:r>
      <w:r w:rsidR="000A6942">
        <w:rPr>
          <w:rFonts w:ascii="Verdana" w:eastAsia="Verdana" w:hAnsi="Verdana" w:cs="Verdana"/>
          <w:sz w:val="20"/>
          <w:szCs w:val="20"/>
          <w:lang w:val="es-ES" w:eastAsia="es-CR"/>
        </w:rPr>
        <w:t xml:space="preserve">dejar sin efecto </w:t>
      </w:r>
      <w:r w:rsidR="00C03135">
        <w:rPr>
          <w:rFonts w:ascii="Verdana" w:eastAsia="Verdana" w:hAnsi="Verdana" w:cs="Verdana"/>
          <w:sz w:val="20"/>
          <w:szCs w:val="20"/>
          <w:lang w:val="es-ES" w:eastAsia="es-CR"/>
        </w:rPr>
        <w:t xml:space="preserve">en todos sus extremos </w:t>
      </w:r>
      <w:r w:rsidR="000A6942">
        <w:rPr>
          <w:rFonts w:ascii="Verdana" w:eastAsia="Verdana" w:hAnsi="Verdana" w:cs="Verdana"/>
          <w:sz w:val="20"/>
          <w:szCs w:val="20"/>
          <w:lang w:val="es-ES" w:eastAsia="es-CR"/>
        </w:rPr>
        <w:t>las sentencia</w:t>
      </w:r>
      <w:r w:rsidR="00A21898">
        <w:rPr>
          <w:rFonts w:ascii="Verdana" w:eastAsia="Verdana" w:hAnsi="Verdana" w:cs="Verdana"/>
          <w:sz w:val="20"/>
          <w:szCs w:val="20"/>
          <w:lang w:val="es-ES" w:eastAsia="es-CR"/>
        </w:rPr>
        <w:t>s</w:t>
      </w:r>
      <w:r w:rsidR="000A6942">
        <w:rPr>
          <w:rFonts w:ascii="Verdana" w:eastAsia="Verdana" w:hAnsi="Verdana" w:cs="Verdana"/>
          <w:sz w:val="20"/>
          <w:szCs w:val="20"/>
          <w:lang w:val="es-ES" w:eastAsia="es-CR"/>
        </w:rPr>
        <w:t xml:space="preserve"> de condena emitidas </w:t>
      </w:r>
      <w:r w:rsidR="00A8425D">
        <w:rPr>
          <w:rFonts w:ascii="Verdana" w:eastAsia="Verdana" w:hAnsi="Verdana" w:cs="Verdana"/>
          <w:sz w:val="20"/>
          <w:szCs w:val="20"/>
          <w:lang w:val="es-ES" w:eastAsia="es-CR"/>
        </w:rPr>
        <w:t>contra el</w:t>
      </w:r>
      <w:r w:rsidR="00A8425D" w:rsidRPr="00A8425D">
        <w:rPr>
          <w:rFonts w:ascii="Verdana" w:eastAsia="Times New Roman" w:hAnsi="Verdana" w:cs="Times New Roman"/>
          <w:sz w:val="20"/>
          <w:szCs w:val="20"/>
          <w:lang w:val="es-ES"/>
        </w:rPr>
        <w:t xml:space="preserve"> </w:t>
      </w:r>
      <w:r w:rsidR="00A8425D">
        <w:rPr>
          <w:rFonts w:ascii="Verdana" w:eastAsia="Times New Roman" w:hAnsi="Verdana" w:cs="Times New Roman"/>
          <w:sz w:val="20"/>
          <w:szCs w:val="20"/>
          <w:lang w:val="es-ES"/>
        </w:rPr>
        <w:t>señor Jorge Rosadio Villavicencio</w:t>
      </w:r>
      <w:r w:rsidR="00A8425D">
        <w:rPr>
          <w:rFonts w:ascii="Verdana" w:eastAsia="Verdana" w:hAnsi="Verdana" w:cs="Verdana"/>
          <w:sz w:val="20"/>
          <w:szCs w:val="20"/>
          <w:lang w:val="es-ES" w:eastAsia="es-CR"/>
        </w:rPr>
        <w:t xml:space="preserve"> </w:t>
      </w:r>
      <w:r w:rsidR="000A6942">
        <w:rPr>
          <w:rFonts w:ascii="Verdana" w:eastAsia="Verdana" w:hAnsi="Verdana" w:cs="Verdana"/>
          <w:sz w:val="20"/>
          <w:szCs w:val="20"/>
          <w:lang w:val="es-ES" w:eastAsia="es-CR"/>
        </w:rPr>
        <w:t>en los procesos penal ordinario, penal militar y el procedimiento disc</w:t>
      </w:r>
      <w:r w:rsidR="00A8425D">
        <w:rPr>
          <w:rFonts w:ascii="Verdana" w:eastAsia="Verdana" w:hAnsi="Verdana" w:cs="Verdana"/>
          <w:sz w:val="20"/>
          <w:szCs w:val="20"/>
          <w:lang w:val="es-ES" w:eastAsia="es-CR"/>
        </w:rPr>
        <w:t xml:space="preserve">iplinario, contenida en el punto resolutivo </w:t>
      </w:r>
      <w:r w:rsidR="00236941">
        <w:rPr>
          <w:rFonts w:ascii="Verdana" w:eastAsia="Verdana" w:hAnsi="Verdana" w:cs="Verdana"/>
          <w:sz w:val="20"/>
          <w:szCs w:val="20"/>
          <w:lang w:val="es-ES" w:eastAsia="es-CR"/>
        </w:rPr>
        <w:t>vigésimo</w:t>
      </w:r>
      <w:r w:rsidR="00A8425D">
        <w:rPr>
          <w:rFonts w:ascii="Verdana" w:eastAsia="Verdana" w:hAnsi="Verdana" w:cs="Verdana"/>
          <w:sz w:val="20"/>
          <w:szCs w:val="20"/>
          <w:lang w:val="es-ES" w:eastAsia="es-CR"/>
        </w:rPr>
        <w:t xml:space="preserve"> de la Sentencia. </w:t>
      </w:r>
    </w:p>
    <w:p w14:paraId="16BFABB7" w14:textId="77777777" w:rsidR="00C72A1E" w:rsidRDefault="000A6942"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En virtud de lo anterior, indicó que </w:t>
      </w:r>
      <w:r w:rsidR="00236941">
        <w:rPr>
          <w:rFonts w:ascii="Verdana" w:eastAsia="Verdana" w:hAnsi="Verdana" w:cs="Verdana"/>
          <w:sz w:val="20"/>
          <w:szCs w:val="20"/>
          <w:lang w:val="es-ES" w:eastAsia="es-CR"/>
        </w:rPr>
        <w:t xml:space="preserve">dicho resolutivo </w:t>
      </w:r>
      <w:r>
        <w:rPr>
          <w:rFonts w:ascii="Verdana" w:eastAsia="Verdana" w:hAnsi="Verdana" w:cs="Verdana"/>
          <w:sz w:val="20"/>
          <w:szCs w:val="20"/>
          <w:lang w:val="es-ES" w:eastAsia="es-CR"/>
        </w:rPr>
        <w:t xml:space="preserve">únicamente </w:t>
      </w:r>
      <w:r w:rsidR="0063763C">
        <w:rPr>
          <w:rFonts w:ascii="Verdana" w:eastAsia="Verdana" w:hAnsi="Verdana" w:cs="Verdana"/>
          <w:sz w:val="20"/>
          <w:szCs w:val="20"/>
          <w:lang w:val="es-ES" w:eastAsia="es-CR"/>
        </w:rPr>
        <w:t xml:space="preserve">puede interpretarse bajo el amparo de dos fundamentos: </w:t>
      </w:r>
    </w:p>
    <w:p w14:paraId="522B5AD4" w14:textId="4DB610BD" w:rsidR="0063763C" w:rsidRDefault="00A8425D" w:rsidP="00A24D53">
      <w:pPr>
        <w:pStyle w:val="Prrafodelista"/>
        <w:numPr>
          <w:ilvl w:val="1"/>
          <w:numId w:val="21"/>
        </w:numPr>
        <w:spacing w:before="120" w:after="120" w:line="240" w:lineRule="auto"/>
        <w:ind w:left="964" w:right="680"/>
        <w:rPr>
          <w:rFonts w:ascii="Verdana" w:hAnsi="Verdana"/>
          <w:sz w:val="18"/>
          <w:szCs w:val="16"/>
          <w:lang w:val="es-ES"/>
        </w:rPr>
      </w:pPr>
      <w:r w:rsidRPr="00B67FD4">
        <w:rPr>
          <w:rFonts w:ascii="Verdana" w:hAnsi="Verdana"/>
          <w:sz w:val="18"/>
          <w:szCs w:val="16"/>
          <w:lang w:val="es-ES"/>
        </w:rPr>
        <w:t>Que habié</w:t>
      </w:r>
      <w:r w:rsidR="0063763C" w:rsidRPr="00B67FD4">
        <w:rPr>
          <w:rFonts w:ascii="Verdana" w:hAnsi="Verdana"/>
          <w:sz w:val="18"/>
          <w:szCs w:val="16"/>
          <w:lang w:val="es-ES"/>
        </w:rPr>
        <w:t>ndose advertido respecto de los procesos penal ordinario, penal militar y el procedimiento disciplina</w:t>
      </w:r>
      <w:r w:rsidRPr="00B67FD4">
        <w:rPr>
          <w:rFonts w:ascii="Verdana" w:hAnsi="Verdana"/>
          <w:sz w:val="18"/>
          <w:szCs w:val="16"/>
          <w:lang w:val="es-ES"/>
        </w:rPr>
        <w:t>rio vulneraciones a las garantías judiciales, estos deberí</w:t>
      </w:r>
      <w:r w:rsidR="0063763C" w:rsidRPr="00B67FD4">
        <w:rPr>
          <w:rFonts w:ascii="Verdana" w:hAnsi="Verdana"/>
          <w:sz w:val="18"/>
          <w:szCs w:val="16"/>
          <w:lang w:val="es-ES"/>
        </w:rPr>
        <w:t>an ser declarados nulos en sede inte</w:t>
      </w:r>
      <w:r w:rsidRPr="00B67FD4">
        <w:rPr>
          <w:rFonts w:ascii="Verdana" w:hAnsi="Verdana"/>
          <w:sz w:val="18"/>
          <w:szCs w:val="16"/>
          <w:lang w:val="es-ES"/>
        </w:rPr>
        <w:t>rna, y por tanto correspondería</w:t>
      </w:r>
      <w:r w:rsidR="0063763C" w:rsidRPr="00B67FD4">
        <w:rPr>
          <w:rFonts w:ascii="Verdana" w:hAnsi="Verdana"/>
          <w:sz w:val="18"/>
          <w:szCs w:val="16"/>
          <w:lang w:val="es-ES"/>
        </w:rPr>
        <w:t xml:space="preserve"> el inicio de nuevas investigaciones respec</w:t>
      </w:r>
      <w:r w:rsidRPr="00B67FD4">
        <w:rPr>
          <w:rFonts w:ascii="Verdana" w:hAnsi="Verdana"/>
          <w:sz w:val="18"/>
          <w:szCs w:val="16"/>
          <w:lang w:val="es-ES"/>
        </w:rPr>
        <w:t>to de los hechos materia de análisis, todo esto en atención a los está</w:t>
      </w:r>
      <w:r w:rsidR="0063763C" w:rsidRPr="00B67FD4">
        <w:rPr>
          <w:rFonts w:ascii="Verdana" w:hAnsi="Verdana"/>
          <w:sz w:val="18"/>
          <w:szCs w:val="16"/>
          <w:lang w:val="es-ES"/>
        </w:rPr>
        <w:t xml:space="preserve">ndares que la Corte </w:t>
      </w:r>
      <w:r w:rsidR="00C16A39">
        <w:rPr>
          <w:rFonts w:ascii="Verdana" w:hAnsi="Verdana"/>
          <w:sz w:val="18"/>
          <w:szCs w:val="16"/>
          <w:lang w:val="es-ES"/>
        </w:rPr>
        <w:t>Interamericana</w:t>
      </w:r>
      <w:r w:rsidR="00C16A39" w:rsidRPr="00B67FD4">
        <w:rPr>
          <w:rFonts w:ascii="Verdana" w:hAnsi="Verdana"/>
          <w:sz w:val="18"/>
          <w:szCs w:val="16"/>
          <w:lang w:val="es-ES"/>
        </w:rPr>
        <w:t xml:space="preserve"> </w:t>
      </w:r>
      <w:r w:rsidR="0063763C" w:rsidRPr="00B67FD4">
        <w:rPr>
          <w:rFonts w:ascii="Verdana" w:hAnsi="Verdana"/>
          <w:sz w:val="18"/>
          <w:szCs w:val="16"/>
          <w:lang w:val="es-ES"/>
        </w:rPr>
        <w:t xml:space="preserve">ha desarrollado en su sentencia, o </w:t>
      </w:r>
    </w:p>
    <w:p w14:paraId="53E57E01" w14:textId="77777777" w:rsidR="008D05FD" w:rsidRPr="00B67FD4" w:rsidRDefault="008D05FD" w:rsidP="00A24D53">
      <w:pPr>
        <w:pStyle w:val="Prrafodelista"/>
        <w:spacing w:before="120" w:after="120" w:line="240" w:lineRule="auto"/>
        <w:ind w:left="964" w:right="680" w:firstLine="0"/>
        <w:rPr>
          <w:rFonts w:ascii="Verdana" w:hAnsi="Verdana"/>
          <w:sz w:val="18"/>
          <w:szCs w:val="16"/>
          <w:lang w:val="es-ES"/>
        </w:rPr>
      </w:pPr>
    </w:p>
    <w:p w14:paraId="64485E91" w14:textId="5CACF514" w:rsidR="000A6942" w:rsidRPr="00B67FD4" w:rsidRDefault="000A6942" w:rsidP="00A24D53">
      <w:pPr>
        <w:numPr>
          <w:ilvl w:val="1"/>
          <w:numId w:val="21"/>
        </w:numPr>
        <w:spacing w:before="120" w:after="120" w:line="240" w:lineRule="auto"/>
        <w:ind w:left="964" w:right="680" w:hanging="306"/>
        <w:jc w:val="both"/>
        <w:rPr>
          <w:rFonts w:ascii="Verdana" w:eastAsia="Times New Roman" w:hAnsi="Verdana" w:cs="Times New Roman"/>
          <w:sz w:val="18"/>
          <w:szCs w:val="16"/>
          <w:lang w:val="es-ES"/>
        </w:rPr>
      </w:pPr>
      <w:r w:rsidRPr="00B67FD4">
        <w:rPr>
          <w:rFonts w:ascii="Verdana" w:eastAsia="Times New Roman" w:hAnsi="Verdana" w:cs="Times New Roman"/>
          <w:sz w:val="18"/>
          <w:szCs w:val="16"/>
          <w:lang w:val="es-ES"/>
        </w:rPr>
        <w:t>Que habiendo quedado firme</w:t>
      </w:r>
      <w:r w:rsidR="00A8425D" w:rsidRPr="00B67FD4">
        <w:rPr>
          <w:rFonts w:ascii="Verdana" w:eastAsia="Times New Roman" w:hAnsi="Verdana" w:cs="Times New Roman"/>
          <w:sz w:val="18"/>
          <w:szCs w:val="16"/>
          <w:lang w:val="es-ES"/>
        </w:rPr>
        <w:t>s las sentencias materia de análisis, é</w:t>
      </w:r>
      <w:r w:rsidRPr="00B67FD4">
        <w:rPr>
          <w:rFonts w:ascii="Verdana" w:eastAsia="Times New Roman" w:hAnsi="Verdana" w:cs="Times New Roman"/>
          <w:sz w:val="18"/>
          <w:szCs w:val="16"/>
          <w:lang w:val="es-ES"/>
        </w:rPr>
        <w:t>stas no ha</w:t>
      </w:r>
      <w:r w:rsidR="00A8425D" w:rsidRPr="00B67FD4">
        <w:rPr>
          <w:rFonts w:ascii="Verdana" w:eastAsia="Times New Roman" w:hAnsi="Verdana" w:cs="Times New Roman"/>
          <w:sz w:val="18"/>
          <w:szCs w:val="16"/>
          <w:lang w:val="es-ES"/>
        </w:rPr>
        <w:t>n sido declaradas nulas, revocándose ú</w:t>
      </w:r>
      <w:r w:rsidRPr="00B67FD4">
        <w:rPr>
          <w:rFonts w:ascii="Verdana" w:eastAsia="Times New Roman" w:hAnsi="Verdana" w:cs="Times New Roman"/>
          <w:sz w:val="18"/>
          <w:szCs w:val="16"/>
          <w:lang w:val="es-ES"/>
        </w:rPr>
        <w:t>nicamente sus e</w:t>
      </w:r>
      <w:r w:rsidR="00A8425D" w:rsidRPr="00B67FD4">
        <w:rPr>
          <w:rFonts w:ascii="Verdana" w:eastAsia="Times New Roman" w:hAnsi="Verdana" w:cs="Times New Roman"/>
          <w:sz w:val="18"/>
          <w:szCs w:val="16"/>
          <w:lang w:val="es-ES"/>
        </w:rPr>
        <w:t xml:space="preserve">fectos. Esto es, la Corte </w:t>
      </w:r>
      <w:r w:rsidR="00C16A39">
        <w:rPr>
          <w:rFonts w:ascii="Verdana" w:eastAsia="Times New Roman" w:hAnsi="Verdana" w:cs="Times New Roman"/>
          <w:sz w:val="18"/>
          <w:szCs w:val="16"/>
          <w:lang w:val="es-ES"/>
        </w:rPr>
        <w:t>Interamericana</w:t>
      </w:r>
      <w:r w:rsidR="00C16A39" w:rsidRPr="00B67FD4">
        <w:rPr>
          <w:rFonts w:ascii="Verdana" w:eastAsia="Times New Roman" w:hAnsi="Verdana" w:cs="Times New Roman"/>
          <w:sz w:val="18"/>
          <w:szCs w:val="16"/>
          <w:lang w:val="es-ES"/>
        </w:rPr>
        <w:t xml:space="preserve"> </w:t>
      </w:r>
      <w:r w:rsidR="00A8425D" w:rsidRPr="00B67FD4">
        <w:rPr>
          <w:rFonts w:ascii="Verdana" w:eastAsia="Times New Roman" w:hAnsi="Verdana" w:cs="Times New Roman"/>
          <w:sz w:val="18"/>
          <w:szCs w:val="16"/>
          <w:lang w:val="es-ES"/>
        </w:rPr>
        <w:t>ú</w:t>
      </w:r>
      <w:r w:rsidRPr="00B67FD4">
        <w:rPr>
          <w:rFonts w:ascii="Verdana" w:eastAsia="Times New Roman" w:hAnsi="Verdana" w:cs="Times New Roman"/>
          <w:sz w:val="18"/>
          <w:szCs w:val="16"/>
          <w:lang w:val="es-ES"/>
        </w:rPr>
        <w:t xml:space="preserve">nicamente ha ordenado suprimir los antecedentes judiciales o disciplinarios, penales o militares que existan en contra de Jorge Rosadio Villavicencio. </w:t>
      </w:r>
    </w:p>
    <w:p w14:paraId="4760BB90" w14:textId="22F86969" w:rsidR="0063763C" w:rsidRPr="000432F3" w:rsidRDefault="0063763C"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La </w:t>
      </w:r>
      <w:r w:rsidRPr="0063763C">
        <w:rPr>
          <w:rFonts w:ascii="Verdana" w:eastAsia="Verdana" w:hAnsi="Verdana" w:cs="Verdana"/>
          <w:b/>
          <w:i/>
          <w:sz w:val="20"/>
          <w:szCs w:val="20"/>
          <w:lang w:val="es-ES" w:eastAsia="es-CR"/>
        </w:rPr>
        <w:t>víctima</w:t>
      </w:r>
      <w:r w:rsidR="00C72A1E" w:rsidRPr="00E65474">
        <w:rPr>
          <w:rFonts w:ascii="Verdana" w:eastAsia="Verdana" w:hAnsi="Verdana" w:cs="Verdana"/>
          <w:sz w:val="20"/>
          <w:szCs w:val="20"/>
          <w:lang w:val="es-ES" w:eastAsia="es-CR"/>
        </w:rPr>
        <w:t xml:space="preserve"> </w:t>
      </w:r>
      <w:r>
        <w:rPr>
          <w:rFonts w:ascii="Verdana" w:eastAsia="Verdana" w:hAnsi="Verdana" w:cs="Verdana"/>
          <w:sz w:val="20"/>
          <w:szCs w:val="20"/>
          <w:lang w:val="es-ES" w:eastAsia="es-CR"/>
        </w:rPr>
        <w:t xml:space="preserve">señaló que de una lectura integral de la Sentencia no se desprende, de forma </w:t>
      </w:r>
      <w:r w:rsidRPr="000432F3">
        <w:rPr>
          <w:rFonts w:ascii="Verdana" w:eastAsia="Verdana" w:hAnsi="Verdana" w:cs="Verdana"/>
          <w:sz w:val="20"/>
          <w:szCs w:val="20"/>
          <w:lang w:val="es-ES" w:eastAsia="es-CR"/>
        </w:rPr>
        <w:t xml:space="preserve">alguna, que se haya dispuesto iniciar nuevas investigaciones o suprimir sólo los antecedentes de los distintos procesos seguidos en contra de la víctima. </w:t>
      </w:r>
      <w:r w:rsidR="000432F3" w:rsidRPr="000432F3">
        <w:rPr>
          <w:rFonts w:ascii="Verdana" w:eastAsia="Verdana" w:hAnsi="Verdana" w:cs="Verdana"/>
          <w:sz w:val="20"/>
          <w:szCs w:val="20"/>
          <w:lang w:val="es-ES" w:eastAsia="es-CR"/>
        </w:rPr>
        <w:t>Asimismo, indicó que “</w:t>
      </w:r>
      <w:r w:rsidRPr="000432F3">
        <w:rPr>
          <w:rFonts w:ascii="Verdana" w:hAnsi="Verdana" w:cs="Arial"/>
          <w:sz w:val="20"/>
          <w:szCs w:val="20"/>
          <w:lang w:val="es-ES"/>
        </w:rPr>
        <w:t xml:space="preserve">tal como se puede apreciar en el mismo </w:t>
      </w:r>
      <w:r w:rsidR="000432F3" w:rsidRPr="000432F3">
        <w:rPr>
          <w:rFonts w:ascii="Verdana" w:hAnsi="Verdana" w:cs="Arial"/>
          <w:sz w:val="20"/>
          <w:szCs w:val="20"/>
          <w:lang w:val="es-ES"/>
        </w:rPr>
        <w:t>párrafo</w:t>
      </w:r>
      <w:r w:rsidRPr="000432F3">
        <w:rPr>
          <w:rFonts w:ascii="Verdana" w:hAnsi="Verdana" w:cs="Arial"/>
          <w:sz w:val="20"/>
          <w:szCs w:val="20"/>
          <w:lang w:val="es-ES"/>
        </w:rPr>
        <w:t xml:space="preserve"> 224, </w:t>
      </w:r>
      <w:r w:rsidR="000432F3" w:rsidRPr="000432F3">
        <w:rPr>
          <w:rFonts w:ascii="Verdana" w:hAnsi="Verdana" w:cs="Arial"/>
          <w:sz w:val="20"/>
          <w:szCs w:val="20"/>
          <w:lang w:val="es-ES"/>
        </w:rPr>
        <w:t>subíndices</w:t>
      </w:r>
      <w:r w:rsidRPr="000432F3">
        <w:rPr>
          <w:rFonts w:ascii="Verdana" w:hAnsi="Verdana" w:cs="Arial"/>
          <w:sz w:val="20"/>
          <w:szCs w:val="20"/>
          <w:lang w:val="es-ES"/>
        </w:rPr>
        <w:t xml:space="preserve"> 195 y 196, la </w:t>
      </w:r>
      <w:r w:rsidR="00BB4581">
        <w:rPr>
          <w:rFonts w:ascii="Verdana" w:hAnsi="Verdana" w:cs="Arial"/>
          <w:sz w:val="20"/>
          <w:szCs w:val="20"/>
          <w:lang w:val="es-ES"/>
        </w:rPr>
        <w:t>[…]</w:t>
      </w:r>
      <w:r w:rsidR="00BB4581" w:rsidRPr="000432F3">
        <w:rPr>
          <w:rFonts w:ascii="Verdana" w:hAnsi="Verdana" w:cs="Arial"/>
          <w:sz w:val="20"/>
          <w:szCs w:val="20"/>
          <w:lang w:val="es-ES"/>
        </w:rPr>
        <w:t xml:space="preserve"> </w:t>
      </w:r>
      <w:r w:rsidRPr="000432F3">
        <w:rPr>
          <w:rFonts w:ascii="Verdana" w:hAnsi="Verdana" w:cs="Arial"/>
          <w:sz w:val="20"/>
          <w:szCs w:val="20"/>
          <w:lang w:val="es-ES"/>
        </w:rPr>
        <w:t xml:space="preserve">Corte hace referencia a un total de 13 Sentencias en las que dispuso dejar sin efecto las sentencias de condena y suprimir los antecedentes, las cuales, conforme a la </w:t>
      </w:r>
      <w:r w:rsidR="00EF04D8" w:rsidRPr="000432F3">
        <w:rPr>
          <w:rFonts w:ascii="Verdana" w:hAnsi="Verdana" w:cs="Arial"/>
          <w:sz w:val="20"/>
          <w:szCs w:val="20"/>
          <w:lang w:val="es-ES"/>
        </w:rPr>
        <w:t>revisión</w:t>
      </w:r>
      <w:r w:rsidRPr="000432F3">
        <w:rPr>
          <w:rFonts w:ascii="Verdana" w:hAnsi="Verdana" w:cs="Arial"/>
          <w:sz w:val="20"/>
          <w:szCs w:val="20"/>
          <w:lang w:val="es-ES"/>
        </w:rPr>
        <w:t xml:space="preserve"> y lectura de los Informes de </w:t>
      </w:r>
      <w:r w:rsidR="00EF04D8" w:rsidRPr="000432F3">
        <w:rPr>
          <w:rFonts w:ascii="Verdana" w:hAnsi="Verdana" w:cs="Arial"/>
          <w:sz w:val="20"/>
          <w:szCs w:val="20"/>
          <w:lang w:val="es-ES"/>
        </w:rPr>
        <w:t>Supervisión</w:t>
      </w:r>
      <w:r w:rsidRPr="000432F3">
        <w:rPr>
          <w:rFonts w:ascii="Verdana" w:hAnsi="Verdana" w:cs="Arial"/>
          <w:sz w:val="20"/>
          <w:szCs w:val="20"/>
          <w:lang w:val="es-ES"/>
        </w:rPr>
        <w:t xml:space="preserve"> de Cumplimiento de Sentencia, existente en el Buscador de Jurisprudencia de la </w:t>
      </w:r>
      <w:r w:rsidR="00EF04D8" w:rsidRPr="000432F3">
        <w:rPr>
          <w:rFonts w:ascii="Verdana" w:hAnsi="Verdana" w:cs="Arial"/>
          <w:sz w:val="20"/>
          <w:szCs w:val="20"/>
          <w:lang w:val="es-ES"/>
        </w:rPr>
        <w:t>p</w:t>
      </w:r>
      <w:r w:rsidR="00EF04D8">
        <w:rPr>
          <w:rFonts w:ascii="Verdana" w:hAnsi="Verdana" w:cs="Arial"/>
          <w:sz w:val="20"/>
          <w:szCs w:val="20"/>
          <w:lang w:val="es-ES"/>
        </w:rPr>
        <w:t>á</w:t>
      </w:r>
      <w:r w:rsidR="00EF04D8" w:rsidRPr="000432F3">
        <w:rPr>
          <w:rFonts w:ascii="Verdana" w:hAnsi="Verdana" w:cs="Arial"/>
          <w:sz w:val="20"/>
          <w:szCs w:val="20"/>
          <w:lang w:val="es-ES"/>
        </w:rPr>
        <w:t>gina</w:t>
      </w:r>
      <w:r w:rsidRPr="000432F3">
        <w:rPr>
          <w:rFonts w:ascii="Verdana" w:hAnsi="Verdana" w:cs="Arial"/>
          <w:sz w:val="20"/>
          <w:szCs w:val="20"/>
          <w:lang w:val="es-ES"/>
        </w:rPr>
        <w:t xml:space="preserve"> web de la Corte IDH, se puede apreciar y verificar que, en ninguno de estos casos, se ordenaron el reinicio de nuevas investigaciones o se suprimieron </w:t>
      </w:r>
      <w:r w:rsidR="00EF04D8" w:rsidRPr="000432F3">
        <w:rPr>
          <w:rFonts w:ascii="Verdana" w:hAnsi="Verdana" w:cs="Arial"/>
          <w:sz w:val="20"/>
          <w:szCs w:val="20"/>
          <w:lang w:val="es-ES"/>
        </w:rPr>
        <w:t>sólo</w:t>
      </w:r>
      <w:r w:rsidRPr="000432F3">
        <w:rPr>
          <w:rFonts w:ascii="Verdana" w:hAnsi="Verdana" w:cs="Arial"/>
          <w:sz w:val="20"/>
          <w:szCs w:val="20"/>
          <w:lang w:val="es-ES"/>
        </w:rPr>
        <w:t xml:space="preserve"> los antecedentes</w:t>
      </w:r>
      <w:r w:rsidR="000432F3">
        <w:rPr>
          <w:rFonts w:ascii="Verdana" w:hAnsi="Verdana" w:cs="Arial"/>
          <w:sz w:val="20"/>
          <w:szCs w:val="20"/>
          <w:lang w:val="es-ES"/>
        </w:rPr>
        <w:t>”</w:t>
      </w:r>
      <w:r w:rsidRPr="000432F3">
        <w:rPr>
          <w:rFonts w:ascii="Verdana" w:hAnsi="Verdana" w:cs="Arial"/>
          <w:sz w:val="20"/>
          <w:szCs w:val="20"/>
          <w:lang w:val="es-ES"/>
        </w:rPr>
        <w:t>.</w:t>
      </w:r>
      <w:r w:rsidR="00BB4581">
        <w:rPr>
          <w:rFonts w:ascii="Verdana" w:hAnsi="Verdana" w:cs="Arial"/>
          <w:sz w:val="20"/>
          <w:szCs w:val="20"/>
          <w:lang w:val="es-ES"/>
        </w:rPr>
        <w:t xml:space="preserve"> Por tal motivo, c</w:t>
      </w:r>
      <w:r w:rsidR="000432F3">
        <w:rPr>
          <w:rFonts w:ascii="Verdana" w:hAnsi="Verdana" w:cs="Arial"/>
          <w:sz w:val="20"/>
          <w:szCs w:val="20"/>
          <w:lang w:val="es-ES"/>
        </w:rPr>
        <w:t>oncluy</w:t>
      </w:r>
      <w:r w:rsidR="00BB4581">
        <w:rPr>
          <w:rFonts w:ascii="Verdana" w:hAnsi="Verdana" w:cs="Arial"/>
          <w:sz w:val="20"/>
          <w:szCs w:val="20"/>
          <w:lang w:val="es-ES"/>
        </w:rPr>
        <w:t>ó</w:t>
      </w:r>
      <w:r w:rsidR="000432F3">
        <w:rPr>
          <w:rFonts w:ascii="Verdana" w:hAnsi="Verdana" w:cs="Arial"/>
          <w:sz w:val="20"/>
          <w:szCs w:val="20"/>
          <w:lang w:val="es-ES"/>
        </w:rPr>
        <w:t xml:space="preserve"> que el Estado pretende modificar el fallo y condicionar a la Corte con dos alternativas</w:t>
      </w:r>
      <w:r w:rsidR="00C03135">
        <w:rPr>
          <w:rFonts w:ascii="Verdana" w:hAnsi="Verdana" w:cs="Arial"/>
          <w:sz w:val="20"/>
          <w:szCs w:val="20"/>
          <w:lang w:val="es-ES"/>
        </w:rPr>
        <w:t xml:space="preserve"> producto</w:t>
      </w:r>
      <w:r w:rsidR="000432F3">
        <w:rPr>
          <w:rFonts w:ascii="Verdana" w:hAnsi="Verdana" w:cs="Arial"/>
          <w:sz w:val="20"/>
          <w:szCs w:val="20"/>
          <w:lang w:val="es-ES"/>
        </w:rPr>
        <w:t xml:space="preserve"> de su propia interpretación</w:t>
      </w:r>
      <w:r w:rsidR="005325E7">
        <w:rPr>
          <w:rFonts w:ascii="Verdana" w:hAnsi="Verdana" w:cs="Arial"/>
          <w:sz w:val="20"/>
          <w:szCs w:val="20"/>
          <w:lang w:val="es-ES"/>
        </w:rPr>
        <w:t xml:space="preserve">. </w:t>
      </w:r>
    </w:p>
    <w:p w14:paraId="650869D0" w14:textId="41E17758" w:rsidR="005325E7" w:rsidRPr="005325E7" w:rsidRDefault="000432F3"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ES"/>
        </w:rPr>
      </w:pPr>
      <w:r w:rsidRPr="005325E7">
        <w:rPr>
          <w:rFonts w:ascii="Verdana" w:eastAsia="Verdana" w:hAnsi="Verdana" w:cs="Verdana"/>
          <w:sz w:val="20"/>
          <w:szCs w:val="20"/>
          <w:lang w:val="es-ES" w:eastAsia="es-CR"/>
        </w:rPr>
        <w:t xml:space="preserve">Asimismo, </w:t>
      </w:r>
      <w:r w:rsidR="00EF04D8" w:rsidRPr="005325E7">
        <w:rPr>
          <w:rFonts w:ascii="Verdana" w:eastAsia="Verdana" w:hAnsi="Verdana" w:cs="Verdana"/>
          <w:sz w:val="20"/>
          <w:szCs w:val="20"/>
          <w:lang w:val="es-ES" w:eastAsia="es-CR"/>
        </w:rPr>
        <w:t xml:space="preserve">sostuvo que, conforme a la jurisprudencia del Sistema Interamericano, el Estado debe eliminar de oficio </w:t>
      </w:r>
      <w:r w:rsidR="00EF04D8" w:rsidRPr="005325E7">
        <w:rPr>
          <w:rFonts w:ascii="Verdana" w:eastAsia="Times New Roman" w:hAnsi="Verdana" w:cs="Arial"/>
          <w:sz w:val="20"/>
          <w:szCs w:val="20"/>
          <w:lang w:val="es-ES"/>
        </w:rPr>
        <w:t xml:space="preserve">“[…] </w:t>
      </w:r>
      <w:r w:rsidR="00EF04D8" w:rsidRPr="005325E7">
        <w:rPr>
          <w:rFonts w:ascii="Verdana" w:hAnsi="Verdana" w:cs="Arial"/>
          <w:sz w:val="20"/>
          <w:szCs w:val="20"/>
          <w:lang w:val="es-ES"/>
        </w:rPr>
        <w:t xml:space="preserve">todos los alcances, causas y efectos o registros o antecedentes legales, tanto administrativos, policiales, judiciales y penales (ordinario y militar) […] dejando sin efectos la atribución de responsabilidad administrativa disciplinaria, penal ordinaria y penal militar, como también, en lo relativo a inhabilitaciones o </w:t>
      </w:r>
      <w:proofErr w:type="spellStart"/>
      <w:r w:rsidR="00EF04D8" w:rsidRPr="005325E7">
        <w:rPr>
          <w:rFonts w:ascii="Verdana" w:hAnsi="Verdana" w:cs="Arial"/>
          <w:sz w:val="20"/>
          <w:szCs w:val="20"/>
          <w:lang w:val="es-ES"/>
        </w:rPr>
        <w:t>pag</w:t>
      </w:r>
      <w:proofErr w:type="spellEnd"/>
      <w:r w:rsidR="00EF04D8" w:rsidRPr="005325E7">
        <w:rPr>
          <w:rFonts w:ascii="Verdana" w:hAnsi="Verdana" w:cs="Arial"/>
          <w:sz w:val="20"/>
          <w:szCs w:val="20"/>
          <w:lang w:val="es-ES"/>
        </w:rPr>
        <w:t>[o] [de] indemnizaciones por conceptos de reparación civil a favor del Estado […]”</w:t>
      </w:r>
      <w:r w:rsidR="005325E7" w:rsidRPr="005325E7">
        <w:rPr>
          <w:rFonts w:ascii="Verdana" w:hAnsi="Verdana" w:cs="Arial"/>
          <w:sz w:val="20"/>
          <w:szCs w:val="20"/>
          <w:lang w:val="es-ES"/>
        </w:rPr>
        <w:t>.</w:t>
      </w:r>
      <w:r w:rsidR="0053375E">
        <w:rPr>
          <w:rFonts w:ascii="Verdana" w:hAnsi="Verdana" w:cs="Arial"/>
          <w:sz w:val="20"/>
          <w:szCs w:val="20"/>
          <w:lang w:val="es-ES"/>
        </w:rPr>
        <w:t xml:space="preserve"> </w:t>
      </w:r>
      <w:r w:rsidR="00533BE5">
        <w:rPr>
          <w:rFonts w:ascii="Verdana" w:hAnsi="Verdana" w:cs="Arial"/>
          <w:sz w:val="20"/>
          <w:szCs w:val="20"/>
          <w:lang w:val="es-ES"/>
        </w:rPr>
        <w:t xml:space="preserve">En este sentido añadió </w:t>
      </w:r>
      <w:r w:rsidR="005325E7" w:rsidRPr="005325E7">
        <w:rPr>
          <w:rFonts w:ascii="Verdana" w:hAnsi="Verdana" w:cs="Arial"/>
          <w:sz w:val="20"/>
          <w:szCs w:val="20"/>
          <w:lang w:val="es-ES"/>
        </w:rPr>
        <w:t>que</w:t>
      </w:r>
      <w:r w:rsidR="00533BE5">
        <w:rPr>
          <w:rFonts w:ascii="Verdana" w:hAnsi="Verdana" w:cs="Arial"/>
          <w:sz w:val="20"/>
          <w:szCs w:val="20"/>
          <w:lang w:val="es-ES"/>
        </w:rPr>
        <w:t>, al momento de precisar al E</w:t>
      </w:r>
      <w:r w:rsidR="005325E7" w:rsidRPr="005325E7">
        <w:rPr>
          <w:rFonts w:ascii="Verdana" w:hAnsi="Verdana" w:cs="Arial"/>
          <w:sz w:val="20"/>
          <w:szCs w:val="20"/>
          <w:lang w:val="es-ES"/>
        </w:rPr>
        <w:t>stado el alcance de su sentencia, se debe tomar en cuenta lo contenido el párrafo 227 de la Sentencia con respecto a que “[…] la Corte estima razonable presumir q</w:t>
      </w:r>
      <w:r w:rsidR="005325E7">
        <w:rPr>
          <w:rFonts w:ascii="Verdana" w:hAnsi="Verdana" w:cs="Arial"/>
          <w:sz w:val="20"/>
          <w:szCs w:val="20"/>
          <w:lang w:val="es-ES"/>
        </w:rPr>
        <w:t>u</w:t>
      </w:r>
      <w:r w:rsidR="005325E7" w:rsidRPr="005325E7">
        <w:rPr>
          <w:rFonts w:ascii="Verdana" w:hAnsi="Verdana" w:cs="Arial"/>
          <w:sz w:val="20"/>
          <w:szCs w:val="20"/>
          <w:lang w:val="es-ES"/>
        </w:rPr>
        <w:t>e la v</w:t>
      </w:r>
      <w:r w:rsidR="005325E7">
        <w:rPr>
          <w:rFonts w:ascii="Verdana" w:hAnsi="Verdana" w:cs="Arial"/>
          <w:sz w:val="20"/>
          <w:szCs w:val="20"/>
          <w:lang w:val="es-ES"/>
        </w:rPr>
        <w:t>í</w:t>
      </w:r>
      <w:r w:rsidR="005325E7" w:rsidRPr="005325E7">
        <w:rPr>
          <w:rFonts w:ascii="Verdana" w:hAnsi="Verdana" w:cs="Arial"/>
          <w:sz w:val="20"/>
          <w:szCs w:val="20"/>
          <w:lang w:val="es-ES"/>
        </w:rPr>
        <w:t>ctima habría continuad</w:t>
      </w:r>
      <w:r w:rsidR="00F55770">
        <w:rPr>
          <w:rFonts w:ascii="Verdana" w:hAnsi="Verdana" w:cs="Arial"/>
          <w:sz w:val="20"/>
          <w:szCs w:val="20"/>
          <w:lang w:val="es-ES"/>
        </w:rPr>
        <w:t>o</w:t>
      </w:r>
      <w:r w:rsidR="005325E7" w:rsidRPr="005325E7">
        <w:rPr>
          <w:rFonts w:ascii="Verdana" w:hAnsi="Verdana" w:cs="Arial"/>
          <w:sz w:val="20"/>
          <w:szCs w:val="20"/>
          <w:lang w:val="es-ES"/>
        </w:rPr>
        <w:t xml:space="preserve"> en el ejército de no ser por los procesos a los que fue sometido […]”</w:t>
      </w:r>
      <w:r w:rsidR="00533BE5">
        <w:rPr>
          <w:rFonts w:ascii="Verdana" w:hAnsi="Verdana" w:cs="Arial"/>
          <w:sz w:val="20"/>
          <w:szCs w:val="20"/>
          <w:lang w:val="es-ES"/>
        </w:rPr>
        <w:t>.</w:t>
      </w:r>
      <w:r w:rsidR="005325E7" w:rsidRPr="005325E7">
        <w:rPr>
          <w:rFonts w:ascii="Verdana" w:hAnsi="Verdana" w:cs="Arial"/>
          <w:b/>
          <w:sz w:val="20"/>
          <w:szCs w:val="20"/>
          <w:lang w:val="es-ES"/>
        </w:rPr>
        <w:t xml:space="preserve"> </w:t>
      </w:r>
    </w:p>
    <w:p w14:paraId="0ED03CFD" w14:textId="7C12F26C" w:rsidR="00EF04D8" w:rsidRPr="00236941" w:rsidRDefault="00533BE5"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ES"/>
        </w:rPr>
      </w:pPr>
      <w:r>
        <w:rPr>
          <w:rFonts w:ascii="Verdana" w:hAnsi="Verdana" w:cs="Arial"/>
          <w:sz w:val="20"/>
          <w:szCs w:val="20"/>
          <w:lang w:val="es-ES"/>
        </w:rPr>
        <w:t>Por último, el señor Rosadio Villavicencio</w:t>
      </w:r>
      <w:r w:rsidR="00EF04D8" w:rsidRPr="005325E7">
        <w:rPr>
          <w:rFonts w:ascii="Verdana" w:hAnsi="Verdana" w:cs="Arial"/>
          <w:sz w:val="20"/>
          <w:szCs w:val="20"/>
          <w:lang w:val="es-ES"/>
        </w:rPr>
        <w:t xml:space="preserve"> realizó una serie de alegaciones relacionadas con</w:t>
      </w:r>
      <w:r w:rsidR="004D41A7" w:rsidRPr="005325E7">
        <w:rPr>
          <w:rFonts w:ascii="Verdana" w:hAnsi="Verdana" w:cs="Arial"/>
          <w:sz w:val="20"/>
          <w:szCs w:val="20"/>
          <w:lang w:val="es-ES"/>
        </w:rPr>
        <w:t xml:space="preserve">: 1) la reincorporación de la víctima a la situación </w:t>
      </w:r>
      <w:r w:rsidR="00D96E38">
        <w:rPr>
          <w:rFonts w:ascii="Verdana" w:hAnsi="Verdana" w:cs="Arial"/>
          <w:sz w:val="20"/>
          <w:szCs w:val="20"/>
          <w:lang w:val="es-ES"/>
        </w:rPr>
        <w:t>d</w:t>
      </w:r>
      <w:r w:rsidR="004D41A7" w:rsidRPr="005325E7">
        <w:rPr>
          <w:rFonts w:ascii="Verdana" w:hAnsi="Verdana" w:cs="Arial"/>
          <w:sz w:val="20"/>
          <w:szCs w:val="20"/>
          <w:lang w:val="es-ES"/>
        </w:rPr>
        <w:t>e servicio activo militar con los ascensos al grado inmediato superior de manera retroactiva; 2) la obligación de reparar integral y retroactivamente al afectado</w:t>
      </w:r>
      <w:r w:rsidR="004D41A7" w:rsidRPr="008A576C">
        <w:rPr>
          <w:rFonts w:ascii="Verdana" w:hAnsi="Verdana" w:cs="Arial"/>
          <w:sz w:val="20"/>
          <w:szCs w:val="20"/>
          <w:lang w:val="es-ES"/>
        </w:rPr>
        <w:t xml:space="preserve">; </w:t>
      </w:r>
      <w:r w:rsidR="004D41A7" w:rsidRPr="005325E7">
        <w:rPr>
          <w:rFonts w:ascii="Verdana" w:hAnsi="Verdana" w:cs="Arial"/>
          <w:sz w:val="20"/>
          <w:szCs w:val="20"/>
          <w:lang w:val="es-ES"/>
        </w:rPr>
        <w:t xml:space="preserve">3) la </w:t>
      </w:r>
      <w:r w:rsidR="00D96E38">
        <w:rPr>
          <w:rFonts w:ascii="Verdana" w:hAnsi="Verdana" w:cs="Arial"/>
          <w:sz w:val="20"/>
          <w:szCs w:val="20"/>
          <w:lang w:val="es-ES"/>
        </w:rPr>
        <w:t xml:space="preserve">supuesta </w:t>
      </w:r>
      <w:r w:rsidR="004D41A7" w:rsidRPr="005325E7">
        <w:rPr>
          <w:rFonts w:ascii="Verdana" w:hAnsi="Verdana" w:cs="Arial"/>
          <w:sz w:val="20"/>
          <w:szCs w:val="20"/>
          <w:lang w:val="es-ES"/>
        </w:rPr>
        <w:t xml:space="preserve">manera </w:t>
      </w:r>
      <w:r w:rsidR="005325E7" w:rsidRPr="005325E7">
        <w:rPr>
          <w:rFonts w:ascii="Verdana" w:hAnsi="Verdana" w:cs="Arial"/>
          <w:sz w:val="20"/>
          <w:szCs w:val="20"/>
          <w:lang w:val="es-ES"/>
        </w:rPr>
        <w:t>fraudulenta</w:t>
      </w:r>
      <w:r w:rsidR="004D41A7" w:rsidRPr="005325E7">
        <w:rPr>
          <w:rFonts w:ascii="Verdana" w:hAnsi="Verdana" w:cs="Arial"/>
          <w:sz w:val="20"/>
          <w:szCs w:val="20"/>
          <w:lang w:val="es-ES"/>
        </w:rPr>
        <w:t xml:space="preserve"> en que se realizó </w:t>
      </w:r>
      <w:r w:rsidR="005325E7" w:rsidRPr="005325E7">
        <w:rPr>
          <w:rFonts w:ascii="Verdana" w:hAnsi="Verdana" w:cs="Arial"/>
          <w:sz w:val="20"/>
          <w:szCs w:val="20"/>
          <w:lang w:val="es-ES"/>
        </w:rPr>
        <w:t>el pase a la situación de retiro de la víctima, y 4) la solicitud de una reparación integral en sede interna. Siendo así, solicitó que se desestime la solicitud de interpretación de Sentencia en cuanto a su pretensión de reiniciar nuevas investigaciones o de suprimir solamente los antecedentes judiciales; que se declare fundada la solicitud del Estado con respecto a que se aclare y precise el alcance de la Sentencia, y que se exprese de manera “clara y precisa” que el Estado debe reparar integralmente a la víctima.</w:t>
      </w:r>
    </w:p>
    <w:p w14:paraId="65C06304" w14:textId="77777777" w:rsidR="00236941" w:rsidRPr="005325E7" w:rsidRDefault="00236941" w:rsidP="00A24D53">
      <w:pPr>
        <w:widowControl w:val="0"/>
        <w:tabs>
          <w:tab w:val="left" w:pos="567"/>
        </w:tabs>
        <w:adjustRightInd w:val="0"/>
        <w:spacing w:before="120" w:after="120" w:line="240" w:lineRule="auto"/>
        <w:jc w:val="both"/>
        <w:textAlignment w:val="baseline"/>
        <w:rPr>
          <w:rFonts w:ascii="Verdana" w:hAnsi="Verdana"/>
          <w:sz w:val="20"/>
          <w:szCs w:val="20"/>
          <w:lang w:val="es-ES"/>
        </w:rPr>
      </w:pPr>
    </w:p>
    <w:p w14:paraId="20A377A2" w14:textId="77777777" w:rsidR="00F81FDD" w:rsidRPr="008946E0" w:rsidRDefault="00F81FDD" w:rsidP="00A24D53">
      <w:pPr>
        <w:pStyle w:val="Ttulo3"/>
        <w:numPr>
          <w:ilvl w:val="0"/>
          <w:numId w:val="0"/>
        </w:numPr>
        <w:spacing w:before="120" w:after="120"/>
        <w:rPr>
          <w:b w:val="0"/>
          <w:lang w:val="es-ES_tradnl"/>
        </w:rPr>
      </w:pPr>
      <w:r>
        <w:rPr>
          <w:b w:val="0"/>
          <w:lang w:val="es-ES_tradnl"/>
        </w:rPr>
        <w:tab/>
      </w:r>
      <w:r>
        <w:rPr>
          <w:b w:val="0"/>
          <w:lang w:val="es-ES_tradnl"/>
        </w:rPr>
        <w:tab/>
      </w:r>
      <w:r w:rsidRPr="008946E0">
        <w:rPr>
          <w:b w:val="0"/>
          <w:lang w:val="es-ES_tradnl"/>
        </w:rPr>
        <w:t xml:space="preserve">A.2. Consideraciones de la Corte </w:t>
      </w:r>
    </w:p>
    <w:p w14:paraId="3A3139E6" w14:textId="77777777" w:rsidR="00236941" w:rsidRDefault="00F81FDD"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8946E0">
        <w:rPr>
          <w:rFonts w:ascii="Verdana" w:eastAsia="Verdana" w:hAnsi="Verdana" w:cs="Verdana"/>
          <w:sz w:val="20"/>
          <w:szCs w:val="20"/>
          <w:lang w:val="es-ES" w:eastAsia="es-CR"/>
        </w:rPr>
        <w:t>En su Sentencia, la Corte</w:t>
      </w:r>
      <w:r w:rsidR="00D143EB" w:rsidRPr="008946E0">
        <w:rPr>
          <w:rFonts w:ascii="Verdana" w:eastAsia="Verdana" w:hAnsi="Verdana" w:cs="Verdana"/>
          <w:sz w:val="20"/>
          <w:szCs w:val="20"/>
          <w:lang w:val="es-ES" w:eastAsia="es-CR"/>
        </w:rPr>
        <w:t xml:space="preserve"> </w:t>
      </w:r>
      <w:r w:rsidR="00236941">
        <w:rPr>
          <w:rFonts w:ascii="Verdana" w:eastAsia="Verdana" w:hAnsi="Verdana" w:cs="Verdana"/>
          <w:sz w:val="20"/>
          <w:szCs w:val="20"/>
          <w:lang w:val="es-ES" w:eastAsia="es-CR"/>
        </w:rPr>
        <w:t>estableció que:</w:t>
      </w:r>
    </w:p>
    <w:p w14:paraId="0D87014D" w14:textId="77777777" w:rsidR="00236941" w:rsidRDefault="00236941" w:rsidP="00A24D53">
      <w:pPr>
        <w:widowControl w:val="0"/>
        <w:tabs>
          <w:tab w:val="left" w:pos="567"/>
        </w:tabs>
        <w:adjustRightInd w:val="0"/>
        <w:spacing w:before="120" w:after="120" w:line="240" w:lineRule="auto"/>
        <w:jc w:val="both"/>
        <w:textAlignment w:val="baseline"/>
        <w:rPr>
          <w:rFonts w:ascii="Verdana" w:eastAsia="Verdana" w:hAnsi="Verdana" w:cs="Verdana"/>
          <w:sz w:val="20"/>
          <w:szCs w:val="20"/>
          <w:lang w:val="es-ES" w:eastAsia="es-CR"/>
        </w:rPr>
      </w:pPr>
    </w:p>
    <w:p w14:paraId="0F49AB29" w14:textId="6F481F35"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r w:rsidRPr="00B67FD4">
        <w:rPr>
          <w:rFonts w:ascii="Verdana" w:eastAsia="Verdana" w:hAnsi="Verdana" w:cs="Verdana"/>
          <w:sz w:val="18"/>
          <w:szCs w:val="16"/>
          <w:lang w:val="es-ES" w:eastAsia="es-CR"/>
        </w:rPr>
        <w:t>223.</w:t>
      </w:r>
      <w:r w:rsidRPr="00B67FD4">
        <w:rPr>
          <w:rFonts w:ascii="Verdana" w:eastAsia="Verdana" w:hAnsi="Verdana" w:cs="Verdana"/>
          <w:sz w:val="18"/>
          <w:szCs w:val="16"/>
          <w:lang w:val="es-ES" w:eastAsia="es-CR"/>
        </w:rPr>
        <w:tab/>
        <w:t>En primer lugar, en esta Sentencia, la Corte declaró que el Estado violó los derechos del señor Rosadio a ser comunicado previamente y de forma detallada de la acusación, y a ser notificado, sin demora, de los cargos formulados en su contra, en lo que conc</w:t>
      </w:r>
      <w:r w:rsidR="008D05FD">
        <w:rPr>
          <w:rFonts w:ascii="Verdana" w:eastAsia="Verdana" w:hAnsi="Verdana" w:cs="Verdana"/>
          <w:sz w:val="18"/>
          <w:szCs w:val="16"/>
          <w:lang w:val="es-ES" w:eastAsia="es-CR"/>
        </w:rPr>
        <w:t xml:space="preserve">ierne los procesos </w:t>
      </w:r>
      <w:r w:rsidRPr="00B67FD4">
        <w:rPr>
          <w:rFonts w:ascii="Verdana" w:eastAsia="Verdana" w:hAnsi="Verdana" w:cs="Verdana"/>
          <w:sz w:val="18"/>
          <w:szCs w:val="16"/>
          <w:lang w:val="es-ES" w:eastAsia="es-CR"/>
        </w:rPr>
        <w:t xml:space="preserve">penal ordinario, penal militar y procedimiento disciplinario. Asimismo, en relación con el proceso disciplinario militar, el Estado también violó en su perjuicio el derecho a contar con un defensor, a ser oído, a contar con una debida motivación y el derecho a la defensa (supra párr. 161). Respecto del proceso penal ordinario, la Corte consideró que el Perú violó los derechos del señor Rosadio Villavicencio a un defensor idóneo (supra párr. 180). Finalmente, respecto del proceso penal militar, la Corte declaró que el Estado violó el principio de </w:t>
      </w:r>
      <w:proofErr w:type="spellStart"/>
      <w:r w:rsidRPr="00B67FD4">
        <w:rPr>
          <w:rFonts w:ascii="Verdana" w:eastAsia="Verdana" w:hAnsi="Verdana" w:cs="Verdana"/>
          <w:sz w:val="18"/>
          <w:szCs w:val="16"/>
          <w:lang w:val="es-ES" w:eastAsia="es-CR"/>
        </w:rPr>
        <w:t>ne</w:t>
      </w:r>
      <w:proofErr w:type="spellEnd"/>
      <w:r w:rsidRPr="00B67FD4">
        <w:rPr>
          <w:rFonts w:ascii="Verdana" w:eastAsia="Verdana" w:hAnsi="Verdana" w:cs="Verdana"/>
          <w:sz w:val="18"/>
          <w:szCs w:val="16"/>
          <w:lang w:val="es-ES" w:eastAsia="es-CR"/>
        </w:rPr>
        <w:t xml:space="preserve"> bis in </w:t>
      </w:r>
      <w:proofErr w:type="spellStart"/>
      <w:r w:rsidRPr="00B67FD4">
        <w:rPr>
          <w:rFonts w:ascii="Verdana" w:eastAsia="Verdana" w:hAnsi="Verdana" w:cs="Verdana"/>
          <w:sz w:val="18"/>
          <w:szCs w:val="16"/>
          <w:lang w:val="es-ES" w:eastAsia="es-CR"/>
        </w:rPr>
        <w:t>idem</w:t>
      </w:r>
      <w:proofErr w:type="spellEnd"/>
      <w:r w:rsidRPr="00B67FD4">
        <w:rPr>
          <w:rFonts w:ascii="Verdana" w:eastAsia="Verdana" w:hAnsi="Verdana" w:cs="Verdana"/>
          <w:sz w:val="18"/>
          <w:szCs w:val="16"/>
          <w:lang w:val="es-ES" w:eastAsia="es-CR"/>
        </w:rPr>
        <w:t xml:space="preserve">, además de que no garantizó que el señor Rosadio fuera juzgado por un tribunal imparcial. </w:t>
      </w:r>
    </w:p>
    <w:p w14:paraId="1838029D"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p>
    <w:p w14:paraId="37C8F5C9"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r w:rsidRPr="00B67FD4">
        <w:rPr>
          <w:rFonts w:ascii="Verdana" w:eastAsia="Verdana" w:hAnsi="Verdana" w:cs="Verdana"/>
          <w:sz w:val="18"/>
          <w:szCs w:val="16"/>
          <w:lang w:val="es-ES" w:eastAsia="es-CR"/>
        </w:rPr>
        <w:t>224.</w:t>
      </w:r>
      <w:r w:rsidRPr="00B67FD4">
        <w:rPr>
          <w:rFonts w:ascii="Verdana" w:eastAsia="Verdana" w:hAnsi="Verdana" w:cs="Verdana"/>
          <w:sz w:val="18"/>
          <w:szCs w:val="16"/>
          <w:lang w:val="es-ES" w:eastAsia="es-CR"/>
        </w:rPr>
        <w:tab/>
        <w:t>Por lo tanto, dadas las características del presente caso, y tal como lo ha hecho esta Co</w:t>
      </w:r>
      <w:r w:rsidR="005C0D31" w:rsidRPr="00B67FD4">
        <w:rPr>
          <w:rFonts w:ascii="Verdana" w:eastAsia="Verdana" w:hAnsi="Verdana" w:cs="Verdana"/>
          <w:sz w:val="18"/>
          <w:szCs w:val="16"/>
          <w:lang w:val="es-ES" w:eastAsia="es-CR"/>
        </w:rPr>
        <w:t>rte en ocasiones anteriores</w:t>
      </w:r>
      <w:r w:rsidRPr="00B67FD4">
        <w:rPr>
          <w:rFonts w:ascii="Verdana" w:eastAsia="Verdana" w:hAnsi="Verdana" w:cs="Verdana"/>
          <w:sz w:val="18"/>
          <w:szCs w:val="16"/>
          <w:lang w:val="es-ES" w:eastAsia="es-CR"/>
        </w:rPr>
        <w:t>, dispone que el Estado debe adoptar, en el plazo de seis meses a partir de la notificación de la presente Sentencia, todas las medidas judiciales, administrativas o de cualquier otra índole necesarias para dejar sin efecto las sentencias de condena que fueron emitidas en los procesos penal ordinario, penal militar y el procedimiento disciplinario en todos sus extremos, así como para suprimir los antecedentes judiciales o disciplinarios, penales o militares, que existan en su cont</w:t>
      </w:r>
      <w:r w:rsidR="005C0D31" w:rsidRPr="00B67FD4">
        <w:rPr>
          <w:rFonts w:ascii="Verdana" w:eastAsia="Verdana" w:hAnsi="Verdana" w:cs="Verdana"/>
          <w:sz w:val="18"/>
          <w:szCs w:val="16"/>
          <w:lang w:val="es-ES" w:eastAsia="es-CR"/>
        </w:rPr>
        <w:t>ra a raíz de dichos procesos</w:t>
      </w:r>
      <w:r w:rsidRPr="00B67FD4">
        <w:rPr>
          <w:rFonts w:ascii="Verdana" w:eastAsia="Verdana" w:hAnsi="Verdana" w:cs="Verdana"/>
          <w:sz w:val="18"/>
          <w:szCs w:val="16"/>
          <w:lang w:val="es-ES" w:eastAsia="es-CR"/>
        </w:rPr>
        <w:t xml:space="preserve">. </w:t>
      </w:r>
    </w:p>
    <w:p w14:paraId="3389F510"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p>
    <w:p w14:paraId="4E8B46DF"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r w:rsidRPr="00B67FD4">
        <w:rPr>
          <w:rFonts w:ascii="Verdana" w:eastAsia="Verdana" w:hAnsi="Verdana" w:cs="Verdana"/>
          <w:sz w:val="18"/>
          <w:szCs w:val="16"/>
          <w:lang w:val="es-ES" w:eastAsia="es-CR"/>
        </w:rPr>
        <w:t>225.</w:t>
      </w:r>
      <w:r w:rsidRPr="00B67FD4">
        <w:rPr>
          <w:rFonts w:ascii="Verdana" w:eastAsia="Verdana" w:hAnsi="Verdana" w:cs="Verdana"/>
          <w:sz w:val="18"/>
          <w:szCs w:val="16"/>
          <w:lang w:val="es-ES" w:eastAsia="es-CR"/>
        </w:rPr>
        <w:tab/>
        <w:t xml:space="preserve">La Corte advierte que, en este caso, al momento de emisión de la presente Sentencia, el señor Jorge Enrique Rosadio Villavicencio ya ha cumplido con la totalidad de sus condenas y se encuentra en libertad. La Corte tomará en cuenta este punto al momento de pronunciarse sobre el daño material e inmaterial. </w:t>
      </w:r>
    </w:p>
    <w:p w14:paraId="502AAD9B"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p>
    <w:p w14:paraId="1052EFEC"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r w:rsidRPr="00B67FD4">
        <w:rPr>
          <w:rFonts w:ascii="Verdana" w:eastAsia="Verdana" w:hAnsi="Verdana" w:cs="Verdana"/>
          <w:sz w:val="18"/>
          <w:szCs w:val="16"/>
          <w:lang w:val="es-ES" w:eastAsia="es-CR"/>
        </w:rPr>
        <w:t>226.</w:t>
      </w:r>
      <w:r w:rsidRPr="00B67FD4">
        <w:rPr>
          <w:rFonts w:ascii="Verdana" w:eastAsia="Verdana" w:hAnsi="Verdana" w:cs="Verdana"/>
          <w:sz w:val="18"/>
          <w:szCs w:val="16"/>
          <w:lang w:val="es-ES" w:eastAsia="es-CR"/>
        </w:rPr>
        <w:tab/>
        <w:t>En segundo lugar, con respecto a la solicitud de restitución a la carrera militar, el representante no proporcionó al Tribunal elementos de prueba idóneos y suficientes para realizar tales determinaciones, por lo que esta Corte considera que no cuenta con los elementos de convicción necesarios para ordenar una medida de reparación de tal naturaleza.</w:t>
      </w:r>
    </w:p>
    <w:p w14:paraId="58CAF7B1"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p>
    <w:p w14:paraId="7D8D1BA9" w14:textId="77777777" w:rsidR="00236941" w:rsidRPr="00B67FD4" w:rsidRDefault="00236941" w:rsidP="00A24D53">
      <w:pPr>
        <w:widowControl w:val="0"/>
        <w:tabs>
          <w:tab w:val="left" w:pos="567"/>
        </w:tabs>
        <w:adjustRightInd w:val="0"/>
        <w:spacing w:before="120" w:after="120" w:line="240" w:lineRule="auto"/>
        <w:ind w:left="964" w:right="680"/>
        <w:jc w:val="both"/>
        <w:textAlignment w:val="baseline"/>
        <w:rPr>
          <w:rFonts w:ascii="Verdana" w:eastAsia="Verdana" w:hAnsi="Verdana" w:cs="Verdana"/>
          <w:sz w:val="18"/>
          <w:szCs w:val="16"/>
          <w:lang w:val="es-ES" w:eastAsia="es-CR"/>
        </w:rPr>
      </w:pPr>
      <w:r w:rsidRPr="00B67FD4">
        <w:rPr>
          <w:rFonts w:ascii="Verdana" w:eastAsia="Verdana" w:hAnsi="Verdana" w:cs="Verdana"/>
          <w:sz w:val="18"/>
          <w:szCs w:val="16"/>
          <w:lang w:val="es-ES" w:eastAsia="es-CR"/>
        </w:rPr>
        <w:t>227.</w:t>
      </w:r>
      <w:r w:rsidRPr="00B67FD4">
        <w:rPr>
          <w:rFonts w:ascii="Verdana" w:eastAsia="Verdana" w:hAnsi="Verdana" w:cs="Verdana"/>
          <w:sz w:val="18"/>
          <w:szCs w:val="16"/>
          <w:lang w:val="es-ES" w:eastAsia="es-CR"/>
        </w:rPr>
        <w:tab/>
        <w:t>No obstante, lo anterior, la Corte estima razonable presumir que la víctima habría continuado en el Ejército de no ser por los procesos a los cuales fue sometido. Este punto será tomado en cuenta al momento de fijar las indemnizaciones por daño material e inmaterial infra.</w:t>
      </w:r>
    </w:p>
    <w:p w14:paraId="296B24D9" w14:textId="57423B0A" w:rsidR="00A24D53" w:rsidRDefault="00A24D53">
      <w:pPr>
        <w:rPr>
          <w:rFonts w:ascii="Verdana" w:eastAsia="Verdana" w:hAnsi="Verdana" w:cs="Verdana"/>
          <w:sz w:val="20"/>
          <w:szCs w:val="20"/>
          <w:lang w:val="es-ES" w:eastAsia="es-CR"/>
        </w:rPr>
      </w:pPr>
      <w:r>
        <w:rPr>
          <w:rFonts w:ascii="Verdana" w:eastAsia="Verdana" w:hAnsi="Verdana" w:cs="Verdana"/>
          <w:sz w:val="20"/>
          <w:szCs w:val="20"/>
          <w:lang w:val="es-ES" w:eastAsia="es-CR"/>
        </w:rPr>
        <w:br w:type="page"/>
      </w:r>
    </w:p>
    <w:p w14:paraId="0E715574" w14:textId="6B782CA4" w:rsidR="00236941" w:rsidRDefault="00236941"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Con fundamento en las consideraciones anteriores, </w:t>
      </w:r>
      <w:r w:rsidR="00AD345C">
        <w:rPr>
          <w:rFonts w:ascii="Verdana" w:eastAsia="Verdana" w:hAnsi="Verdana" w:cs="Verdana"/>
          <w:sz w:val="20"/>
          <w:szCs w:val="20"/>
          <w:lang w:val="es-ES" w:eastAsia="es-CR"/>
        </w:rPr>
        <w:t xml:space="preserve">la Corte </w:t>
      </w:r>
      <w:r>
        <w:rPr>
          <w:rFonts w:ascii="Verdana" w:eastAsia="Verdana" w:hAnsi="Verdana" w:cs="Verdana"/>
          <w:sz w:val="20"/>
          <w:szCs w:val="20"/>
          <w:lang w:val="es-ES" w:eastAsia="es-CR"/>
        </w:rPr>
        <w:t>dispuso en el punto resolutivo vigésimo:</w:t>
      </w:r>
    </w:p>
    <w:p w14:paraId="2CE7F498" w14:textId="77777777" w:rsidR="00E83969" w:rsidRPr="008946E0" w:rsidRDefault="00E83969" w:rsidP="00A24D53">
      <w:pPr>
        <w:widowControl w:val="0"/>
        <w:tabs>
          <w:tab w:val="left" w:pos="567"/>
        </w:tabs>
        <w:adjustRightInd w:val="0"/>
        <w:spacing w:before="120" w:after="120" w:line="240" w:lineRule="auto"/>
        <w:jc w:val="both"/>
        <w:textAlignment w:val="baseline"/>
        <w:rPr>
          <w:rFonts w:ascii="Verdana" w:eastAsia="Verdana" w:hAnsi="Verdana" w:cs="Verdana"/>
          <w:sz w:val="20"/>
          <w:szCs w:val="20"/>
          <w:lang w:val="es-ES" w:eastAsia="es-CR"/>
        </w:rPr>
      </w:pPr>
    </w:p>
    <w:p w14:paraId="599F4090" w14:textId="68AA94D2" w:rsidR="00E83969" w:rsidRPr="00B67FD4" w:rsidRDefault="00E55787" w:rsidP="00A24D53">
      <w:pPr>
        <w:spacing w:before="120" w:after="120" w:line="240" w:lineRule="auto"/>
        <w:ind w:left="964" w:right="680"/>
        <w:jc w:val="both"/>
        <w:rPr>
          <w:rFonts w:ascii="Verdana" w:eastAsia="Times New Roman" w:hAnsi="Verdana" w:cs="Times New Roman"/>
          <w:sz w:val="18"/>
          <w:szCs w:val="16"/>
          <w:lang w:val="es-ES"/>
        </w:rPr>
      </w:pPr>
      <w:r>
        <w:rPr>
          <w:rFonts w:ascii="Verdana" w:eastAsia="Times New Roman" w:hAnsi="Verdana" w:cs="Times New Roman"/>
          <w:sz w:val="18"/>
          <w:szCs w:val="16"/>
          <w:lang w:val="es-ES"/>
        </w:rPr>
        <w:t xml:space="preserve">20. </w:t>
      </w:r>
      <w:r w:rsidR="0024649D" w:rsidRPr="00B67FD4">
        <w:rPr>
          <w:rFonts w:ascii="Verdana" w:eastAsia="Times New Roman" w:hAnsi="Verdana" w:cs="Times New Roman"/>
          <w:sz w:val="18"/>
          <w:szCs w:val="16"/>
          <w:lang w:val="es-ES"/>
        </w:rPr>
        <w:t>El Estado adoptará en el plazo de seis m</w:t>
      </w:r>
      <w:r w:rsidR="00236941" w:rsidRPr="00B67FD4">
        <w:rPr>
          <w:rFonts w:ascii="Verdana" w:eastAsia="Times New Roman" w:hAnsi="Verdana" w:cs="Times New Roman"/>
          <w:sz w:val="18"/>
          <w:szCs w:val="16"/>
          <w:lang w:val="es-ES"/>
        </w:rPr>
        <w:t>eses a partir de la notificació</w:t>
      </w:r>
      <w:r w:rsidR="0024649D" w:rsidRPr="00B67FD4">
        <w:rPr>
          <w:rFonts w:ascii="Verdana" w:eastAsia="Times New Roman" w:hAnsi="Verdana" w:cs="Times New Roman"/>
          <w:sz w:val="18"/>
          <w:szCs w:val="16"/>
          <w:lang w:val="es-ES"/>
        </w:rPr>
        <w:t>n de la presente Sentencia, todas las medidas judiciales, admini</w:t>
      </w:r>
      <w:r w:rsidR="00236941" w:rsidRPr="00B67FD4">
        <w:rPr>
          <w:rFonts w:ascii="Verdana" w:eastAsia="Times New Roman" w:hAnsi="Verdana" w:cs="Times New Roman"/>
          <w:sz w:val="18"/>
          <w:szCs w:val="16"/>
          <w:lang w:val="es-ES"/>
        </w:rPr>
        <w:t>strativas o de cualquier otra í</w:t>
      </w:r>
      <w:r w:rsidR="0024649D" w:rsidRPr="00B67FD4">
        <w:rPr>
          <w:rFonts w:ascii="Verdana" w:eastAsia="Times New Roman" w:hAnsi="Verdana" w:cs="Times New Roman"/>
          <w:sz w:val="18"/>
          <w:szCs w:val="16"/>
          <w:lang w:val="es-ES"/>
        </w:rPr>
        <w:t>ndole necesarias para dejar sin efecto las sentencias de condena que fueron emitidas en los procesos penal ordinario, penal militar y el procedimiento disciplin</w:t>
      </w:r>
      <w:r w:rsidR="00236941" w:rsidRPr="00B67FD4">
        <w:rPr>
          <w:rFonts w:ascii="Verdana" w:eastAsia="Times New Roman" w:hAnsi="Verdana" w:cs="Times New Roman"/>
          <w:sz w:val="18"/>
          <w:szCs w:val="16"/>
          <w:lang w:val="es-ES"/>
        </w:rPr>
        <w:t>ario en todos sus extremos, así</w:t>
      </w:r>
      <w:r w:rsidR="0024649D" w:rsidRPr="00B67FD4">
        <w:rPr>
          <w:rFonts w:ascii="Verdana" w:eastAsia="Times New Roman" w:hAnsi="Verdana" w:cs="Times New Roman"/>
          <w:sz w:val="18"/>
          <w:szCs w:val="16"/>
          <w:lang w:val="es-ES"/>
        </w:rPr>
        <w:t xml:space="preserve"> como para suprimir los antecedentes judiciales o disciplinarios, penales o militares, que existan en su cont</w:t>
      </w:r>
      <w:r w:rsidR="00236941" w:rsidRPr="00B67FD4">
        <w:rPr>
          <w:rFonts w:ascii="Verdana" w:eastAsia="Times New Roman" w:hAnsi="Verdana" w:cs="Times New Roman"/>
          <w:sz w:val="18"/>
          <w:szCs w:val="16"/>
          <w:lang w:val="es-ES"/>
        </w:rPr>
        <w:t>ra a raíz de dichos procesos, en los términos de los pá</w:t>
      </w:r>
      <w:r w:rsidR="0024649D" w:rsidRPr="00B67FD4">
        <w:rPr>
          <w:rFonts w:ascii="Verdana" w:eastAsia="Times New Roman" w:hAnsi="Verdana" w:cs="Times New Roman"/>
          <w:sz w:val="18"/>
          <w:szCs w:val="16"/>
          <w:lang w:val="es-ES"/>
        </w:rPr>
        <w:t>rrafos 223 al 227 de esta Sentencia.</w:t>
      </w:r>
    </w:p>
    <w:p w14:paraId="4D7CA9E1" w14:textId="77777777" w:rsidR="008946E0" w:rsidRDefault="008946E0" w:rsidP="00A24D53">
      <w:pPr>
        <w:spacing w:before="120" w:after="120" w:line="240" w:lineRule="auto"/>
        <w:ind w:left="708"/>
        <w:jc w:val="both"/>
        <w:rPr>
          <w:rFonts w:ascii="Verdana" w:eastAsia="Times New Roman" w:hAnsi="Verdana" w:cs="Times New Roman"/>
          <w:sz w:val="18"/>
          <w:szCs w:val="20"/>
          <w:lang w:val="es-ES"/>
        </w:rPr>
      </w:pPr>
    </w:p>
    <w:p w14:paraId="7DE6DDF4" w14:textId="77777777" w:rsidR="00A24D53" w:rsidRPr="008946E0" w:rsidRDefault="00A24D53" w:rsidP="00A24D53">
      <w:pPr>
        <w:spacing w:before="120" w:after="120" w:line="240" w:lineRule="auto"/>
        <w:ind w:left="708"/>
        <w:jc w:val="both"/>
        <w:rPr>
          <w:rFonts w:ascii="Verdana" w:eastAsia="Times New Roman" w:hAnsi="Verdana" w:cs="Times New Roman"/>
          <w:sz w:val="18"/>
          <w:szCs w:val="20"/>
          <w:lang w:val="es-ES"/>
        </w:rPr>
      </w:pPr>
    </w:p>
    <w:p w14:paraId="3A3D1376" w14:textId="5A3455EC" w:rsidR="00C577B3" w:rsidRPr="00C577B3" w:rsidRDefault="00E97BFB"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8946E0">
        <w:rPr>
          <w:rFonts w:ascii="Verdana" w:hAnsi="Verdana"/>
          <w:sz w:val="20"/>
          <w:szCs w:val="20"/>
          <w:lang w:val="es-ES"/>
        </w:rPr>
        <w:t xml:space="preserve">En </w:t>
      </w:r>
      <w:r w:rsidR="000C26C2">
        <w:rPr>
          <w:rFonts w:ascii="Verdana" w:hAnsi="Verdana"/>
          <w:sz w:val="20"/>
          <w:szCs w:val="20"/>
          <w:lang w:val="es-ES"/>
        </w:rPr>
        <w:t>virtud de lo solicitado por el Estado</w:t>
      </w:r>
      <w:r w:rsidR="00E55787">
        <w:rPr>
          <w:rFonts w:ascii="Verdana" w:hAnsi="Verdana"/>
          <w:sz w:val="20"/>
          <w:szCs w:val="20"/>
          <w:lang w:val="es-ES"/>
        </w:rPr>
        <w:t>,</w:t>
      </w:r>
      <w:r w:rsidR="000C26C2">
        <w:rPr>
          <w:rFonts w:ascii="Verdana" w:hAnsi="Verdana"/>
          <w:sz w:val="20"/>
          <w:szCs w:val="20"/>
          <w:lang w:val="es-ES"/>
        </w:rPr>
        <w:t xml:space="preserve"> la Corte considera pertinente aclarar </w:t>
      </w:r>
      <w:r w:rsidR="000C26C2" w:rsidRPr="008A2975">
        <w:rPr>
          <w:rFonts w:ascii="Verdana" w:hAnsi="Verdana"/>
          <w:sz w:val="20"/>
          <w:szCs w:val="20"/>
        </w:rPr>
        <w:t>el sentido de la</w:t>
      </w:r>
      <w:r w:rsidR="000C26C2">
        <w:rPr>
          <w:rFonts w:ascii="Verdana" w:hAnsi="Verdana"/>
          <w:sz w:val="20"/>
          <w:szCs w:val="20"/>
        </w:rPr>
        <w:t>s</w:t>
      </w:r>
      <w:r w:rsidR="000C26C2" w:rsidRPr="008A2975">
        <w:rPr>
          <w:rFonts w:ascii="Verdana" w:hAnsi="Verdana"/>
          <w:sz w:val="20"/>
          <w:szCs w:val="20"/>
        </w:rPr>
        <w:t xml:space="preserve"> medida</w:t>
      </w:r>
      <w:r w:rsidR="000C26C2">
        <w:rPr>
          <w:rFonts w:ascii="Verdana" w:hAnsi="Verdana"/>
          <w:sz w:val="20"/>
          <w:szCs w:val="20"/>
        </w:rPr>
        <w:t>s</w:t>
      </w:r>
      <w:r w:rsidR="000C26C2" w:rsidRPr="008A2975">
        <w:rPr>
          <w:rFonts w:ascii="Verdana" w:hAnsi="Verdana"/>
          <w:sz w:val="20"/>
          <w:szCs w:val="20"/>
        </w:rPr>
        <w:t xml:space="preserve"> de reparación ordenada</w:t>
      </w:r>
      <w:r w:rsidR="00D36999">
        <w:rPr>
          <w:rFonts w:ascii="Verdana" w:hAnsi="Verdana"/>
          <w:sz w:val="20"/>
          <w:szCs w:val="20"/>
        </w:rPr>
        <w:t>s</w:t>
      </w:r>
      <w:r w:rsidR="000C26C2" w:rsidRPr="008A2975">
        <w:rPr>
          <w:rFonts w:ascii="Verdana" w:hAnsi="Verdana"/>
          <w:sz w:val="20"/>
          <w:szCs w:val="20"/>
        </w:rPr>
        <w:t xml:space="preserve"> en el punto resolutivo </w:t>
      </w:r>
      <w:r w:rsidR="00E55787">
        <w:rPr>
          <w:rFonts w:ascii="Verdana" w:hAnsi="Verdana"/>
          <w:sz w:val="20"/>
          <w:szCs w:val="20"/>
        </w:rPr>
        <w:t>vigésimo</w:t>
      </w:r>
      <w:r w:rsidR="000C26C2" w:rsidRPr="008A2975">
        <w:rPr>
          <w:rFonts w:ascii="Verdana" w:hAnsi="Verdana"/>
          <w:sz w:val="20"/>
          <w:szCs w:val="20"/>
        </w:rPr>
        <w:t xml:space="preserve"> de la Sentencia.</w:t>
      </w:r>
      <w:r w:rsidR="000C26C2">
        <w:rPr>
          <w:rFonts w:ascii="Verdana" w:hAnsi="Verdana"/>
          <w:sz w:val="20"/>
          <w:szCs w:val="20"/>
        </w:rPr>
        <w:t xml:space="preserve"> </w:t>
      </w:r>
      <w:r w:rsidR="00CF31B2">
        <w:rPr>
          <w:rFonts w:ascii="Verdana" w:hAnsi="Verdana"/>
          <w:sz w:val="20"/>
          <w:szCs w:val="20"/>
          <w:lang w:val="es-ES"/>
        </w:rPr>
        <w:t>E</w:t>
      </w:r>
      <w:r w:rsidR="00236941">
        <w:rPr>
          <w:rFonts w:ascii="Verdana" w:hAnsi="Verdana"/>
          <w:sz w:val="20"/>
          <w:szCs w:val="20"/>
          <w:lang w:val="es-ES"/>
        </w:rPr>
        <w:t xml:space="preserve">l </w:t>
      </w:r>
      <w:r w:rsidRPr="008946E0">
        <w:rPr>
          <w:rFonts w:ascii="Verdana" w:hAnsi="Verdana"/>
          <w:sz w:val="20"/>
          <w:szCs w:val="20"/>
          <w:lang w:val="es-ES"/>
        </w:rPr>
        <w:t xml:space="preserve">párrafo 224 </w:t>
      </w:r>
      <w:r w:rsidR="00236941">
        <w:rPr>
          <w:rFonts w:ascii="Verdana" w:hAnsi="Verdana"/>
          <w:sz w:val="20"/>
          <w:szCs w:val="20"/>
          <w:lang w:val="es-ES"/>
        </w:rPr>
        <w:t xml:space="preserve">de la Sentencia </w:t>
      </w:r>
      <w:r w:rsidR="000C26C2">
        <w:rPr>
          <w:rFonts w:ascii="Verdana" w:hAnsi="Verdana"/>
          <w:sz w:val="20"/>
          <w:szCs w:val="20"/>
          <w:lang w:val="es-ES"/>
        </w:rPr>
        <w:t xml:space="preserve">señala </w:t>
      </w:r>
      <w:r w:rsidRPr="008946E0">
        <w:rPr>
          <w:rFonts w:ascii="Verdana" w:hAnsi="Verdana"/>
          <w:sz w:val="20"/>
          <w:szCs w:val="20"/>
          <w:lang w:val="es-ES"/>
        </w:rPr>
        <w:t xml:space="preserve">que el Estado debe </w:t>
      </w:r>
      <w:r w:rsidR="005C0D31">
        <w:rPr>
          <w:rFonts w:ascii="Verdana" w:hAnsi="Verdana"/>
          <w:sz w:val="20"/>
          <w:szCs w:val="20"/>
          <w:lang w:val="es-ES"/>
        </w:rPr>
        <w:t xml:space="preserve">adoptar las medidas de cualquier índole necesarias para </w:t>
      </w:r>
      <w:r w:rsidRPr="008946E0">
        <w:rPr>
          <w:rFonts w:ascii="Verdana" w:hAnsi="Verdana"/>
          <w:sz w:val="20"/>
          <w:szCs w:val="20"/>
          <w:lang w:val="es-ES"/>
        </w:rPr>
        <w:t xml:space="preserve">“dejar sin efecto las sentencias de condena que fueron emitidas en los procesos penal ordinario, penal militar y el procedimiento disciplinario en todos </w:t>
      </w:r>
      <w:r w:rsidR="00236941">
        <w:rPr>
          <w:rFonts w:ascii="Verdana" w:hAnsi="Verdana"/>
          <w:sz w:val="20"/>
          <w:szCs w:val="20"/>
        </w:rPr>
        <w:t>sus extremos” y</w:t>
      </w:r>
      <w:r w:rsidR="005C0D31">
        <w:rPr>
          <w:rFonts w:ascii="Verdana" w:hAnsi="Verdana"/>
          <w:sz w:val="20"/>
          <w:szCs w:val="20"/>
        </w:rPr>
        <w:t xml:space="preserve"> para</w:t>
      </w:r>
      <w:r w:rsidR="00236941">
        <w:rPr>
          <w:rFonts w:ascii="Verdana" w:hAnsi="Verdana"/>
          <w:sz w:val="20"/>
          <w:szCs w:val="20"/>
        </w:rPr>
        <w:t xml:space="preserve"> “suprimir los ante</w:t>
      </w:r>
      <w:r w:rsidRPr="008946E0">
        <w:rPr>
          <w:rFonts w:ascii="Verdana" w:hAnsi="Verdana"/>
          <w:sz w:val="20"/>
          <w:szCs w:val="20"/>
        </w:rPr>
        <w:t>cedentes judiciales o disc</w:t>
      </w:r>
      <w:r w:rsidR="00236941">
        <w:rPr>
          <w:rFonts w:ascii="Verdana" w:hAnsi="Verdana"/>
          <w:sz w:val="20"/>
          <w:szCs w:val="20"/>
        </w:rPr>
        <w:t>i</w:t>
      </w:r>
      <w:r w:rsidRPr="008946E0">
        <w:rPr>
          <w:rFonts w:ascii="Verdana" w:hAnsi="Verdana"/>
          <w:sz w:val="20"/>
          <w:szCs w:val="20"/>
        </w:rPr>
        <w:t xml:space="preserve">plinarios, penales o militares, que existan […] a raíz de dichos procesos”. </w:t>
      </w:r>
      <w:r w:rsidR="000C26C2">
        <w:rPr>
          <w:rFonts w:ascii="Verdana" w:hAnsi="Verdana"/>
          <w:sz w:val="20"/>
          <w:szCs w:val="20"/>
        </w:rPr>
        <w:t>Se trata</w:t>
      </w:r>
      <w:r w:rsidR="00C577B3">
        <w:rPr>
          <w:rFonts w:ascii="Verdana" w:hAnsi="Verdana"/>
          <w:sz w:val="20"/>
          <w:szCs w:val="20"/>
        </w:rPr>
        <w:t>,</w:t>
      </w:r>
      <w:r w:rsidR="000C26C2">
        <w:rPr>
          <w:rFonts w:ascii="Verdana" w:hAnsi="Verdana"/>
          <w:sz w:val="20"/>
          <w:szCs w:val="20"/>
        </w:rPr>
        <w:t xml:space="preserve"> por lo tanto</w:t>
      </w:r>
      <w:r w:rsidR="00C577B3">
        <w:rPr>
          <w:rFonts w:ascii="Verdana" w:hAnsi="Verdana"/>
          <w:sz w:val="20"/>
          <w:szCs w:val="20"/>
        </w:rPr>
        <w:t>,</w:t>
      </w:r>
      <w:r w:rsidR="000C26C2">
        <w:rPr>
          <w:rFonts w:ascii="Verdana" w:hAnsi="Verdana"/>
          <w:sz w:val="20"/>
          <w:szCs w:val="20"/>
        </w:rPr>
        <w:t xml:space="preserve"> de dos medidas de reparación </w:t>
      </w:r>
      <w:r w:rsidR="00C577B3">
        <w:rPr>
          <w:rFonts w:ascii="Verdana" w:hAnsi="Verdana"/>
          <w:sz w:val="20"/>
          <w:szCs w:val="20"/>
        </w:rPr>
        <w:t xml:space="preserve">diferentes que no pueden ser confundidas en cuanto a su alcance y efectos. </w:t>
      </w:r>
    </w:p>
    <w:p w14:paraId="7B4AA5D8" w14:textId="77777777" w:rsidR="00C577B3" w:rsidRPr="00C577B3" w:rsidRDefault="00C577B3" w:rsidP="00A24D53">
      <w:pPr>
        <w:widowControl w:val="0"/>
        <w:tabs>
          <w:tab w:val="left" w:pos="567"/>
        </w:tabs>
        <w:adjustRightInd w:val="0"/>
        <w:spacing w:before="120" w:after="120" w:line="240" w:lineRule="auto"/>
        <w:jc w:val="both"/>
        <w:textAlignment w:val="baseline"/>
        <w:rPr>
          <w:rFonts w:ascii="Verdana" w:eastAsia="Verdana" w:hAnsi="Verdana" w:cs="Verdana"/>
          <w:sz w:val="20"/>
          <w:szCs w:val="20"/>
          <w:lang w:val="es-ES" w:eastAsia="es-CR"/>
        </w:rPr>
      </w:pPr>
    </w:p>
    <w:p w14:paraId="28566681" w14:textId="7DEB21D3" w:rsidR="00C577B3" w:rsidRDefault="00C577B3"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Ahora bien, la forma</w:t>
      </w:r>
      <w:r w:rsidR="00E55787">
        <w:rPr>
          <w:rFonts w:ascii="Verdana" w:hAnsi="Verdana"/>
          <w:sz w:val="20"/>
          <w:szCs w:val="20"/>
        </w:rPr>
        <w:t xml:space="preserve"> en</w:t>
      </w:r>
      <w:r>
        <w:rPr>
          <w:rFonts w:ascii="Verdana" w:hAnsi="Verdana"/>
          <w:sz w:val="20"/>
          <w:szCs w:val="20"/>
        </w:rPr>
        <w:t xml:space="preserve"> cómo debe implementarse la medida de dejar sin efectos las sentencias emitidas en contra del señor Rosadio Villavicencio en los procesos penal ordinario, penal militar y en el procedimiento disciplinario</w:t>
      </w:r>
      <w:r w:rsidR="00E55787">
        <w:rPr>
          <w:rFonts w:ascii="Verdana" w:hAnsi="Verdana"/>
          <w:sz w:val="20"/>
          <w:szCs w:val="20"/>
        </w:rPr>
        <w:t>,</w:t>
      </w:r>
      <w:r>
        <w:rPr>
          <w:rFonts w:ascii="Verdana" w:hAnsi="Verdana"/>
          <w:sz w:val="20"/>
          <w:szCs w:val="20"/>
        </w:rPr>
        <w:t xml:space="preserve"> puede ser mediante la declaratoria de nulidad de dichos procesos e</w:t>
      </w:r>
      <w:r w:rsidR="00B50ADB">
        <w:rPr>
          <w:rFonts w:ascii="Verdana" w:hAnsi="Verdana"/>
          <w:sz w:val="20"/>
          <w:szCs w:val="20"/>
        </w:rPr>
        <w:t>n</w:t>
      </w:r>
      <w:r>
        <w:rPr>
          <w:rFonts w:ascii="Verdana" w:hAnsi="Verdana"/>
          <w:sz w:val="20"/>
          <w:szCs w:val="20"/>
        </w:rPr>
        <w:t xml:space="preserve"> sede interna, como plantea el Estado en su solicitud de interpretación. No obstante, tal declaratoria de nulidad no puede tener como consecuencia la apertura de nuevos procesos en contra de la víc</w:t>
      </w:r>
      <w:r w:rsidR="00FE0F26">
        <w:rPr>
          <w:rFonts w:ascii="Verdana" w:hAnsi="Verdana"/>
          <w:sz w:val="20"/>
          <w:szCs w:val="20"/>
        </w:rPr>
        <w:t xml:space="preserve">tima, pues </w:t>
      </w:r>
      <w:r>
        <w:rPr>
          <w:rFonts w:ascii="Verdana" w:hAnsi="Verdana"/>
          <w:sz w:val="20"/>
          <w:szCs w:val="20"/>
        </w:rPr>
        <w:t xml:space="preserve">el Estado incurriría en </w:t>
      </w:r>
      <w:r w:rsidR="005C0D31" w:rsidRPr="00C577B3">
        <w:rPr>
          <w:rFonts w:ascii="Verdana" w:hAnsi="Verdana"/>
          <w:sz w:val="20"/>
          <w:szCs w:val="20"/>
        </w:rPr>
        <w:t xml:space="preserve">una nueva vulneración de la garantía del </w:t>
      </w:r>
      <w:proofErr w:type="spellStart"/>
      <w:r w:rsidR="005C0D31" w:rsidRPr="00CF31B2">
        <w:rPr>
          <w:rFonts w:ascii="Verdana" w:hAnsi="Verdana"/>
          <w:i/>
          <w:sz w:val="20"/>
          <w:szCs w:val="20"/>
        </w:rPr>
        <w:t>ne</w:t>
      </w:r>
      <w:proofErr w:type="spellEnd"/>
      <w:r w:rsidR="005C0D31" w:rsidRPr="00CF31B2">
        <w:rPr>
          <w:rFonts w:ascii="Verdana" w:hAnsi="Verdana"/>
          <w:i/>
          <w:sz w:val="20"/>
          <w:szCs w:val="20"/>
        </w:rPr>
        <w:t xml:space="preserve"> bis in ídem</w:t>
      </w:r>
      <w:r>
        <w:rPr>
          <w:rFonts w:ascii="Verdana" w:hAnsi="Verdana"/>
          <w:sz w:val="20"/>
          <w:szCs w:val="20"/>
        </w:rPr>
        <w:t xml:space="preserve"> del señor Rosadio Villavicencio,</w:t>
      </w:r>
      <w:r w:rsidR="005C0D31" w:rsidRPr="00C577B3">
        <w:rPr>
          <w:rFonts w:ascii="Verdana" w:hAnsi="Verdana"/>
          <w:sz w:val="20"/>
          <w:szCs w:val="20"/>
        </w:rPr>
        <w:t xml:space="preserve"> </w:t>
      </w:r>
      <w:r w:rsidR="00376729">
        <w:rPr>
          <w:rFonts w:ascii="Verdana" w:hAnsi="Verdana"/>
          <w:sz w:val="20"/>
          <w:szCs w:val="20"/>
        </w:rPr>
        <w:t>dado</w:t>
      </w:r>
      <w:r w:rsidR="00FE0F26">
        <w:rPr>
          <w:rFonts w:ascii="Verdana" w:hAnsi="Verdana"/>
          <w:sz w:val="20"/>
          <w:szCs w:val="20"/>
        </w:rPr>
        <w:t xml:space="preserve"> que </w:t>
      </w:r>
      <w:r w:rsidR="005C0D31" w:rsidRPr="00C577B3">
        <w:rPr>
          <w:rFonts w:ascii="Verdana" w:hAnsi="Verdana"/>
          <w:sz w:val="20"/>
          <w:szCs w:val="20"/>
        </w:rPr>
        <w:t>c</w:t>
      </w:r>
      <w:r w:rsidR="00AD345C">
        <w:rPr>
          <w:rFonts w:ascii="Verdana" w:hAnsi="Verdana"/>
          <w:sz w:val="20"/>
          <w:szCs w:val="20"/>
        </w:rPr>
        <w:t>omo se consigna en el párrafo 22</w:t>
      </w:r>
      <w:r w:rsidR="005C0D31" w:rsidRPr="00C577B3">
        <w:rPr>
          <w:rFonts w:ascii="Verdana" w:hAnsi="Verdana"/>
          <w:sz w:val="20"/>
          <w:szCs w:val="20"/>
        </w:rPr>
        <w:t>5 de la Sentencia: “[l]</w:t>
      </w:r>
      <w:r w:rsidR="005C0D31" w:rsidRPr="00C577B3">
        <w:rPr>
          <w:rFonts w:ascii="Verdana" w:hAnsi="Verdana"/>
          <w:sz w:val="20"/>
          <w:szCs w:val="20"/>
          <w:lang w:val="es-ES"/>
        </w:rPr>
        <w:t xml:space="preserve">a Corte advierte que, en este caso, al momento de emisión de la </w:t>
      </w:r>
      <w:r w:rsidR="00825DD8">
        <w:rPr>
          <w:rFonts w:ascii="Verdana" w:hAnsi="Verdana"/>
          <w:sz w:val="20"/>
          <w:szCs w:val="20"/>
          <w:lang w:val="es-ES"/>
        </w:rPr>
        <w:t>[la]</w:t>
      </w:r>
      <w:r w:rsidR="00825DD8" w:rsidRPr="00C577B3">
        <w:rPr>
          <w:rFonts w:ascii="Verdana" w:hAnsi="Verdana"/>
          <w:sz w:val="20"/>
          <w:szCs w:val="20"/>
          <w:lang w:val="es-ES"/>
        </w:rPr>
        <w:t xml:space="preserve"> </w:t>
      </w:r>
      <w:r w:rsidR="005C0D31" w:rsidRPr="00C577B3">
        <w:rPr>
          <w:rFonts w:ascii="Verdana" w:hAnsi="Verdana"/>
          <w:sz w:val="20"/>
          <w:szCs w:val="20"/>
          <w:lang w:val="es-ES"/>
        </w:rPr>
        <w:t xml:space="preserve">Sentencia, el señor Jorge Enrique Rosadio Villavicencio ya ha cumplido con la totalidad de sus condenas y se encuentra en libertad”. </w:t>
      </w:r>
      <w:r w:rsidR="005C0D31" w:rsidRPr="00C577B3">
        <w:rPr>
          <w:rFonts w:ascii="Verdana" w:hAnsi="Verdana"/>
          <w:sz w:val="20"/>
          <w:szCs w:val="20"/>
        </w:rPr>
        <w:t xml:space="preserve"> </w:t>
      </w:r>
    </w:p>
    <w:p w14:paraId="15A723AE" w14:textId="77777777" w:rsidR="00C577B3" w:rsidRPr="00B67FD4" w:rsidRDefault="00C577B3" w:rsidP="00A24D53">
      <w:pPr>
        <w:widowControl w:val="0"/>
        <w:tabs>
          <w:tab w:val="left" w:pos="567"/>
        </w:tabs>
        <w:adjustRightInd w:val="0"/>
        <w:spacing w:before="120" w:after="120" w:line="240" w:lineRule="auto"/>
        <w:jc w:val="both"/>
        <w:textAlignment w:val="baseline"/>
        <w:rPr>
          <w:rFonts w:ascii="Verdana" w:hAnsi="Verdana"/>
          <w:sz w:val="20"/>
          <w:szCs w:val="20"/>
        </w:rPr>
      </w:pPr>
    </w:p>
    <w:p w14:paraId="3123F140" w14:textId="1FD9FBE1" w:rsidR="005C0D31" w:rsidRPr="003C2B3A" w:rsidRDefault="00FE0F26"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ES"/>
        </w:rPr>
      </w:pPr>
      <w:r>
        <w:rPr>
          <w:rFonts w:ascii="Verdana" w:hAnsi="Verdana"/>
          <w:sz w:val="20"/>
          <w:szCs w:val="20"/>
        </w:rPr>
        <w:t>Con fundamento en las consideraciones previas, la Corte aclara el p</w:t>
      </w:r>
      <w:r w:rsidR="00376729">
        <w:rPr>
          <w:rFonts w:ascii="Verdana" w:hAnsi="Verdana"/>
          <w:sz w:val="20"/>
          <w:szCs w:val="20"/>
        </w:rPr>
        <w:t>unto resolutivo vigésimo de la S</w:t>
      </w:r>
      <w:r>
        <w:rPr>
          <w:rFonts w:ascii="Verdana" w:hAnsi="Verdana"/>
          <w:sz w:val="20"/>
          <w:szCs w:val="20"/>
        </w:rPr>
        <w:t>entencia en el sentido que</w:t>
      </w:r>
      <w:r w:rsidR="009409C8">
        <w:rPr>
          <w:rFonts w:ascii="Verdana" w:hAnsi="Verdana"/>
          <w:sz w:val="20"/>
          <w:szCs w:val="20"/>
        </w:rPr>
        <w:t xml:space="preserve"> dejar sin efectos las sentencias </w:t>
      </w:r>
      <w:r w:rsidR="003C2B3A">
        <w:rPr>
          <w:rFonts w:ascii="Verdana" w:hAnsi="Verdana"/>
          <w:sz w:val="20"/>
          <w:szCs w:val="20"/>
        </w:rPr>
        <w:t xml:space="preserve">de condena </w:t>
      </w:r>
      <w:r w:rsidR="009409C8">
        <w:rPr>
          <w:rFonts w:ascii="Verdana" w:hAnsi="Verdana"/>
          <w:sz w:val="20"/>
          <w:szCs w:val="20"/>
        </w:rPr>
        <w:t xml:space="preserve">emitidas en los </w:t>
      </w:r>
      <w:r w:rsidR="005C0D31" w:rsidRPr="00C577B3">
        <w:rPr>
          <w:rFonts w:ascii="Verdana" w:hAnsi="Verdana"/>
          <w:sz w:val="20"/>
          <w:szCs w:val="20"/>
        </w:rPr>
        <w:t>procesos penal ordinario, penal militar y el procedimiento</w:t>
      </w:r>
      <w:r>
        <w:rPr>
          <w:rFonts w:ascii="Verdana" w:hAnsi="Verdana"/>
          <w:sz w:val="20"/>
          <w:szCs w:val="20"/>
        </w:rPr>
        <w:t xml:space="preserve"> administrativo sancionatorio,</w:t>
      </w:r>
      <w:r w:rsidR="00376729">
        <w:rPr>
          <w:rFonts w:ascii="Verdana" w:hAnsi="Verdana"/>
          <w:sz w:val="20"/>
          <w:szCs w:val="20"/>
        </w:rPr>
        <w:t xml:space="preserve"> </w:t>
      </w:r>
      <w:r w:rsidR="009409C8">
        <w:rPr>
          <w:rFonts w:ascii="Verdana" w:hAnsi="Verdana"/>
          <w:sz w:val="20"/>
          <w:szCs w:val="20"/>
        </w:rPr>
        <w:t xml:space="preserve">significa que pierdan toda eficacia y se supriman todos sus efectos negativos, sin que </w:t>
      </w:r>
      <w:r w:rsidR="003C2B3A">
        <w:rPr>
          <w:rFonts w:ascii="Verdana" w:hAnsi="Verdana"/>
          <w:sz w:val="20"/>
          <w:szCs w:val="20"/>
        </w:rPr>
        <w:t>el Estado pueda</w:t>
      </w:r>
      <w:r w:rsidR="009409C8">
        <w:rPr>
          <w:rFonts w:ascii="Verdana" w:hAnsi="Verdana"/>
          <w:sz w:val="20"/>
          <w:szCs w:val="20"/>
        </w:rPr>
        <w:t xml:space="preserve"> </w:t>
      </w:r>
      <w:r w:rsidR="003C2B3A">
        <w:rPr>
          <w:rFonts w:ascii="Verdana" w:hAnsi="Verdana"/>
          <w:sz w:val="20"/>
          <w:szCs w:val="20"/>
        </w:rPr>
        <w:t xml:space="preserve">iniciar </w:t>
      </w:r>
      <w:r w:rsidR="005C0D31" w:rsidRPr="003C2B3A">
        <w:rPr>
          <w:rFonts w:ascii="Verdana" w:hAnsi="Verdana"/>
          <w:sz w:val="20"/>
          <w:szCs w:val="20"/>
        </w:rPr>
        <w:t>nuevos procesos contra la</w:t>
      </w:r>
      <w:r w:rsidRPr="003C2B3A">
        <w:rPr>
          <w:rFonts w:ascii="Verdana" w:hAnsi="Verdana"/>
          <w:sz w:val="20"/>
          <w:szCs w:val="20"/>
        </w:rPr>
        <w:t xml:space="preserve"> víctima</w:t>
      </w:r>
      <w:r w:rsidR="00376729" w:rsidRPr="003C2B3A">
        <w:rPr>
          <w:rFonts w:ascii="Verdana" w:hAnsi="Verdana"/>
          <w:sz w:val="20"/>
          <w:szCs w:val="20"/>
        </w:rPr>
        <w:t xml:space="preserve"> por los hechos examinados en la Sentencia</w:t>
      </w:r>
      <w:r w:rsidR="009409C8" w:rsidRPr="003C2B3A">
        <w:rPr>
          <w:rFonts w:ascii="Verdana" w:hAnsi="Verdana"/>
          <w:sz w:val="20"/>
          <w:szCs w:val="20"/>
        </w:rPr>
        <w:t xml:space="preserve">. Lo anterior independientemente de la figura de derecho interno a la cual recurra el Estado.  </w:t>
      </w:r>
      <w:r w:rsidR="00AD345C" w:rsidRPr="003C2B3A">
        <w:rPr>
          <w:rFonts w:ascii="Verdana" w:hAnsi="Verdana"/>
          <w:sz w:val="20"/>
          <w:szCs w:val="20"/>
        </w:rPr>
        <w:t xml:space="preserve">Adicionalmente, tal como establece el punto resolutivo vigésimo de la Sentencia, el Estado deberá adoptar medidas para </w:t>
      </w:r>
      <w:r w:rsidR="00AD345C" w:rsidRPr="003C2B3A">
        <w:rPr>
          <w:rFonts w:ascii="Verdana" w:eastAsia="Times New Roman" w:hAnsi="Verdana" w:cs="Times New Roman"/>
          <w:sz w:val="20"/>
          <w:szCs w:val="20"/>
          <w:lang w:val="es-ES"/>
        </w:rPr>
        <w:t>suprimir los antecedentes judiciales o disciplinarios, penales o militares, que existan en contra del señor Rosadio Villavicencio a raíz de dichos procesos.</w:t>
      </w:r>
      <w:r w:rsidR="00AD345C" w:rsidRPr="003C2B3A">
        <w:rPr>
          <w:rFonts w:ascii="Verdana" w:hAnsi="Verdana"/>
          <w:sz w:val="20"/>
          <w:szCs w:val="20"/>
        </w:rPr>
        <w:t xml:space="preserve"> </w:t>
      </w:r>
    </w:p>
    <w:p w14:paraId="5762FE9F" w14:textId="1CDDD6D9" w:rsidR="00A24D53" w:rsidRDefault="00A24D53">
      <w:pPr>
        <w:rPr>
          <w:rFonts w:ascii="Verdana" w:eastAsia="Verdana" w:hAnsi="Verdana" w:cs="Verdana"/>
          <w:sz w:val="20"/>
          <w:szCs w:val="20"/>
          <w:lang w:val="es-ES" w:eastAsia="es-CR"/>
        </w:rPr>
      </w:pPr>
      <w:r>
        <w:rPr>
          <w:rFonts w:ascii="Verdana" w:eastAsia="Verdana" w:hAnsi="Verdana" w:cs="Verdana"/>
          <w:sz w:val="20"/>
          <w:szCs w:val="20"/>
          <w:lang w:val="es-ES" w:eastAsia="es-CR"/>
        </w:rPr>
        <w:br w:type="page"/>
      </w:r>
    </w:p>
    <w:p w14:paraId="0BCEEC7C" w14:textId="77777777" w:rsidR="00C72A1E" w:rsidRPr="00525987" w:rsidRDefault="0025073F" w:rsidP="00A24D53">
      <w:pPr>
        <w:pStyle w:val="Prrafodelista"/>
        <w:numPr>
          <w:ilvl w:val="0"/>
          <w:numId w:val="2"/>
        </w:numPr>
        <w:tabs>
          <w:tab w:val="left" w:pos="1134"/>
        </w:tabs>
        <w:spacing w:before="120" w:after="120" w:line="240" w:lineRule="auto"/>
        <w:ind w:hanging="11"/>
        <w:rPr>
          <w:i/>
          <w:lang w:val="es-CR"/>
        </w:rPr>
      </w:pPr>
      <w:r>
        <w:rPr>
          <w:rFonts w:ascii="Verdana" w:hAnsi="Verdana"/>
          <w:b/>
          <w:i/>
          <w:sz w:val="20"/>
          <w:szCs w:val="20"/>
          <w:lang w:val="es-CR"/>
        </w:rPr>
        <w:t>Sobre l</w:t>
      </w:r>
      <w:r w:rsidR="0021090E">
        <w:rPr>
          <w:rFonts w:ascii="Verdana" w:hAnsi="Verdana"/>
          <w:b/>
          <w:i/>
          <w:sz w:val="20"/>
          <w:szCs w:val="20"/>
          <w:lang w:val="es-CR"/>
        </w:rPr>
        <w:t xml:space="preserve">as situaciones excepcionales, hechos nuevos y prueba superviniente presentada por la víctima. </w:t>
      </w:r>
    </w:p>
    <w:p w14:paraId="1C5318E8" w14:textId="77777777" w:rsidR="00A9217D" w:rsidRPr="00A9217D" w:rsidRDefault="00A9217D" w:rsidP="00A24D53">
      <w:pPr>
        <w:pStyle w:val="Prrafodelista"/>
        <w:tabs>
          <w:tab w:val="left" w:pos="1134"/>
        </w:tabs>
        <w:spacing w:before="120" w:after="120" w:line="240" w:lineRule="auto"/>
        <w:ind w:firstLine="0"/>
        <w:rPr>
          <w:lang w:val="es-CR"/>
        </w:rPr>
      </w:pPr>
    </w:p>
    <w:p w14:paraId="3AEF372D" w14:textId="77777777" w:rsidR="00A9217D" w:rsidRPr="00A9217D" w:rsidRDefault="00A9217D" w:rsidP="00A24D53">
      <w:pPr>
        <w:pStyle w:val="Prrafodelista"/>
        <w:tabs>
          <w:tab w:val="left" w:pos="1134"/>
        </w:tabs>
        <w:spacing w:before="120" w:after="120" w:line="240" w:lineRule="auto"/>
        <w:ind w:firstLine="0"/>
        <w:rPr>
          <w:i/>
          <w:lang w:val="es-CR"/>
        </w:rPr>
      </w:pPr>
      <w:r w:rsidRPr="00A9217D">
        <w:rPr>
          <w:rFonts w:ascii="Verdana" w:hAnsi="Verdana"/>
          <w:i/>
          <w:sz w:val="20"/>
          <w:szCs w:val="20"/>
          <w:lang w:val="es-CR"/>
        </w:rPr>
        <w:tab/>
      </w:r>
      <w:r>
        <w:rPr>
          <w:rFonts w:ascii="Verdana" w:hAnsi="Verdana"/>
          <w:i/>
          <w:sz w:val="20"/>
          <w:szCs w:val="20"/>
          <w:lang w:val="es-CR"/>
        </w:rPr>
        <w:tab/>
      </w:r>
      <w:r w:rsidRPr="00A9217D">
        <w:rPr>
          <w:rFonts w:ascii="Verdana" w:hAnsi="Verdana"/>
          <w:i/>
          <w:sz w:val="20"/>
          <w:szCs w:val="20"/>
          <w:lang w:val="es-CR"/>
        </w:rPr>
        <w:t xml:space="preserve">B.1. Argumentos de las partes </w:t>
      </w:r>
    </w:p>
    <w:p w14:paraId="06248A59" w14:textId="2E946983" w:rsidR="00DA0047" w:rsidRPr="00DA0047" w:rsidRDefault="00DA0047"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L</w:t>
      </w:r>
      <w:r w:rsidR="0021090E">
        <w:rPr>
          <w:rFonts w:ascii="Verdana" w:eastAsia="Verdana" w:hAnsi="Verdana" w:cs="Verdana"/>
          <w:sz w:val="20"/>
          <w:szCs w:val="20"/>
          <w:lang w:val="es-ES" w:eastAsia="es-CR"/>
        </w:rPr>
        <w:t xml:space="preserve">a </w:t>
      </w:r>
      <w:r w:rsidR="0021090E" w:rsidRPr="0021090E">
        <w:rPr>
          <w:rFonts w:ascii="Verdana" w:eastAsia="Verdana" w:hAnsi="Verdana" w:cs="Verdana"/>
          <w:b/>
          <w:i/>
          <w:sz w:val="20"/>
          <w:szCs w:val="20"/>
          <w:lang w:val="es-ES" w:eastAsia="es-CR"/>
        </w:rPr>
        <w:t>víctima</w:t>
      </w:r>
      <w:r>
        <w:rPr>
          <w:rFonts w:ascii="Verdana" w:eastAsia="Verdana" w:hAnsi="Verdana" w:cs="Verdana"/>
          <w:sz w:val="20"/>
          <w:szCs w:val="20"/>
          <w:lang w:val="es-ES" w:eastAsia="es-CR"/>
        </w:rPr>
        <w:t xml:space="preserve"> </w:t>
      </w:r>
      <w:r w:rsidR="0021090E">
        <w:rPr>
          <w:rFonts w:ascii="Verdana" w:eastAsia="Verdana" w:hAnsi="Verdana" w:cs="Verdana"/>
          <w:sz w:val="20"/>
          <w:szCs w:val="20"/>
          <w:lang w:val="es-ES" w:eastAsia="es-CR"/>
        </w:rPr>
        <w:t>presentó una solicitud de “revisión” de la Sentencia alegando “situaciones excepcionales” que representaron un hecho nuevo, requiriendo así la presentación de prueba superviniente. Indicó que en un “hecho sin precedentes”, el Estado entregó información del legajo personal de la víctima, información que, según indicó, le había sido negada durante más de 25 años al haberse clasificado como confidencial. De esta forma, sostuvo que ello que impidió utilizar dicha información como medio probatorio dura</w:t>
      </w:r>
      <w:r w:rsidR="005C0D31">
        <w:rPr>
          <w:rFonts w:ascii="Verdana" w:eastAsia="Verdana" w:hAnsi="Verdana" w:cs="Verdana"/>
          <w:sz w:val="20"/>
          <w:szCs w:val="20"/>
          <w:lang w:val="es-ES" w:eastAsia="es-CR"/>
        </w:rPr>
        <w:t xml:space="preserve">nte todo el proceso ante el </w:t>
      </w:r>
      <w:r w:rsidR="006F0126">
        <w:rPr>
          <w:rFonts w:ascii="Verdana" w:eastAsia="Verdana" w:hAnsi="Verdana" w:cs="Verdana"/>
          <w:sz w:val="20"/>
          <w:szCs w:val="20"/>
          <w:lang w:val="es-ES" w:eastAsia="es-CR"/>
        </w:rPr>
        <w:t>S</w:t>
      </w:r>
      <w:r w:rsidR="005C0D31">
        <w:rPr>
          <w:rFonts w:ascii="Verdana" w:eastAsia="Verdana" w:hAnsi="Verdana" w:cs="Verdana"/>
          <w:sz w:val="20"/>
          <w:szCs w:val="20"/>
          <w:lang w:val="es-ES" w:eastAsia="es-CR"/>
        </w:rPr>
        <w:t xml:space="preserve">istema </w:t>
      </w:r>
      <w:r w:rsidR="006F0126">
        <w:rPr>
          <w:rFonts w:ascii="Verdana" w:eastAsia="Verdana" w:hAnsi="Verdana" w:cs="Verdana"/>
          <w:sz w:val="20"/>
          <w:szCs w:val="20"/>
          <w:lang w:val="es-ES" w:eastAsia="es-CR"/>
        </w:rPr>
        <w:t>I</w:t>
      </w:r>
      <w:r w:rsidR="0021090E">
        <w:rPr>
          <w:rFonts w:ascii="Verdana" w:eastAsia="Verdana" w:hAnsi="Verdana" w:cs="Verdana"/>
          <w:sz w:val="20"/>
          <w:szCs w:val="20"/>
          <w:lang w:val="es-ES" w:eastAsia="es-CR"/>
        </w:rPr>
        <w:t>nteramericano.</w:t>
      </w:r>
      <w:r w:rsidR="00A76C6A">
        <w:rPr>
          <w:rFonts w:ascii="Verdana" w:eastAsia="Verdana" w:hAnsi="Verdana" w:cs="Verdana"/>
          <w:sz w:val="20"/>
          <w:szCs w:val="20"/>
          <w:lang w:val="es-ES" w:eastAsia="es-CR"/>
        </w:rPr>
        <w:t xml:space="preserve"> En virtud de ello, solicit</w:t>
      </w:r>
      <w:r w:rsidR="005148D4">
        <w:rPr>
          <w:rFonts w:ascii="Verdana" w:eastAsia="Verdana" w:hAnsi="Verdana" w:cs="Verdana"/>
          <w:sz w:val="20"/>
          <w:szCs w:val="20"/>
          <w:lang w:val="es-ES" w:eastAsia="es-CR"/>
        </w:rPr>
        <w:t>ó</w:t>
      </w:r>
      <w:r w:rsidR="00A76C6A">
        <w:rPr>
          <w:rFonts w:ascii="Verdana" w:eastAsia="Verdana" w:hAnsi="Verdana" w:cs="Verdana"/>
          <w:sz w:val="20"/>
          <w:szCs w:val="20"/>
          <w:lang w:val="es-ES" w:eastAsia="es-CR"/>
        </w:rPr>
        <w:t xml:space="preserve"> su incorporación al proceso para que pueda ser valorada. Por último, solicit</w:t>
      </w:r>
      <w:r w:rsidR="005148D4">
        <w:rPr>
          <w:rFonts w:ascii="Verdana" w:eastAsia="Verdana" w:hAnsi="Verdana" w:cs="Verdana"/>
          <w:sz w:val="20"/>
          <w:szCs w:val="20"/>
          <w:lang w:val="es-ES" w:eastAsia="es-CR"/>
        </w:rPr>
        <w:t>ó</w:t>
      </w:r>
      <w:r w:rsidR="00A76C6A">
        <w:rPr>
          <w:rFonts w:ascii="Verdana" w:eastAsia="Verdana" w:hAnsi="Verdana" w:cs="Verdana"/>
          <w:sz w:val="20"/>
          <w:szCs w:val="20"/>
          <w:lang w:val="es-ES" w:eastAsia="es-CR"/>
        </w:rPr>
        <w:t xml:space="preserve"> que sea valorada su “nueva argumentación” y que sea emitida una nueva sentencia en cuanto a las medidas de restitución y reparaciones contempladas en su </w:t>
      </w:r>
      <w:r w:rsidR="006F0126">
        <w:rPr>
          <w:rFonts w:ascii="Verdana" w:eastAsia="Verdana" w:hAnsi="Verdana" w:cs="Verdana"/>
          <w:sz w:val="20"/>
          <w:szCs w:val="20"/>
          <w:lang w:val="es-ES" w:eastAsia="es-CR"/>
        </w:rPr>
        <w:t>escrito de argumentos, solicitudes y pruebas</w:t>
      </w:r>
      <w:r w:rsidR="00A76C6A">
        <w:rPr>
          <w:rFonts w:ascii="Verdana" w:eastAsia="Verdana" w:hAnsi="Verdana" w:cs="Verdana"/>
          <w:sz w:val="20"/>
          <w:szCs w:val="20"/>
          <w:lang w:val="es-ES" w:eastAsia="es-CR"/>
        </w:rPr>
        <w:t xml:space="preserve">. </w:t>
      </w:r>
    </w:p>
    <w:p w14:paraId="42DC395F" w14:textId="1A28AACE" w:rsidR="00C72A1E" w:rsidRDefault="00C72A1E" w:rsidP="00A24D53">
      <w:pPr>
        <w:widowControl w:val="0"/>
        <w:numPr>
          <w:ilvl w:val="0"/>
          <w:numId w:val="1"/>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Pr>
          <w:rFonts w:ascii="Verdana" w:eastAsia="Verdana" w:hAnsi="Verdana" w:cs="Verdana"/>
          <w:sz w:val="20"/>
          <w:szCs w:val="20"/>
          <w:lang w:val="es-ES" w:eastAsia="es-CR"/>
        </w:rPr>
        <w:t xml:space="preserve">El </w:t>
      </w:r>
      <w:r w:rsidRPr="00525987">
        <w:rPr>
          <w:rFonts w:ascii="Verdana" w:eastAsia="Verdana" w:hAnsi="Verdana" w:cs="Verdana"/>
          <w:b/>
          <w:i/>
          <w:sz w:val="20"/>
          <w:szCs w:val="20"/>
          <w:lang w:val="es-ES" w:eastAsia="es-CR"/>
        </w:rPr>
        <w:t>Estado</w:t>
      </w:r>
      <w:r>
        <w:rPr>
          <w:rFonts w:ascii="Verdana" w:eastAsia="Verdana" w:hAnsi="Verdana" w:cs="Verdana"/>
          <w:sz w:val="20"/>
          <w:szCs w:val="20"/>
          <w:lang w:val="es-ES" w:eastAsia="es-CR"/>
        </w:rPr>
        <w:t xml:space="preserve">, </w:t>
      </w:r>
      <w:r w:rsidR="007B3BB7">
        <w:rPr>
          <w:rFonts w:ascii="Verdana" w:eastAsia="Verdana" w:hAnsi="Verdana" w:cs="Verdana"/>
          <w:sz w:val="20"/>
          <w:szCs w:val="20"/>
          <w:lang w:val="es-ES" w:eastAsia="es-CR"/>
        </w:rPr>
        <w:t>en primer lugar, recordó que el momento procesal oportuno para presentar las pruebas que se considere pertinentes, es el escrito de solicitudes, argumentos y pruebas. En segundo lugar, observ</w:t>
      </w:r>
      <w:r w:rsidR="006F0126">
        <w:rPr>
          <w:rFonts w:ascii="Verdana" w:eastAsia="Verdana" w:hAnsi="Verdana" w:cs="Verdana"/>
          <w:sz w:val="20"/>
          <w:szCs w:val="20"/>
          <w:lang w:val="es-ES" w:eastAsia="es-CR"/>
        </w:rPr>
        <w:t>ó</w:t>
      </w:r>
      <w:r w:rsidR="007B3BB7">
        <w:rPr>
          <w:rFonts w:ascii="Verdana" w:eastAsia="Verdana" w:hAnsi="Verdana" w:cs="Verdana"/>
          <w:sz w:val="20"/>
          <w:szCs w:val="20"/>
          <w:lang w:val="es-ES" w:eastAsia="es-CR"/>
        </w:rPr>
        <w:t xml:space="preserve"> que la víctima lo que realmente pretende es una modificación de la Sentencia “instrumentalizando la interpretación como un medio impugnatorio”, lo cual, según indicó, se evidencia en que presentan “solicitud de revisión de sentencia” que no se sustenta en una interpretación jurídica, sino en una pretensión destinada a cuestionar tanto el fondo como los puntos resolutivos. Por último, recordó que la </w:t>
      </w:r>
      <w:r w:rsidR="0024649D">
        <w:rPr>
          <w:rFonts w:ascii="Verdana" w:eastAsia="Verdana" w:hAnsi="Verdana" w:cs="Verdana"/>
          <w:sz w:val="20"/>
          <w:szCs w:val="20"/>
          <w:lang w:val="es-ES" w:eastAsia="es-CR"/>
        </w:rPr>
        <w:t>solicitud</w:t>
      </w:r>
      <w:r w:rsidR="007B3BB7">
        <w:rPr>
          <w:rFonts w:ascii="Verdana" w:eastAsia="Verdana" w:hAnsi="Verdana" w:cs="Verdana"/>
          <w:sz w:val="20"/>
          <w:szCs w:val="20"/>
          <w:lang w:val="es-ES" w:eastAsia="es-CR"/>
        </w:rPr>
        <w:t xml:space="preserve"> de interpretación no puede abordar cuestiones de hecho y de derecho que ya fueron </w:t>
      </w:r>
      <w:r w:rsidR="0024649D">
        <w:rPr>
          <w:rFonts w:ascii="Verdana" w:eastAsia="Verdana" w:hAnsi="Verdana" w:cs="Verdana"/>
          <w:sz w:val="20"/>
          <w:szCs w:val="20"/>
          <w:lang w:val="es-ES" w:eastAsia="es-CR"/>
        </w:rPr>
        <w:t>planteadas</w:t>
      </w:r>
      <w:r w:rsidR="007B3BB7">
        <w:rPr>
          <w:rFonts w:ascii="Verdana" w:eastAsia="Verdana" w:hAnsi="Verdana" w:cs="Verdana"/>
          <w:sz w:val="20"/>
          <w:szCs w:val="20"/>
          <w:lang w:val="es-ES" w:eastAsia="es-CR"/>
        </w:rPr>
        <w:t xml:space="preserve"> y sobre las cuales el Tribunal adoptó una decisión. En </w:t>
      </w:r>
      <w:r w:rsidR="0024649D">
        <w:rPr>
          <w:rFonts w:ascii="Verdana" w:eastAsia="Verdana" w:hAnsi="Verdana" w:cs="Verdana"/>
          <w:sz w:val="20"/>
          <w:szCs w:val="20"/>
          <w:lang w:val="es-ES" w:eastAsia="es-CR"/>
        </w:rPr>
        <w:t>virtud</w:t>
      </w:r>
      <w:r w:rsidR="007B3BB7">
        <w:rPr>
          <w:rFonts w:ascii="Verdana" w:eastAsia="Verdana" w:hAnsi="Verdana" w:cs="Verdana"/>
          <w:sz w:val="20"/>
          <w:szCs w:val="20"/>
          <w:lang w:val="es-ES" w:eastAsia="es-CR"/>
        </w:rPr>
        <w:t xml:space="preserve"> de lo anterior, el </w:t>
      </w:r>
      <w:r w:rsidR="0024649D">
        <w:rPr>
          <w:rFonts w:ascii="Verdana" w:eastAsia="Verdana" w:hAnsi="Verdana" w:cs="Verdana"/>
          <w:sz w:val="20"/>
          <w:szCs w:val="20"/>
          <w:lang w:val="es-ES" w:eastAsia="es-CR"/>
        </w:rPr>
        <w:t>Estado</w:t>
      </w:r>
      <w:r w:rsidR="007B3BB7">
        <w:rPr>
          <w:rFonts w:ascii="Verdana" w:eastAsia="Verdana" w:hAnsi="Verdana" w:cs="Verdana"/>
          <w:sz w:val="20"/>
          <w:szCs w:val="20"/>
          <w:lang w:val="es-ES" w:eastAsia="es-CR"/>
        </w:rPr>
        <w:t xml:space="preserve"> solicitó </w:t>
      </w:r>
      <w:r w:rsidR="0024649D">
        <w:rPr>
          <w:rFonts w:ascii="Verdana" w:eastAsia="Verdana" w:hAnsi="Verdana" w:cs="Verdana"/>
          <w:sz w:val="20"/>
          <w:szCs w:val="20"/>
          <w:lang w:val="es-ES" w:eastAsia="es-CR"/>
        </w:rPr>
        <w:t>que se decl</w:t>
      </w:r>
      <w:r w:rsidR="005C0D31">
        <w:rPr>
          <w:rFonts w:ascii="Verdana" w:eastAsia="Verdana" w:hAnsi="Verdana" w:cs="Verdana"/>
          <w:sz w:val="20"/>
          <w:szCs w:val="20"/>
          <w:lang w:val="es-ES" w:eastAsia="es-CR"/>
        </w:rPr>
        <w:t>are improcedente la alegada sol</w:t>
      </w:r>
      <w:r w:rsidR="0024649D">
        <w:rPr>
          <w:rFonts w:ascii="Verdana" w:eastAsia="Verdana" w:hAnsi="Verdana" w:cs="Verdana"/>
          <w:sz w:val="20"/>
          <w:szCs w:val="20"/>
          <w:lang w:val="es-ES" w:eastAsia="es-CR"/>
        </w:rPr>
        <w:t>i</w:t>
      </w:r>
      <w:r w:rsidR="005C0D31">
        <w:rPr>
          <w:rFonts w:ascii="Verdana" w:eastAsia="Verdana" w:hAnsi="Verdana" w:cs="Verdana"/>
          <w:sz w:val="20"/>
          <w:szCs w:val="20"/>
          <w:lang w:val="es-ES" w:eastAsia="es-CR"/>
        </w:rPr>
        <w:t>c</w:t>
      </w:r>
      <w:r w:rsidR="0024649D">
        <w:rPr>
          <w:rFonts w:ascii="Verdana" w:eastAsia="Verdana" w:hAnsi="Verdana" w:cs="Verdana"/>
          <w:sz w:val="20"/>
          <w:szCs w:val="20"/>
          <w:lang w:val="es-ES" w:eastAsia="es-CR"/>
        </w:rPr>
        <w:t xml:space="preserve">itud de interpretación planteada por la víctima. </w:t>
      </w:r>
    </w:p>
    <w:p w14:paraId="252D5308" w14:textId="77777777" w:rsidR="0082427E" w:rsidRDefault="0082427E" w:rsidP="00A24D53">
      <w:pPr>
        <w:widowControl w:val="0"/>
        <w:tabs>
          <w:tab w:val="left" w:pos="567"/>
        </w:tabs>
        <w:adjustRightInd w:val="0"/>
        <w:spacing w:before="120" w:after="120" w:line="240" w:lineRule="auto"/>
        <w:jc w:val="both"/>
        <w:textAlignment w:val="baseline"/>
        <w:rPr>
          <w:rFonts w:ascii="Verdana" w:eastAsia="Verdana" w:hAnsi="Verdana" w:cs="Verdana"/>
          <w:sz w:val="20"/>
          <w:szCs w:val="20"/>
          <w:lang w:val="es-ES" w:eastAsia="es-CR"/>
        </w:rPr>
      </w:pPr>
    </w:p>
    <w:p w14:paraId="1591BE77" w14:textId="77777777" w:rsidR="00DA0047" w:rsidRDefault="00A9217D" w:rsidP="00A24D53">
      <w:pPr>
        <w:widowControl w:val="0"/>
        <w:tabs>
          <w:tab w:val="left" w:pos="567"/>
        </w:tabs>
        <w:adjustRightInd w:val="0"/>
        <w:spacing w:before="120" w:after="120" w:line="240" w:lineRule="auto"/>
        <w:jc w:val="both"/>
        <w:textAlignment w:val="baseline"/>
        <w:rPr>
          <w:rFonts w:ascii="Verdana" w:hAnsi="Verdana"/>
          <w:i/>
          <w:sz w:val="20"/>
          <w:szCs w:val="20"/>
        </w:rPr>
      </w:pPr>
      <w:r>
        <w:rPr>
          <w:rFonts w:ascii="Verdana" w:hAnsi="Verdana"/>
          <w:b/>
          <w:sz w:val="20"/>
          <w:szCs w:val="20"/>
        </w:rPr>
        <w:tab/>
      </w:r>
      <w:r>
        <w:rPr>
          <w:rFonts w:ascii="Verdana" w:hAnsi="Verdana"/>
          <w:b/>
          <w:sz w:val="20"/>
          <w:szCs w:val="20"/>
        </w:rPr>
        <w:tab/>
      </w:r>
      <w:r>
        <w:rPr>
          <w:rFonts w:ascii="Verdana" w:hAnsi="Verdana"/>
          <w:b/>
          <w:sz w:val="20"/>
          <w:szCs w:val="20"/>
        </w:rPr>
        <w:tab/>
      </w:r>
      <w:r w:rsidRPr="00A9217D">
        <w:rPr>
          <w:rFonts w:ascii="Verdana" w:hAnsi="Verdana"/>
          <w:i/>
          <w:sz w:val="20"/>
          <w:szCs w:val="20"/>
        </w:rPr>
        <w:t xml:space="preserve">B.2. </w:t>
      </w:r>
      <w:r w:rsidR="00DA0047" w:rsidRPr="00A9217D">
        <w:rPr>
          <w:rFonts w:ascii="Verdana" w:hAnsi="Verdana"/>
          <w:i/>
          <w:sz w:val="20"/>
          <w:szCs w:val="20"/>
        </w:rPr>
        <w:t>Consideraciones de la Corte</w:t>
      </w:r>
    </w:p>
    <w:p w14:paraId="1344A39D" w14:textId="0D0679FE" w:rsidR="005C0D31" w:rsidRPr="005C0D31" w:rsidRDefault="00C32D34" w:rsidP="00A24D53">
      <w:pPr>
        <w:numPr>
          <w:ilvl w:val="0"/>
          <w:numId w:val="17"/>
        </w:numPr>
        <w:tabs>
          <w:tab w:val="num" w:pos="720"/>
        </w:tabs>
        <w:spacing w:before="120" w:after="120" w:line="240" w:lineRule="auto"/>
        <w:ind w:left="0" w:firstLine="0"/>
        <w:jc w:val="both"/>
        <w:rPr>
          <w:rFonts w:ascii="Verdana" w:hAnsi="Verdana"/>
          <w:sz w:val="20"/>
          <w:szCs w:val="20"/>
        </w:rPr>
      </w:pPr>
      <w:r w:rsidRPr="0024649D">
        <w:rPr>
          <w:rFonts w:ascii="Verdana" w:hAnsi="Verdana"/>
          <w:sz w:val="20"/>
          <w:szCs w:val="20"/>
        </w:rPr>
        <w:t xml:space="preserve">En </w:t>
      </w:r>
      <w:r w:rsidR="005C0D31">
        <w:rPr>
          <w:rFonts w:ascii="Verdana" w:hAnsi="Verdana"/>
          <w:sz w:val="20"/>
          <w:szCs w:val="20"/>
        </w:rPr>
        <w:t xml:space="preserve">cuanto </w:t>
      </w:r>
      <w:r w:rsidR="0024649D" w:rsidRPr="0024649D">
        <w:rPr>
          <w:rFonts w:ascii="Verdana" w:hAnsi="Verdana"/>
          <w:sz w:val="20"/>
          <w:szCs w:val="20"/>
        </w:rPr>
        <w:t>a las alegadas situaciones excepcionales, hechos nuevos y prueba superviniente que dan pie a la “solicitud de revisión” de la Sentencia de 14 de octubre de 2019</w:t>
      </w:r>
      <w:r w:rsidRPr="0024649D">
        <w:rPr>
          <w:rFonts w:ascii="Verdana" w:hAnsi="Verdana"/>
          <w:sz w:val="20"/>
          <w:szCs w:val="20"/>
        </w:rPr>
        <w:t>,</w:t>
      </w:r>
      <w:r w:rsidR="006F0126">
        <w:rPr>
          <w:rFonts w:ascii="Verdana" w:hAnsi="Verdana"/>
          <w:sz w:val="20"/>
          <w:szCs w:val="20"/>
        </w:rPr>
        <w:t xml:space="preserve"> </w:t>
      </w:r>
      <w:r w:rsidR="006F0126" w:rsidRPr="0024649D">
        <w:rPr>
          <w:rFonts w:ascii="Verdana" w:hAnsi="Verdana"/>
          <w:sz w:val="20"/>
          <w:szCs w:val="20"/>
        </w:rPr>
        <w:t>planteada por la víctima</w:t>
      </w:r>
      <w:r w:rsidR="006F0126">
        <w:rPr>
          <w:rFonts w:ascii="Verdana" w:hAnsi="Verdana"/>
          <w:sz w:val="20"/>
          <w:szCs w:val="20"/>
        </w:rPr>
        <w:t>,</w:t>
      </w:r>
      <w:r w:rsidR="0012717C" w:rsidRPr="0024649D">
        <w:rPr>
          <w:rFonts w:ascii="Verdana" w:hAnsi="Verdana"/>
          <w:sz w:val="20"/>
          <w:szCs w:val="20"/>
        </w:rPr>
        <w:t xml:space="preserve"> la Corte considera </w:t>
      </w:r>
      <w:r w:rsidR="005C0D31">
        <w:rPr>
          <w:rFonts w:ascii="Verdana" w:hAnsi="Verdana"/>
          <w:sz w:val="20"/>
          <w:szCs w:val="20"/>
        </w:rPr>
        <w:t xml:space="preserve">pertinente </w:t>
      </w:r>
      <w:r w:rsidR="0012717C" w:rsidRPr="0024649D">
        <w:rPr>
          <w:rFonts w:ascii="Verdana" w:hAnsi="Verdana"/>
          <w:sz w:val="20"/>
          <w:szCs w:val="20"/>
        </w:rPr>
        <w:t>recordar que</w:t>
      </w:r>
      <w:r w:rsidR="005C0D31">
        <w:rPr>
          <w:rFonts w:ascii="Verdana" w:hAnsi="Verdana"/>
          <w:sz w:val="20"/>
          <w:szCs w:val="20"/>
        </w:rPr>
        <w:t xml:space="preserve"> la </w:t>
      </w:r>
      <w:r w:rsidR="005C0D31" w:rsidRPr="005158C3">
        <w:rPr>
          <w:rFonts w:ascii="Verdana" w:hAnsi="Verdana"/>
          <w:sz w:val="20"/>
          <w:szCs w:val="20"/>
        </w:rPr>
        <w:t>solicitud</w:t>
      </w:r>
      <w:r w:rsidR="005C0D31">
        <w:rPr>
          <w:rFonts w:ascii="Verdana" w:hAnsi="Verdana"/>
          <w:sz w:val="20"/>
          <w:szCs w:val="20"/>
        </w:rPr>
        <w:t xml:space="preserve"> de interpretación</w:t>
      </w:r>
      <w:r w:rsidR="005C0D31" w:rsidRPr="005158C3">
        <w:rPr>
          <w:rFonts w:ascii="Verdana" w:hAnsi="Verdana"/>
          <w:sz w:val="20"/>
          <w:szCs w:val="20"/>
        </w:rPr>
        <w:t xml:space="preserve">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005C0D31" w:rsidRPr="005158C3">
        <w:rPr>
          <w:rFonts w:ascii="Verdana" w:hAnsi="Verdana"/>
          <w:sz w:val="20"/>
          <w:szCs w:val="20"/>
          <w:vertAlign w:val="superscript"/>
        </w:rPr>
        <w:footnoteReference w:id="9"/>
      </w:r>
      <w:r w:rsidR="005C0D31">
        <w:rPr>
          <w:rFonts w:ascii="Verdana" w:hAnsi="Verdana"/>
          <w:sz w:val="20"/>
          <w:szCs w:val="20"/>
        </w:rPr>
        <w:t xml:space="preserve">, como tampoco </w:t>
      </w:r>
      <w:r w:rsidR="005C0D31" w:rsidRPr="005158C3">
        <w:rPr>
          <w:rFonts w:ascii="Verdana" w:hAnsi="Verdana"/>
          <w:sz w:val="20"/>
          <w:szCs w:val="20"/>
        </w:rPr>
        <w:t>por esta vía tampoco se puede intentar que se amplíe el alcance de una medida de reparación ordenada oportunamente</w:t>
      </w:r>
      <w:r w:rsidR="005C0D31" w:rsidRPr="005158C3">
        <w:rPr>
          <w:rFonts w:ascii="Verdana" w:hAnsi="Verdana"/>
          <w:sz w:val="20"/>
          <w:szCs w:val="20"/>
          <w:vertAlign w:val="superscript"/>
        </w:rPr>
        <w:footnoteReference w:id="10"/>
      </w:r>
      <w:r w:rsidR="005C0D31" w:rsidRPr="005158C3">
        <w:rPr>
          <w:rFonts w:ascii="Verdana" w:hAnsi="Verdana"/>
          <w:sz w:val="20"/>
          <w:szCs w:val="20"/>
        </w:rPr>
        <w:t>.</w:t>
      </w:r>
      <w:r w:rsidR="0012717C" w:rsidRPr="005C0D31">
        <w:rPr>
          <w:rFonts w:ascii="Verdana" w:hAnsi="Verdana"/>
          <w:sz w:val="20"/>
          <w:szCs w:val="20"/>
        </w:rPr>
        <w:t xml:space="preserve"> </w:t>
      </w:r>
    </w:p>
    <w:p w14:paraId="2ABAB1C2" w14:textId="0354FECD" w:rsidR="00A24D53" w:rsidRPr="00A24D53" w:rsidRDefault="005C0D31" w:rsidP="00A24D53">
      <w:pPr>
        <w:widowControl w:val="0"/>
        <w:numPr>
          <w:ilvl w:val="0"/>
          <w:numId w:val="1"/>
        </w:numPr>
        <w:tabs>
          <w:tab w:val="left" w:pos="567"/>
          <w:tab w:val="num" w:pos="720"/>
          <w:tab w:val="num" w:pos="12305"/>
        </w:tabs>
        <w:adjustRightInd w:val="0"/>
        <w:spacing w:before="120" w:after="120" w:line="240" w:lineRule="auto"/>
        <w:ind w:left="0" w:firstLine="0"/>
        <w:jc w:val="both"/>
        <w:textAlignment w:val="baseline"/>
        <w:rPr>
          <w:rFonts w:ascii="Verdana" w:hAnsi="Verdana"/>
          <w:b/>
          <w:sz w:val="20"/>
        </w:rPr>
      </w:pPr>
      <w:r w:rsidRPr="00A24D53">
        <w:rPr>
          <w:rFonts w:ascii="Verdana" w:hAnsi="Verdana"/>
          <w:sz w:val="20"/>
          <w:szCs w:val="20"/>
        </w:rPr>
        <w:t>En esa medida, la víctima no solicita la interpretación de la Sentencia, sino su revisión para lo cual pide a la Corte que valore nuevas pruebas y en virtud de ello emita una nueva sentencia que contenga medidas de reparación</w:t>
      </w:r>
      <w:r w:rsidR="00E77D22" w:rsidRPr="00A24D53">
        <w:rPr>
          <w:rFonts w:ascii="Verdana" w:hAnsi="Verdana"/>
          <w:sz w:val="20"/>
          <w:szCs w:val="20"/>
        </w:rPr>
        <w:t xml:space="preserve"> adicionales</w:t>
      </w:r>
      <w:r w:rsidRPr="00A24D53">
        <w:rPr>
          <w:rFonts w:ascii="Verdana" w:hAnsi="Verdana"/>
          <w:sz w:val="20"/>
          <w:szCs w:val="20"/>
        </w:rPr>
        <w:t xml:space="preserve">. Todas estas solicitudes son claramente improcedentes, pues exceden ampliamente el alcance de la competencia de la Corte de interpretar sus fallos establecida en el artículo 67 de la Convención. </w:t>
      </w:r>
      <w:r w:rsidR="00A24D53" w:rsidRPr="00A24D53">
        <w:rPr>
          <w:rFonts w:ascii="Verdana" w:hAnsi="Verdana"/>
          <w:b/>
          <w:sz w:val="20"/>
        </w:rPr>
        <w:br w:type="page"/>
      </w:r>
    </w:p>
    <w:p w14:paraId="6819E99E" w14:textId="2CF0BE21" w:rsidR="00C72A1E" w:rsidRPr="00E65474" w:rsidRDefault="00C72A1E" w:rsidP="00A24D53">
      <w:pPr>
        <w:widowControl w:val="0"/>
        <w:tabs>
          <w:tab w:val="left" w:pos="567"/>
        </w:tabs>
        <w:adjustRightInd w:val="0"/>
        <w:spacing w:before="120" w:after="120" w:line="240" w:lineRule="auto"/>
        <w:jc w:val="center"/>
        <w:textAlignment w:val="baseline"/>
        <w:rPr>
          <w:rFonts w:ascii="Verdana" w:hAnsi="Verdana"/>
          <w:b/>
          <w:sz w:val="20"/>
        </w:rPr>
      </w:pPr>
      <w:r w:rsidRPr="00E65474">
        <w:rPr>
          <w:rFonts w:ascii="Verdana" w:hAnsi="Verdana"/>
          <w:b/>
          <w:sz w:val="20"/>
        </w:rPr>
        <w:t>V</w:t>
      </w:r>
    </w:p>
    <w:p w14:paraId="452432C2" w14:textId="326977AD" w:rsidR="00C72A1E" w:rsidRDefault="00C72A1E" w:rsidP="00A24D53">
      <w:pPr>
        <w:widowControl w:val="0"/>
        <w:tabs>
          <w:tab w:val="left" w:pos="567"/>
        </w:tabs>
        <w:adjustRightInd w:val="0"/>
        <w:spacing w:before="120" w:after="120" w:line="240" w:lineRule="auto"/>
        <w:jc w:val="center"/>
        <w:textAlignment w:val="baseline"/>
        <w:rPr>
          <w:rFonts w:ascii="Verdana" w:hAnsi="Verdana"/>
          <w:b/>
          <w:sz w:val="20"/>
        </w:rPr>
      </w:pPr>
      <w:r w:rsidRPr="00E65474">
        <w:rPr>
          <w:rFonts w:ascii="Verdana" w:hAnsi="Verdana"/>
          <w:b/>
          <w:sz w:val="20"/>
        </w:rPr>
        <w:t>PUNTOS RESOLUTIVOS</w:t>
      </w:r>
    </w:p>
    <w:p w14:paraId="1320FB8C" w14:textId="77777777" w:rsidR="008D05FD" w:rsidRPr="00E65474" w:rsidRDefault="008D05FD" w:rsidP="00A24D53">
      <w:pPr>
        <w:widowControl w:val="0"/>
        <w:tabs>
          <w:tab w:val="left" w:pos="567"/>
        </w:tabs>
        <w:adjustRightInd w:val="0"/>
        <w:spacing w:before="120" w:after="120" w:line="240" w:lineRule="auto"/>
        <w:jc w:val="center"/>
        <w:textAlignment w:val="baseline"/>
        <w:rPr>
          <w:rFonts w:ascii="Verdana" w:hAnsi="Verdana"/>
          <w:b/>
          <w:sz w:val="20"/>
        </w:rPr>
      </w:pPr>
    </w:p>
    <w:p w14:paraId="18BC0695" w14:textId="5D5E4341" w:rsidR="00C72A1E" w:rsidRDefault="00C72A1E" w:rsidP="00A24D53">
      <w:pPr>
        <w:pStyle w:val="Prrafodelista"/>
        <w:widowControl w:val="0"/>
        <w:numPr>
          <w:ilvl w:val="0"/>
          <w:numId w:val="1"/>
        </w:numPr>
        <w:tabs>
          <w:tab w:val="left" w:pos="567"/>
        </w:tabs>
        <w:adjustRightInd w:val="0"/>
        <w:spacing w:before="120" w:after="120" w:line="240" w:lineRule="auto"/>
        <w:ind w:left="0" w:firstLine="0"/>
        <w:textAlignment w:val="baseline"/>
        <w:rPr>
          <w:rFonts w:ascii="Verdana" w:hAnsi="Verdana"/>
          <w:sz w:val="20"/>
          <w:szCs w:val="20"/>
          <w:lang w:val="es-CR"/>
        </w:rPr>
      </w:pPr>
      <w:r w:rsidRPr="00E65474">
        <w:rPr>
          <w:rFonts w:ascii="Verdana" w:hAnsi="Verdana"/>
          <w:sz w:val="20"/>
          <w:szCs w:val="20"/>
          <w:lang w:val="es-CR"/>
        </w:rPr>
        <w:t xml:space="preserve">Por tanto, </w:t>
      </w:r>
    </w:p>
    <w:p w14:paraId="00554E43" w14:textId="77777777" w:rsidR="00C72A1E" w:rsidRDefault="00C72A1E" w:rsidP="00A24D53">
      <w:pPr>
        <w:pStyle w:val="Prrafodelista"/>
        <w:widowControl w:val="0"/>
        <w:tabs>
          <w:tab w:val="left" w:pos="567"/>
        </w:tabs>
        <w:adjustRightInd w:val="0"/>
        <w:spacing w:before="120" w:after="120" w:line="240" w:lineRule="auto"/>
        <w:textAlignment w:val="baseline"/>
        <w:rPr>
          <w:rFonts w:ascii="Verdana" w:hAnsi="Verdana"/>
          <w:sz w:val="20"/>
          <w:szCs w:val="20"/>
          <w:lang w:val="es-CR"/>
        </w:rPr>
      </w:pPr>
    </w:p>
    <w:p w14:paraId="17BB4DFA" w14:textId="77777777" w:rsidR="008D05FD" w:rsidRDefault="00C72A1E" w:rsidP="00A24D53">
      <w:pPr>
        <w:widowControl w:val="0"/>
        <w:tabs>
          <w:tab w:val="left" w:pos="567"/>
        </w:tabs>
        <w:adjustRightInd w:val="0"/>
        <w:spacing w:before="120" w:after="120" w:line="240" w:lineRule="auto"/>
        <w:textAlignment w:val="baseline"/>
        <w:rPr>
          <w:rFonts w:ascii="Verdana" w:hAnsi="Verdana"/>
          <w:b/>
          <w:sz w:val="20"/>
          <w:szCs w:val="20"/>
        </w:rPr>
      </w:pPr>
      <w:r w:rsidRPr="00E65474">
        <w:rPr>
          <w:rFonts w:ascii="Verdana" w:hAnsi="Verdana"/>
          <w:b/>
          <w:sz w:val="20"/>
          <w:szCs w:val="20"/>
        </w:rPr>
        <w:t xml:space="preserve">LA CORTE </w:t>
      </w:r>
    </w:p>
    <w:p w14:paraId="2B55521E" w14:textId="77777777" w:rsidR="008D05FD" w:rsidRDefault="008D05FD" w:rsidP="00A24D53">
      <w:pPr>
        <w:widowControl w:val="0"/>
        <w:tabs>
          <w:tab w:val="left" w:pos="567"/>
        </w:tabs>
        <w:adjustRightInd w:val="0"/>
        <w:spacing w:before="120" w:after="120" w:line="240" w:lineRule="auto"/>
        <w:textAlignment w:val="baseline"/>
        <w:rPr>
          <w:rFonts w:ascii="Verdana" w:hAnsi="Verdana"/>
          <w:sz w:val="20"/>
          <w:szCs w:val="20"/>
        </w:rPr>
      </w:pPr>
    </w:p>
    <w:p w14:paraId="506EE3CE" w14:textId="6364C137" w:rsidR="008D05FD" w:rsidRDefault="008D05FD" w:rsidP="00A24D53">
      <w:pPr>
        <w:widowControl w:val="0"/>
        <w:tabs>
          <w:tab w:val="left" w:pos="567"/>
        </w:tabs>
        <w:adjustRightInd w:val="0"/>
        <w:spacing w:before="120" w:after="120" w:line="240" w:lineRule="auto"/>
        <w:textAlignment w:val="baseline"/>
        <w:rPr>
          <w:rFonts w:ascii="Verdana" w:hAnsi="Verdana"/>
          <w:b/>
          <w:sz w:val="20"/>
          <w:szCs w:val="20"/>
        </w:rPr>
      </w:pPr>
      <w:r w:rsidRPr="00E65474">
        <w:rPr>
          <w:rFonts w:ascii="Verdana" w:hAnsi="Verdana"/>
          <w:sz w:val="20"/>
          <w:szCs w:val="20"/>
        </w:rPr>
        <w:t>de conformidad con el artículo 67 de la Convención Americana sobre Derechos Humanos y los artículos 31.3 y 68 del Reglamento del Tribunal,</w:t>
      </w:r>
    </w:p>
    <w:p w14:paraId="1ABBA515" w14:textId="77777777" w:rsidR="008D05FD" w:rsidRDefault="008D05FD" w:rsidP="00A24D53">
      <w:pPr>
        <w:widowControl w:val="0"/>
        <w:tabs>
          <w:tab w:val="left" w:pos="567"/>
        </w:tabs>
        <w:adjustRightInd w:val="0"/>
        <w:spacing w:before="120" w:after="120" w:line="240" w:lineRule="auto"/>
        <w:textAlignment w:val="baseline"/>
        <w:rPr>
          <w:rFonts w:ascii="Verdana" w:hAnsi="Verdana"/>
          <w:b/>
          <w:sz w:val="20"/>
          <w:szCs w:val="20"/>
        </w:rPr>
      </w:pPr>
    </w:p>
    <w:p w14:paraId="3F72289A" w14:textId="24D04372" w:rsidR="00C72A1E" w:rsidRDefault="00C72A1E" w:rsidP="00A24D53">
      <w:pPr>
        <w:widowControl w:val="0"/>
        <w:tabs>
          <w:tab w:val="left" w:pos="567"/>
        </w:tabs>
        <w:adjustRightInd w:val="0"/>
        <w:spacing w:before="120" w:after="120" w:line="240" w:lineRule="auto"/>
        <w:textAlignment w:val="baseline"/>
        <w:rPr>
          <w:rFonts w:ascii="Verdana" w:hAnsi="Verdana"/>
          <w:b/>
          <w:sz w:val="20"/>
          <w:szCs w:val="20"/>
        </w:rPr>
      </w:pPr>
      <w:r w:rsidRPr="00E65474">
        <w:rPr>
          <w:rFonts w:ascii="Verdana" w:hAnsi="Verdana"/>
          <w:b/>
          <w:sz w:val="20"/>
          <w:szCs w:val="20"/>
        </w:rPr>
        <w:t xml:space="preserve">DECIDE: </w:t>
      </w:r>
    </w:p>
    <w:p w14:paraId="64B82D13" w14:textId="77777777" w:rsidR="008D05FD" w:rsidRPr="00E65474" w:rsidRDefault="008D05FD" w:rsidP="00A24D53">
      <w:pPr>
        <w:widowControl w:val="0"/>
        <w:tabs>
          <w:tab w:val="left" w:pos="567"/>
        </w:tabs>
        <w:adjustRightInd w:val="0"/>
        <w:spacing w:before="120" w:after="120" w:line="240" w:lineRule="auto"/>
        <w:textAlignment w:val="baseline"/>
        <w:rPr>
          <w:rFonts w:ascii="Verdana" w:hAnsi="Verdana"/>
          <w:b/>
          <w:sz w:val="20"/>
          <w:szCs w:val="20"/>
        </w:rPr>
      </w:pPr>
    </w:p>
    <w:p w14:paraId="198C80BA" w14:textId="4C82B96C" w:rsidR="00C72A1E" w:rsidRDefault="00376729" w:rsidP="00A24D53">
      <w:pPr>
        <w:widowControl w:val="0"/>
        <w:tabs>
          <w:tab w:val="left" w:pos="567"/>
        </w:tabs>
        <w:adjustRightInd w:val="0"/>
        <w:spacing w:before="120" w:after="120" w:line="240" w:lineRule="auto"/>
        <w:textAlignment w:val="baseline"/>
        <w:rPr>
          <w:rFonts w:ascii="Verdana" w:hAnsi="Verdana"/>
          <w:sz w:val="20"/>
          <w:szCs w:val="20"/>
        </w:rPr>
      </w:pPr>
      <w:r>
        <w:rPr>
          <w:rFonts w:ascii="Verdana" w:hAnsi="Verdana"/>
          <w:sz w:val="20"/>
          <w:szCs w:val="20"/>
        </w:rPr>
        <w:t>Por</w:t>
      </w:r>
      <w:r w:rsidR="003B642D">
        <w:rPr>
          <w:rFonts w:ascii="Verdana" w:hAnsi="Verdana"/>
          <w:sz w:val="20"/>
          <w:szCs w:val="20"/>
        </w:rPr>
        <w:t xml:space="preserve"> unanimidad</w:t>
      </w:r>
      <w:r w:rsidR="00C72A1E" w:rsidRPr="00E65474">
        <w:rPr>
          <w:rFonts w:ascii="Verdana" w:hAnsi="Verdana"/>
          <w:sz w:val="20"/>
          <w:szCs w:val="20"/>
        </w:rPr>
        <w:t xml:space="preserve">, </w:t>
      </w:r>
    </w:p>
    <w:p w14:paraId="3E331ECF" w14:textId="77777777" w:rsidR="00C72A1E" w:rsidRPr="00E65474" w:rsidRDefault="00C72A1E" w:rsidP="00A24D53">
      <w:pPr>
        <w:widowControl w:val="0"/>
        <w:tabs>
          <w:tab w:val="left" w:pos="567"/>
        </w:tabs>
        <w:adjustRightInd w:val="0"/>
        <w:spacing w:before="120" w:after="120" w:line="240" w:lineRule="auto"/>
        <w:textAlignment w:val="baseline"/>
        <w:rPr>
          <w:rFonts w:ascii="Verdana" w:hAnsi="Verdana"/>
          <w:sz w:val="20"/>
          <w:szCs w:val="20"/>
        </w:rPr>
      </w:pPr>
    </w:p>
    <w:p w14:paraId="329AF390" w14:textId="0EA09B43" w:rsidR="00B50ADB" w:rsidRDefault="00087F46" w:rsidP="00A24D53">
      <w:pPr>
        <w:pStyle w:val="Prrafodelista"/>
        <w:widowControl w:val="0"/>
        <w:numPr>
          <w:ilvl w:val="0"/>
          <w:numId w:val="3"/>
        </w:numPr>
        <w:tabs>
          <w:tab w:val="left" w:pos="567"/>
        </w:tabs>
        <w:adjustRightInd w:val="0"/>
        <w:spacing w:before="240" w:after="360" w:line="240" w:lineRule="auto"/>
        <w:ind w:left="0" w:firstLine="0"/>
        <w:textAlignment w:val="baseline"/>
        <w:rPr>
          <w:rFonts w:ascii="Verdana" w:hAnsi="Verdana"/>
          <w:sz w:val="20"/>
          <w:szCs w:val="20"/>
          <w:lang w:val="es-CR"/>
        </w:rPr>
      </w:pPr>
      <w:r w:rsidRPr="008946E0">
        <w:rPr>
          <w:rFonts w:ascii="Verdana" w:hAnsi="Verdana"/>
          <w:sz w:val="20"/>
          <w:szCs w:val="20"/>
          <w:lang w:val="es-CR"/>
        </w:rPr>
        <w:t>Declarar admisible la</w:t>
      </w:r>
      <w:r w:rsidR="001C5089">
        <w:rPr>
          <w:rFonts w:ascii="Verdana" w:hAnsi="Verdana"/>
          <w:sz w:val="20"/>
          <w:szCs w:val="20"/>
          <w:lang w:val="es-CR"/>
        </w:rPr>
        <w:t>s</w:t>
      </w:r>
      <w:r w:rsidRPr="008946E0">
        <w:rPr>
          <w:rFonts w:ascii="Verdana" w:hAnsi="Verdana"/>
          <w:sz w:val="20"/>
          <w:szCs w:val="20"/>
          <w:lang w:val="es-CR"/>
        </w:rPr>
        <w:t xml:space="preserve"> solicitud</w:t>
      </w:r>
      <w:r w:rsidR="001C5089">
        <w:rPr>
          <w:rFonts w:ascii="Verdana" w:hAnsi="Verdana"/>
          <w:sz w:val="20"/>
          <w:szCs w:val="20"/>
          <w:lang w:val="es-CR"/>
        </w:rPr>
        <w:t>es</w:t>
      </w:r>
      <w:r w:rsidRPr="008946E0">
        <w:rPr>
          <w:rFonts w:ascii="Verdana" w:hAnsi="Verdana"/>
          <w:sz w:val="20"/>
          <w:szCs w:val="20"/>
          <w:lang w:val="es-CR"/>
        </w:rPr>
        <w:t xml:space="preserve"> de interpretación de la Sentencia de </w:t>
      </w:r>
      <w:r w:rsidR="005C0D31">
        <w:rPr>
          <w:rFonts w:ascii="Verdana" w:hAnsi="Verdana"/>
          <w:sz w:val="20"/>
          <w:szCs w:val="20"/>
          <w:lang w:val="es-CR"/>
        </w:rPr>
        <w:t xml:space="preserve">Excepciones Preliminares, </w:t>
      </w:r>
      <w:r w:rsidRPr="008946E0">
        <w:rPr>
          <w:rFonts w:ascii="Verdana" w:hAnsi="Verdana"/>
          <w:sz w:val="20"/>
          <w:szCs w:val="20"/>
          <w:lang w:val="es-CR"/>
        </w:rPr>
        <w:t xml:space="preserve">Fondo, </w:t>
      </w:r>
      <w:r w:rsidR="0063629C" w:rsidRPr="008946E0">
        <w:rPr>
          <w:rFonts w:ascii="Verdana" w:hAnsi="Verdana"/>
          <w:sz w:val="20"/>
          <w:szCs w:val="20"/>
          <w:lang w:val="es-CR"/>
        </w:rPr>
        <w:t xml:space="preserve">Reparaciones y Costas en el </w:t>
      </w:r>
      <w:r w:rsidR="0063629C" w:rsidRPr="008946E0">
        <w:rPr>
          <w:rFonts w:ascii="Verdana" w:hAnsi="Verdana"/>
          <w:i/>
          <w:sz w:val="20"/>
          <w:szCs w:val="20"/>
          <w:lang w:val="es-CR"/>
        </w:rPr>
        <w:t>C</w:t>
      </w:r>
      <w:r w:rsidRPr="008946E0">
        <w:rPr>
          <w:rFonts w:ascii="Verdana" w:hAnsi="Verdana"/>
          <w:i/>
          <w:sz w:val="20"/>
          <w:szCs w:val="20"/>
          <w:lang w:val="es-CR"/>
        </w:rPr>
        <w:t xml:space="preserve">aso </w:t>
      </w:r>
      <w:r w:rsidR="005C0D31">
        <w:rPr>
          <w:rFonts w:ascii="Verdana" w:hAnsi="Verdana"/>
          <w:i/>
          <w:sz w:val="20"/>
          <w:szCs w:val="20"/>
          <w:lang w:val="es-CR"/>
        </w:rPr>
        <w:t xml:space="preserve">Rosadio Villavicencio </w:t>
      </w:r>
      <w:r w:rsidR="00C81258">
        <w:rPr>
          <w:rFonts w:ascii="Verdana" w:hAnsi="Verdana"/>
          <w:i/>
          <w:sz w:val="20"/>
          <w:szCs w:val="20"/>
          <w:lang w:val="es-CR"/>
        </w:rPr>
        <w:t>V</w:t>
      </w:r>
      <w:r w:rsidR="005C0D31">
        <w:rPr>
          <w:rFonts w:ascii="Verdana" w:hAnsi="Verdana"/>
          <w:i/>
          <w:sz w:val="20"/>
          <w:szCs w:val="20"/>
          <w:lang w:val="es-CR"/>
        </w:rPr>
        <w:t>s. Perú</w:t>
      </w:r>
      <w:r w:rsidR="005C0D31">
        <w:rPr>
          <w:rFonts w:ascii="Verdana" w:hAnsi="Verdana"/>
          <w:sz w:val="20"/>
          <w:szCs w:val="20"/>
          <w:lang w:val="es-CR"/>
        </w:rPr>
        <w:t>, presentada</w:t>
      </w:r>
      <w:r w:rsidR="005E526B" w:rsidRPr="008946E0">
        <w:rPr>
          <w:rFonts w:ascii="Verdana" w:hAnsi="Verdana"/>
          <w:sz w:val="20"/>
          <w:szCs w:val="20"/>
          <w:lang w:val="es-CR"/>
        </w:rPr>
        <w:t xml:space="preserve"> por </w:t>
      </w:r>
      <w:r w:rsidR="005C0D31">
        <w:rPr>
          <w:rFonts w:ascii="Verdana" w:hAnsi="Verdana"/>
          <w:sz w:val="20"/>
          <w:szCs w:val="20"/>
          <w:lang w:val="es-CR"/>
        </w:rPr>
        <w:t>el Estado</w:t>
      </w:r>
      <w:r w:rsidR="001C5089">
        <w:rPr>
          <w:rFonts w:ascii="Verdana" w:hAnsi="Verdana"/>
          <w:sz w:val="20"/>
          <w:szCs w:val="20"/>
          <w:lang w:val="es-CR"/>
        </w:rPr>
        <w:t xml:space="preserve"> y </w:t>
      </w:r>
      <w:r w:rsidR="00AD345C">
        <w:rPr>
          <w:rFonts w:ascii="Verdana" w:hAnsi="Verdana"/>
          <w:sz w:val="20"/>
          <w:szCs w:val="20"/>
          <w:lang w:val="es-CR"/>
        </w:rPr>
        <w:t xml:space="preserve">por </w:t>
      </w:r>
      <w:r w:rsidR="001C5089">
        <w:rPr>
          <w:rFonts w:ascii="Verdana" w:hAnsi="Verdana"/>
          <w:sz w:val="20"/>
          <w:szCs w:val="20"/>
          <w:lang w:val="es-CR"/>
        </w:rPr>
        <w:t>la víctima, en los términos del párrafo 9 de la presente Sentencia de Interpretación</w:t>
      </w:r>
      <w:r w:rsidR="005E526B" w:rsidRPr="008946E0">
        <w:rPr>
          <w:rFonts w:ascii="Verdana" w:hAnsi="Verdana"/>
          <w:sz w:val="20"/>
          <w:szCs w:val="20"/>
          <w:lang w:val="es-CR"/>
        </w:rPr>
        <w:t xml:space="preserve">. </w:t>
      </w:r>
    </w:p>
    <w:p w14:paraId="00998F1D" w14:textId="77777777" w:rsidR="00B50ADB" w:rsidRDefault="00B50ADB"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7C687D1A" w14:textId="77777777" w:rsidR="00A24D53" w:rsidRDefault="00A24D53"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0CD4C481" w14:textId="4271168E" w:rsidR="00724C83" w:rsidRPr="00376729" w:rsidRDefault="00B50ADB" w:rsidP="00A24D53">
      <w:pPr>
        <w:pStyle w:val="Prrafodelista"/>
        <w:widowControl w:val="0"/>
        <w:numPr>
          <w:ilvl w:val="0"/>
          <w:numId w:val="3"/>
        </w:numPr>
        <w:tabs>
          <w:tab w:val="left" w:pos="567"/>
        </w:tabs>
        <w:adjustRightInd w:val="0"/>
        <w:spacing w:before="240" w:after="360" w:line="240" w:lineRule="auto"/>
        <w:ind w:left="0" w:firstLine="0"/>
        <w:textAlignment w:val="baseline"/>
        <w:rPr>
          <w:rFonts w:ascii="Verdana" w:hAnsi="Verdana"/>
          <w:sz w:val="20"/>
          <w:szCs w:val="20"/>
          <w:lang w:val="es-CR"/>
        </w:rPr>
      </w:pPr>
      <w:r w:rsidRPr="00B50ADB">
        <w:rPr>
          <w:rFonts w:ascii="Verdana" w:hAnsi="Verdana"/>
          <w:sz w:val="20"/>
          <w:szCs w:val="20"/>
          <w:lang w:val="es-ES_tradnl"/>
        </w:rPr>
        <w:t xml:space="preserve">Aclarar por medio de </w:t>
      </w:r>
      <w:r w:rsidR="003B642D">
        <w:rPr>
          <w:rFonts w:ascii="Verdana" w:hAnsi="Verdana"/>
          <w:sz w:val="20"/>
          <w:szCs w:val="20"/>
          <w:lang w:val="es-ES_tradnl"/>
        </w:rPr>
        <w:t>I</w:t>
      </w:r>
      <w:r w:rsidRPr="00B50ADB">
        <w:rPr>
          <w:rFonts w:ascii="Verdana" w:hAnsi="Verdana"/>
          <w:sz w:val="20"/>
          <w:szCs w:val="20"/>
          <w:lang w:val="es-ES_tradnl"/>
        </w:rPr>
        <w:t>nterpretación</w:t>
      </w:r>
      <w:r w:rsidR="003B642D">
        <w:rPr>
          <w:rFonts w:ascii="Verdana" w:hAnsi="Verdana"/>
          <w:sz w:val="20"/>
          <w:szCs w:val="20"/>
          <w:lang w:val="es-ES_tradnl"/>
        </w:rPr>
        <w:t>,</w:t>
      </w:r>
      <w:r w:rsidRPr="00B50ADB">
        <w:rPr>
          <w:rFonts w:ascii="Verdana" w:hAnsi="Verdana"/>
          <w:sz w:val="20"/>
          <w:szCs w:val="20"/>
          <w:lang w:val="es-ES_tradnl"/>
        </w:rPr>
        <w:t xml:space="preserve"> la Sentencia de</w:t>
      </w:r>
      <w:r w:rsidR="003B642D">
        <w:rPr>
          <w:rFonts w:ascii="Verdana" w:hAnsi="Verdana"/>
          <w:sz w:val="20"/>
          <w:szCs w:val="20"/>
          <w:lang w:val="es-ES_tradnl"/>
        </w:rPr>
        <w:t xml:space="preserve"> Excepciones Preliminares,</w:t>
      </w:r>
      <w:r w:rsidRPr="00B50ADB">
        <w:rPr>
          <w:rFonts w:ascii="Verdana" w:hAnsi="Verdana"/>
          <w:sz w:val="20"/>
          <w:szCs w:val="20"/>
          <w:lang w:val="es-ES_tradnl"/>
        </w:rPr>
        <w:t xml:space="preserve"> </w:t>
      </w:r>
      <w:r w:rsidR="003B642D">
        <w:rPr>
          <w:rFonts w:ascii="Verdana" w:hAnsi="Verdana"/>
          <w:sz w:val="20"/>
          <w:szCs w:val="20"/>
          <w:lang w:val="es-ES_tradnl"/>
        </w:rPr>
        <w:t>F</w:t>
      </w:r>
      <w:r w:rsidRPr="00B50ADB">
        <w:rPr>
          <w:rFonts w:ascii="Verdana" w:hAnsi="Verdana"/>
          <w:sz w:val="20"/>
          <w:szCs w:val="20"/>
          <w:lang w:val="es-ES_tradnl"/>
        </w:rPr>
        <w:t xml:space="preserve">ondo, </w:t>
      </w:r>
      <w:r w:rsidR="003B642D">
        <w:rPr>
          <w:rFonts w:ascii="Verdana" w:hAnsi="Verdana"/>
          <w:sz w:val="20"/>
          <w:szCs w:val="20"/>
          <w:lang w:val="es-ES_tradnl"/>
        </w:rPr>
        <w:t>R</w:t>
      </w:r>
      <w:r w:rsidRPr="00B50ADB">
        <w:rPr>
          <w:rFonts w:ascii="Verdana" w:hAnsi="Verdana"/>
          <w:sz w:val="20"/>
          <w:szCs w:val="20"/>
          <w:lang w:val="es-ES_tradnl"/>
        </w:rPr>
        <w:t xml:space="preserve">eparaciones y </w:t>
      </w:r>
      <w:r w:rsidR="003B642D">
        <w:rPr>
          <w:rFonts w:ascii="Verdana" w:hAnsi="Verdana"/>
          <w:sz w:val="20"/>
          <w:szCs w:val="20"/>
          <w:lang w:val="es-ES_tradnl"/>
        </w:rPr>
        <w:t>C</w:t>
      </w:r>
      <w:r w:rsidRPr="00B50ADB">
        <w:rPr>
          <w:rFonts w:ascii="Verdana" w:hAnsi="Verdana"/>
          <w:sz w:val="20"/>
          <w:szCs w:val="20"/>
          <w:lang w:val="es-ES_tradnl"/>
        </w:rPr>
        <w:t xml:space="preserve">ostas, emitida en el </w:t>
      </w:r>
      <w:r w:rsidRPr="00B50ADB">
        <w:rPr>
          <w:rFonts w:ascii="Verdana" w:hAnsi="Verdana"/>
          <w:i/>
          <w:sz w:val="20"/>
          <w:szCs w:val="20"/>
          <w:lang w:val="es-ES_tradnl"/>
        </w:rPr>
        <w:t xml:space="preserve">Caso Rosadio Villavicencio </w:t>
      </w:r>
      <w:r w:rsidR="00C81258">
        <w:rPr>
          <w:rFonts w:ascii="Verdana" w:hAnsi="Verdana"/>
          <w:i/>
          <w:sz w:val="20"/>
          <w:szCs w:val="20"/>
          <w:lang w:val="es-ES_tradnl"/>
        </w:rPr>
        <w:t>V</w:t>
      </w:r>
      <w:r w:rsidRPr="00B50ADB">
        <w:rPr>
          <w:rFonts w:ascii="Verdana" w:hAnsi="Verdana"/>
          <w:i/>
          <w:sz w:val="20"/>
          <w:szCs w:val="20"/>
          <w:lang w:val="es-ES_tradnl"/>
        </w:rPr>
        <w:t xml:space="preserve">s. Perú, </w:t>
      </w:r>
      <w:r w:rsidRPr="00B50ADB">
        <w:rPr>
          <w:rFonts w:ascii="Verdana" w:hAnsi="Verdana"/>
          <w:sz w:val="20"/>
          <w:szCs w:val="20"/>
          <w:lang w:val="es-ES_tradnl"/>
        </w:rPr>
        <w:t xml:space="preserve">en los términos de los párrafos </w:t>
      </w:r>
      <w:r w:rsidR="00DA1D35">
        <w:rPr>
          <w:rFonts w:ascii="Verdana" w:hAnsi="Verdana"/>
          <w:sz w:val="20"/>
          <w:szCs w:val="20"/>
          <w:lang w:val="es-ES_tradnl"/>
        </w:rPr>
        <w:t>21 a</w:t>
      </w:r>
      <w:r w:rsidR="006805FE">
        <w:rPr>
          <w:rFonts w:ascii="Verdana" w:hAnsi="Verdana"/>
          <w:sz w:val="20"/>
          <w:szCs w:val="20"/>
          <w:lang w:val="es-ES_tradnl"/>
        </w:rPr>
        <w:t xml:space="preserve"> 23</w:t>
      </w:r>
      <w:r w:rsidR="00376729">
        <w:rPr>
          <w:rFonts w:ascii="Verdana" w:hAnsi="Verdana"/>
          <w:sz w:val="20"/>
          <w:szCs w:val="20"/>
          <w:lang w:val="es-ES_tradnl"/>
        </w:rPr>
        <w:t xml:space="preserve"> </w:t>
      </w:r>
      <w:r w:rsidR="00376729">
        <w:rPr>
          <w:rFonts w:ascii="Verdana" w:hAnsi="Verdana"/>
          <w:sz w:val="20"/>
          <w:szCs w:val="20"/>
          <w:lang w:val="es-CR"/>
        </w:rPr>
        <w:t>de la presente Sentencia de Interpretación.</w:t>
      </w:r>
      <w:r w:rsidRPr="00376729">
        <w:rPr>
          <w:rFonts w:ascii="Verdana" w:hAnsi="Verdana"/>
          <w:sz w:val="20"/>
          <w:szCs w:val="20"/>
          <w:lang w:val="es-ES_tradnl"/>
        </w:rPr>
        <w:t xml:space="preserve"> </w:t>
      </w:r>
    </w:p>
    <w:p w14:paraId="19CC33C0" w14:textId="2E428361" w:rsidR="00376729" w:rsidRDefault="00376729"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4F944F9F" w14:textId="77777777" w:rsidR="00A24D53" w:rsidRPr="00376729" w:rsidRDefault="00A24D53"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59834F4B" w14:textId="3B537B6C" w:rsidR="00724C83" w:rsidRDefault="00724C83" w:rsidP="00A24D53">
      <w:pPr>
        <w:pStyle w:val="Prrafodelista"/>
        <w:widowControl w:val="0"/>
        <w:numPr>
          <w:ilvl w:val="0"/>
          <w:numId w:val="3"/>
        </w:numPr>
        <w:tabs>
          <w:tab w:val="left" w:pos="567"/>
        </w:tabs>
        <w:adjustRightInd w:val="0"/>
        <w:spacing w:before="240" w:after="360" w:line="240" w:lineRule="auto"/>
        <w:ind w:left="0" w:firstLine="0"/>
        <w:textAlignment w:val="baseline"/>
        <w:rPr>
          <w:rFonts w:ascii="Verdana" w:hAnsi="Verdana"/>
          <w:sz w:val="20"/>
          <w:szCs w:val="20"/>
          <w:lang w:val="es-CR"/>
        </w:rPr>
      </w:pPr>
      <w:r>
        <w:rPr>
          <w:rFonts w:ascii="Verdana" w:hAnsi="Verdana"/>
          <w:sz w:val="20"/>
          <w:szCs w:val="20"/>
          <w:lang w:val="es-CR"/>
        </w:rPr>
        <w:t xml:space="preserve">Desestimar por improcedente la solicitud de interpretación de la Sentencia de </w:t>
      </w:r>
      <w:r w:rsidR="008946E0">
        <w:rPr>
          <w:rFonts w:ascii="Verdana" w:hAnsi="Verdana"/>
          <w:sz w:val="20"/>
          <w:szCs w:val="20"/>
          <w:lang w:val="es-CR"/>
        </w:rPr>
        <w:t xml:space="preserve">Excepciones Preliminares, </w:t>
      </w:r>
      <w:r>
        <w:rPr>
          <w:rFonts w:ascii="Verdana" w:hAnsi="Verdana"/>
          <w:sz w:val="20"/>
          <w:szCs w:val="20"/>
          <w:lang w:val="es-CR"/>
        </w:rPr>
        <w:t>Fondo, Repar</w:t>
      </w:r>
      <w:r w:rsidR="0063629C">
        <w:rPr>
          <w:rFonts w:ascii="Verdana" w:hAnsi="Verdana"/>
          <w:sz w:val="20"/>
          <w:szCs w:val="20"/>
          <w:lang w:val="es-CR"/>
        </w:rPr>
        <w:t xml:space="preserve">aciones y Costas emitida en el </w:t>
      </w:r>
      <w:r w:rsidR="0063629C" w:rsidRPr="0063629C">
        <w:rPr>
          <w:rFonts w:ascii="Verdana" w:hAnsi="Verdana"/>
          <w:i/>
          <w:sz w:val="20"/>
          <w:szCs w:val="20"/>
          <w:lang w:val="es-CR"/>
        </w:rPr>
        <w:t>C</w:t>
      </w:r>
      <w:r w:rsidRPr="0063629C">
        <w:rPr>
          <w:rFonts w:ascii="Verdana" w:hAnsi="Verdana"/>
          <w:i/>
          <w:sz w:val="20"/>
          <w:szCs w:val="20"/>
          <w:lang w:val="es-CR"/>
        </w:rPr>
        <w:t xml:space="preserve">aso </w:t>
      </w:r>
      <w:r w:rsidR="008946E0">
        <w:rPr>
          <w:rFonts w:ascii="Verdana" w:hAnsi="Verdana"/>
          <w:i/>
          <w:sz w:val="20"/>
          <w:szCs w:val="20"/>
          <w:lang w:val="es-CR"/>
        </w:rPr>
        <w:t>Rosadio Villavicencio</w:t>
      </w:r>
      <w:r>
        <w:rPr>
          <w:rFonts w:ascii="Verdana" w:hAnsi="Verdana"/>
          <w:i/>
          <w:sz w:val="20"/>
          <w:szCs w:val="20"/>
          <w:lang w:val="es-CR"/>
        </w:rPr>
        <w:t xml:space="preserve"> Vs. </w:t>
      </w:r>
      <w:r w:rsidR="008946E0">
        <w:rPr>
          <w:rFonts w:ascii="Verdana" w:hAnsi="Verdana"/>
          <w:i/>
          <w:sz w:val="20"/>
          <w:szCs w:val="20"/>
          <w:lang w:val="es-CR"/>
        </w:rPr>
        <w:t>Perú</w:t>
      </w:r>
      <w:r>
        <w:rPr>
          <w:rFonts w:ascii="Verdana" w:hAnsi="Verdana"/>
          <w:sz w:val="20"/>
          <w:szCs w:val="20"/>
          <w:lang w:val="es-CR"/>
        </w:rPr>
        <w:t xml:space="preserve">, </w:t>
      </w:r>
      <w:r w:rsidR="00B50ADB">
        <w:rPr>
          <w:rFonts w:ascii="Verdana" w:hAnsi="Verdana"/>
          <w:sz w:val="20"/>
          <w:szCs w:val="20"/>
          <w:lang w:val="es-CR"/>
        </w:rPr>
        <w:t>presentada</w:t>
      </w:r>
      <w:r w:rsidR="005C0D31">
        <w:rPr>
          <w:rFonts w:ascii="Verdana" w:hAnsi="Verdana"/>
          <w:sz w:val="20"/>
          <w:szCs w:val="20"/>
          <w:lang w:val="es-CR"/>
        </w:rPr>
        <w:t xml:space="preserve"> por la víctima </w:t>
      </w:r>
      <w:r>
        <w:rPr>
          <w:rFonts w:ascii="Verdana" w:hAnsi="Verdana"/>
          <w:sz w:val="20"/>
          <w:szCs w:val="20"/>
          <w:lang w:val="es-CR"/>
        </w:rPr>
        <w:t xml:space="preserve">en los términos de los párrafos </w:t>
      </w:r>
      <w:r w:rsidR="006805FE">
        <w:rPr>
          <w:rFonts w:ascii="Verdana" w:hAnsi="Verdana"/>
          <w:sz w:val="20"/>
          <w:szCs w:val="20"/>
          <w:lang w:val="es-CR"/>
        </w:rPr>
        <w:t>26</w:t>
      </w:r>
      <w:r w:rsidR="00376729">
        <w:rPr>
          <w:rFonts w:ascii="Verdana" w:hAnsi="Verdana"/>
          <w:sz w:val="20"/>
          <w:szCs w:val="20"/>
          <w:lang w:val="es-CR"/>
        </w:rPr>
        <w:t xml:space="preserve"> y </w:t>
      </w:r>
      <w:r>
        <w:rPr>
          <w:rFonts w:ascii="Verdana" w:hAnsi="Verdana"/>
          <w:sz w:val="20"/>
          <w:szCs w:val="20"/>
          <w:lang w:val="es-CR"/>
        </w:rPr>
        <w:t>2</w:t>
      </w:r>
      <w:r w:rsidR="006805FE">
        <w:rPr>
          <w:rFonts w:ascii="Verdana" w:hAnsi="Verdana"/>
          <w:sz w:val="20"/>
          <w:szCs w:val="20"/>
          <w:lang w:val="es-CR"/>
        </w:rPr>
        <w:t>7</w:t>
      </w:r>
      <w:r w:rsidR="005C0D31">
        <w:rPr>
          <w:rFonts w:ascii="Verdana" w:hAnsi="Verdana"/>
          <w:sz w:val="20"/>
          <w:szCs w:val="20"/>
          <w:lang w:val="es-CR"/>
        </w:rPr>
        <w:t xml:space="preserve"> </w:t>
      </w:r>
      <w:r>
        <w:rPr>
          <w:rFonts w:ascii="Verdana" w:hAnsi="Verdana"/>
          <w:sz w:val="20"/>
          <w:szCs w:val="20"/>
          <w:lang w:val="es-CR"/>
        </w:rPr>
        <w:t xml:space="preserve">de la presente Sentencia de Interpretación. </w:t>
      </w:r>
    </w:p>
    <w:p w14:paraId="1D85E68F" w14:textId="0736877B" w:rsidR="00724C83" w:rsidRDefault="00724C83"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51F83E04" w14:textId="77777777" w:rsidR="00A24D53" w:rsidRPr="00724C83" w:rsidRDefault="00A24D53" w:rsidP="00A24D53">
      <w:pPr>
        <w:pStyle w:val="Prrafodelista"/>
        <w:widowControl w:val="0"/>
        <w:tabs>
          <w:tab w:val="left" w:pos="567"/>
        </w:tabs>
        <w:adjustRightInd w:val="0"/>
        <w:spacing w:before="240" w:after="360" w:line="240" w:lineRule="auto"/>
        <w:ind w:left="0" w:firstLine="0"/>
        <w:textAlignment w:val="baseline"/>
        <w:rPr>
          <w:rFonts w:ascii="Verdana" w:hAnsi="Verdana"/>
          <w:sz w:val="20"/>
          <w:szCs w:val="20"/>
          <w:lang w:val="es-CR"/>
        </w:rPr>
      </w:pPr>
    </w:p>
    <w:p w14:paraId="0BCFD96A" w14:textId="16B1DA60" w:rsidR="00D93276" w:rsidRDefault="00724C83" w:rsidP="00A24D53">
      <w:pPr>
        <w:pStyle w:val="Prrafodelista"/>
        <w:widowControl w:val="0"/>
        <w:numPr>
          <w:ilvl w:val="0"/>
          <w:numId w:val="3"/>
        </w:numPr>
        <w:tabs>
          <w:tab w:val="left" w:pos="567"/>
        </w:tabs>
        <w:adjustRightInd w:val="0"/>
        <w:spacing w:before="240" w:after="360" w:line="240" w:lineRule="auto"/>
        <w:ind w:left="0" w:firstLine="0"/>
        <w:textAlignment w:val="baseline"/>
        <w:rPr>
          <w:rFonts w:ascii="Verdana" w:hAnsi="Verdana"/>
          <w:sz w:val="20"/>
          <w:szCs w:val="20"/>
          <w:lang w:val="es-CR"/>
        </w:rPr>
      </w:pPr>
      <w:r>
        <w:rPr>
          <w:rFonts w:ascii="Verdana" w:hAnsi="Verdana"/>
          <w:sz w:val="20"/>
          <w:szCs w:val="20"/>
          <w:lang w:val="es-CR"/>
        </w:rPr>
        <w:t>Disponer que la Secretaría de la Corte notifique la presente Sentencia de Interpretación al Estado</w:t>
      </w:r>
      <w:r w:rsidR="008252D5">
        <w:rPr>
          <w:rFonts w:ascii="Verdana" w:hAnsi="Verdana"/>
          <w:sz w:val="20"/>
          <w:szCs w:val="20"/>
          <w:lang w:val="es-CR"/>
        </w:rPr>
        <w:t xml:space="preserve"> de Perú</w:t>
      </w:r>
      <w:r>
        <w:rPr>
          <w:rFonts w:ascii="Verdana" w:hAnsi="Verdana"/>
          <w:sz w:val="20"/>
          <w:szCs w:val="20"/>
          <w:lang w:val="es-CR"/>
        </w:rPr>
        <w:t>,</w:t>
      </w:r>
      <w:r w:rsidR="008252D5">
        <w:rPr>
          <w:rFonts w:ascii="Verdana" w:hAnsi="Verdana"/>
          <w:sz w:val="20"/>
          <w:szCs w:val="20"/>
          <w:lang w:val="es-CR"/>
        </w:rPr>
        <w:t xml:space="preserve"> a</w:t>
      </w:r>
      <w:r>
        <w:rPr>
          <w:rFonts w:ascii="Verdana" w:hAnsi="Verdana"/>
          <w:sz w:val="20"/>
          <w:szCs w:val="20"/>
          <w:lang w:val="es-CR"/>
        </w:rPr>
        <w:t xml:space="preserve"> l</w:t>
      </w:r>
      <w:r w:rsidR="003B642D">
        <w:rPr>
          <w:rFonts w:ascii="Verdana" w:hAnsi="Verdana"/>
          <w:sz w:val="20"/>
          <w:szCs w:val="20"/>
          <w:lang w:val="es-CR"/>
        </w:rPr>
        <w:t>a víctima</w:t>
      </w:r>
      <w:r w:rsidR="008D05FD">
        <w:rPr>
          <w:rFonts w:ascii="Verdana" w:hAnsi="Verdana"/>
          <w:sz w:val="20"/>
          <w:szCs w:val="20"/>
          <w:lang w:val="es-CR"/>
        </w:rPr>
        <w:t xml:space="preserve"> </w:t>
      </w:r>
      <w:r>
        <w:rPr>
          <w:rFonts w:ascii="Verdana" w:hAnsi="Verdana"/>
          <w:sz w:val="20"/>
          <w:szCs w:val="20"/>
          <w:lang w:val="es-CR"/>
        </w:rPr>
        <w:t>y a la Comisión</w:t>
      </w:r>
      <w:r w:rsidR="008252D5">
        <w:rPr>
          <w:rFonts w:ascii="Verdana" w:hAnsi="Verdana"/>
          <w:sz w:val="20"/>
          <w:szCs w:val="20"/>
          <w:lang w:val="es-CR"/>
        </w:rPr>
        <w:t xml:space="preserve"> Interamericana de Derechos Humanos</w:t>
      </w:r>
      <w:r>
        <w:rPr>
          <w:rFonts w:ascii="Verdana" w:hAnsi="Verdana"/>
          <w:sz w:val="20"/>
          <w:szCs w:val="20"/>
          <w:lang w:val="es-CR"/>
        </w:rPr>
        <w:t xml:space="preserve">. </w:t>
      </w:r>
    </w:p>
    <w:p w14:paraId="4013589C" w14:textId="77777777" w:rsidR="00D93276" w:rsidRDefault="00D93276">
      <w:pPr>
        <w:rPr>
          <w:rFonts w:ascii="Verdana" w:eastAsia="Times New Roman" w:hAnsi="Verdana" w:cs="Times New Roman"/>
          <w:sz w:val="20"/>
          <w:szCs w:val="20"/>
        </w:rPr>
      </w:pPr>
      <w:r>
        <w:rPr>
          <w:rFonts w:ascii="Verdana" w:hAnsi="Verdana"/>
          <w:sz w:val="20"/>
          <w:szCs w:val="20"/>
        </w:rPr>
        <w:br w:type="page"/>
      </w:r>
    </w:p>
    <w:p w14:paraId="51627DA2" w14:textId="77777777" w:rsidR="00D93276" w:rsidRPr="0012360A" w:rsidRDefault="00D93276" w:rsidP="00D93276">
      <w:pPr>
        <w:keepNext/>
        <w:spacing w:after="0" w:line="240" w:lineRule="auto"/>
        <w:jc w:val="both"/>
        <w:outlineLvl w:val="0"/>
        <w:rPr>
          <w:rFonts w:ascii="Verdana" w:eastAsia="Times" w:hAnsi="Verdana"/>
          <w:sz w:val="20"/>
          <w:szCs w:val="20"/>
        </w:rPr>
      </w:pPr>
      <w:r w:rsidRPr="0012360A">
        <w:rPr>
          <w:rFonts w:ascii="Verdana" w:eastAsia="Times" w:hAnsi="Verdana"/>
          <w:sz w:val="20"/>
          <w:szCs w:val="20"/>
        </w:rPr>
        <w:t xml:space="preserve">Corte IDH. </w:t>
      </w:r>
      <w:r w:rsidRPr="0012360A">
        <w:rPr>
          <w:rFonts w:ascii="Verdana" w:hAnsi="Verdana"/>
          <w:sz w:val="20"/>
          <w:szCs w:val="20"/>
        </w:rPr>
        <w:t xml:space="preserve">Caso </w:t>
      </w:r>
      <w:r>
        <w:rPr>
          <w:rFonts w:ascii="Verdana" w:hAnsi="Verdana"/>
          <w:sz w:val="20"/>
          <w:szCs w:val="20"/>
        </w:rPr>
        <w:t xml:space="preserve">Rosadio Villavicencio </w:t>
      </w:r>
      <w:r w:rsidRPr="0012360A">
        <w:rPr>
          <w:rFonts w:ascii="Verdana" w:hAnsi="Verdana"/>
          <w:sz w:val="20"/>
          <w:szCs w:val="20"/>
        </w:rPr>
        <w:t>Vs. Perú</w:t>
      </w:r>
      <w:r w:rsidRPr="0012360A">
        <w:rPr>
          <w:rFonts w:ascii="Verdana" w:eastAsia="Times" w:hAnsi="Verdana"/>
          <w:sz w:val="20"/>
          <w:szCs w:val="20"/>
        </w:rPr>
        <w:t>. Interpretación de la Sentencia de Excepciones Preliminares, Fondo, Reparaciones y Costas. Sentencia de 8 de octubre de 2020.</w:t>
      </w:r>
    </w:p>
    <w:p w14:paraId="4A7A906F" w14:textId="34BE2BD3" w:rsidR="00D93276" w:rsidRDefault="00D93276" w:rsidP="00D93276">
      <w:pPr>
        <w:spacing w:after="0" w:line="240" w:lineRule="auto"/>
        <w:jc w:val="center"/>
        <w:rPr>
          <w:rFonts w:ascii="Verdana" w:eastAsia="Times" w:hAnsi="Verdana" w:cs="Times New Roman"/>
          <w:sz w:val="20"/>
          <w:szCs w:val="20"/>
          <w:lang w:val="es-ES"/>
        </w:rPr>
      </w:pPr>
    </w:p>
    <w:p w14:paraId="5B03D155" w14:textId="77777777" w:rsidR="00D93276" w:rsidRDefault="00D93276" w:rsidP="00D93276">
      <w:pPr>
        <w:spacing w:after="0" w:line="240" w:lineRule="auto"/>
        <w:jc w:val="center"/>
        <w:rPr>
          <w:rFonts w:ascii="Verdana" w:eastAsia="Times" w:hAnsi="Verdana" w:cs="Times New Roman"/>
          <w:sz w:val="20"/>
          <w:szCs w:val="20"/>
          <w:lang w:val="es-ES"/>
        </w:rPr>
      </w:pPr>
    </w:p>
    <w:p w14:paraId="3C829002" w14:textId="77777777" w:rsidR="00D93276" w:rsidRDefault="00D93276" w:rsidP="00D93276">
      <w:pPr>
        <w:spacing w:after="0" w:line="240" w:lineRule="auto"/>
        <w:jc w:val="center"/>
        <w:rPr>
          <w:rFonts w:ascii="Verdana" w:hAnsi="Verdana"/>
          <w:sz w:val="20"/>
          <w:szCs w:val="20"/>
          <w:lang w:val="pt-BR"/>
        </w:rPr>
      </w:pPr>
    </w:p>
    <w:p w14:paraId="77DB664E" w14:textId="77777777" w:rsidR="00D93276" w:rsidRDefault="00D93276" w:rsidP="00D93276">
      <w:pPr>
        <w:spacing w:after="0" w:line="240" w:lineRule="auto"/>
        <w:jc w:val="both"/>
        <w:rPr>
          <w:rFonts w:ascii="Verdana" w:hAnsi="Verdana"/>
          <w:sz w:val="20"/>
          <w:szCs w:val="20"/>
          <w:lang w:val="pt-BR"/>
        </w:rPr>
      </w:pPr>
    </w:p>
    <w:p w14:paraId="36F0A66A" w14:textId="77777777" w:rsidR="00D93276" w:rsidRDefault="00D93276" w:rsidP="00D93276">
      <w:pPr>
        <w:spacing w:after="0" w:line="240" w:lineRule="auto"/>
        <w:jc w:val="both"/>
        <w:rPr>
          <w:rFonts w:ascii="Verdana" w:hAnsi="Verdana"/>
          <w:sz w:val="20"/>
          <w:szCs w:val="20"/>
          <w:lang w:val="pt-BR"/>
        </w:rPr>
      </w:pPr>
    </w:p>
    <w:p w14:paraId="492CEF86" w14:textId="1D0DC7FE" w:rsidR="00D93276" w:rsidRDefault="00D93276" w:rsidP="00D93276">
      <w:pPr>
        <w:spacing w:after="0" w:line="240" w:lineRule="auto"/>
        <w:jc w:val="both"/>
        <w:rPr>
          <w:rFonts w:ascii="Verdana" w:hAnsi="Verdana"/>
          <w:sz w:val="20"/>
          <w:szCs w:val="20"/>
          <w:lang w:val="pt-BR"/>
        </w:rPr>
      </w:pPr>
    </w:p>
    <w:p w14:paraId="5BEDB84D" w14:textId="77777777" w:rsidR="00D93276" w:rsidRDefault="00D93276" w:rsidP="00D93276">
      <w:pPr>
        <w:spacing w:after="0" w:line="240" w:lineRule="auto"/>
        <w:jc w:val="center"/>
        <w:rPr>
          <w:rFonts w:ascii="Verdana" w:hAnsi="Verdana"/>
          <w:sz w:val="20"/>
          <w:szCs w:val="20"/>
          <w:lang w:val="pt-BR"/>
        </w:rPr>
      </w:pPr>
      <w:r>
        <w:rPr>
          <w:rFonts w:ascii="Verdana" w:hAnsi="Verdana"/>
          <w:sz w:val="20"/>
          <w:szCs w:val="20"/>
          <w:lang w:val="pt-BR"/>
        </w:rPr>
        <w:t xml:space="preserve">L. </w:t>
      </w:r>
      <w:proofErr w:type="spellStart"/>
      <w:r>
        <w:rPr>
          <w:rFonts w:ascii="Verdana" w:hAnsi="Verdana"/>
          <w:sz w:val="20"/>
          <w:szCs w:val="20"/>
          <w:lang w:val="pt-BR"/>
        </w:rPr>
        <w:t>Patricio</w:t>
      </w:r>
      <w:proofErr w:type="spellEnd"/>
      <w:r>
        <w:rPr>
          <w:rFonts w:ascii="Verdana" w:hAnsi="Verdana"/>
          <w:sz w:val="20"/>
          <w:szCs w:val="20"/>
          <w:lang w:val="pt-BR"/>
        </w:rPr>
        <w:t xml:space="preserve"> </w:t>
      </w:r>
      <w:proofErr w:type="spellStart"/>
      <w:r>
        <w:rPr>
          <w:rFonts w:ascii="Verdana" w:hAnsi="Verdana"/>
          <w:sz w:val="20"/>
          <w:szCs w:val="20"/>
          <w:lang w:val="pt-BR"/>
        </w:rPr>
        <w:t>Pazmiño</w:t>
      </w:r>
      <w:proofErr w:type="spellEnd"/>
      <w:r>
        <w:rPr>
          <w:rFonts w:ascii="Verdana" w:hAnsi="Verdana"/>
          <w:sz w:val="20"/>
          <w:szCs w:val="20"/>
          <w:lang w:val="pt-BR"/>
        </w:rPr>
        <w:t xml:space="preserve"> Freire</w:t>
      </w:r>
    </w:p>
    <w:p w14:paraId="49C44CE5" w14:textId="1E4D7853" w:rsidR="00D93276" w:rsidRDefault="00D93276" w:rsidP="00D93276">
      <w:pPr>
        <w:spacing w:after="0" w:line="240" w:lineRule="auto"/>
        <w:jc w:val="center"/>
        <w:rPr>
          <w:rFonts w:ascii="Verdana" w:hAnsi="Verdana"/>
          <w:sz w:val="20"/>
          <w:szCs w:val="20"/>
          <w:lang w:val="pt-BR"/>
        </w:rPr>
      </w:pPr>
      <w:r>
        <w:rPr>
          <w:rFonts w:ascii="Verdana" w:hAnsi="Verdana"/>
          <w:sz w:val="20"/>
          <w:szCs w:val="20"/>
          <w:lang w:val="pt-BR"/>
        </w:rPr>
        <w:t xml:space="preserve">Presidente </w:t>
      </w:r>
      <w:r w:rsidRPr="00DC414A">
        <w:rPr>
          <w:rFonts w:ascii="Verdana" w:hAnsi="Verdana"/>
          <w:sz w:val="20"/>
          <w:szCs w:val="20"/>
        </w:rPr>
        <w:t>en</w:t>
      </w:r>
      <w:r>
        <w:rPr>
          <w:rFonts w:ascii="Verdana" w:hAnsi="Verdana"/>
          <w:sz w:val="20"/>
          <w:szCs w:val="20"/>
          <w:lang w:val="pt-BR"/>
        </w:rPr>
        <w:t xml:space="preserve"> </w:t>
      </w:r>
      <w:r w:rsidRPr="00DC414A">
        <w:rPr>
          <w:rFonts w:ascii="Verdana" w:hAnsi="Verdana"/>
          <w:sz w:val="20"/>
          <w:szCs w:val="20"/>
        </w:rPr>
        <w:t>ejercicio</w:t>
      </w:r>
    </w:p>
    <w:p w14:paraId="0AC6CEC0" w14:textId="77777777" w:rsidR="00D93276" w:rsidRDefault="00D93276" w:rsidP="00D93276">
      <w:pPr>
        <w:spacing w:after="0" w:line="240" w:lineRule="auto"/>
        <w:jc w:val="both"/>
        <w:rPr>
          <w:rFonts w:ascii="Verdana" w:hAnsi="Verdana"/>
          <w:sz w:val="20"/>
          <w:szCs w:val="20"/>
          <w:lang w:val="pt-BR"/>
        </w:rPr>
      </w:pPr>
    </w:p>
    <w:p w14:paraId="07F66243" w14:textId="77777777" w:rsidR="00D93276" w:rsidRDefault="00D93276" w:rsidP="00D93276">
      <w:pPr>
        <w:spacing w:after="0" w:line="240" w:lineRule="auto"/>
        <w:jc w:val="both"/>
        <w:rPr>
          <w:rFonts w:ascii="Verdana" w:hAnsi="Verdana"/>
          <w:sz w:val="20"/>
          <w:szCs w:val="20"/>
          <w:lang w:val="pt-BR"/>
        </w:rPr>
      </w:pPr>
    </w:p>
    <w:p w14:paraId="122454E6" w14:textId="77777777" w:rsidR="00D93276" w:rsidRDefault="00D93276" w:rsidP="00D93276">
      <w:pPr>
        <w:spacing w:after="0" w:line="240" w:lineRule="auto"/>
        <w:jc w:val="both"/>
        <w:rPr>
          <w:rFonts w:ascii="Verdana" w:hAnsi="Verdana"/>
          <w:sz w:val="20"/>
          <w:szCs w:val="20"/>
          <w:lang w:val="pt-BR"/>
        </w:rPr>
      </w:pPr>
    </w:p>
    <w:p w14:paraId="16D9A3A5" w14:textId="77777777" w:rsidR="00D93276" w:rsidRDefault="00D93276" w:rsidP="00D93276">
      <w:pPr>
        <w:spacing w:after="0" w:line="240" w:lineRule="auto"/>
        <w:jc w:val="both"/>
        <w:rPr>
          <w:rFonts w:ascii="Verdana" w:hAnsi="Verdana"/>
          <w:sz w:val="20"/>
          <w:szCs w:val="20"/>
          <w:lang w:val="pt-BR"/>
        </w:rPr>
      </w:pPr>
    </w:p>
    <w:p w14:paraId="3667AB3D" w14:textId="33A6BA7F" w:rsidR="00D93276" w:rsidRDefault="00D93276" w:rsidP="00D93276">
      <w:pPr>
        <w:spacing w:after="0" w:line="240" w:lineRule="auto"/>
        <w:jc w:val="both"/>
        <w:rPr>
          <w:rFonts w:ascii="Verdana" w:hAnsi="Verdana"/>
          <w:sz w:val="20"/>
          <w:szCs w:val="20"/>
          <w:lang w:val="pt-BR"/>
        </w:rPr>
      </w:pPr>
      <w:r>
        <w:rPr>
          <w:rFonts w:ascii="Verdana" w:hAnsi="Verdana"/>
          <w:sz w:val="20"/>
          <w:szCs w:val="20"/>
          <w:lang w:val="pt-BR"/>
        </w:rPr>
        <w:t xml:space="preserve">Eduardo </w:t>
      </w:r>
      <w:proofErr w:type="spellStart"/>
      <w:r>
        <w:rPr>
          <w:rFonts w:ascii="Verdana" w:hAnsi="Verdana"/>
          <w:sz w:val="20"/>
          <w:szCs w:val="20"/>
          <w:lang w:val="pt-BR"/>
        </w:rPr>
        <w:t>Vio</w:t>
      </w:r>
      <w:proofErr w:type="spellEnd"/>
      <w:r>
        <w:rPr>
          <w:rFonts w:ascii="Verdana" w:hAnsi="Verdana"/>
          <w:sz w:val="20"/>
          <w:szCs w:val="20"/>
          <w:lang w:val="pt-BR"/>
        </w:rPr>
        <w:t xml:space="preserve"> </w:t>
      </w:r>
      <w:proofErr w:type="gramStart"/>
      <w:r>
        <w:rPr>
          <w:rFonts w:ascii="Verdana" w:hAnsi="Verdana"/>
          <w:sz w:val="20"/>
          <w:szCs w:val="20"/>
          <w:lang w:val="pt-BR"/>
        </w:rPr>
        <w:t>Grossi</w:t>
      </w:r>
      <w:r w:rsidRPr="00DC414A">
        <w:rPr>
          <w:rFonts w:ascii="Verdana" w:eastAsia="Times" w:hAnsi="Verdana" w:cs="Times New Roman"/>
          <w:sz w:val="20"/>
          <w:szCs w:val="20"/>
          <w:lang w:val="pt-BR"/>
        </w:rPr>
        <w:t xml:space="preserve"> </w:t>
      </w:r>
      <w:r>
        <w:rPr>
          <w:rFonts w:ascii="Verdana" w:eastAsia="Times" w:hAnsi="Verdana" w:cs="Times New Roman"/>
          <w:sz w:val="20"/>
          <w:szCs w:val="20"/>
          <w:lang w:val="pt-BR"/>
        </w:rPr>
        <w:t xml:space="preserve"> </w:t>
      </w:r>
      <w:r>
        <w:rPr>
          <w:rFonts w:ascii="Verdana" w:eastAsia="Times" w:hAnsi="Verdana" w:cs="Times New Roman"/>
          <w:sz w:val="20"/>
          <w:szCs w:val="20"/>
          <w:lang w:val="pt-BR"/>
        </w:rPr>
        <w:tab/>
      </w:r>
      <w:proofErr w:type="gramEnd"/>
      <w:r>
        <w:rPr>
          <w:rFonts w:ascii="Verdana" w:eastAsia="Times" w:hAnsi="Verdana" w:cs="Times New Roman"/>
          <w:sz w:val="20"/>
          <w:szCs w:val="20"/>
          <w:lang w:val="pt-BR"/>
        </w:rPr>
        <w:tab/>
      </w:r>
      <w:r>
        <w:rPr>
          <w:rFonts w:ascii="Verdana" w:eastAsia="Times" w:hAnsi="Verdana" w:cs="Times New Roman"/>
          <w:sz w:val="20"/>
          <w:szCs w:val="20"/>
          <w:lang w:val="pt-BR"/>
        </w:rPr>
        <w:tab/>
      </w:r>
      <w:r>
        <w:rPr>
          <w:rFonts w:ascii="Verdana" w:eastAsia="Times" w:hAnsi="Verdana" w:cs="Times New Roman"/>
          <w:sz w:val="20"/>
          <w:szCs w:val="20"/>
          <w:lang w:val="pt-BR"/>
        </w:rPr>
        <w:tab/>
      </w:r>
      <w:r>
        <w:rPr>
          <w:rFonts w:ascii="Verdana" w:eastAsia="Times" w:hAnsi="Verdana" w:cs="Times New Roman"/>
          <w:sz w:val="20"/>
          <w:szCs w:val="20"/>
          <w:lang w:val="pt-BR"/>
        </w:rPr>
        <w:tab/>
      </w:r>
      <w:r>
        <w:rPr>
          <w:rFonts w:ascii="Verdana" w:eastAsia="Times" w:hAnsi="Verdana" w:cs="Times New Roman"/>
          <w:sz w:val="20"/>
          <w:szCs w:val="20"/>
          <w:lang w:val="pt-BR"/>
        </w:rPr>
        <w:tab/>
        <w:t xml:space="preserve">Humberto </w:t>
      </w:r>
      <w:proofErr w:type="spellStart"/>
      <w:r>
        <w:rPr>
          <w:rFonts w:ascii="Verdana" w:eastAsia="Times" w:hAnsi="Verdana" w:cs="Times New Roman"/>
          <w:sz w:val="20"/>
          <w:szCs w:val="20"/>
          <w:lang w:val="pt-BR"/>
        </w:rPr>
        <w:t>Antonio</w:t>
      </w:r>
      <w:proofErr w:type="spellEnd"/>
      <w:r>
        <w:rPr>
          <w:rFonts w:ascii="Verdana" w:eastAsia="Times" w:hAnsi="Verdana" w:cs="Times New Roman"/>
          <w:sz w:val="20"/>
          <w:szCs w:val="20"/>
          <w:lang w:val="pt-BR"/>
        </w:rPr>
        <w:t xml:space="preserve"> </w:t>
      </w:r>
      <w:proofErr w:type="spellStart"/>
      <w:r>
        <w:rPr>
          <w:rFonts w:ascii="Verdana" w:eastAsia="Times" w:hAnsi="Verdana" w:cs="Times New Roman"/>
          <w:sz w:val="20"/>
          <w:szCs w:val="20"/>
          <w:lang w:val="pt-BR"/>
        </w:rPr>
        <w:t>Sierra</w:t>
      </w:r>
      <w:proofErr w:type="spellEnd"/>
      <w:r>
        <w:rPr>
          <w:rFonts w:ascii="Verdana" w:eastAsia="Times" w:hAnsi="Verdana" w:cs="Times New Roman"/>
          <w:sz w:val="20"/>
          <w:szCs w:val="20"/>
          <w:lang w:val="pt-BR"/>
        </w:rPr>
        <w:t xml:space="preserve"> Porto</w:t>
      </w:r>
    </w:p>
    <w:p w14:paraId="422102C6" w14:textId="3E3934AE" w:rsidR="00D93276" w:rsidRDefault="00D93276" w:rsidP="00D93276">
      <w:pPr>
        <w:spacing w:after="0" w:line="240" w:lineRule="auto"/>
        <w:jc w:val="both"/>
        <w:rPr>
          <w:rFonts w:ascii="Verdana" w:hAnsi="Verdana"/>
          <w:sz w:val="20"/>
          <w:szCs w:val="20"/>
          <w:lang w:val="pt-BR"/>
        </w:rPr>
      </w:pPr>
    </w:p>
    <w:p w14:paraId="077447F1" w14:textId="77777777" w:rsidR="00D93276" w:rsidRDefault="00D93276" w:rsidP="00D93276">
      <w:pPr>
        <w:spacing w:after="0" w:line="240" w:lineRule="auto"/>
        <w:jc w:val="both"/>
        <w:rPr>
          <w:rFonts w:ascii="Verdana" w:hAnsi="Verdana"/>
          <w:sz w:val="20"/>
          <w:szCs w:val="20"/>
          <w:lang w:val="pt-BR"/>
        </w:rPr>
      </w:pPr>
    </w:p>
    <w:p w14:paraId="12F88C25" w14:textId="77777777" w:rsidR="00D93276" w:rsidRDefault="00D93276" w:rsidP="00D93276">
      <w:pPr>
        <w:spacing w:after="0" w:line="240" w:lineRule="auto"/>
        <w:jc w:val="both"/>
        <w:rPr>
          <w:rFonts w:ascii="Verdana" w:hAnsi="Verdana"/>
          <w:sz w:val="20"/>
          <w:szCs w:val="20"/>
          <w:lang w:val="pt-BR"/>
        </w:rPr>
      </w:pPr>
    </w:p>
    <w:p w14:paraId="642525A1" w14:textId="77777777" w:rsidR="00D93276" w:rsidRDefault="00D93276" w:rsidP="00D93276">
      <w:pPr>
        <w:spacing w:after="0" w:line="240" w:lineRule="auto"/>
        <w:jc w:val="both"/>
        <w:rPr>
          <w:rFonts w:ascii="Verdana" w:hAnsi="Verdana"/>
          <w:sz w:val="20"/>
          <w:szCs w:val="20"/>
          <w:lang w:val="pt-BR"/>
        </w:rPr>
      </w:pPr>
    </w:p>
    <w:p w14:paraId="0021888E" w14:textId="77777777" w:rsidR="00D93276" w:rsidRDefault="00D93276" w:rsidP="00D93276">
      <w:pPr>
        <w:spacing w:after="0" w:line="240" w:lineRule="auto"/>
        <w:jc w:val="both"/>
        <w:rPr>
          <w:rFonts w:ascii="Verdana" w:hAnsi="Verdana"/>
          <w:sz w:val="20"/>
          <w:szCs w:val="20"/>
          <w:lang w:val="pt-BR"/>
        </w:rPr>
      </w:pPr>
    </w:p>
    <w:p w14:paraId="218054C1" w14:textId="77777777" w:rsidR="00D93276" w:rsidRDefault="00D93276" w:rsidP="00D93276">
      <w:pPr>
        <w:spacing w:after="0" w:line="240" w:lineRule="auto"/>
        <w:jc w:val="both"/>
        <w:rPr>
          <w:rFonts w:ascii="Verdana" w:hAnsi="Verdana"/>
          <w:sz w:val="20"/>
          <w:szCs w:val="20"/>
          <w:lang w:val="pt-BR"/>
        </w:rPr>
      </w:pPr>
      <w:r>
        <w:rPr>
          <w:rFonts w:ascii="Verdana" w:hAnsi="Verdana"/>
          <w:sz w:val="20"/>
          <w:szCs w:val="20"/>
          <w:lang w:val="pt-BR"/>
        </w:rPr>
        <w:t xml:space="preserve">Eduardo Ferrer </w:t>
      </w:r>
      <w:proofErr w:type="spellStart"/>
      <w:r>
        <w:rPr>
          <w:rFonts w:ascii="Verdana" w:hAnsi="Verdana"/>
          <w:sz w:val="20"/>
          <w:szCs w:val="20"/>
          <w:lang w:val="pt-BR"/>
        </w:rPr>
        <w:t>Mac-Gregor</w:t>
      </w:r>
      <w:proofErr w:type="spellEnd"/>
      <w:r>
        <w:rPr>
          <w:rFonts w:ascii="Verdana" w:hAnsi="Verdana"/>
          <w:sz w:val="20"/>
          <w:szCs w:val="20"/>
          <w:lang w:val="pt-BR"/>
        </w:rPr>
        <w:t xml:space="preserve"> </w:t>
      </w:r>
      <w:proofErr w:type="spellStart"/>
      <w:r>
        <w:rPr>
          <w:rFonts w:ascii="Verdana" w:hAnsi="Verdana"/>
          <w:sz w:val="20"/>
          <w:szCs w:val="20"/>
          <w:lang w:val="pt-BR"/>
        </w:rPr>
        <w:t>Poisot</w:t>
      </w:r>
      <w:proofErr w:type="spellEnd"/>
      <w:r>
        <w:rPr>
          <w:rFonts w:ascii="Verdana" w:hAnsi="Verdana"/>
          <w:sz w:val="20"/>
          <w:szCs w:val="20"/>
          <w:lang w:val="pt-BR"/>
        </w:rPr>
        <w:t xml:space="preserve"> </w:t>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r>
      <w:proofErr w:type="gramStart"/>
      <w:r>
        <w:rPr>
          <w:rFonts w:ascii="Verdana" w:hAnsi="Verdana"/>
          <w:sz w:val="20"/>
          <w:szCs w:val="20"/>
          <w:lang w:val="pt-BR"/>
        </w:rPr>
        <w:tab/>
        <w:t xml:space="preserve">  Eugenio</w:t>
      </w:r>
      <w:proofErr w:type="gramEnd"/>
      <w:r>
        <w:rPr>
          <w:rFonts w:ascii="Verdana" w:hAnsi="Verdana"/>
          <w:sz w:val="20"/>
          <w:szCs w:val="20"/>
          <w:lang w:val="pt-BR"/>
        </w:rPr>
        <w:t xml:space="preserve"> </w:t>
      </w:r>
      <w:proofErr w:type="spellStart"/>
      <w:r>
        <w:rPr>
          <w:rFonts w:ascii="Verdana" w:hAnsi="Verdana"/>
          <w:sz w:val="20"/>
          <w:szCs w:val="20"/>
          <w:lang w:val="pt-BR"/>
        </w:rPr>
        <w:t>Raúl</w:t>
      </w:r>
      <w:proofErr w:type="spellEnd"/>
      <w:r>
        <w:rPr>
          <w:rFonts w:ascii="Verdana" w:hAnsi="Verdana"/>
          <w:sz w:val="20"/>
          <w:szCs w:val="20"/>
          <w:lang w:val="pt-BR"/>
        </w:rPr>
        <w:t xml:space="preserve"> </w:t>
      </w:r>
      <w:proofErr w:type="spellStart"/>
      <w:r>
        <w:rPr>
          <w:rFonts w:ascii="Verdana" w:hAnsi="Verdana"/>
          <w:sz w:val="20"/>
          <w:szCs w:val="20"/>
          <w:lang w:val="pt-BR"/>
        </w:rPr>
        <w:t>Zaffaroni</w:t>
      </w:r>
      <w:proofErr w:type="spellEnd"/>
      <w:r>
        <w:rPr>
          <w:rFonts w:ascii="Verdana" w:hAnsi="Verdana"/>
          <w:sz w:val="20"/>
          <w:szCs w:val="20"/>
          <w:lang w:val="pt-BR"/>
        </w:rPr>
        <w:tab/>
      </w:r>
      <w:r>
        <w:rPr>
          <w:rFonts w:ascii="Verdana" w:hAnsi="Verdana"/>
          <w:sz w:val="20"/>
          <w:szCs w:val="20"/>
          <w:lang w:val="pt-BR"/>
        </w:rPr>
        <w:tab/>
      </w:r>
    </w:p>
    <w:p w14:paraId="53402730" w14:textId="2060D788" w:rsidR="00D93276" w:rsidRDefault="00D93276" w:rsidP="00D93276">
      <w:pPr>
        <w:spacing w:after="0" w:line="240" w:lineRule="auto"/>
        <w:jc w:val="both"/>
        <w:rPr>
          <w:rFonts w:ascii="Verdana" w:hAnsi="Verdana"/>
          <w:sz w:val="20"/>
          <w:szCs w:val="20"/>
          <w:lang w:val="pt-BR"/>
        </w:rPr>
      </w:pPr>
    </w:p>
    <w:p w14:paraId="5F2C31B4" w14:textId="77777777" w:rsidR="00D93276" w:rsidRDefault="00D93276" w:rsidP="00D93276">
      <w:pPr>
        <w:spacing w:after="0" w:line="240" w:lineRule="auto"/>
        <w:jc w:val="both"/>
        <w:rPr>
          <w:rFonts w:ascii="Verdana" w:hAnsi="Verdana"/>
          <w:sz w:val="20"/>
          <w:szCs w:val="20"/>
          <w:lang w:val="pt-BR"/>
        </w:rPr>
      </w:pPr>
    </w:p>
    <w:p w14:paraId="3D7BBB5B" w14:textId="77777777" w:rsidR="00D93276" w:rsidRDefault="00D93276" w:rsidP="00D93276">
      <w:pPr>
        <w:spacing w:after="0" w:line="240" w:lineRule="auto"/>
        <w:jc w:val="both"/>
        <w:rPr>
          <w:rFonts w:ascii="Verdana" w:hAnsi="Verdana"/>
          <w:sz w:val="20"/>
          <w:szCs w:val="20"/>
          <w:lang w:val="pt-BR"/>
        </w:rPr>
      </w:pPr>
    </w:p>
    <w:p w14:paraId="4ECF5A4A" w14:textId="77777777" w:rsidR="00D93276" w:rsidRDefault="00D93276" w:rsidP="00D93276">
      <w:pPr>
        <w:spacing w:after="0" w:line="240" w:lineRule="auto"/>
        <w:jc w:val="both"/>
        <w:rPr>
          <w:rFonts w:ascii="Verdana" w:hAnsi="Verdana"/>
          <w:sz w:val="20"/>
          <w:szCs w:val="20"/>
          <w:lang w:val="pt-BR"/>
        </w:rPr>
      </w:pPr>
    </w:p>
    <w:p w14:paraId="03C7A69F" w14:textId="77777777" w:rsidR="00D93276" w:rsidRDefault="00D93276" w:rsidP="00D93276">
      <w:pPr>
        <w:spacing w:after="0" w:line="240" w:lineRule="auto"/>
        <w:jc w:val="center"/>
        <w:rPr>
          <w:rFonts w:ascii="Verdana" w:hAnsi="Verdana"/>
          <w:sz w:val="20"/>
          <w:szCs w:val="20"/>
          <w:lang w:val="pt-BR"/>
        </w:rPr>
      </w:pPr>
      <w:r>
        <w:rPr>
          <w:rFonts w:ascii="Verdana" w:hAnsi="Verdana"/>
          <w:sz w:val="20"/>
          <w:szCs w:val="20"/>
          <w:lang w:val="pt-BR"/>
        </w:rPr>
        <w:t xml:space="preserve">Ricardo C. Pérez </w:t>
      </w:r>
      <w:proofErr w:type="spellStart"/>
      <w:r>
        <w:rPr>
          <w:rFonts w:ascii="Verdana" w:hAnsi="Verdana"/>
          <w:sz w:val="20"/>
          <w:szCs w:val="20"/>
          <w:lang w:val="pt-BR"/>
        </w:rPr>
        <w:t>Manrique</w:t>
      </w:r>
      <w:proofErr w:type="spellEnd"/>
    </w:p>
    <w:p w14:paraId="1D4FDE28" w14:textId="77777777" w:rsidR="00D93276" w:rsidRDefault="00D93276" w:rsidP="00D93276">
      <w:pPr>
        <w:spacing w:after="0" w:line="240" w:lineRule="auto"/>
        <w:jc w:val="both"/>
        <w:rPr>
          <w:rFonts w:ascii="Verdana" w:hAnsi="Verdana"/>
          <w:sz w:val="20"/>
          <w:szCs w:val="20"/>
          <w:lang w:val="pt-BR"/>
        </w:rPr>
      </w:pPr>
    </w:p>
    <w:p w14:paraId="1C0A6772" w14:textId="666A8AEF" w:rsidR="00D93276" w:rsidRDefault="00D93276" w:rsidP="00D93276">
      <w:pPr>
        <w:spacing w:after="0" w:line="240" w:lineRule="auto"/>
        <w:jc w:val="both"/>
        <w:rPr>
          <w:rFonts w:ascii="Verdana" w:hAnsi="Verdana"/>
          <w:sz w:val="20"/>
          <w:szCs w:val="20"/>
          <w:lang w:val="pt-BR"/>
        </w:rPr>
      </w:pPr>
    </w:p>
    <w:p w14:paraId="562F3BC2" w14:textId="77777777" w:rsidR="00D93276" w:rsidRDefault="00D93276" w:rsidP="00D93276">
      <w:pPr>
        <w:spacing w:after="0" w:line="240" w:lineRule="auto"/>
        <w:jc w:val="both"/>
        <w:rPr>
          <w:rFonts w:ascii="Verdana" w:hAnsi="Verdana"/>
          <w:sz w:val="20"/>
          <w:szCs w:val="20"/>
          <w:lang w:val="pt-BR"/>
        </w:rPr>
      </w:pPr>
    </w:p>
    <w:p w14:paraId="6D1455EB" w14:textId="77777777" w:rsidR="00D93276" w:rsidRPr="00D95C10" w:rsidRDefault="00D93276" w:rsidP="00D93276">
      <w:pPr>
        <w:spacing w:after="0" w:line="240" w:lineRule="auto"/>
        <w:rPr>
          <w:rFonts w:ascii="Verdana" w:eastAsia="Times" w:hAnsi="Verdana" w:cs="Times New Roman"/>
          <w:sz w:val="20"/>
          <w:szCs w:val="20"/>
          <w:lang w:val="pt-BR"/>
        </w:rPr>
      </w:pPr>
    </w:p>
    <w:p w14:paraId="40310D69" w14:textId="77777777" w:rsidR="00D93276" w:rsidRDefault="00D93276" w:rsidP="00D93276">
      <w:pPr>
        <w:spacing w:after="0" w:line="240" w:lineRule="auto"/>
        <w:jc w:val="both"/>
        <w:rPr>
          <w:rFonts w:ascii="Verdana" w:eastAsia="Times" w:hAnsi="Verdana" w:cs="Times New Roman"/>
          <w:sz w:val="20"/>
          <w:szCs w:val="20"/>
          <w:lang w:val="pt-BR"/>
        </w:rPr>
      </w:pPr>
    </w:p>
    <w:p w14:paraId="34DC4458" w14:textId="77777777" w:rsidR="00D93276" w:rsidRDefault="00D93276" w:rsidP="00D93276">
      <w:pPr>
        <w:spacing w:after="0" w:line="240" w:lineRule="auto"/>
        <w:jc w:val="both"/>
        <w:rPr>
          <w:rFonts w:ascii="Verdana" w:eastAsia="Times" w:hAnsi="Verdana" w:cs="Times New Roman"/>
          <w:sz w:val="20"/>
          <w:szCs w:val="20"/>
          <w:lang w:val="pt-BR"/>
        </w:rPr>
      </w:pPr>
    </w:p>
    <w:p w14:paraId="0136BD96" w14:textId="77777777" w:rsidR="00D93276" w:rsidRDefault="00D93276" w:rsidP="00D93276">
      <w:pPr>
        <w:spacing w:after="0" w:line="240" w:lineRule="auto"/>
        <w:jc w:val="both"/>
        <w:rPr>
          <w:rFonts w:ascii="Verdana" w:eastAsia="Times" w:hAnsi="Verdana" w:cs="Times New Roman"/>
          <w:sz w:val="20"/>
          <w:szCs w:val="20"/>
          <w:lang w:val="pt-BR"/>
        </w:rPr>
      </w:pPr>
    </w:p>
    <w:p w14:paraId="2C13E043" w14:textId="77777777" w:rsidR="00D93276" w:rsidRDefault="00D93276" w:rsidP="00D93276">
      <w:pPr>
        <w:spacing w:after="0" w:line="240" w:lineRule="auto"/>
        <w:jc w:val="center"/>
        <w:rPr>
          <w:rFonts w:ascii="Verdana" w:eastAsia="Times" w:hAnsi="Verdana" w:cs="Times New Roman"/>
          <w:sz w:val="20"/>
          <w:szCs w:val="20"/>
          <w:lang w:val="pt-BR"/>
        </w:rPr>
      </w:pPr>
      <w:r>
        <w:rPr>
          <w:rFonts w:ascii="Verdana" w:eastAsia="Times" w:hAnsi="Verdana" w:cs="Times New Roman"/>
          <w:sz w:val="20"/>
          <w:szCs w:val="20"/>
          <w:lang w:val="pt-BR"/>
        </w:rPr>
        <w:t xml:space="preserve">Pablo Saavedra </w:t>
      </w:r>
      <w:proofErr w:type="spellStart"/>
      <w:r>
        <w:rPr>
          <w:rFonts w:ascii="Verdana" w:eastAsia="Times" w:hAnsi="Verdana" w:cs="Times New Roman"/>
          <w:sz w:val="20"/>
          <w:szCs w:val="20"/>
          <w:lang w:val="pt-BR"/>
        </w:rPr>
        <w:t>Alessandri</w:t>
      </w:r>
      <w:proofErr w:type="spellEnd"/>
    </w:p>
    <w:p w14:paraId="118F29BC" w14:textId="54414114" w:rsidR="00D93276" w:rsidRDefault="00D93276" w:rsidP="00D93276">
      <w:pPr>
        <w:spacing w:after="0" w:line="240" w:lineRule="auto"/>
        <w:jc w:val="center"/>
        <w:rPr>
          <w:rFonts w:ascii="Verdana" w:eastAsia="Times" w:hAnsi="Verdana" w:cs="Times New Roman"/>
          <w:sz w:val="20"/>
          <w:szCs w:val="20"/>
          <w:lang w:val="pt-BR"/>
        </w:rPr>
      </w:pPr>
      <w:r>
        <w:rPr>
          <w:rFonts w:ascii="Verdana" w:eastAsia="Times" w:hAnsi="Verdana" w:cs="Times New Roman"/>
          <w:sz w:val="20"/>
          <w:szCs w:val="20"/>
          <w:lang w:val="pt-BR"/>
        </w:rPr>
        <w:t>Secretario</w:t>
      </w:r>
    </w:p>
    <w:p w14:paraId="3C40C389" w14:textId="77777777" w:rsidR="00D93276" w:rsidRPr="00F154FF" w:rsidRDefault="00D93276" w:rsidP="00D93276">
      <w:pPr>
        <w:spacing w:after="0" w:line="240" w:lineRule="auto"/>
        <w:jc w:val="both"/>
        <w:rPr>
          <w:rFonts w:ascii="Verdana" w:eastAsia="Times" w:hAnsi="Verdana" w:cs="Times New Roman"/>
          <w:sz w:val="20"/>
          <w:szCs w:val="20"/>
          <w:lang w:val="pt-BR"/>
        </w:rPr>
      </w:pPr>
    </w:p>
    <w:p w14:paraId="1B9A43BD" w14:textId="77777777" w:rsidR="00D93276" w:rsidRPr="00F154FF" w:rsidRDefault="00D93276" w:rsidP="00D93276">
      <w:pPr>
        <w:spacing w:after="0" w:line="240" w:lineRule="auto"/>
        <w:jc w:val="both"/>
        <w:rPr>
          <w:rFonts w:ascii="Verdana" w:eastAsia="Times" w:hAnsi="Verdana" w:cs="Times New Roman"/>
          <w:sz w:val="20"/>
          <w:szCs w:val="20"/>
          <w:lang w:val="pt-BR"/>
        </w:rPr>
      </w:pPr>
      <w:proofErr w:type="spellStart"/>
      <w:r w:rsidRPr="00F154FF">
        <w:rPr>
          <w:rFonts w:ascii="Verdana" w:eastAsia="Times" w:hAnsi="Verdana" w:cs="Times New Roman"/>
          <w:sz w:val="20"/>
          <w:szCs w:val="20"/>
          <w:lang w:val="pt-BR"/>
        </w:rPr>
        <w:t>Comuníquese</w:t>
      </w:r>
      <w:proofErr w:type="spellEnd"/>
      <w:r w:rsidRPr="00F154FF">
        <w:rPr>
          <w:rFonts w:ascii="Verdana" w:eastAsia="Times" w:hAnsi="Verdana" w:cs="Times New Roman"/>
          <w:sz w:val="20"/>
          <w:szCs w:val="20"/>
          <w:lang w:val="pt-BR"/>
        </w:rPr>
        <w:t xml:space="preserve"> y </w:t>
      </w:r>
      <w:proofErr w:type="spellStart"/>
      <w:r w:rsidRPr="00F154FF">
        <w:rPr>
          <w:rFonts w:ascii="Verdana" w:eastAsia="Times" w:hAnsi="Verdana" w:cs="Times New Roman"/>
          <w:sz w:val="20"/>
          <w:szCs w:val="20"/>
          <w:lang w:val="pt-BR"/>
        </w:rPr>
        <w:t>ejecútese</w:t>
      </w:r>
      <w:proofErr w:type="spellEnd"/>
      <w:r w:rsidRPr="00F154FF">
        <w:rPr>
          <w:rFonts w:ascii="Verdana" w:eastAsia="Times" w:hAnsi="Verdana" w:cs="Times New Roman"/>
          <w:sz w:val="20"/>
          <w:szCs w:val="20"/>
          <w:lang w:val="pt-BR"/>
        </w:rPr>
        <w:t>,</w:t>
      </w:r>
    </w:p>
    <w:p w14:paraId="0825672E" w14:textId="77777777" w:rsidR="00D93276" w:rsidRDefault="00D93276" w:rsidP="00D93276">
      <w:pPr>
        <w:spacing w:after="0" w:line="240" w:lineRule="auto"/>
        <w:jc w:val="center"/>
        <w:rPr>
          <w:rFonts w:ascii="Verdana" w:eastAsia="Times" w:hAnsi="Verdana" w:cs="Times New Roman"/>
          <w:sz w:val="20"/>
          <w:szCs w:val="20"/>
          <w:lang w:val="es-ES"/>
        </w:rPr>
      </w:pPr>
    </w:p>
    <w:p w14:paraId="1DF4080F" w14:textId="77777777" w:rsidR="00D93276" w:rsidRDefault="00D93276" w:rsidP="00D93276">
      <w:pPr>
        <w:spacing w:after="0" w:line="240" w:lineRule="auto"/>
        <w:jc w:val="center"/>
        <w:rPr>
          <w:rFonts w:ascii="Verdana" w:eastAsia="Times" w:hAnsi="Verdana" w:cs="Times New Roman"/>
          <w:sz w:val="20"/>
          <w:szCs w:val="20"/>
          <w:lang w:val="es-ES"/>
        </w:rPr>
      </w:pPr>
    </w:p>
    <w:p w14:paraId="35E5F1B4" w14:textId="77777777" w:rsidR="00D93276" w:rsidRDefault="00D93276" w:rsidP="00D93276">
      <w:pPr>
        <w:spacing w:after="0" w:line="240" w:lineRule="auto"/>
        <w:jc w:val="center"/>
        <w:rPr>
          <w:rFonts w:ascii="Verdana" w:eastAsia="Times" w:hAnsi="Verdana" w:cs="Times New Roman"/>
          <w:sz w:val="20"/>
          <w:szCs w:val="20"/>
          <w:lang w:val="es-ES"/>
        </w:rPr>
      </w:pPr>
    </w:p>
    <w:p w14:paraId="51766074" w14:textId="284AAFA6" w:rsidR="00D93276" w:rsidRDefault="00D93276" w:rsidP="00D93276">
      <w:pPr>
        <w:spacing w:after="0" w:line="240" w:lineRule="auto"/>
        <w:ind w:left="4956"/>
        <w:jc w:val="center"/>
        <w:rPr>
          <w:rFonts w:ascii="Verdana" w:hAnsi="Verdana"/>
          <w:sz w:val="20"/>
          <w:szCs w:val="20"/>
          <w:lang w:val="pt-BR"/>
        </w:rPr>
      </w:pPr>
      <w:r>
        <w:rPr>
          <w:rFonts w:ascii="Verdana" w:hAnsi="Verdana"/>
          <w:sz w:val="20"/>
          <w:szCs w:val="20"/>
          <w:lang w:val="pt-BR"/>
        </w:rPr>
        <w:t xml:space="preserve">L. </w:t>
      </w:r>
      <w:proofErr w:type="spellStart"/>
      <w:r>
        <w:rPr>
          <w:rFonts w:ascii="Verdana" w:hAnsi="Verdana"/>
          <w:sz w:val="20"/>
          <w:szCs w:val="20"/>
          <w:lang w:val="pt-BR"/>
        </w:rPr>
        <w:t>Patricio</w:t>
      </w:r>
      <w:proofErr w:type="spellEnd"/>
      <w:r>
        <w:rPr>
          <w:rFonts w:ascii="Verdana" w:hAnsi="Verdana"/>
          <w:sz w:val="20"/>
          <w:szCs w:val="20"/>
          <w:lang w:val="pt-BR"/>
        </w:rPr>
        <w:t xml:space="preserve"> </w:t>
      </w:r>
      <w:proofErr w:type="spellStart"/>
      <w:r>
        <w:rPr>
          <w:rFonts w:ascii="Verdana" w:hAnsi="Verdana"/>
          <w:sz w:val="20"/>
          <w:szCs w:val="20"/>
          <w:lang w:val="pt-BR"/>
        </w:rPr>
        <w:t>Pazmiño</w:t>
      </w:r>
      <w:proofErr w:type="spellEnd"/>
      <w:r>
        <w:rPr>
          <w:rFonts w:ascii="Verdana" w:hAnsi="Verdana"/>
          <w:sz w:val="20"/>
          <w:szCs w:val="20"/>
          <w:lang w:val="pt-BR"/>
        </w:rPr>
        <w:t xml:space="preserve"> Freire</w:t>
      </w:r>
    </w:p>
    <w:p w14:paraId="455F28B8" w14:textId="77777777" w:rsidR="00D93276" w:rsidRDefault="00D93276" w:rsidP="00D93276">
      <w:pPr>
        <w:spacing w:after="0" w:line="240" w:lineRule="auto"/>
        <w:ind w:left="4956"/>
        <w:jc w:val="center"/>
        <w:rPr>
          <w:rFonts w:ascii="Verdana" w:hAnsi="Verdana"/>
          <w:sz w:val="20"/>
          <w:szCs w:val="20"/>
          <w:lang w:val="pt-BR"/>
        </w:rPr>
      </w:pPr>
      <w:r>
        <w:rPr>
          <w:rFonts w:ascii="Verdana" w:hAnsi="Verdana"/>
          <w:noProof/>
          <w:sz w:val="20"/>
          <w:szCs w:val="20"/>
          <w:lang w:eastAsia="es-CR"/>
        </w:rPr>
        <w:t>P</w:t>
      </w:r>
      <w:r>
        <w:rPr>
          <w:rFonts w:ascii="Verdana" w:hAnsi="Verdana"/>
          <w:sz w:val="20"/>
          <w:szCs w:val="20"/>
          <w:lang w:val="pt-BR"/>
        </w:rPr>
        <w:t xml:space="preserve">residente </w:t>
      </w:r>
      <w:r w:rsidRPr="00DC414A">
        <w:rPr>
          <w:rFonts w:ascii="Verdana" w:hAnsi="Verdana"/>
          <w:sz w:val="20"/>
          <w:szCs w:val="20"/>
        </w:rPr>
        <w:t>en</w:t>
      </w:r>
      <w:r>
        <w:rPr>
          <w:rFonts w:ascii="Verdana" w:hAnsi="Verdana"/>
          <w:sz w:val="20"/>
          <w:szCs w:val="20"/>
          <w:lang w:val="pt-BR"/>
        </w:rPr>
        <w:t xml:space="preserve"> </w:t>
      </w:r>
      <w:r w:rsidRPr="00DC414A">
        <w:rPr>
          <w:rFonts w:ascii="Verdana" w:hAnsi="Verdana"/>
          <w:sz w:val="20"/>
          <w:szCs w:val="20"/>
        </w:rPr>
        <w:t>ejercicio</w:t>
      </w:r>
    </w:p>
    <w:p w14:paraId="6EA9E7DE" w14:textId="77777777" w:rsidR="00D93276" w:rsidRDefault="00D93276" w:rsidP="00D93276">
      <w:pPr>
        <w:spacing w:after="0" w:line="240" w:lineRule="auto"/>
        <w:jc w:val="center"/>
        <w:rPr>
          <w:rFonts w:ascii="Verdana" w:hAnsi="Verdana"/>
          <w:sz w:val="20"/>
          <w:szCs w:val="20"/>
          <w:lang w:val="pt-BR"/>
        </w:rPr>
      </w:pPr>
    </w:p>
    <w:p w14:paraId="0731255D" w14:textId="77777777" w:rsidR="00D93276" w:rsidRPr="00F154FF" w:rsidRDefault="00D93276" w:rsidP="00D93276">
      <w:pPr>
        <w:spacing w:after="0" w:line="240" w:lineRule="auto"/>
        <w:jc w:val="both"/>
        <w:rPr>
          <w:rFonts w:ascii="Verdana" w:eastAsia="Times" w:hAnsi="Verdana" w:cs="Times New Roman"/>
          <w:sz w:val="20"/>
          <w:szCs w:val="20"/>
          <w:lang w:val="pt-BR"/>
        </w:rPr>
      </w:pPr>
    </w:p>
    <w:p w14:paraId="0373220D" w14:textId="77777777" w:rsidR="00D93276" w:rsidRPr="00F154FF" w:rsidRDefault="00D93276" w:rsidP="00D93276">
      <w:pPr>
        <w:spacing w:after="0" w:line="240" w:lineRule="auto"/>
        <w:jc w:val="both"/>
        <w:rPr>
          <w:rFonts w:ascii="Verdana" w:eastAsia="Times" w:hAnsi="Verdana" w:cs="Times New Roman"/>
          <w:sz w:val="20"/>
          <w:szCs w:val="20"/>
          <w:lang w:val="pt-BR"/>
        </w:rPr>
      </w:pPr>
    </w:p>
    <w:p w14:paraId="72EE0837" w14:textId="77777777" w:rsidR="00D93276" w:rsidRPr="00F154FF" w:rsidRDefault="00D93276" w:rsidP="00D93276">
      <w:pPr>
        <w:spacing w:after="0" w:line="240" w:lineRule="auto"/>
        <w:jc w:val="both"/>
        <w:rPr>
          <w:rFonts w:ascii="Verdana" w:eastAsia="Times" w:hAnsi="Verdana" w:cs="Times New Roman"/>
          <w:sz w:val="20"/>
          <w:szCs w:val="20"/>
          <w:lang w:val="pt-BR"/>
        </w:rPr>
      </w:pPr>
    </w:p>
    <w:p w14:paraId="30BE085D" w14:textId="77777777" w:rsidR="00D93276" w:rsidRDefault="00D93276" w:rsidP="00D93276">
      <w:pPr>
        <w:spacing w:after="0" w:line="240" w:lineRule="auto"/>
        <w:jc w:val="both"/>
        <w:rPr>
          <w:rFonts w:ascii="Verdana" w:eastAsia="Times" w:hAnsi="Verdana" w:cs="Times New Roman"/>
          <w:sz w:val="20"/>
          <w:szCs w:val="20"/>
          <w:lang w:val="pt-BR"/>
        </w:rPr>
      </w:pPr>
    </w:p>
    <w:p w14:paraId="05539E4C" w14:textId="77777777" w:rsidR="00D93276" w:rsidRPr="00F154FF" w:rsidRDefault="00D93276" w:rsidP="00D93276">
      <w:pPr>
        <w:spacing w:after="0" w:line="240" w:lineRule="auto"/>
        <w:jc w:val="both"/>
        <w:rPr>
          <w:rFonts w:ascii="Verdana" w:eastAsia="Times" w:hAnsi="Verdana" w:cs="Times New Roman"/>
          <w:sz w:val="20"/>
          <w:szCs w:val="20"/>
          <w:lang w:val="pt-BR"/>
        </w:rPr>
      </w:pPr>
    </w:p>
    <w:p w14:paraId="73EC7A29" w14:textId="77777777" w:rsidR="00D93276" w:rsidRPr="00F154FF" w:rsidRDefault="00D93276" w:rsidP="00D93276">
      <w:pPr>
        <w:spacing w:after="0" w:line="240" w:lineRule="auto"/>
        <w:jc w:val="both"/>
        <w:rPr>
          <w:rFonts w:ascii="Verdana" w:eastAsia="Times" w:hAnsi="Verdana" w:cs="Times New Roman"/>
          <w:sz w:val="20"/>
          <w:szCs w:val="20"/>
          <w:lang w:val="es-ES"/>
        </w:rPr>
      </w:pPr>
      <w:r w:rsidRPr="00F154FF">
        <w:rPr>
          <w:rFonts w:ascii="Verdana" w:eastAsia="Times" w:hAnsi="Verdana" w:cs="Times New Roman"/>
          <w:sz w:val="20"/>
          <w:szCs w:val="20"/>
          <w:lang w:val="es-ES"/>
        </w:rPr>
        <w:t>Pablo Saavedra Alessandri</w:t>
      </w:r>
    </w:p>
    <w:p w14:paraId="1D4FBA7C" w14:textId="6E3D1B35" w:rsidR="008A576C" w:rsidRPr="00A16E2D" w:rsidRDefault="00D93276" w:rsidP="00D93276">
      <w:pPr>
        <w:spacing w:after="0" w:line="240" w:lineRule="auto"/>
      </w:pPr>
      <w:r w:rsidRPr="00F154FF">
        <w:rPr>
          <w:rFonts w:ascii="Verdana" w:eastAsia="Times" w:hAnsi="Verdana" w:cs="Times New Roman"/>
          <w:sz w:val="20"/>
          <w:szCs w:val="20"/>
          <w:lang w:val="es-ES"/>
        </w:rPr>
        <w:tab/>
      </w:r>
      <w:r w:rsidRPr="00F154FF">
        <w:rPr>
          <w:rFonts w:ascii="Verdana" w:eastAsia="Times" w:hAnsi="Verdana" w:cs="Times New Roman"/>
          <w:sz w:val="20"/>
          <w:szCs w:val="20"/>
        </w:rPr>
        <w:t>Secretario</w:t>
      </w:r>
    </w:p>
    <w:sectPr w:rsidR="008A576C" w:rsidRPr="00A16E2D" w:rsidSect="00A24D53">
      <w:footerReference w:type="default" r:id="rId11"/>
      <w:headerReference w:type="first" r:id="rId12"/>
      <w:footerReference w:type="first" r:id="rId13"/>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EE53EE" w14:textId="77777777" w:rsidR="00C07A1A" w:rsidRDefault="00C07A1A" w:rsidP="00C72A1E">
      <w:pPr>
        <w:spacing w:after="0" w:line="240" w:lineRule="auto"/>
      </w:pPr>
      <w:r>
        <w:separator/>
      </w:r>
    </w:p>
  </w:endnote>
  <w:endnote w:type="continuationSeparator" w:id="0">
    <w:p w14:paraId="41D749CB" w14:textId="77777777" w:rsidR="00C07A1A" w:rsidRDefault="00C07A1A" w:rsidP="00C72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2279352"/>
      <w:docPartObj>
        <w:docPartGallery w:val="Page Numbers (Bottom of Page)"/>
        <w:docPartUnique/>
      </w:docPartObj>
    </w:sdtPr>
    <w:sdtEndPr/>
    <w:sdtContent>
      <w:p w14:paraId="5487ED5A" w14:textId="3A3818EF" w:rsidR="00A24D53" w:rsidRDefault="00A24D53">
        <w:pPr>
          <w:pStyle w:val="Piedepgina"/>
          <w:jc w:val="center"/>
        </w:pPr>
        <w:r>
          <w:fldChar w:fldCharType="begin"/>
        </w:r>
        <w:r>
          <w:instrText>PAGE   \* MERGEFORMAT</w:instrText>
        </w:r>
        <w:r>
          <w:fldChar w:fldCharType="separate"/>
        </w:r>
        <w:r w:rsidR="009E5906" w:rsidRPr="009E5906">
          <w:rPr>
            <w:noProof/>
            <w:lang w:val="es-ES"/>
          </w:rPr>
          <w:t>6</w:t>
        </w:r>
        <w:r>
          <w:fldChar w:fldCharType="end"/>
        </w:r>
      </w:p>
    </w:sdtContent>
  </w:sdt>
  <w:p w14:paraId="6E861665" w14:textId="77777777" w:rsidR="00A24D53" w:rsidRDefault="00A24D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9476435"/>
      <w:docPartObj>
        <w:docPartGallery w:val="Page Numbers (Bottom of Page)"/>
        <w:docPartUnique/>
      </w:docPartObj>
    </w:sdtPr>
    <w:sdtEndPr/>
    <w:sdtContent>
      <w:p w14:paraId="52D22AB1" w14:textId="5568DEFA" w:rsidR="00A24D53" w:rsidRDefault="00A24D53">
        <w:pPr>
          <w:pStyle w:val="Piedepgina"/>
          <w:jc w:val="center"/>
        </w:pPr>
        <w:r>
          <w:fldChar w:fldCharType="begin"/>
        </w:r>
        <w:r>
          <w:instrText>PAGE   \* MERGEFORMAT</w:instrText>
        </w:r>
        <w:r>
          <w:fldChar w:fldCharType="separate"/>
        </w:r>
        <w:r w:rsidRPr="00A24D53">
          <w:rPr>
            <w:noProof/>
            <w:lang w:val="es-ES"/>
          </w:rPr>
          <w:t>1</w:t>
        </w:r>
        <w:r>
          <w:fldChar w:fldCharType="end"/>
        </w:r>
      </w:p>
    </w:sdtContent>
  </w:sdt>
  <w:p w14:paraId="5A110AAA" w14:textId="77777777" w:rsidR="00A24D53" w:rsidRDefault="00A24D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EDE8AE" w14:textId="77777777" w:rsidR="00C07A1A" w:rsidRDefault="00C07A1A" w:rsidP="00C72A1E">
      <w:pPr>
        <w:spacing w:after="0" w:line="240" w:lineRule="auto"/>
      </w:pPr>
      <w:r>
        <w:separator/>
      </w:r>
    </w:p>
  </w:footnote>
  <w:footnote w:type="continuationSeparator" w:id="0">
    <w:p w14:paraId="5064758C" w14:textId="77777777" w:rsidR="00C07A1A" w:rsidRDefault="00C07A1A" w:rsidP="00C72A1E">
      <w:pPr>
        <w:spacing w:after="0" w:line="240" w:lineRule="auto"/>
      </w:pPr>
      <w:r>
        <w:continuationSeparator/>
      </w:r>
    </w:p>
  </w:footnote>
  <w:footnote w:id="1">
    <w:p w14:paraId="10B0ABE0" w14:textId="77777777" w:rsidR="00A16E2D" w:rsidRPr="005A7530" w:rsidRDefault="00A16E2D" w:rsidP="00A16E2D">
      <w:pPr>
        <w:pStyle w:val="Textonotapie"/>
        <w:tabs>
          <w:tab w:val="left" w:pos="450"/>
          <w:tab w:val="left" w:pos="720"/>
        </w:tabs>
        <w:jc w:val="both"/>
        <w:rPr>
          <w:rFonts w:ascii="Verdana" w:eastAsia="Times New Roman" w:hAnsi="Verdana"/>
          <w:sz w:val="16"/>
          <w:szCs w:val="16"/>
          <w:lang w:val="es-ES"/>
        </w:rPr>
      </w:pPr>
      <w:r w:rsidRPr="005A7530">
        <w:rPr>
          <w:rFonts w:ascii="Verdana" w:hAnsi="Verdana" w:cs="Microsoft Sans Serif"/>
          <w:spacing w:val="-4"/>
          <w:sz w:val="16"/>
          <w:szCs w:val="16"/>
          <w:vertAlign w:val="superscript"/>
          <w:lang w:val="es-PR"/>
        </w:rPr>
        <w:t>*</w:t>
      </w:r>
      <w:r w:rsidRPr="005A7530">
        <w:rPr>
          <w:rFonts w:ascii="Verdana" w:hAnsi="Verdana" w:cs="Microsoft Sans Serif"/>
          <w:spacing w:val="-4"/>
          <w:sz w:val="16"/>
          <w:szCs w:val="16"/>
          <w:vertAlign w:val="superscript"/>
          <w:lang w:val="es-PR"/>
        </w:rPr>
        <w:tab/>
      </w:r>
      <w:r w:rsidRPr="005A7530">
        <w:rPr>
          <w:rFonts w:ascii="Verdana" w:hAnsi="Verdana"/>
          <w:sz w:val="16"/>
          <w:szCs w:val="16"/>
          <w:lang w:val="es-ES"/>
        </w:rPr>
        <w:t>La Jueza Elizabeth Odio</w:t>
      </w:r>
      <w:r>
        <w:rPr>
          <w:rFonts w:ascii="Verdana" w:hAnsi="Verdana"/>
          <w:sz w:val="16"/>
          <w:szCs w:val="16"/>
          <w:lang w:val="es-ES"/>
        </w:rPr>
        <w:t xml:space="preserve"> Benito</w:t>
      </w:r>
      <w:r w:rsidRPr="005A7530">
        <w:rPr>
          <w:rFonts w:ascii="Verdana" w:hAnsi="Verdana"/>
          <w:sz w:val="16"/>
          <w:szCs w:val="16"/>
        </w:rPr>
        <w:t xml:space="preserve">, </w:t>
      </w:r>
      <w:r w:rsidRPr="005A7530">
        <w:rPr>
          <w:rFonts w:ascii="Verdana" w:hAnsi="Verdana"/>
          <w:sz w:val="16"/>
          <w:szCs w:val="16"/>
          <w:lang w:val="es-ES"/>
        </w:rPr>
        <w:t>Presidenta</w:t>
      </w:r>
      <w:r w:rsidRPr="005A7530">
        <w:rPr>
          <w:rFonts w:ascii="Verdana" w:hAnsi="Verdana"/>
          <w:sz w:val="16"/>
          <w:szCs w:val="16"/>
        </w:rPr>
        <w:t xml:space="preserve"> de la Corte, por razones de fuerza mayor aceptadas por el Pleno del Tribunal, no participó en la deliberación y firma de la presente Sentencia.</w:t>
      </w:r>
      <w:r w:rsidRPr="005A7530">
        <w:rPr>
          <w:rFonts w:ascii="Verdana" w:hAnsi="Verdana"/>
          <w:sz w:val="16"/>
          <w:szCs w:val="16"/>
          <w:lang w:val="es-ES"/>
        </w:rPr>
        <w:t xml:space="preserve"> </w:t>
      </w:r>
      <w:r w:rsidRPr="005A7530">
        <w:rPr>
          <w:rFonts w:ascii="Verdana" w:hAnsi="Verdana"/>
          <w:sz w:val="16"/>
          <w:szCs w:val="16"/>
        </w:rPr>
        <w:t xml:space="preserve">Por tal motivo, de conformidad con los artículos 4.2 y 5 del Reglamento del Tribunal, el Juez </w:t>
      </w:r>
      <w:r w:rsidRPr="005A7530">
        <w:rPr>
          <w:rFonts w:ascii="Verdana" w:hAnsi="Verdana"/>
          <w:sz w:val="16"/>
          <w:szCs w:val="16"/>
          <w:lang w:val="es-ES"/>
        </w:rPr>
        <w:t>Patricio Pazmiño Freire</w:t>
      </w:r>
      <w:r w:rsidRPr="005A7530">
        <w:rPr>
          <w:rFonts w:ascii="Verdana" w:hAnsi="Verdana"/>
          <w:sz w:val="16"/>
          <w:szCs w:val="16"/>
        </w:rPr>
        <w:t>, Vicepresidente de la Corte, asumió la Presidencia en ejercicio</w:t>
      </w:r>
      <w:r w:rsidRPr="005A7530">
        <w:rPr>
          <w:rFonts w:ascii="Verdana" w:hAnsi="Verdana"/>
          <w:sz w:val="16"/>
          <w:szCs w:val="16"/>
          <w:lang w:val="es-ES"/>
        </w:rPr>
        <w:t>.</w:t>
      </w:r>
    </w:p>
  </w:footnote>
  <w:footnote w:id="2">
    <w:p w14:paraId="50303EC9" w14:textId="7438CD34" w:rsidR="002C3D73" w:rsidRPr="00B67FD4" w:rsidRDefault="002C3D73" w:rsidP="008A576C">
      <w:pPr>
        <w:pStyle w:val="Textonotapie"/>
        <w:tabs>
          <w:tab w:val="left" w:pos="567"/>
        </w:tabs>
        <w:jc w:val="both"/>
        <w:rPr>
          <w:rFonts w:ascii="Verdana" w:hAnsi="Verdana"/>
        </w:rPr>
      </w:pPr>
      <w:r w:rsidRPr="00B67FD4">
        <w:rPr>
          <w:rStyle w:val="Refdenotaalpie"/>
          <w:rFonts w:ascii="Verdana" w:hAnsi="Verdana"/>
          <w:sz w:val="16"/>
        </w:rPr>
        <w:footnoteRef/>
      </w:r>
      <w:r w:rsidRPr="00B67FD4">
        <w:rPr>
          <w:rFonts w:ascii="Verdana" w:hAnsi="Verdana"/>
          <w:sz w:val="16"/>
        </w:rPr>
        <w:t xml:space="preserve"> </w:t>
      </w:r>
      <w:r>
        <w:rPr>
          <w:rFonts w:ascii="Verdana" w:hAnsi="Verdana"/>
          <w:sz w:val="16"/>
        </w:rPr>
        <w:tab/>
      </w:r>
      <w:r w:rsidRPr="00B67FD4">
        <w:rPr>
          <w:rFonts w:ascii="Verdana" w:hAnsi="Verdana"/>
          <w:sz w:val="16"/>
        </w:rPr>
        <w:t>Debido a las circunstancias excepcionales ocasionadas por la pandemia COVID-19, esta Sentencia fue deliberada y aprobada durante el 137 Período Ordinario de Sesiones, el cual se llevó a cabo de forma no presencial utilizando medios tecnológicos de conformidad con lo establecido en el Reglamento de la Corte.</w:t>
      </w:r>
    </w:p>
  </w:footnote>
  <w:footnote w:id="3">
    <w:p w14:paraId="303642F2" w14:textId="77777777" w:rsidR="00596841" w:rsidRPr="00A8425D" w:rsidRDefault="00596841" w:rsidP="00530FDB">
      <w:pPr>
        <w:pStyle w:val="Textonotapie"/>
        <w:tabs>
          <w:tab w:val="left" w:pos="567"/>
        </w:tabs>
        <w:spacing w:before="40" w:after="40"/>
        <w:rPr>
          <w:rFonts w:ascii="Verdana" w:hAnsi="Verdana"/>
          <w:sz w:val="16"/>
          <w:szCs w:val="16"/>
        </w:rPr>
      </w:pPr>
      <w:r w:rsidRPr="00E3559F">
        <w:rPr>
          <w:rStyle w:val="Refdenotaalpie"/>
          <w:sz w:val="16"/>
          <w:szCs w:val="16"/>
        </w:rPr>
        <w:footnoteRef/>
      </w:r>
      <w:r w:rsidRPr="00E3559F">
        <w:rPr>
          <w:sz w:val="16"/>
          <w:szCs w:val="16"/>
        </w:rPr>
        <w:t xml:space="preserve"> </w:t>
      </w:r>
      <w:r w:rsidRPr="00A8425D">
        <w:rPr>
          <w:rFonts w:ascii="Verdana" w:hAnsi="Verdana"/>
          <w:sz w:val="16"/>
          <w:szCs w:val="16"/>
        </w:rPr>
        <w:tab/>
        <w:t xml:space="preserve">Disponible aquí: </w:t>
      </w:r>
      <w:hyperlink r:id="rId1" w:history="1">
        <w:r w:rsidRPr="00A8425D">
          <w:rPr>
            <w:rStyle w:val="Hipervnculo"/>
            <w:rFonts w:ascii="Verdana" w:hAnsi="Verdana"/>
            <w:sz w:val="16"/>
            <w:szCs w:val="16"/>
          </w:rPr>
          <w:t>http://www.corteidh.or.cr/docs/comunicados/cp_18_2020.pdf</w:t>
        </w:r>
      </w:hyperlink>
      <w:r w:rsidRPr="00A8425D">
        <w:rPr>
          <w:rStyle w:val="Hipervnculo"/>
          <w:rFonts w:ascii="Verdana" w:hAnsi="Verdana"/>
          <w:sz w:val="16"/>
          <w:szCs w:val="16"/>
        </w:rPr>
        <w:t xml:space="preserve"> </w:t>
      </w:r>
    </w:p>
  </w:footnote>
  <w:footnote w:id="4">
    <w:p w14:paraId="2CB30CE4" w14:textId="77777777" w:rsidR="00596841" w:rsidRPr="00A8425D" w:rsidRDefault="00596841" w:rsidP="008252D5">
      <w:pPr>
        <w:pStyle w:val="Textonotapie"/>
        <w:tabs>
          <w:tab w:val="left" w:pos="567"/>
        </w:tabs>
        <w:spacing w:before="40" w:after="40"/>
        <w:rPr>
          <w:rFonts w:ascii="Verdana" w:hAnsi="Verdana"/>
          <w:sz w:val="16"/>
          <w:szCs w:val="16"/>
        </w:rPr>
      </w:pPr>
      <w:r w:rsidRPr="00A8425D">
        <w:rPr>
          <w:rStyle w:val="Refdenotaalpie"/>
          <w:rFonts w:ascii="Verdana" w:hAnsi="Verdana"/>
          <w:sz w:val="16"/>
          <w:szCs w:val="16"/>
        </w:rPr>
        <w:footnoteRef/>
      </w:r>
      <w:r w:rsidRPr="00A8425D">
        <w:rPr>
          <w:rFonts w:ascii="Verdana" w:hAnsi="Verdana"/>
          <w:sz w:val="16"/>
          <w:szCs w:val="16"/>
        </w:rPr>
        <w:t xml:space="preserve"> </w:t>
      </w:r>
      <w:r w:rsidRPr="00A8425D">
        <w:rPr>
          <w:rFonts w:ascii="Verdana" w:hAnsi="Verdana"/>
          <w:sz w:val="16"/>
          <w:szCs w:val="16"/>
        </w:rPr>
        <w:tab/>
        <w:t xml:space="preserve">Disponible aquí: </w:t>
      </w:r>
      <w:hyperlink r:id="rId2" w:history="1">
        <w:r w:rsidRPr="00A8425D">
          <w:rPr>
            <w:rStyle w:val="Hipervnculo"/>
            <w:rFonts w:ascii="Verdana" w:hAnsi="Verdana"/>
            <w:sz w:val="16"/>
            <w:szCs w:val="16"/>
          </w:rPr>
          <w:t>http://www.corteidh.or.cr/docs/comunicados/cp_28_2020.pdf</w:t>
        </w:r>
      </w:hyperlink>
      <w:r w:rsidRPr="00A8425D">
        <w:rPr>
          <w:rStyle w:val="Hipervnculo"/>
          <w:rFonts w:ascii="Verdana" w:hAnsi="Verdana"/>
          <w:sz w:val="16"/>
          <w:szCs w:val="16"/>
        </w:rPr>
        <w:t xml:space="preserve"> </w:t>
      </w:r>
    </w:p>
  </w:footnote>
  <w:footnote w:id="5">
    <w:p w14:paraId="7E10F8AE" w14:textId="72B547EA" w:rsidR="00A76C6A" w:rsidRPr="008D05FD" w:rsidRDefault="00A76C6A" w:rsidP="008A576C">
      <w:pPr>
        <w:pStyle w:val="Textonotapie"/>
        <w:tabs>
          <w:tab w:val="left" w:pos="567"/>
        </w:tabs>
        <w:jc w:val="both"/>
        <w:rPr>
          <w:rFonts w:ascii="Verdana" w:hAnsi="Verdana"/>
          <w:sz w:val="16"/>
          <w:szCs w:val="16"/>
          <w:lang w:val="es-CO"/>
        </w:rPr>
      </w:pPr>
      <w:r w:rsidRPr="00F207B5">
        <w:rPr>
          <w:rStyle w:val="Refdenotaalpie"/>
          <w:szCs w:val="16"/>
          <w:lang w:val="es-CO"/>
        </w:rPr>
        <w:footnoteRef/>
      </w:r>
      <w:r w:rsidRPr="00F207B5">
        <w:rPr>
          <w:szCs w:val="16"/>
          <w:lang w:val="es-CO"/>
        </w:rPr>
        <w:t xml:space="preserve"> </w:t>
      </w:r>
      <w:r w:rsidRPr="00F207B5">
        <w:rPr>
          <w:szCs w:val="16"/>
          <w:lang w:val="es-CO"/>
        </w:rPr>
        <w:tab/>
      </w:r>
      <w:r w:rsidRPr="00A8425D">
        <w:rPr>
          <w:rFonts w:ascii="Verdana" w:hAnsi="Verdana"/>
          <w:i/>
          <w:sz w:val="16"/>
          <w:szCs w:val="16"/>
          <w:lang w:val="es-CO"/>
        </w:rPr>
        <w:t xml:space="preserve">Cfr. </w:t>
      </w:r>
      <w:r w:rsidRPr="00A8425D">
        <w:rPr>
          <w:rFonts w:ascii="Verdana" w:hAnsi="Verdana"/>
          <w:i/>
          <w:sz w:val="16"/>
          <w:szCs w:val="16"/>
        </w:rPr>
        <w:t xml:space="preserve">Caso Loayza Tamayo Vs. Perú. Interpretación de la Sentencia de Fondo. </w:t>
      </w:r>
      <w:r w:rsidRPr="00A8425D">
        <w:rPr>
          <w:rFonts w:ascii="Verdana" w:hAnsi="Verdana"/>
          <w:sz w:val="16"/>
          <w:szCs w:val="16"/>
        </w:rPr>
        <w:t>Resolución de la Corte de 8 de marzo de 1998. Serie C No. 47</w:t>
      </w:r>
      <w:r w:rsidRPr="00A8425D">
        <w:rPr>
          <w:rFonts w:ascii="Verdana" w:hAnsi="Verdana"/>
          <w:sz w:val="16"/>
          <w:szCs w:val="16"/>
          <w:lang w:val="es-CO"/>
        </w:rPr>
        <w:t xml:space="preserve">, </w:t>
      </w:r>
      <w:proofErr w:type="spellStart"/>
      <w:r w:rsidRPr="00A8425D">
        <w:rPr>
          <w:rFonts w:ascii="Verdana" w:hAnsi="Verdana"/>
          <w:sz w:val="16"/>
          <w:szCs w:val="16"/>
          <w:lang w:val="es-CO"/>
        </w:rPr>
        <w:t>párrs</w:t>
      </w:r>
      <w:proofErr w:type="spellEnd"/>
      <w:r w:rsidRPr="00A8425D">
        <w:rPr>
          <w:rFonts w:ascii="Verdana" w:hAnsi="Verdana"/>
          <w:sz w:val="16"/>
          <w:szCs w:val="16"/>
          <w:lang w:val="es-CO"/>
        </w:rPr>
        <w:t>. 12 y 16,</w:t>
      </w:r>
      <w:r w:rsidR="00DF6D46">
        <w:rPr>
          <w:rFonts w:ascii="Verdana" w:hAnsi="Verdana"/>
          <w:sz w:val="16"/>
          <w:szCs w:val="16"/>
          <w:lang w:val="es-CO"/>
        </w:rPr>
        <w:t xml:space="preserve"> y</w:t>
      </w:r>
      <w:r w:rsidRPr="00A8425D">
        <w:rPr>
          <w:rFonts w:ascii="Verdana" w:hAnsi="Verdana"/>
          <w:i/>
          <w:sz w:val="16"/>
          <w:szCs w:val="16"/>
          <w:lang w:val="es-CO"/>
        </w:rPr>
        <w:t xml:space="preserve"> </w:t>
      </w:r>
      <w:r w:rsidR="00DF6D46" w:rsidRPr="008D05FD">
        <w:rPr>
          <w:rFonts w:ascii="Verdana" w:hAnsi="Verdana" w:cs="Arial"/>
          <w:i/>
          <w:sz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00DF6D46" w:rsidRPr="008D05FD">
        <w:rPr>
          <w:rFonts w:ascii="Verdana" w:hAnsi="Verdana" w:cs="Arial"/>
          <w:sz w:val="16"/>
          <w:shd w:val="clear" w:color="auto" w:fill="FFFFFF"/>
        </w:rPr>
        <w:t>. Sentencia de 8 de octubre de 2020. Serie C No. 413</w:t>
      </w:r>
      <w:r w:rsidRPr="008D05FD">
        <w:rPr>
          <w:rFonts w:ascii="Verdana" w:hAnsi="Verdana"/>
          <w:bCs/>
          <w:sz w:val="16"/>
          <w:szCs w:val="16"/>
          <w:lang w:val="es-ES"/>
        </w:rPr>
        <w:t>, párr. 1</w:t>
      </w:r>
      <w:r w:rsidR="00DF6D46" w:rsidRPr="008D05FD">
        <w:rPr>
          <w:rFonts w:ascii="Verdana" w:hAnsi="Verdana"/>
          <w:bCs/>
          <w:sz w:val="16"/>
          <w:szCs w:val="16"/>
          <w:lang w:val="es-ES"/>
        </w:rPr>
        <w:t>0</w:t>
      </w:r>
      <w:r w:rsidRPr="008D05FD">
        <w:rPr>
          <w:rFonts w:ascii="Verdana" w:hAnsi="Verdana"/>
          <w:bCs/>
          <w:i/>
          <w:sz w:val="16"/>
          <w:szCs w:val="16"/>
          <w:lang w:val="es-ES"/>
        </w:rPr>
        <w:t>.</w:t>
      </w:r>
    </w:p>
  </w:footnote>
  <w:footnote w:id="6">
    <w:p w14:paraId="6C212C03" w14:textId="33FF4E3C" w:rsidR="00A76C6A" w:rsidRPr="008D05FD" w:rsidRDefault="00A76C6A" w:rsidP="008A576C">
      <w:pPr>
        <w:pStyle w:val="Textonotapie"/>
        <w:tabs>
          <w:tab w:val="left" w:pos="567"/>
        </w:tabs>
        <w:jc w:val="both"/>
        <w:rPr>
          <w:rFonts w:ascii="Verdana" w:hAnsi="Verdana"/>
          <w:sz w:val="16"/>
          <w:szCs w:val="16"/>
        </w:rPr>
      </w:pPr>
      <w:r w:rsidRPr="008D05FD">
        <w:rPr>
          <w:rStyle w:val="Refdenotaalpie"/>
          <w:rFonts w:ascii="Verdana" w:hAnsi="Verdana"/>
          <w:sz w:val="16"/>
          <w:szCs w:val="16"/>
        </w:rPr>
        <w:footnoteRef/>
      </w:r>
      <w:r w:rsidRPr="008D05FD">
        <w:rPr>
          <w:rFonts w:ascii="Verdana" w:hAnsi="Verdana"/>
          <w:sz w:val="16"/>
          <w:szCs w:val="16"/>
        </w:rPr>
        <w:t xml:space="preserve"> </w:t>
      </w:r>
      <w:r w:rsidRPr="008D05FD">
        <w:rPr>
          <w:rFonts w:ascii="Verdana" w:hAnsi="Verdana"/>
          <w:sz w:val="16"/>
          <w:szCs w:val="16"/>
        </w:rPr>
        <w:tab/>
      </w:r>
      <w:r w:rsidRPr="008D05FD">
        <w:rPr>
          <w:rFonts w:ascii="Verdana" w:hAnsi="Verdana"/>
          <w:i/>
          <w:sz w:val="16"/>
          <w:szCs w:val="16"/>
        </w:rPr>
        <w:t xml:space="preserve">Cfr. Caso Loayza Tamayo Vs. Perú. Interpretación de la Sentencia de Reparaciones y Costas. </w:t>
      </w:r>
      <w:r w:rsidRPr="008D05FD">
        <w:rPr>
          <w:rFonts w:ascii="Verdana" w:hAnsi="Verdana"/>
          <w:sz w:val="16"/>
          <w:szCs w:val="16"/>
        </w:rPr>
        <w:t xml:space="preserve">Sentencia de 3 de junio de 1999. Serie C No. 53, párr. 15, </w:t>
      </w:r>
      <w:r w:rsidR="00DF6D46" w:rsidRPr="008D05FD">
        <w:rPr>
          <w:rFonts w:ascii="Verdana" w:hAnsi="Verdana" w:cs="Arial"/>
          <w:i/>
          <w:sz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8D05FD">
        <w:rPr>
          <w:rFonts w:ascii="Verdana" w:hAnsi="Verdana"/>
          <w:bCs/>
          <w:i/>
          <w:sz w:val="16"/>
          <w:szCs w:val="16"/>
          <w:lang w:val="es-ES"/>
        </w:rPr>
        <w:t>, supra</w:t>
      </w:r>
      <w:r w:rsidRPr="008D05FD">
        <w:rPr>
          <w:rFonts w:ascii="Verdana" w:hAnsi="Verdana"/>
          <w:bCs/>
          <w:sz w:val="16"/>
          <w:szCs w:val="16"/>
          <w:lang w:val="es-ES"/>
        </w:rPr>
        <w:t>, párr. 1</w:t>
      </w:r>
      <w:r w:rsidR="00DF6D46" w:rsidRPr="008D05FD">
        <w:rPr>
          <w:rFonts w:ascii="Verdana" w:hAnsi="Verdana"/>
          <w:bCs/>
          <w:sz w:val="16"/>
          <w:szCs w:val="16"/>
          <w:lang w:val="es-ES"/>
        </w:rPr>
        <w:t>1</w:t>
      </w:r>
      <w:r w:rsidRPr="008D05FD">
        <w:rPr>
          <w:rFonts w:ascii="Verdana" w:hAnsi="Verdana"/>
          <w:bCs/>
          <w:sz w:val="16"/>
          <w:szCs w:val="16"/>
          <w:lang w:val="es-ES"/>
        </w:rPr>
        <w:t>.</w:t>
      </w:r>
    </w:p>
  </w:footnote>
  <w:footnote w:id="7">
    <w:p w14:paraId="4FA25238" w14:textId="2E28E481" w:rsidR="00A76C6A" w:rsidRPr="008D05FD" w:rsidRDefault="00A76C6A" w:rsidP="008A576C">
      <w:pPr>
        <w:pStyle w:val="Textonotapie"/>
        <w:tabs>
          <w:tab w:val="left" w:pos="567"/>
        </w:tabs>
        <w:jc w:val="both"/>
        <w:rPr>
          <w:rFonts w:ascii="Verdana" w:hAnsi="Verdana"/>
          <w:sz w:val="16"/>
          <w:szCs w:val="16"/>
        </w:rPr>
      </w:pPr>
      <w:r w:rsidRPr="008D05FD">
        <w:rPr>
          <w:rStyle w:val="Refdenotaalpie"/>
          <w:szCs w:val="16"/>
        </w:rPr>
        <w:footnoteRef/>
      </w:r>
      <w:r w:rsidRPr="008D05FD">
        <w:rPr>
          <w:szCs w:val="16"/>
        </w:rPr>
        <w:t xml:space="preserve"> </w:t>
      </w:r>
      <w:r w:rsidRPr="008D05FD">
        <w:rPr>
          <w:szCs w:val="16"/>
        </w:rPr>
        <w:tab/>
      </w:r>
      <w:r w:rsidRPr="008D05FD">
        <w:rPr>
          <w:rFonts w:ascii="Verdana" w:hAnsi="Verdana"/>
          <w:i/>
          <w:sz w:val="16"/>
          <w:szCs w:val="16"/>
        </w:rPr>
        <w:t xml:space="preserve">Cfr. Caso Salvador Chiriboga Vs. Ecuador. Interpretación de la Sentencia de Reparaciones y Costas. </w:t>
      </w:r>
      <w:r w:rsidRPr="008D05FD">
        <w:rPr>
          <w:rFonts w:ascii="Verdana" w:hAnsi="Verdana"/>
          <w:sz w:val="16"/>
          <w:szCs w:val="16"/>
        </w:rPr>
        <w:t xml:space="preserve">Sentencia de 29 de agosto de 2011. Serie C No. 230, párr. 30, </w:t>
      </w:r>
      <w:r w:rsidRPr="008D05FD">
        <w:rPr>
          <w:rFonts w:ascii="Verdana" w:hAnsi="Verdana"/>
          <w:sz w:val="16"/>
          <w:szCs w:val="16"/>
          <w:lang w:val="es-CO"/>
        </w:rPr>
        <w:t xml:space="preserve">y </w:t>
      </w:r>
      <w:r w:rsidR="00A21898" w:rsidRPr="008D05FD">
        <w:rPr>
          <w:rFonts w:ascii="Verdana" w:hAnsi="Verdana" w:cs="Arial"/>
          <w:i/>
          <w:sz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8D05FD">
        <w:rPr>
          <w:rFonts w:ascii="Verdana" w:hAnsi="Verdana"/>
          <w:bCs/>
          <w:i/>
          <w:sz w:val="16"/>
          <w:szCs w:val="16"/>
          <w:lang w:val="es-ES"/>
        </w:rPr>
        <w:t>, supra</w:t>
      </w:r>
      <w:r w:rsidRPr="008D05FD">
        <w:rPr>
          <w:rFonts w:ascii="Verdana" w:hAnsi="Verdana"/>
          <w:bCs/>
          <w:sz w:val="16"/>
          <w:szCs w:val="16"/>
          <w:lang w:val="es-ES"/>
        </w:rPr>
        <w:t>, párr. 1</w:t>
      </w:r>
      <w:r w:rsidR="00A21898" w:rsidRPr="008D05FD">
        <w:rPr>
          <w:rFonts w:ascii="Verdana" w:hAnsi="Verdana"/>
          <w:bCs/>
          <w:sz w:val="16"/>
          <w:szCs w:val="16"/>
          <w:lang w:val="es-ES"/>
        </w:rPr>
        <w:t>1</w:t>
      </w:r>
      <w:r w:rsidRPr="008D05FD">
        <w:rPr>
          <w:rFonts w:ascii="Verdana" w:hAnsi="Verdana"/>
          <w:bCs/>
          <w:sz w:val="16"/>
          <w:szCs w:val="16"/>
          <w:lang w:val="es-ES"/>
        </w:rPr>
        <w:t>.</w:t>
      </w:r>
    </w:p>
  </w:footnote>
  <w:footnote w:id="8">
    <w:p w14:paraId="2139142C" w14:textId="476361D4" w:rsidR="00A76C6A" w:rsidRPr="008D05FD" w:rsidRDefault="00A76C6A" w:rsidP="008A576C">
      <w:pPr>
        <w:pStyle w:val="Textonotapie"/>
        <w:tabs>
          <w:tab w:val="left" w:pos="567"/>
        </w:tabs>
        <w:jc w:val="both"/>
        <w:rPr>
          <w:rFonts w:ascii="Verdana" w:hAnsi="Verdana"/>
          <w:sz w:val="16"/>
          <w:szCs w:val="16"/>
        </w:rPr>
      </w:pPr>
      <w:r w:rsidRPr="008D05FD">
        <w:rPr>
          <w:rStyle w:val="Refdenotaalpie"/>
          <w:rFonts w:ascii="Verdana" w:hAnsi="Verdana"/>
          <w:sz w:val="16"/>
          <w:szCs w:val="16"/>
        </w:rPr>
        <w:footnoteRef/>
      </w:r>
      <w:r w:rsidRPr="008D05FD">
        <w:rPr>
          <w:rFonts w:ascii="Verdana" w:hAnsi="Verdana"/>
          <w:sz w:val="16"/>
          <w:szCs w:val="16"/>
        </w:rPr>
        <w:t xml:space="preserve"> </w:t>
      </w:r>
      <w:r w:rsidRPr="008D05FD">
        <w:rPr>
          <w:rFonts w:ascii="Verdana" w:hAnsi="Verdana"/>
          <w:sz w:val="16"/>
          <w:szCs w:val="16"/>
        </w:rPr>
        <w:tab/>
      </w:r>
      <w:r w:rsidRPr="008D05FD">
        <w:rPr>
          <w:rFonts w:ascii="Verdana" w:hAnsi="Verdana"/>
          <w:i/>
          <w:sz w:val="16"/>
          <w:szCs w:val="16"/>
        </w:rPr>
        <w:t>Cfr. Caso Escher y otros Vs. Brasil. Interpretación de la Sentencia de Excepciones Preliminares, Fondo, Reparaciones y Costas</w:t>
      </w:r>
      <w:r w:rsidRPr="008D05FD">
        <w:rPr>
          <w:rFonts w:ascii="Verdana" w:hAnsi="Verdana"/>
          <w:sz w:val="16"/>
          <w:szCs w:val="16"/>
        </w:rPr>
        <w:t>. Sentencia de 20 de noviembre de 2009. Serie C No. 208, párr. 11,</w:t>
      </w:r>
      <w:r w:rsidRPr="008D05FD">
        <w:rPr>
          <w:rFonts w:ascii="Verdana" w:hAnsi="Verdana"/>
          <w:i/>
          <w:sz w:val="16"/>
          <w:szCs w:val="16"/>
        </w:rPr>
        <w:t xml:space="preserve"> </w:t>
      </w:r>
      <w:r w:rsidRPr="008D05FD">
        <w:rPr>
          <w:rFonts w:ascii="Verdana" w:hAnsi="Verdana"/>
          <w:sz w:val="16"/>
          <w:szCs w:val="16"/>
          <w:lang w:val="es-CO"/>
        </w:rPr>
        <w:t>y</w:t>
      </w:r>
      <w:r w:rsidRPr="008D05FD">
        <w:rPr>
          <w:rFonts w:ascii="Verdana" w:hAnsi="Verdana"/>
          <w:i/>
          <w:sz w:val="16"/>
          <w:szCs w:val="16"/>
          <w:lang w:val="es-CO"/>
        </w:rPr>
        <w:t xml:space="preserve"> </w:t>
      </w:r>
      <w:r w:rsidR="00A21898" w:rsidRPr="008D05FD">
        <w:rPr>
          <w:rFonts w:ascii="Verdana" w:hAnsi="Verdana" w:cs="Arial"/>
          <w:i/>
          <w:sz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8D05FD">
        <w:rPr>
          <w:rFonts w:ascii="Verdana" w:hAnsi="Verdana"/>
          <w:bCs/>
          <w:i/>
          <w:sz w:val="16"/>
          <w:szCs w:val="16"/>
          <w:lang w:val="es-ES"/>
        </w:rPr>
        <w:t>, supra</w:t>
      </w:r>
      <w:r w:rsidRPr="008D05FD">
        <w:rPr>
          <w:rFonts w:ascii="Verdana" w:hAnsi="Verdana"/>
          <w:bCs/>
          <w:sz w:val="16"/>
          <w:szCs w:val="16"/>
          <w:lang w:val="es-ES"/>
        </w:rPr>
        <w:t>, párr. 1</w:t>
      </w:r>
      <w:r w:rsidR="00A21898" w:rsidRPr="008D05FD">
        <w:rPr>
          <w:rFonts w:ascii="Verdana" w:hAnsi="Verdana"/>
          <w:bCs/>
          <w:sz w:val="16"/>
          <w:szCs w:val="16"/>
          <w:lang w:val="es-ES"/>
        </w:rPr>
        <w:t>1</w:t>
      </w:r>
      <w:r w:rsidRPr="008D05FD">
        <w:rPr>
          <w:rFonts w:ascii="Verdana" w:hAnsi="Verdana"/>
          <w:sz w:val="16"/>
          <w:szCs w:val="16"/>
          <w:lang w:val="es-CO"/>
        </w:rPr>
        <w:t>.</w:t>
      </w:r>
    </w:p>
  </w:footnote>
  <w:footnote w:id="9">
    <w:p w14:paraId="78B9DB47" w14:textId="2DE75BE6" w:rsidR="005C0D31" w:rsidRPr="003B642D" w:rsidRDefault="005C0D31" w:rsidP="008A576C">
      <w:pPr>
        <w:pStyle w:val="Textonotapie"/>
        <w:tabs>
          <w:tab w:val="left" w:pos="567"/>
        </w:tabs>
        <w:jc w:val="both"/>
        <w:rPr>
          <w:rFonts w:ascii="Verdana" w:hAnsi="Verdana"/>
          <w:sz w:val="16"/>
          <w:szCs w:val="16"/>
          <w:lang w:val="es-CO"/>
        </w:rPr>
      </w:pPr>
      <w:r w:rsidRPr="00B67FD4">
        <w:rPr>
          <w:rStyle w:val="Refdenotaalpie"/>
          <w:rFonts w:ascii="Verdana" w:hAnsi="Verdana"/>
          <w:sz w:val="16"/>
          <w:szCs w:val="16"/>
          <w:lang w:val="es-CO"/>
        </w:rPr>
        <w:footnoteRef/>
      </w:r>
      <w:r w:rsidRPr="00B67FD4">
        <w:rPr>
          <w:rFonts w:ascii="Verdana" w:hAnsi="Verdana"/>
          <w:sz w:val="16"/>
          <w:szCs w:val="16"/>
          <w:lang w:val="es-CO"/>
        </w:rPr>
        <w:t xml:space="preserve"> </w:t>
      </w:r>
      <w:r w:rsidRPr="00B67FD4">
        <w:rPr>
          <w:rFonts w:ascii="Verdana" w:hAnsi="Verdana"/>
          <w:sz w:val="16"/>
          <w:szCs w:val="16"/>
          <w:lang w:val="es-CO"/>
        </w:rPr>
        <w:tab/>
      </w:r>
      <w:r w:rsidRPr="003B642D">
        <w:rPr>
          <w:rFonts w:ascii="Verdana" w:hAnsi="Verdana"/>
          <w:i/>
          <w:sz w:val="16"/>
          <w:szCs w:val="16"/>
          <w:lang w:val="es-CO"/>
        </w:rPr>
        <w:t xml:space="preserve">Cfr. </w:t>
      </w:r>
      <w:r w:rsidRPr="003B642D">
        <w:rPr>
          <w:rFonts w:ascii="Verdana" w:hAnsi="Verdana"/>
          <w:i/>
          <w:sz w:val="16"/>
          <w:szCs w:val="16"/>
        </w:rPr>
        <w:t xml:space="preserve">Caso Loayza Tamayo Vs. Perú. Interpretación de la Sentencia de Fondo. </w:t>
      </w:r>
      <w:r w:rsidRPr="003B642D">
        <w:rPr>
          <w:rFonts w:ascii="Verdana" w:hAnsi="Verdana"/>
          <w:sz w:val="16"/>
          <w:szCs w:val="16"/>
        </w:rPr>
        <w:t>Resolución de la Corte de 8 de marzo de 1998. Serie C No. 47</w:t>
      </w:r>
      <w:r w:rsidRPr="003B642D">
        <w:rPr>
          <w:rFonts w:ascii="Verdana" w:hAnsi="Verdana"/>
          <w:sz w:val="16"/>
          <w:szCs w:val="16"/>
          <w:lang w:val="es-CO"/>
        </w:rPr>
        <w:t xml:space="preserve">, </w:t>
      </w:r>
      <w:proofErr w:type="spellStart"/>
      <w:r w:rsidRPr="003B642D">
        <w:rPr>
          <w:rFonts w:ascii="Verdana" w:hAnsi="Verdana"/>
          <w:sz w:val="16"/>
          <w:szCs w:val="16"/>
          <w:lang w:val="es-CO"/>
        </w:rPr>
        <w:t>párrs</w:t>
      </w:r>
      <w:proofErr w:type="spellEnd"/>
      <w:r w:rsidRPr="003B642D">
        <w:rPr>
          <w:rFonts w:ascii="Verdana" w:hAnsi="Verdana"/>
          <w:sz w:val="16"/>
          <w:szCs w:val="16"/>
          <w:lang w:val="es-CO"/>
        </w:rPr>
        <w:t>. 12 y 16,</w:t>
      </w:r>
      <w:r w:rsidRPr="003B642D">
        <w:rPr>
          <w:rFonts w:ascii="Verdana" w:hAnsi="Verdana"/>
          <w:i/>
          <w:sz w:val="16"/>
          <w:szCs w:val="16"/>
          <w:lang w:val="es-CO"/>
        </w:rPr>
        <w:t xml:space="preserve"> </w:t>
      </w:r>
      <w:r w:rsidRPr="003B642D">
        <w:rPr>
          <w:rFonts w:ascii="Verdana" w:hAnsi="Verdana"/>
          <w:sz w:val="16"/>
          <w:szCs w:val="16"/>
          <w:lang w:val="es-CO"/>
        </w:rPr>
        <w:t>y</w:t>
      </w:r>
      <w:r w:rsidRPr="003B642D">
        <w:rPr>
          <w:rFonts w:ascii="Verdana" w:hAnsi="Verdana"/>
          <w:i/>
          <w:sz w:val="16"/>
          <w:szCs w:val="16"/>
          <w:lang w:val="es-CO"/>
        </w:rPr>
        <w:t xml:space="preserve"> </w:t>
      </w:r>
      <w:r w:rsidR="003B642D" w:rsidRPr="008A576C">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 supra</w:t>
      </w:r>
      <w:r w:rsidRPr="008A576C">
        <w:rPr>
          <w:rFonts w:ascii="Verdana" w:hAnsi="Verdana"/>
          <w:bCs/>
          <w:sz w:val="16"/>
          <w:szCs w:val="16"/>
          <w:lang w:val="es-ES"/>
        </w:rPr>
        <w:t xml:space="preserve">, </w:t>
      </w:r>
      <w:r w:rsidRPr="003B642D">
        <w:rPr>
          <w:rFonts w:ascii="Verdana" w:hAnsi="Verdana"/>
          <w:bCs/>
          <w:color w:val="000000"/>
          <w:sz w:val="16"/>
          <w:szCs w:val="16"/>
          <w:lang w:val="es-ES"/>
        </w:rPr>
        <w:t>párr. 1</w:t>
      </w:r>
      <w:r w:rsidR="003B642D">
        <w:rPr>
          <w:rFonts w:ascii="Verdana" w:hAnsi="Verdana"/>
          <w:bCs/>
          <w:color w:val="000000"/>
          <w:sz w:val="16"/>
          <w:szCs w:val="16"/>
          <w:lang w:val="es-ES"/>
        </w:rPr>
        <w:t>0</w:t>
      </w:r>
      <w:r w:rsidRPr="003B642D">
        <w:rPr>
          <w:rFonts w:ascii="Verdana" w:hAnsi="Verdana"/>
          <w:bCs/>
          <w:i/>
          <w:color w:val="000000"/>
          <w:sz w:val="16"/>
          <w:szCs w:val="16"/>
          <w:lang w:val="es-ES"/>
        </w:rPr>
        <w:t>.</w:t>
      </w:r>
    </w:p>
  </w:footnote>
  <w:footnote w:id="10">
    <w:p w14:paraId="0D1E3CF7" w14:textId="3FE2ABF5" w:rsidR="005C0D31" w:rsidRPr="00A8425D" w:rsidRDefault="005C0D31" w:rsidP="008A576C">
      <w:pPr>
        <w:pStyle w:val="Textonotapie"/>
        <w:tabs>
          <w:tab w:val="left" w:pos="567"/>
        </w:tabs>
        <w:jc w:val="both"/>
        <w:rPr>
          <w:rFonts w:ascii="Verdana" w:hAnsi="Verdana"/>
          <w:sz w:val="16"/>
          <w:szCs w:val="16"/>
        </w:rPr>
      </w:pPr>
      <w:r w:rsidRPr="00A8425D">
        <w:rPr>
          <w:rStyle w:val="Refdenotaalpie"/>
          <w:rFonts w:ascii="Verdana" w:hAnsi="Verdana"/>
          <w:sz w:val="16"/>
          <w:szCs w:val="16"/>
        </w:rPr>
        <w:footnoteRef/>
      </w:r>
      <w:r w:rsidRPr="00A8425D">
        <w:rPr>
          <w:rFonts w:ascii="Verdana" w:hAnsi="Verdana"/>
          <w:sz w:val="16"/>
          <w:szCs w:val="16"/>
        </w:rPr>
        <w:t xml:space="preserve"> </w:t>
      </w:r>
      <w:r w:rsidRPr="00A8425D">
        <w:rPr>
          <w:rFonts w:ascii="Verdana" w:hAnsi="Verdana"/>
          <w:sz w:val="16"/>
          <w:szCs w:val="16"/>
        </w:rPr>
        <w:tab/>
      </w:r>
      <w:r w:rsidRPr="00A8425D">
        <w:rPr>
          <w:rFonts w:ascii="Verdana" w:hAnsi="Verdana"/>
          <w:i/>
          <w:sz w:val="16"/>
          <w:szCs w:val="16"/>
        </w:rPr>
        <w:t>Cfr. Caso Escher y otros Vs. Brasil. Interpretación de la Sentencia de Excepciones Preliminares, Fondo, Reparaciones y Costas</w:t>
      </w:r>
      <w:r w:rsidRPr="00A8425D">
        <w:rPr>
          <w:rFonts w:ascii="Verdana" w:hAnsi="Verdana"/>
          <w:sz w:val="16"/>
          <w:szCs w:val="16"/>
        </w:rPr>
        <w:t>. Sentencia de 20 de noviembre de 2009. Serie C No. 208, párr. 11,</w:t>
      </w:r>
      <w:r w:rsidRPr="00A8425D">
        <w:rPr>
          <w:rFonts w:ascii="Verdana" w:hAnsi="Verdana"/>
          <w:i/>
          <w:sz w:val="16"/>
          <w:szCs w:val="16"/>
        </w:rPr>
        <w:t xml:space="preserve"> </w:t>
      </w:r>
      <w:r w:rsidRPr="00A8425D">
        <w:rPr>
          <w:rFonts w:ascii="Verdana" w:hAnsi="Verdana"/>
          <w:sz w:val="16"/>
          <w:szCs w:val="16"/>
          <w:lang w:val="es-CO"/>
        </w:rPr>
        <w:t>y</w:t>
      </w:r>
      <w:r w:rsidR="003B642D" w:rsidRPr="00A8425D">
        <w:rPr>
          <w:rFonts w:ascii="Verdana" w:hAnsi="Verdana"/>
          <w:i/>
          <w:sz w:val="16"/>
          <w:szCs w:val="16"/>
          <w:lang w:val="es-CO"/>
        </w:rPr>
        <w:t xml:space="preserve"> </w:t>
      </w:r>
      <w:r w:rsidR="003B642D" w:rsidRPr="008A576C">
        <w:rPr>
          <w:rFonts w:ascii="Verdana" w:hAnsi="Verdana" w:cs="Arial"/>
          <w:i/>
          <w:sz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A8425D">
        <w:rPr>
          <w:rFonts w:ascii="Verdana" w:hAnsi="Verdana"/>
          <w:bCs/>
          <w:i/>
          <w:color w:val="000000"/>
          <w:sz w:val="16"/>
          <w:szCs w:val="16"/>
          <w:lang w:val="es-ES"/>
        </w:rPr>
        <w:t>, supra</w:t>
      </w:r>
      <w:r w:rsidRPr="00A8425D">
        <w:rPr>
          <w:rFonts w:ascii="Verdana" w:hAnsi="Verdana"/>
          <w:bCs/>
          <w:color w:val="000000"/>
          <w:sz w:val="16"/>
          <w:szCs w:val="16"/>
          <w:lang w:val="es-ES"/>
        </w:rPr>
        <w:t>, párr. 1</w:t>
      </w:r>
      <w:r w:rsidR="003B642D">
        <w:rPr>
          <w:rFonts w:ascii="Verdana" w:hAnsi="Verdana"/>
          <w:bCs/>
          <w:color w:val="000000"/>
          <w:sz w:val="16"/>
          <w:szCs w:val="16"/>
          <w:lang w:val="es-ES"/>
        </w:rPr>
        <w:t>1</w:t>
      </w:r>
      <w:r w:rsidRPr="00A8425D">
        <w:rPr>
          <w:rFonts w:ascii="Verdana" w:hAnsi="Verdana"/>
          <w:sz w:val="16"/>
          <w:szCs w:val="16"/>
          <w:lang w:val="es-C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48037F" w14:textId="77777777" w:rsidR="00A76C6A" w:rsidRPr="00C72A1E" w:rsidRDefault="00A76C6A" w:rsidP="0017288A">
    <w:pPr>
      <w:pStyle w:val="Encabezado"/>
      <w:tabs>
        <w:tab w:val="center" w:pos="8931"/>
        <w:tab w:val="left" w:pos="9498"/>
        <w:tab w:val="left" w:pos="9639"/>
        <w:tab w:val="right" w:pos="10065"/>
      </w:tabs>
      <w:rPr>
        <w:rFonts w:ascii="Verdana" w:hAnsi="Verdana"/>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B11C6"/>
    <w:multiLevelType w:val="multilevel"/>
    <w:tmpl w:val="30CEC360"/>
    <w:lvl w:ilvl="0">
      <w:start w:val="5"/>
      <w:numFmt w:val="decimal"/>
      <w:lvlText w:val="%1."/>
      <w:lvlJc w:val="left"/>
      <w:pPr>
        <w:tabs>
          <w:tab w:val="num" w:pos="720"/>
        </w:tabs>
        <w:ind w:left="720" w:hanging="360"/>
      </w:pPr>
    </w:lvl>
    <w:lvl w:ilvl="1">
      <w:start w:val="1"/>
      <w:numFmt w:val="lowerLetter"/>
      <w:lvlText w:val="%2."/>
      <w:lvlJc w:val="left"/>
      <w:pPr>
        <w:tabs>
          <w:tab w:val="num" w:pos="928"/>
        </w:tabs>
        <w:ind w:left="928" w:hanging="360"/>
      </w:pPr>
      <w:rPr>
        <w:rFonts w:ascii="Verdana" w:eastAsia="Times New Roman" w:hAnsi="Verdana" w:cs="Times New Roman" w:hint="default"/>
        <w:sz w:val="1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E3230"/>
    <w:multiLevelType w:val="multilevel"/>
    <w:tmpl w:val="435C89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01251"/>
    <w:multiLevelType w:val="hybridMultilevel"/>
    <w:tmpl w:val="C0BA2F4E"/>
    <w:lvl w:ilvl="0" w:tplc="B50ACB34">
      <w:start w:val="1"/>
      <w:numFmt w:val="decimal"/>
      <w:lvlText w:val="%1."/>
      <w:lvlJc w:val="left"/>
      <w:pPr>
        <w:ind w:left="4046" w:hanging="360"/>
      </w:pPr>
      <w:rPr>
        <w:rFonts w:ascii="Verdana" w:hAnsi="Verdana" w:hint="default"/>
        <w:i w:val="0"/>
        <w:sz w:val="20"/>
        <w:szCs w:val="20"/>
      </w:rPr>
    </w:lvl>
    <w:lvl w:ilvl="1" w:tplc="140A0019" w:tentative="1">
      <w:start w:val="1"/>
      <w:numFmt w:val="lowerLetter"/>
      <w:lvlText w:val="%2."/>
      <w:lvlJc w:val="left"/>
      <w:pPr>
        <w:ind w:left="4766" w:hanging="360"/>
      </w:pPr>
    </w:lvl>
    <w:lvl w:ilvl="2" w:tplc="140A001B" w:tentative="1">
      <w:start w:val="1"/>
      <w:numFmt w:val="lowerRoman"/>
      <w:lvlText w:val="%3."/>
      <w:lvlJc w:val="right"/>
      <w:pPr>
        <w:ind w:left="5486" w:hanging="180"/>
      </w:pPr>
    </w:lvl>
    <w:lvl w:ilvl="3" w:tplc="140A000F" w:tentative="1">
      <w:start w:val="1"/>
      <w:numFmt w:val="decimal"/>
      <w:lvlText w:val="%4."/>
      <w:lvlJc w:val="left"/>
      <w:pPr>
        <w:ind w:left="6206" w:hanging="360"/>
      </w:pPr>
    </w:lvl>
    <w:lvl w:ilvl="4" w:tplc="140A0019" w:tentative="1">
      <w:start w:val="1"/>
      <w:numFmt w:val="lowerLetter"/>
      <w:lvlText w:val="%5."/>
      <w:lvlJc w:val="left"/>
      <w:pPr>
        <w:ind w:left="6926" w:hanging="360"/>
      </w:pPr>
    </w:lvl>
    <w:lvl w:ilvl="5" w:tplc="140A001B" w:tentative="1">
      <w:start w:val="1"/>
      <w:numFmt w:val="lowerRoman"/>
      <w:lvlText w:val="%6."/>
      <w:lvlJc w:val="right"/>
      <w:pPr>
        <w:ind w:left="7646" w:hanging="180"/>
      </w:pPr>
    </w:lvl>
    <w:lvl w:ilvl="6" w:tplc="140A000F" w:tentative="1">
      <w:start w:val="1"/>
      <w:numFmt w:val="decimal"/>
      <w:lvlText w:val="%7."/>
      <w:lvlJc w:val="left"/>
      <w:pPr>
        <w:ind w:left="8366" w:hanging="360"/>
      </w:pPr>
    </w:lvl>
    <w:lvl w:ilvl="7" w:tplc="140A0019" w:tentative="1">
      <w:start w:val="1"/>
      <w:numFmt w:val="lowerLetter"/>
      <w:lvlText w:val="%8."/>
      <w:lvlJc w:val="left"/>
      <w:pPr>
        <w:ind w:left="9086" w:hanging="360"/>
      </w:pPr>
    </w:lvl>
    <w:lvl w:ilvl="8" w:tplc="140A001B" w:tentative="1">
      <w:start w:val="1"/>
      <w:numFmt w:val="lowerRoman"/>
      <w:lvlText w:val="%9."/>
      <w:lvlJc w:val="right"/>
      <w:pPr>
        <w:ind w:left="9806" w:hanging="180"/>
      </w:pPr>
    </w:lvl>
  </w:abstractNum>
  <w:abstractNum w:abstractNumId="3" w15:restartNumberingAfterBreak="0">
    <w:nsid w:val="2EFF2BBA"/>
    <w:multiLevelType w:val="multilevel"/>
    <w:tmpl w:val="E6644120"/>
    <w:lvl w:ilvl="0">
      <w:start w:val="1"/>
      <w:numFmt w:val="upperLetter"/>
      <w:lvlText w:val="%1.1."/>
      <w:lvlJc w:val="left"/>
      <w:pPr>
        <w:ind w:left="1776" w:hanging="360"/>
      </w:pPr>
      <w:rPr>
        <w:rFonts w:hint="default"/>
      </w:rPr>
    </w:lvl>
    <w:lvl w:ilvl="1">
      <w:start w:val="1"/>
      <w:numFmt w:val="lowerLetter"/>
      <w:lvlText w:val="%2)"/>
      <w:lvlJc w:val="left"/>
      <w:pPr>
        <w:ind w:left="2136" w:hanging="360"/>
      </w:pPr>
      <w:rPr>
        <w:rFonts w:hint="default"/>
      </w:rPr>
    </w:lvl>
    <w:lvl w:ilvl="2">
      <w:start w:val="1"/>
      <w:numFmt w:val="lowerRoman"/>
      <w:lvlText w:val="%3)"/>
      <w:lvlJc w:val="left"/>
      <w:pPr>
        <w:ind w:left="2496" w:hanging="360"/>
      </w:pPr>
      <w:rPr>
        <w:rFonts w:hint="default"/>
      </w:rPr>
    </w:lvl>
    <w:lvl w:ilvl="3">
      <w:start w:val="1"/>
      <w:numFmt w:val="decimal"/>
      <w:lvlText w:val="(%4)"/>
      <w:lvlJc w:val="left"/>
      <w:pPr>
        <w:ind w:left="2856" w:hanging="360"/>
      </w:pPr>
      <w:rPr>
        <w:rFonts w:hint="default"/>
      </w:rPr>
    </w:lvl>
    <w:lvl w:ilvl="4">
      <w:start w:val="1"/>
      <w:numFmt w:val="lowerLetter"/>
      <w:lvlText w:val="(%5)"/>
      <w:lvlJc w:val="left"/>
      <w:pPr>
        <w:ind w:left="3216" w:hanging="36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4" w15:restartNumberingAfterBreak="0">
    <w:nsid w:val="36C0232A"/>
    <w:multiLevelType w:val="multilevel"/>
    <w:tmpl w:val="881C197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E377F0"/>
    <w:multiLevelType w:val="multilevel"/>
    <w:tmpl w:val="1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A6C7CDC"/>
    <w:multiLevelType w:val="hybridMultilevel"/>
    <w:tmpl w:val="8B78ED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45700D9F"/>
    <w:multiLevelType w:val="multilevel"/>
    <w:tmpl w:val="6B806B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C5ECD"/>
    <w:multiLevelType w:val="multilevel"/>
    <w:tmpl w:val="E6644120"/>
    <w:styleLink w:val="Estilo1"/>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A10143E"/>
    <w:multiLevelType w:val="multilevel"/>
    <w:tmpl w:val="8B78E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5B5772ED"/>
    <w:multiLevelType w:val="multilevel"/>
    <w:tmpl w:val="E6644120"/>
    <w:lvl w:ilvl="0">
      <w:start w:val="1"/>
      <w:numFmt w:val="upperLetter"/>
      <w:lvlText w:val="%1.1."/>
      <w:lvlJc w:val="left"/>
      <w:pPr>
        <w:ind w:left="1776" w:hanging="360"/>
      </w:pPr>
      <w:rPr>
        <w:rFonts w:hint="default"/>
      </w:rPr>
    </w:lvl>
    <w:lvl w:ilvl="1">
      <w:start w:val="1"/>
      <w:numFmt w:val="lowerLetter"/>
      <w:lvlText w:val="%2)"/>
      <w:lvlJc w:val="left"/>
      <w:pPr>
        <w:ind w:left="2136" w:hanging="360"/>
      </w:pPr>
      <w:rPr>
        <w:rFonts w:hint="default"/>
      </w:rPr>
    </w:lvl>
    <w:lvl w:ilvl="2">
      <w:start w:val="1"/>
      <w:numFmt w:val="lowerRoman"/>
      <w:lvlText w:val="%3)"/>
      <w:lvlJc w:val="left"/>
      <w:pPr>
        <w:ind w:left="2496" w:hanging="360"/>
      </w:pPr>
      <w:rPr>
        <w:rFonts w:hint="default"/>
      </w:rPr>
    </w:lvl>
    <w:lvl w:ilvl="3">
      <w:start w:val="1"/>
      <w:numFmt w:val="decimal"/>
      <w:lvlText w:val="(%4)"/>
      <w:lvlJc w:val="left"/>
      <w:pPr>
        <w:ind w:left="2856" w:hanging="360"/>
      </w:pPr>
      <w:rPr>
        <w:rFonts w:hint="default"/>
      </w:rPr>
    </w:lvl>
    <w:lvl w:ilvl="4">
      <w:start w:val="1"/>
      <w:numFmt w:val="lowerLetter"/>
      <w:lvlText w:val="(%5)"/>
      <w:lvlJc w:val="left"/>
      <w:pPr>
        <w:ind w:left="3216" w:hanging="36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12" w15:restartNumberingAfterBreak="0">
    <w:nsid w:val="5C5E56E6"/>
    <w:multiLevelType w:val="multilevel"/>
    <w:tmpl w:val="F418FF24"/>
    <w:lvl w:ilvl="0">
      <w:start w:val="1"/>
      <w:numFmt w:val="upperLetter"/>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D9F792C"/>
    <w:multiLevelType w:val="hybridMultilevel"/>
    <w:tmpl w:val="6DF83638"/>
    <w:lvl w:ilvl="0" w:tplc="7D8CD804">
      <w:start w:val="1"/>
      <w:numFmt w:val="upperLetter"/>
      <w:lvlText w:val="%1."/>
      <w:lvlJc w:val="left"/>
      <w:pPr>
        <w:ind w:left="720" w:hanging="360"/>
      </w:pPr>
      <w:rPr>
        <w:rFonts w:ascii="Verdana" w:hAnsi="Verdana" w:hint="default"/>
        <w:b/>
        <w:i/>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62B165DA"/>
    <w:multiLevelType w:val="multilevel"/>
    <w:tmpl w:val="E6644120"/>
    <w:numStyleLink w:val="Estilo1"/>
  </w:abstractNum>
  <w:abstractNum w:abstractNumId="15" w15:restartNumberingAfterBreak="0">
    <w:nsid w:val="6A476668"/>
    <w:multiLevelType w:val="multilevel"/>
    <w:tmpl w:val="C6EC01D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C42F37"/>
    <w:multiLevelType w:val="hybridMultilevel"/>
    <w:tmpl w:val="BB100E50"/>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2A91E9F"/>
    <w:multiLevelType w:val="multilevel"/>
    <w:tmpl w:val="E6644120"/>
    <w:numStyleLink w:val="Estilo1"/>
  </w:abstractNum>
  <w:abstractNum w:abstractNumId="18" w15:restartNumberingAfterBreak="0">
    <w:nsid w:val="75981C09"/>
    <w:multiLevelType w:val="hybridMultilevel"/>
    <w:tmpl w:val="FC7CAAD6"/>
    <w:lvl w:ilvl="0" w:tplc="45CAE4EA">
      <w:start w:val="1"/>
      <w:numFmt w:val="decimal"/>
      <w:pStyle w:val="Ttulo3"/>
      <w:lvlText w:val="%1."/>
      <w:lvlJc w:val="left"/>
      <w:pPr>
        <w:ind w:left="360" w:hanging="360"/>
      </w:pPr>
      <w:rPr>
        <w:rFonts w:ascii="Verdana" w:eastAsia="Batang" w:hAnsi="Verdana" w:cs="Verdana" w:hint="default"/>
        <w:b w:val="0"/>
        <w:i w:val="0"/>
        <w:color w:val="auto"/>
        <w:sz w:val="20"/>
        <w:szCs w:val="2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79354707"/>
    <w:multiLevelType w:val="hybridMultilevel"/>
    <w:tmpl w:val="D658A5F6"/>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0" w15:restartNumberingAfterBreak="0">
    <w:nsid w:val="79F61D4C"/>
    <w:multiLevelType w:val="hybridMultilevel"/>
    <w:tmpl w:val="5A643BEA"/>
    <w:lvl w:ilvl="0" w:tplc="DD78C042">
      <w:start w:val="1"/>
      <w:numFmt w:val="decimal"/>
      <w:lvlText w:val="%1."/>
      <w:lvlJc w:val="left"/>
      <w:pPr>
        <w:ind w:left="360" w:hanging="360"/>
      </w:pPr>
      <w:rPr>
        <w:rFonts w:ascii="Verdana" w:hAnsi="Verdana" w:hint="default"/>
        <w:b w:val="0"/>
        <w:i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CE64D32"/>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2"/>
  </w:num>
  <w:num w:numId="4">
    <w:abstractNumId w:val="6"/>
  </w:num>
  <w:num w:numId="5">
    <w:abstractNumId w:val="9"/>
  </w:num>
  <w:num w:numId="6">
    <w:abstractNumId w:val="8"/>
  </w:num>
  <w:num w:numId="7">
    <w:abstractNumId w:val="17"/>
  </w:num>
  <w:num w:numId="8">
    <w:abstractNumId w:val="14"/>
    <w:lvlOverride w:ilvl="0">
      <w:lvl w:ilvl="0">
        <w:start w:val="1"/>
        <w:numFmt w:val="upperLetter"/>
        <w:lvlText w:val="%1.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abstractNumId w:val="12"/>
  </w:num>
  <w:num w:numId="10">
    <w:abstractNumId w:val="3"/>
  </w:num>
  <w:num w:numId="11">
    <w:abstractNumId w:val="11"/>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0"/>
  </w:num>
  <w:num w:numId="16">
    <w:abstractNumId w:val="21"/>
  </w:num>
  <w:num w:numId="17">
    <w:abstractNumId w:val="18"/>
  </w:num>
  <w:num w:numId="18">
    <w:abstractNumId w:val="7"/>
  </w:num>
  <w:num w:numId="19">
    <w:abstractNumId w:val="15"/>
  </w:num>
  <w:num w:numId="20">
    <w:abstractNumId w:val="1"/>
  </w:num>
  <w:num w:numId="21">
    <w:abstractNumId w:val="0"/>
  </w:num>
  <w:num w:numId="22">
    <w:abstractNumId w:val="4"/>
  </w:num>
  <w:num w:numId="23">
    <w:abstractNumId w:val="19"/>
  </w:num>
  <w:num w:numId="24">
    <w:abstractNumId w:val="16"/>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A1E"/>
    <w:rsid w:val="000432F3"/>
    <w:rsid w:val="00045855"/>
    <w:rsid w:val="000657E5"/>
    <w:rsid w:val="00087F46"/>
    <w:rsid w:val="000925CD"/>
    <w:rsid w:val="000A6942"/>
    <w:rsid w:val="000B6EC3"/>
    <w:rsid w:val="000C26C2"/>
    <w:rsid w:val="000E1177"/>
    <w:rsid w:val="000E43EB"/>
    <w:rsid w:val="0012717C"/>
    <w:rsid w:val="0017288A"/>
    <w:rsid w:val="001A1651"/>
    <w:rsid w:val="001B0A79"/>
    <w:rsid w:val="001B1194"/>
    <w:rsid w:val="001C0954"/>
    <w:rsid w:val="001C5089"/>
    <w:rsid w:val="001F3282"/>
    <w:rsid w:val="0021090E"/>
    <w:rsid w:val="00236941"/>
    <w:rsid w:val="00240BE2"/>
    <w:rsid w:val="0024649D"/>
    <w:rsid w:val="0025073F"/>
    <w:rsid w:val="00277D58"/>
    <w:rsid w:val="002C0109"/>
    <w:rsid w:val="002C3D73"/>
    <w:rsid w:val="00325EC7"/>
    <w:rsid w:val="0033723F"/>
    <w:rsid w:val="00360BE0"/>
    <w:rsid w:val="0037054F"/>
    <w:rsid w:val="00376729"/>
    <w:rsid w:val="003B041D"/>
    <w:rsid w:val="003B642D"/>
    <w:rsid w:val="003C2B3A"/>
    <w:rsid w:val="00401124"/>
    <w:rsid w:val="00432DC9"/>
    <w:rsid w:val="004468E4"/>
    <w:rsid w:val="00475CAF"/>
    <w:rsid w:val="004D41A7"/>
    <w:rsid w:val="004D5C1A"/>
    <w:rsid w:val="0050003B"/>
    <w:rsid w:val="0050547F"/>
    <w:rsid w:val="005148D4"/>
    <w:rsid w:val="005158C3"/>
    <w:rsid w:val="005166C0"/>
    <w:rsid w:val="00525987"/>
    <w:rsid w:val="00530FDB"/>
    <w:rsid w:val="005325E7"/>
    <w:rsid w:val="0053375E"/>
    <w:rsid w:val="00533BE5"/>
    <w:rsid w:val="00582219"/>
    <w:rsid w:val="00596841"/>
    <w:rsid w:val="005C0D31"/>
    <w:rsid w:val="005C3FD5"/>
    <w:rsid w:val="005E526B"/>
    <w:rsid w:val="0063629C"/>
    <w:rsid w:val="0063763C"/>
    <w:rsid w:val="006530C7"/>
    <w:rsid w:val="00660A12"/>
    <w:rsid w:val="006805FE"/>
    <w:rsid w:val="006F0126"/>
    <w:rsid w:val="0071062F"/>
    <w:rsid w:val="00724C83"/>
    <w:rsid w:val="00743116"/>
    <w:rsid w:val="00785A9E"/>
    <w:rsid w:val="007B3BB7"/>
    <w:rsid w:val="0082427E"/>
    <w:rsid w:val="008252D5"/>
    <w:rsid w:val="00825DD8"/>
    <w:rsid w:val="008946E0"/>
    <w:rsid w:val="00896CBD"/>
    <w:rsid w:val="008A576C"/>
    <w:rsid w:val="008D05FD"/>
    <w:rsid w:val="0090554D"/>
    <w:rsid w:val="00927A02"/>
    <w:rsid w:val="009409C8"/>
    <w:rsid w:val="00971B55"/>
    <w:rsid w:val="009E5906"/>
    <w:rsid w:val="009F0A71"/>
    <w:rsid w:val="00A059EB"/>
    <w:rsid w:val="00A16E2D"/>
    <w:rsid w:val="00A20632"/>
    <w:rsid w:val="00A21898"/>
    <w:rsid w:val="00A24D53"/>
    <w:rsid w:val="00A7485D"/>
    <w:rsid w:val="00A76C6A"/>
    <w:rsid w:val="00A8425D"/>
    <w:rsid w:val="00A9217D"/>
    <w:rsid w:val="00A94545"/>
    <w:rsid w:val="00AA057D"/>
    <w:rsid w:val="00AB3065"/>
    <w:rsid w:val="00AB51CE"/>
    <w:rsid w:val="00AD345C"/>
    <w:rsid w:val="00B112E8"/>
    <w:rsid w:val="00B4334C"/>
    <w:rsid w:val="00B45E8D"/>
    <w:rsid w:val="00B50ADB"/>
    <w:rsid w:val="00B67FD4"/>
    <w:rsid w:val="00BB4581"/>
    <w:rsid w:val="00BC406F"/>
    <w:rsid w:val="00BF08D7"/>
    <w:rsid w:val="00C03135"/>
    <w:rsid w:val="00C07A1A"/>
    <w:rsid w:val="00C126D5"/>
    <w:rsid w:val="00C16A39"/>
    <w:rsid w:val="00C2574A"/>
    <w:rsid w:val="00C32D34"/>
    <w:rsid w:val="00C42986"/>
    <w:rsid w:val="00C577B3"/>
    <w:rsid w:val="00C72A1E"/>
    <w:rsid w:val="00C732BD"/>
    <w:rsid w:val="00C73C36"/>
    <w:rsid w:val="00C77399"/>
    <w:rsid w:val="00C81258"/>
    <w:rsid w:val="00C95031"/>
    <w:rsid w:val="00CA023A"/>
    <w:rsid w:val="00CA129A"/>
    <w:rsid w:val="00CB1042"/>
    <w:rsid w:val="00CC6DCD"/>
    <w:rsid w:val="00CF31B2"/>
    <w:rsid w:val="00CF7CEF"/>
    <w:rsid w:val="00D0233B"/>
    <w:rsid w:val="00D11F4E"/>
    <w:rsid w:val="00D143EB"/>
    <w:rsid w:val="00D21847"/>
    <w:rsid w:val="00D366A8"/>
    <w:rsid w:val="00D36999"/>
    <w:rsid w:val="00D40C8F"/>
    <w:rsid w:val="00D64BF1"/>
    <w:rsid w:val="00D80540"/>
    <w:rsid w:val="00D93276"/>
    <w:rsid w:val="00D96E38"/>
    <w:rsid w:val="00DA0047"/>
    <w:rsid w:val="00DA1D35"/>
    <w:rsid w:val="00DB1EE1"/>
    <w:rsid w:val="00DD449E"/>
    <w:rsid w:val="00DF3597"/>
    <w:rsid w:val="00DF6D46"/>
    <w:rsid w:val="00E42F22"/>
    <w:rsid w:val="00E50310"/>
    <w:rsid w:val="00E55787"/>
    <w:rsid w:val="00E77D22"/>
    <w:rsid w:val="00E83969"/>
    <w:rsid w:val="00E97BFB"/>
    <w:rsid w:val="00EF04D8"/>
    <w:rsid w:val="00F32C53"/>
    <w:rsid w:val="00F33048"/>
    <w:rsid w:val="00F5194D"/>
    <w:rsid w:val="00F55770"/>
    <w:rsid w:val="00F57BDA"/>
    <w:rsid w:val="00F65F32"/>
    <w:rsid w:val="00F81FDD"/>
    <w:rsid w:val="00F83D10"/>
    <w:rsid w:val="00F86B8B"/>
    <w:rsid w:val="00FA19F7"/>
    <w:rsid w:val="00FE0F2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DB7C"/>
  <w15:docId w15:val="{373C027E-C50A-4A84-8269-89EEFC4A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Prrafodelista"/>
    <w:next w:val="Normal"/>
    <w:link w:val="Ttulo3Car"/>
    <w:uiPriority w:val="9"/>
    <w:unhideWhenUsed/>
    <w:qFormat/>
    <w:rsid w:val="00F81FDD"/>
    <w:pPr>
      <w:numPr>
        <w:numId w:val="1"/>
      </w:numPr>
      <w:tabs>
        <w:tab w:val="left" w:pos="1276"/>
      </w:tabs>
      <w:spacing w:line="240" w:lineRule="auto"/>
      <w:outlineLvl w:val="2"/>
    </w:pPr>
    <w:rPr>
      <w:rFonts w:ascii="Verdana" w:eastAsia="Batang" w:hAnsi="Verdana" w:cstheme="minorBidi"/>
      <w:b/>
      <w:i/>
      <w:sz w:val="20"/>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C72A1E"/>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C Car"/>
    <w:basedOn w:val="Fuentedeprrafopredeter"/>
    <w:link w:val="Textonotapie"/>
    <w:uiPriority w:val="99"/>
    <w:qFormat/>
    <w:rsid w:val="00C72A1E"/>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C72A1E"/>
    <w:rPr>
      <w:vertAlign w:val="superscript"/>
    </w:rPr>
  </w:style>
  <w:style w:type="paragraph" w:styleId="Sinespaciado">
    <w:name w:val="No Spacing"/>
    <w:uiPriority w:val="1"/>
    <w:qFormat/>
    <w:rsid w:val="00C72A1E"/>
    <w:pPr>
      <w:spacing w:after="0" w:line="240" w:lineRule="auto"/>
      <w:ind w:firstLine="720"/>
      <w:jc w:val="both"/>
    </w:pPr>
    <w:rPr>
      <w:rFonts w:ascii="Times New Roman" w:eastAsia="Times New Roman" w:hAnsi="Times New Roman" w:cs="Times New Roman"/>
      <w:sz w:val="24"/>
      <w:szCs w:val="24"/>
      <w:lang w:val="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72A1E"/>
    <w:pPr>
      <w:spacing w:after="0" w:line="240" w:lineRule="auto"/>
      <w:jc w:val="both"/>
    </w:pPr>
    <w:rPr>
      <w:vertAlign w:val="superscript"/>
    </w:rPr>
  </w:style>
  <w:style w:type="character" w:styleId="Textoennegrita">
    <w:name w:val="Strong"/>
    <w:basedOn w:val="Fuentedeprrafopredeter"/>
    <w:uiPriority w:val="22"/>
    <w:qFormat/>
    <w:rsid w:val="00C72A1E"/>
    <w:rPr>
      <w:b/>
      <w:bCs/>
    </w:rPr>
  </w:style>
  <w:style w:type="paragraph" w:styleId="Prrafodelista">
    <w:name w:val="List Paragraph"/>
    <w:basedOn w:val="Normal"/>
    <w:uiPriority w:val="34"/>
    <w:qFormat/>
    <w:rsid w:val="00C72A1E"/>
    <w:pPr>
      <w:spacing w:after="0" w:line="360" w:lineRule="auto"/>
      <w:ind w:left="720" w:firstLine="720"/>
      <w:contextualSpacing/>
      <w:jc w:val="both"/>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C72A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A1E"/>
  </w:style>
  <w:style w:type="paragraph" w:styleId="Piedepgina">
    <w:name w:val="footer"/>
    <w:basedOn w:val="Normal"/>
    <w:link w:val="PiedepginaCar"/>
    <w:uiPriority w:val="99"/>
    <w:unhideWhenUsed/>
    <w:rsid w:val="00C72A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A1E"/>
  </w:style>
  <w:style w:type="numbering" w:customStyle="1" w:styleId="Estilo1">
    <w:name w:val="Estilo1"/>
    <w:uiPriority w:val="99"/>
    <w:rsid w:val="00CA129A"/>
    <w:pPr>
      <w:numPr>
        <w:numId w:val="6"/>
      </w:numPr>
    </w:pPr>
  </w:style>
  <w:style w:type="character" w:customStyle="1" w:styleId="Ttulo3Car">
    <w:name w:val="Título 3 Car"/>
    <w:basedOn w:val="Fuentedeprrafopredeter"/>
    <w:link w:val="Ttulo3"/>
    <w:uiPriority w:val="9"/>
    <w:rsid w:val="00F81FDD"/>
    <w:rPr>
      <w:rFonts w:ascii="Verdana" w:eastAsia="Batang" w:hAnsi="Verdana"/>
      <w:b/>
      <w:i/>
      <w:sz w:val="20"/>
      <w:szCs w:val="20"/>
      <w:lang w:val="es-MX"/>
    </w:rPr>
  </w:style>
  <w:style w:type="character" w:styleId="Nmerodelnea">
    <w:name w:val="line number"/>
    <w:basedOn w:val="Fuentedeprrafopredeter"/>
    <w:uiPriority w:val="99"/>
    <w:semiHidden/>
    <w:unhideWhenUsed/>
    <w:rsid w:val="00F81FDD"/>
  </w:style>
  <w:style w:type="character" w:customStyle="1" w:styleId="TextonotapieCar2">
    <w:name w:val="Texto nota pie Car2"/>
    <w:aliases w:val="Texto nota pie Car1 Car,Footnote Text Char Char Char Char Char Car Car,Footnote Text Char Char Char Char Car Car,Footnote reference Car Car,FA Fu Car Car,Footnote Text Char Char Char Car Car,Footnote Text Cha Car Car,Ca Car Car"/>
    <w:basedOn w:val="Fuentedeprrafopredeter"/>
    <w:rsid w:val="00C32D34"/>
    <w:rPr>
      <w:rFonts w:ascii="Verdana" w:eastAsia="Times" w:hAnsi="Verdana" w:cs="Times New Roman"/>
      <w:sz w:val="16"/>
      <w:szCs w:val="20"/>
      <w:lang w:val="es-ES_tradnl" w:eastAsia="x-none"/>
    </w:rPr>
  </w:style>
  <w:style w:type="paragraph" w:styleId="Textodeglobo">
    <w:name w:val="Balloon Text"/>
    <w:basedOn w:val="Normal"/>
    <w:link w:val="TextodegloboCar"/>
    <w:uiPriority w:val="99"/>
    <w:semiHidden/>
    <w:unhideWhenUsed/>
    <w:rsid w:val="001728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288A"/>
    <w:rPr>
      <w:rFonts w:ascii="Segoe UI" w:hAnsi="Segoe UI" w:cs="Segoe UI"/>
      <w:sz w:val="18"/>
      <w:szCs w:val="18"/>
    </w:rPr>
  </w:style>
  <w:style w:type="paragraph" w:styleId="NormalWeb">
    <w:name w:val="Normal (Web)"/>
    <w:basedOn w:val="Normal"/>
    <w:uiPriority w:val="99"/>
    <w:semiHidden/>
    <w:unhideWhenUsed/>
    <w:rsid w:val="000925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432DC9"/>
    <w:rPr>
      <w:color w:val="0563C1" w:themeColor="hyperlink"/>
      <w:u w:val="single"/>
    </w:rPr>
  </w:style>
  <w:style w:type="character" w:styleId="Refdecomentario">
    <w:name w:val="annotation reference"/>
    <w:basedOn w:val="Fuentedeprrafopredeter"/>
    <w:uiPriority w:val="99"/>
    <w:semiHidden/>
    <w:unhideWhenUsed/>
    <w:rsid w:val="00B4334C"/>
    <w:rPr>
      <w:sz w:val="16"/>
      <w:szCs w:val="16"/>
    </w:rPr>
  </w:style>
  <w:style w:type="paragraph" w:styleId="Textocomentario">
    <w:name w:val="annotation text"/>
    <w:basedOn w:val="Normal"/>
    <w:link w:val="TextocomentarioCar"/>
    <w:uiPriority w:val="99"/>
    <w:semiHidden/>
    <w:unhideWhenUsed/>
    <w:rsid w:val="00B4334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4334C"/>
    <w:rPr>
      <w:sz w:val="20"/>
      <w:szCs w:val="20"/>
    </w:rPr>
  </w:style>
  <w:style w:type="paragraph" w:styleId="Asuntodelcomentario">
    <w:name w:val="annotation subject"/>
    <w:basedOn w:val="Textocomentario"/>
    <w:next w:val="Textocomentario"/>
    <w:link w:val="AsuntodelcomentarioCar"/>
    <w:uiPriority w:val="99"/>
    <w:semiHidden/>
    <w:unhideWhenUsed/>
    <w:rsid w:val="00B4334C"/>
    <w:rPr>
      <w:b/>
      <w:bCs/>
    </w:rPr>
  </w:style>
  <w:style w:type="character" w:customStyle="1" w:styleId="AsuntodelcomentarioCar">
    <w:name w:val="Asunto del comentario Car"/>
    <w:basedOn w:val="TextocomentarioCar"/>
    <w:link w:val="Asuntodelcomentario"/>
    <w:uiPriority w:val="99"/>
    <w:semiHidden/>
    <w:rsid w:val="00B433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165465">
      <w:bodyDiv w:val="1"/>
      <w:marLeft w:val="0"/>
      <w:marRight w:val="0"/>
      <w:marTop w:val="0"/>
      <w:marBottom w:val="0"/>
      <w:divBdr>
        <w:top w:val="none" w:sz="0" w:space="0" w:color="auto"/>
        <w:left w:val="none" w:sz="0" w:space="0" w:color="auto"/>
        <w:bottom w:val="none" w:sz="0" w:space="0" w:color="auto"/>
        <w:right w:val="none" w:sz="0" w:space="0" w:color="auto"/>
      </w:divBdr>
      <w:divsChild>
        <w:div w:id="1838961076">
          <w:marLeft w:val="0"/>
          <w:marRight w:val="0"/>
          <w:marTop w:val="0"/>
          <w:marBottom w:val="0"/>
          <w:divBdr>
            <w:top w:val="none" w:sz="0" w:space="0" w:color="auto"/>
            <w:left w:val="none" w:sz="0" w:space="0" w:color="auto"/>
            <w:bottom w:val="none" w:sz="0" w:space="0" w:color="auto"/>
            <w:right w:val="none" w:sz="0" w:space="0" w:color="auto"/>
          </w:divBdr>
          <w:divsChild>
            <w:div w:id="1315792896">
              <w:marLeft w:val="0"/>
              <w:marRight w:val="0"/>
              <w:marTop w:val="0"/>
              <w:marBottom w:val="0"/>
              <w:divBdr>
                <w:top w:val="none" w:sz="0" w:space="0" w:color="auto"/>
                <w:left w:val="none" w:sz="0" w:space="0" w:color="auto"/>
                <w:bottom w:val="none" w:sz="0" w:space="0" w:color="auto"/>
                <w:right w:val="none" w:sz="0" w:space="0" w:color="auto"/>
              </w:divBdr>
              <w:divsChild>
                <w:div w:id="10275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64872">
      <w:bodyDiv w:val="1"/>
      <w:marLeft w:val="0"/>
      <w:marRight w:val="0"/>
      <w:marTop w:val="0"/>
      <w:marBottom w:val="0"/>
      <w:divBdr>
        <w:top w:val="none" w:sz="0" w:space="0" w:color="auto"/>
        <w:left w:val="none" w:sz="0" w:space="0" w:color="auto"/>
        <w:bottom w:val="none" w:sz="0" w:space="0" w:color="auto"/>
        <w:right w:val="none" w:sz="0" w:space="0" w:color="auto"/>
      </w:divBdr>
      <w:divsChild>
        <w:div w:id="2038044577">
          <w:marLeft w:val="0"/>
          <w:marRight w:val="0"/>
          <w:marTop w:val="0"/>
          <w:marBottom w:val="0"/>
          <w:divBdr>
            <w:top w:val="none" w:sz="0" w:space="0" w:color="auto"/>
            <w:left w:val="none" w:sz="0" w:space="0" w:color="auto"/>
            <w:bottom w:val="none" w:sz="0" w:space="0" w:color="auto"/>
            <w:right w:val="none" w:sz="0" w:space="0" w:color="auto"/>
          </w:divBdr>
          <w:divsChild>
            <w:div w:id="1828470715">
              <w:marLeft w:val="0"/>
              <w:marRight w:val="0"/>
              <w:marTop w:val="0"/>
              <w:marBottom w:val="0"/>
              <w:divBdr>
                <w:top w:val="none" w:sz="0" w:space="0" w:color="auto"/>
                <w:left w:val="none" w:sz="0" w:space="0" w:color="auto"/>
                <w:bottom w:val="none" w:sz="0" w:space="0" w:color="auto"/>
                <w:right w:val="none" w:sz="0" w:space="0" w:color="auto"/>
              </w:divBdr>
              <w:divsChild>
                <w:div w:id="7230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6929">
      <w:bodyDiv w:val="1"/>
      <w:marLeft w:val="0"/>
      <w:marRight w:val="0"/>
      <w:marTop w:val="0"/>
      <w:marBottom w:val="0"/>
      <w:divBdr>
        <w:top w:val="none" w:sz="0" w:space="0" w:color="auto"/>
        <w:left w:val="none" w:sz="0" w:space="0" w:color="auto"/>
        <w:bottom w:val="none" w:sz="0" w:space="0" w:color="auto"/>
        <w:right w:val="none" w:sz="0" w:space="0" w:color="auto"/>
      </w:divBdr>
      <w:divsChild>
        <w:div w:id="1937008367">
          <w:marLeft w:val="0"/>
          <w:marRight w:val="0"/>
          <w:marTop w:val="0"/>
          <w:marBottom w:val="0"/>
          <w:divBdr>
            <w:top w:val="none" w:sz="0" w:space="0" w:color="auto"/>
            <w:left w:val="none" w:sz="0" w:space="0" w:color="auto"/>
            <w:bottom w:val="none" w:sz="0" w:space="0" w:color="auto"/>
            <w:right w:val="none" w:sz="0" w:space="0" w:color="auto"/>
          </w:divBdr>
          <w:divsChild>
            <w:div w:id="2075545161">
              <w:marLeft w:val="0"/>
              <w:marRight w:val="0"/>
              <w:marTop w:val="0"/>
              <w:marBottom w:val="0"/>
              <w:divBdr>
                <w:top w:val="none" w:sz="0" w:space="0" w:color="auto"/>
                <w:left w:val="none" w:sz="0" w:space="0" w:color="auto"/>
                <w:bottom w:val="none" w:sz="0" w:space="0" w:color="auto"/>
                <w:right w:val="none" w:sz="0" w:space="0" w:color="auto"/>
              </w:divBdr>
              <w:divsChild>
                <w:div w:id="21372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4619">
      <w:bodyDiv w:val="1"/>
      <w:marLeft w:val="0"/>
      <w:marRight w:val="0"/>
      <w:marTop w:val="0"/>
      <w:marBottom w:val="0"/>
      <w:divBdr>
        <w:top w:val="none" w:sz="0" w:space="0" w:color="auto"/>
        <w:left w:val="none" w:sz="0" w:space="0" w:color="auto"/>
        <w:bottom w:val="none" w:sz="0" w:space="0" w:color="auto"/>
        <w:right w:val="none" w:sz="0" w:space="0" w:color="auto"/>
      </w:divBdr>
      <w:divsChild>
        <w:div w:id="383140729">
          <w:marLeft w:val="0"/>
          <w:marRight w:val="0"/>
          <w:marTop w:val="0"/>
          <w:marBottom w:val="0"/>
          <w:divBdr>
            <w:top w:val="none" w:sz="0" w:space="0" w:color="auto"/>
            <w:left w:val="none" w:sz="0" w:space="0" w:color="auto"/>
            <w:bottom w:val="none" w:sz="0" w:space="0" w:color="auto"/>
            <w:right w:val="none" w:sz="0" w:space="0" w:color="auto"/>
          </w:divBdr>
          <w:divsChild>
            <w:div w:id="309598857">
              <w:marLeft w:val="0"/>
              <w:marRight w:val="0"/>
              <w:marTop w:val="0"/>
              <w:marBottom w:val="0"/>
              <w:divBdr>
                <w:top w:val="none" w:sz="0" w:space="0" w:color="auto"/>
                <w:left w:val="none" w:sz="0" w:space="0" w:color="auto"/>
                <w:bottom w:val="none" w:sz="0" w:space="0" w:color="auto"/>
                <w:right w:val="none" w:sz="0" w:space="0" w:color="auto"/>
              </w:divBdr>
              <w:divsChild>
                <w:div w:id="8004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50065">
      <w:bodyDiv w:val="1"/>
      <w:marLeft w:val="0"/>
      <w:marRight w:val="0"/>
      <w:marTop w:val="0"/>
      <w:marBottom w:val="0"/>
      <w:divBdr>
        <w:top w:val="none" w:sz="0" w:space="0" w:color="auto"/>
        <w:left w:val="none" w:sz="0" w:space="0" w:color="auto"/>
        <w:bottom w:val="none" w:sz="0" w:space="0" w:color="auto"/>
        <w:right w:val="none" w:sz="0" w:space="0" w:color="auto"/>
      </w:divBdr>
      <w:divsChild>
        <w:div w:id="1302468043">
          <w:marLeft w:val="0"/>
          <w:marRight w:val="0"/>
          <w:marTop w:val="0"/>
          <w:marBottom w:val="0"/>
          <w:divBdr>
            <w:top w:val="none" w:sz="0" w:space="0" w:color="auto"/>
            <w:left w:val="none" w:sz="0" w:space="0" w:color="auto"/>
            <w:bottom w:val="none" w:sz="0" w:space="0" w:color="auto"/>
            <w:right w:val="none" w:sz="0" w:space="0" w:color="auto"/>
          </w:divBdr>
          <w:divsChild>
            <w:div w:id="328139037">
              <w:marLeft w:val="0"/>
              <w:marRight w:val="0"/>
              <w:marTop w:val="0"/>
              <w:marBottom w:val="0"/>
              <w:divBdr>
                <w:top w:val="none" w:sz="0" w:space="0" w:color="auto"/>
                <w:left w:val="none" w:sz="0" w:space="0" w:color="auto"/>
                <w:bottom w:val="none" w:sz="0" w:space="0" w:color="auto"/>
                <w:right w:val="none" w:sz="0" w:space="0" w:color="auto"/>
              </w:divBdr>
              <w:divsChild>
                <w:div w:id="19778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21809">
      <w:bodyDiv w:val="1"/>
      <w:marLeft w:val="0"/>
      <w:marRight w:val="0"/>
      <w:marTop w:val="0"/>
      <w:marBottom w:val="0"/>
      <w:divBdr>
        <w:top w:val="none" w:sz="0" w:space="0" w:color="auto"/>
        <w:left w:val="none" w:sz="0" w:space="0" w:color="auto"/>
        <w:bottom w:val="none" w:sz="0" w:space="0" w:color="auto"/>
        <w:right w:val="none" w:sz="0" w:space="0" w:color="auto"/>
      </w:divBdr>
      <w:divsChild>
        <w:div w:id="136537616">
          <w:marLeft w:val="0"/>
          <w:marRight w:val="0"/>
          <w:marTop w:val="0"/>
          <w:marBottom w:val="0"/>
          <w:divBdr>
            <w:top w:val="none" w:sz="0" w:space="0" w:color="auto"/>
            <w:left w:val="none" w:sz="0" w:space="0" w:color="auto"/>
            <w:bottom w:val="none" w:sz="0" w:space="0" w:color="auto"/>
            <w:right w:val="none" w:sz="0" w:space="0" w:color="auto"/>
          </w:divBdr>
          <w:divsChild>
            <w:div w:id="121192422">
              <w:marLeft w:val="0"/>
              <w:marRight w:val="0"/>
              <w:marTop w:val="0"/>
              <w:marBottom w:val="0"/>
              <w:divBdr>
                <w:top w:val="none" w:sz="0" w:space="0" w:color="auto"/>
                <w:left w:val="none" w:sz="0" w:space="0" w:color="auto"/>
                <w:bottom w:val="none" w:sz="0" w:space="0" w:color="auto"/>
                <w:right w:val="none" w:sz="0" w:space="0" w:color="auto"/>
              </w:divBdr>
              <w:divsChild>
                <w:div w:id="5716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50968">
      <w:bodyDiv w:val="1"/>
      <w:marLeft w:val="0"/>
      <w:marRight w:val="0"/>
      <w:marTop w:val="0"/>
      <w:marBottom w:val="0"/>
      <w:divBdr>
        <w:top w:val="none" w:sz="0" w:space="0" w:color="auto"/>
        <w:left w:val="none" w:sz="0" w:space="0" w:color="auto"/>
        <w:bottom w:val="none" w:sz="0" w:space="0" w:color="auto"/>
        <w:right w:val="none" w:sz="0" w:space="0" w:color="auto"/>
      </w:divBdr>
      <w:divsChild>
        <w:div w:id="1793282761">
          <w:marLeft w:val="0"/>
          <w:marRight w:val="0"/>
          <w:marTop w:val="0"/>
          <w:marBottom w:val="0"/>
          <w:divBdr>
            <w:top w:val="none" w:sz="0" w:space="0" w:color="auto"/>
            <w:left w:val="none" w:sz="0" w:space="0" w:color="auto"/>
            <w:bottom w:val="none" w:sz="0" w:space="0" w:color="auto"/>
            <w:right w:val="none" w:sz="0" w:space="0" w:color="auto"/>
          </w:divBdr>
          <w:divsChild>
            <w:div w:id="702436758">
              <w:marLeft w:val="0"/>
              <w:marRight w:val="0"/>
              <w:marTop w:val="0"/>
              <w:marBottom w:val="0"/>
              <w:divBdr>
                <w:top w:val="none" w:sz="0" w:space="0" w:color="auto"/>
                <w:left w:val="none" w:sz="0" w:space="0" w:color="auto"/>
                <w:bottom w:val="none" w:sz="0" w:space="0" w:color="auto"/>
                <w:right w:val="none" w:sz="0" w:space="0" w:color="auto"/>
              </w:divBdr>
              <w:divsChild>
                <w:div w:id="14416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29348">
      <w:bodyDiv w:val="1"/>
      <w:marLeft w:val="0"/>
      <w:marRight w:val="0"/>
      <w:marTop w:val="0"/>
      <w:marBottom w:val="0"/>
      <w:divBdr>
        <w:top w:val="none" w:sz="0" w:space="0" w:color="auto"/>
        <w:left w:val="none" w:sz="0" w:space="0" w:color="auto"/>
        <w:bottom w:val="none" w:sz="0" w:space="0" w:color="auto"/>
        <w:right w:val="none" w:sz="0" w:space="0" w:color="auto"/>
      </w:divBdr>
      <w:divsChild>
        <w:div w:id="446504002">
          <w:marLeft w:val="0"/>
          <w:marRight w:val="0"/>
          <w:marTop w:val="0"/>
          <w:marBottom w:val="0"/>
          <w:divBdr>
            <w:top w:val="none" w:sz="0" w:space="0" w:color="auto"/>
            <w:left w:val="none" w:sz="0" w:space="0" w:color="auto"/>
            <w:bottom w:val="none" w:sz="0" w:space="0" w:color="auto"/>
            <w:right w:val="none" w:sz="0" w:space="0" w:color="auto"/>
          </w:divBdr>
          <w:divsChild>
            <w:div w:id="1562788702">
              <w:marLeft w:val="0"/>
              <w:marRight w:val="0"/>
              <w:marTop w:val="0"/>
              <w:marBottom w:val="0"/>
              <w:divBdr>
                <w:top w:val="none" w:sz="0" w:space="0" w:color="auto"/>
                <w:left w:val="none" w:sz="0" w:space="0" w:color="auto"/>
                <w:bottom w:val="none" w:sz="0" w:space="0" w:color="auto"/>
                <w:right w:val="none" w:sz="0" w:space="0" w:color="auto"/>
              </w:divBdr>
              <w:divsChild>
                <w:div w:id="1098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7591">
      <w:bodyDiv w:val="1"/>
      <w:marLeft w:val="0"/>
      <w:marRight w:val="0"/>
      <w:marTop w:val="0"/>
      <w:marBottom w:val="0"/>
      <w:divBdr>
        <w:top w:val="none" w:sz="0" w:space="0" w:color="auto"/>
        <w:left w:val="none" w:sz="0" w:space="0" w:color="auto"/>
        <w:bottom w:val="none" w:sz="0" w:space="0" w:color="auto"/>
        <w:right w:val="none" w:sz="0" w:space="0" w:color="auto"/>
      </w:divBdr>
      <w:divsChild>
        <w:div w:id="1382635156">
          <w:marLeft w:val="0"/>
          <w:marRight w:val="0"/>
          <w:marTop w:val="0"/>
          <w:marBottom w:val="0"/>
          <w:divBdr>
            <w:top w:val="none" w:sz="0" w:space="0" w:color="auto"/>
            <w:left w:val="none" w:sz="0" w:space="0" w:color="auto"/>
            <w:bottom w:val="none" w:sz="0" w:space="0" w:color="auto"/>
            <w:right w:val="none" w:sz="0" w:space="0" w:color="auto"/>
          </w:divBdr>
          <w:divsChild>
            <w:div w:id="210925769">
              <w:marLeft w:val="0"/>
              <w:marRight w:val="0"/>
              <w:marTop w:val="0"/>
              <w:marBottom w:val="0"/>
              <w:divBdr>
                <w:top w:val="none" w:sz="0" w:space="0" w:color="auto"/>
                <w:left w:val="none" w:sz="0" w:space="0" w:color="auto"/>
                <w:bottom w:val="none" w:sz="0" w:space="0" w:color="auto"/>
                <w:right w:val="none" w:sz="0" w:space="0" w:color="auto"/>
              </w:divBdr>
              <w:divsChild>
                <w:div w:id="5967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04845">
      <w:bodyDiv w:val="1"/>
      <w:marLeft w:val="0"/>
      <w:marRight w:val="0"/>
      <w:marTop w:val="0"/>
      <w:marBottom w:val="0"/>
      <w:divBdr>
        <w:top w:val="none" w:sz="0" w:space="0" w:color="auto"/>
        <w:left w:val="none" w:sz="0" w:space="0" w:color="auto"/>
        <w:bottom w:val="none" w:sz="0" w:space="0" w:color="auto"/>
        <w:right w:val="none" w:sz="0" w:space="0" w:color="auto"/>
      </w:divBdr>
      <w:divsChild>
        <w:div w:id="1091972894">
          <w:marLeft w:val="0"/>
          <w:marRight w:val="0"/>
          <w:marTop w:val="0"/>
          <w:marBottom w:val="0"/>
          <w:divBdr>
            <w:top w:val="none" w:sz="0" w:space="0" w:color="auto"/>
            <w:left w:val="none" w:sz="0" w:space="0" w:color="auto"/>
            <w:bottom w:val="none" w:sz="0" w:space="0" w:color="auto"/>
            <w:right w:val="none" w:sz="0" w:space="0" w:color="auto"/>
          </w:divBdr>
          <w:divsChild>
            <w:div w:id="336276188">
              <w:marLeft w:val="0"/>
              <w:marRight w:val="0"/>
              <w:marTop w:val="0"/>
              <w:marBottom w:val="0"/>
              <w:divBdr>
                <w:top w:val="none" w:sz="0" w:space="0" w:color="auto"/>
                <w:left w:val="none" w:sz="0" w:space="0" w:color="auto"/>
                <w:bottom w:val="none" w:sz="0" w:space="0" w:color="auto"/>
                <w:right w:val="none" w:sz="0" w:space="0" w:color="auto"/>
              </w:divBdr>
              <w:divsChild>
                <w:div w:id="9287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8217">
      <w:bodyDiv w:val="1"/>
      <w:marLeft w:val="0"/>
      <w:marRight w:val="0"/>
      <w:marTop w:val="0"/>
      <w:marBottom w:val="0"/>
      <w:divBdr>
        <w:top w:val="none" w:sz="0" w:space="0" w:color="auto"/>
        <w:left w:val="none" w:sz="0" w:space="0" w:color="auto"/>
        <w:bottom w:val="none" w:sz="0" w:space="0" w:color="auto"/>
        <w:right w:val="none" w:sz="0" w:space="0" w:color="auto"/>
      </w:divBdr>
      <w:divsChild>
        <w:div w:id="113326395">
          <w:marLeft w:val="0"/>
          <w:marRight w:val="0"/>
          <w:marTop w:val="0"/>
          <w:marBottom w:val="0"/>
          <w:divBdr>
            <w:top w:val="none" w:sz="0" w:space="0" w:color="auto"/>
            <w:left w:val="none" w:sz="0" w:space="0" w:color="auto"/>
            <w:bottom w:val="none" w:sz="0" w:space="0" w:color="auto"/>
            <w:right w:val="none" w:sz="0" w:space="0" w:color="auto"/>
          </w:divBdr>
          <w:divsChild>
            <w:div w:id="317616590">
              <w:marLeft w:val="0"/>
              <w:marRight w:val="0"/>
              <w:marTop w:val="0"/>
              <w:marBottom w:val="0"/>
              <w:divBdr>
                <w:top w:val="none" w:sz="0" w:space="0" w:color="auto"/>
                <w:left w:val="none" w:sz="0" w:space="0" w:color="auto"/>
                <w:bottom w:val="none" w:sz="0" w:space="0" w:color="auto"/>
                <w:right w:val="none" w:sz="0" w:space="0" w:color="auto"/>
              </w:divBdr>
              <w:divsChild>
                <w:div w:id="15686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83365">
      <w:bodyDiv w:val="1"/>
      <w:marLeft w:val="0"/>
      <w:marRight w:val="0"/>
      <w:marTop w:val="0"/>
      <w:marBottom w:val="0"/>
      <w:divBdr>
        <w:top w:val="none" w:sz="0" w:space="0" w:color="auto"/>
        <w:left w:val="none" w:sz="0" w:space="0" w:color="auto"/>
        <w:bottom w:val="none" w:sz="0" w:space="0" w:color="auto"/>
        <w:right w:val="none" w:sz="0" w:space="0" w:color="auto"/>
      </w:divBdr>
      <w:divsChild>
        <w:div w:id="824784480">
          <w:marLeft w:val="0"/>
          <w:marRight w:val="0"/>
          <w:marTop w:val="0"/>
          <w:marBottom w:val="0"/>
          <w:divBdr>
            <w:top w:val="none" w:sz="0" w:space="0" w:color="auto"/>
            <w:left w:val="none" w:sz="0" w:space="0" w:color="auto"/>
            <w:bottom w:val="none" w:sz="0" w:space="0" w:color="auto"/>
            <w:right w:val="none" w:sz="0" w:space="0" w:color="auto"/>
          </w:divBdr>
          <w:divsChild>
            <w:div w:id="2045471749">
              <w:marLeft w:val="0"/>
              <w:marRight w:val="0"/>
              <w:marTop w:val="0"/>
              <w:marBottom w:val="0"/>
              <w:divBdr>
                <w:top w:val="none" w:sz="0" w:space="0" w:color="auto"/>
                <w:left w:val="none" w:sz="0" w:space="0" w:color="auto"/>
                <w:bottom w:val="none" w:sz="0" w:space="0" w:color="auto"/>
                <w:right w:val="none" w:sz="0" w:space="0" w:color="auto"/>
              </w:divBdr>
              <w:divsChild>
                <w:div w:id="14607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30323">
      <w:bodyDiv w:val="1"/>
      <w:marLeft w:val="0"/>
      <w:marRight w:val="0"/>
      <w:marTop w:val="0"/>
      <w:marBottom w:val="0"/>
      <w:divBdr>
        <w:top w:val="none" w:sz="0" w:space="0" w:color="auto"/>
        <w:left w:val="none" w:sz="0" w:space="0" w:color="auto"/>
        <w:bottom w:val="none" w:sz="0" w:space="0" w:color="auto"/>
        <w:right w:val="none" w:sz="0" w:space="0" w:color="auto"/>
      </w:divBdr>
      <w:divsChild>
        <w:div w:id="335772301">
          <w:marLeft w:val="0"/>
          <w:marRight w:val="0"/>
          <w:marTop w:val="0"/>
          <w:marBottom w:val="0"/>
          <w:divBdr>
            <w:top w:val="none" w:sz="0" w:space="0" w:color="auto"/>
            <w:left w:val="none" w:sz="0" w:space="0" w:color="auto"/>
            <w:bottom w:val="none" w:sz="0" w:space="0" w:color="auto"/>
            <w:right w:val="none" w:sz="0" w:space="0" w:color="auto"/>
          </w:divBdr>
          <w:divsChild>
            <w:div w:id="1699165071">
              <w:marLeft w:val="0"/>
              <w:marRight w:val="0"/>
              <w:marTop w:val="0"/>
              <w:marBottom w:val="0"/>
              <w:divBdr>
                <w:top w:val="none" w:sz="0" w:space="0" w:color="auto"/>
                <w:left w:val="none" w:sz="0" w:space="0" w:color="auto"/>
                <w:bottom w:val="none" w:sz="0" w:space="0" w:color="auto"/>
                <w:right w:val="none" w:sz="0" w:space="0" w:color="auto"/>
              </w:divBdr>
              <w:divsChild>
                <w:div w:id="18578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84568">
      <w:bodyDiv w:val="1"/>
      <w:marLeft w:val="0"/>
      <w:marRight w:val="0"/>
      <w:marTop w:val="0"/>
      <w:marBottom w:val="0"/>
      <w:divBdr>
        <w:top w:val="none" w:sz="0" w:space="0" w:color="auto"/>
        <w:left w:val="none" w:sz="0" w:space="0" w:color="auto"/>
        <w:bottom w:val="none" w:sz="0" w:space="0" w:color="auto"/>
        <w:right w:val="none" w:sz="0" w:space="0" w:color="auto"/>
      </w:divBdr>
      <w:divsChild>
        <w:div w:id="1858082578">
          <w:marLeft w:val="0"/>
          <w:marRight w:val="0"/>
          <w:marTop w:val="0"/>
          <w:marBottom w:val="0"/>
          <w:divBdr>
            <w:top w:val="none" w:sz="0" w:space="0" w:color="auto"/>
            <w:left w:val="none" w:sz="0" w:space="0" w:color="auto"/>
            <w:bottom w:val="none" w:sz="0" w:space="0" w:color="auto"/>
            <w:right w:val="none" w:sz="0" w:space="0" w:color="auto"/>
          </w:divBdr>
          <w:divsChild>
            <w:div w:id="1891384310">
              <w:marLeft w:val="0"/>
              <w:marRight w:val="0"/>
              <w:marTop w:val="0"/>
              <w:marBottom w:val="0"/>
              <w:divBdr>
                <w:top w:val="none" w:sz="0" w:space="0" w:color="auto"/>
                <w:left w:val="none" w:sz="0" w:space="0" w:color="auto"/>
                <w:bottom w:val="none" w:sz="0" w:space="0" w:color="auto"/>
                <w:right w:val="none" w:sz="0" w:space="0" w:color="auto"/>
              </w:divBdr>
              <w:divsChild>
                <w:div w:id="12505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11077">
      <w:bodyDiv w:val="1"/>
      <w:marLeft w:val="0"/>
      <w:marRight w:val="0"/>
      <w:marTop w:val="0"/>
      <w:marBottom w:val="0"/>
      <w:divBdr>
        <w:top w:val="none" w:sz="0" w:space="0" w:color="auto"/>
        <w:left w:val="none" w:sz="0" w:space="0" w:color="auto"/>
        <w:bottom w:val="none" w:sz="0" w:space="0" w:color="auto"/>
        <w:right w:val="none" w:sz="0" w:space="0" w:color="auto"/>
      </w:divBdr>
      <w:divsChild>
        <w:div w:id="1048651630">
          <w:marLeft w:val="0"/>
          <w:marRight w:val="0"/>
          <w:marTop w:val="0"/>
          <w:marBottom w:val="0"/>
          <w:divBdr>
            <w:top w:val="none" w:sz="0" w:space="0" w:color="auto"/>
            <w:left w:val="none" w:sz="0" w:space="0" w:color="auto"/>
            <w:bottom w:val="none" w:sz="0" w:space="0" w:color="auto"/>
            <w:right w:val="none" w:sz="0" w:space="0" w:color="auto"/>
          </w:divBdr>
          <w:divsChild>
            <w:div w:id="544950939">
              <w:marLeft w:val="0"/>
              <w:marRight w:val="0"/>
              <w:marTop w:val="0"/>
              <w:marBottom w:val="0"/>
              <w:divBdr>
                <w:top w:val="none" w:sz="0" w:space="0" w:color="auto"/>
                <w:left w:val="none" w:sz="0" w:space="0" w:color="auto"/>
                <w:bottom w:val="none" w:sz="0" w:space="0" w:color="auto"/>
                <w:right w:val="none" w:sz="0" w:space="0" w:color="auto"/>
              </w:divBdr>
              <w:divsChild>
                <w:div w:id="17628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6534">
      <w:bodyDiv w:val="1"/>
      <w:marLeft w:val="0"/>
      <w:marRight w:val="0"/>
      <w:marTop w:val="0"/>
      <w:marBottom w:val="0"/>
      <w:divBdr>
        <w:top w:val="none" w:sz="0" w:space="0" w:color="auto"/>
        <w:left w:val="none" w:sz="0" w:space="0" w:color="auto"/>
        <w:bottom w:val="none" w:sz="0" w:space="0" w:color="auto"/>
        <w:right w:val="none" w:sz="0" w:space="0" w:color="auto"/>
      </w:divBdr>
      <w:divsChild>
        <w:div w:id="831407614">
          <w:marLeft w:val="0"/>
          <w:marRight w:val="0"/>
          <w:marTop w:val="0"/>
          <w:marBottom w:val="0"/>
          <w:divBdr>
            <w:top w:val="none" w:sz="0" w:space="0" w:color="auto"/>
            <w:left w:val="none" w:sz="0" w:space="0" w:color="auto"/>
            <w:bottom w:val="none" w:sz="0" w:space="0" w:color="auto"/>
            <w:right w:val="none" w:sz="0" w:space="0" w:color="auto"/>
          </w:divBdr>
          <w:divsChild>
            <w:div w:id="2109346815">
              <w:marLeft w:val="0"/>
              <w:marRight w:val="0"/>
              <w:marTop w:val="0"/>
              <w:marBottom w:val="0"/>
              <w:divBdr>
                <w:top w:val="none" w:sz="0" w:space="0" w:color="auto"/>
                <w:left w:val="none" w:sz="0" w:space="0" w:color="auto"/>
                <w:bottom w:val="none" w:sz="0" w:space="0" w:color="auto"/>
                <w:right w:val="none" w:sz="0" w:space="0" w:color="auto"/>
              </w:divBdr>
              <w:divsChild>
                <w:div w:id="20707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38156">
      <w:bodyDiv w:val="1"/>
      <w:marLeft w:val="0"/>
      <w:marRight w:val="0"/>
      <w:marTop w:val="0"/>
      <w:marBottom w:val="0"/>
      <w:divBdr>
        <w:top w:val="none" w:sz="0" w:space="0" w:color="auto"/>
        <w:left w:val="none" w:sz="0" w:space="0" w:color="auto"/>
        <w:bottom w:val="none" w:sz="0" w:space="0" w:color="auto"/>
        <w:right w:val="none" w:sz="0" w:space="0" w:color="auto"/>
      </w:divBdr>
      <w:divsChild>
        <w:div w:id="818301024">
          <w:marLeft w:val="0"/>
          <w:marRight w:val="0"/>
          <w:marTop w:val="0"/>
          <w:marBottom w:val="0"/>
          <w:divBdr>
            <w:top w:val="none" w:sz="0" w:space="0" w:color="auto"/>
            <w:left w:val="none" w:sz="0" w:space="0" w:color="auto"/>
            <w:bottom w:val="none" w:sz="0" w:space="0" w:color="auto"/>
            <w:right w:val="none" w:sz="0" w:space="0" w:color="auto"/>
          </w:divBdr>
          <w:divsChild>
            <w:div w:id="2108651042">
              <w:marLeft w:val="0"/>
              <w:marRight w:val="0"/>
              <w:marTop w:val="0"/>
              <w:marBottom w:val="0"/>
              <w:divBdr>
                <w:top w:val="none" w:sz="0" w:space="0" w:color="auto"/>
                <w:left w:val="none" w:sz="0" w:space="0" w:color="auto"/>
                <w:bottom w:val="none" w:sz="0" w:space="0" w:color="auto"/>
                <w:right w:val="none" w:sz="0" w:space="0" w:color="auto"/>
              </w:divBdr>
              <w:divsChild>
                <w:div w:id="16055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59186">
      <w:bodyDiv w:val="1"/>
      <w:marLeft w:val="0"/>
      <w:marRight w:val="0"/>
      <w:marTop w:val="0"/>
      <w:marBottom w:val="0"/>
      <w:divBdr>
        <w:top w:val="none" w:sz="0" w:space="0" w:color="auto"/>
        <w:left w:val="none" w:sz="0" w:space="0" w:color="auto"/>
        <w:bottom w:val="none" w:sz="0" w:space="0" w:color="auto"/>
        <w:right w:val="none" w:sz="0" w:space="0" w:color="auto"/>
      </w:divBdr>
      <w:divsChild>
        <w:div w:id="1493981709">
          <w:marLeft w:val="0"/>
          <w:marRight w:val="0"/>
          <w:marTop w:val="0"/>
          <w:marBottom w:val="0"/>
          <w:divBdr>
            <w:top w:val="none" w:sz="0" w:space="0" w:color="auto"/>
            <w:left w:val="none" w:sz="0" w:space="0" w:color="auto"/>
            <w:bottom w:val="none" w:sz="0" w:space="0" w:color="auto"/>
            <w:right w:val="none" w:sz="0" w:space="0" w:color="auto"/>
          </w:divBdr>
          <w:divsChild>
            <w:div w:id="1230653357">
              <w:marLeft w:val="0"/>
              <w:marRight w:val="0"/>
              <w:marTop w:val="0"/>
              <w:marBottom w:val="0"/>
              <w:divBdr>
                <w:top w:val="none" w:sz="0" w:space="0" w:color="auto"/>
                <w:left w:val="none" w:sz="0" w:space="0" w:color="auto"/>
                <w:bottom w:val="none" w:sz="0" w:space="0" w:color="auto"/>
                <w:right w:val="none" w:sz="0" w:space="0" w:color="auto"/>
              </w:divBdr>
              <w:divsChild>
                <w:div w:id="20322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7363">
      <w:bodyDiv w:val="1"/>
      <w:marLeft w:val="0"/>
      <w:marRight w:val="0"/>
      <w:marTop w:val="0"/>
      <w:marBottom w:val="0"/>
      <w:divBdr>
        <w:top w:val="none" w:sz="0" w:space="0" w:color="auto"/>
        <w:left w:val="none" w:sz="0" w:space="0" w:color="auto"/>
        <w:bottom w:val="none" w:sz="0" w:space="0" w:color="auto"/>
        <w:right w:val="none" w:sz="0" w:space="0" w:color="auto"/>
      </w:divBdr>
      <w:divsChild>
        <w:div w:id="2111462711">
          <w:marLeft w:val="0"/>
          <w:marRight w:val="0"/>
          <w:marTop w:val="0"/>
          <w:marBottom w:val="0"/>
          <w:divBdr>
            <w:top w:val="none" w:sz="0" w:space="0" w:color="auto"/>
            <w:left w:val="none" w:sz="0" w:space="0" w:color="auto"/>
            <w:bottom w:val="none" w:sz="0" w:space="0" w:color="auto"/>
            <w:right w:val="none" w:sz="0" w:space="0" w:color="auto"/>
          </w:divBdr>
          <w:divsChild>
            <w:div w:id="1495805768">
              <w:marLeft w:val="0"/>
              <w:marRight w:val="0"/>
              <w:marTop w:val="0"/>
              <w:marBottom w:val="0"/>
              <w:divBdr>
                <w:top w:val="none" w:sz="0" w:space="0" w:color="auto"/>
                <w:left w:val="none" w:sz="0" w:space="0" w:color="auto"/>
                <w:bottom w:val="none" w:sz="0" w:space="0" w:color="auto"/>
                <w:right w:val="none" w:sz="0" w:space="0" w:color="auto"/>
              </w:divBdr>
              <w:divsChild>
                <w:div w:id="17909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8540">
      <w:bodyDiv w:val="1"/>
      <w:marLeft w:val="0"/>
      <w:marRight w:val="0"/>
      <w:marTop w:val="0"/>
      <w:marBottom w:val="0"/>
      <w:divBdr>
        <w:top w:val="none" w:sz="0" w:space="0" w:color="auto"/>
        <w:left w:val="none" w:sz="0" w:space="0" w:color="auto"/>
        <w:bottom w:val="none" w:sz="0" w:space="0" w:color="auto"/>
        <w:right w:val="none" w:sz="0" w:space="0" w:color="auto"/>
      </w:divBdr>
      <w:divsChild>
        <w:div w:id="353507231">
          <w:marLeft w:val="0"/>
          <w:marRight w:val="0"/>
          <w:marTop w:val="0"/>
          <w:marBottom w:val="0"/>
          <w:divBdr>
            <w:top w:val="none" w:sz="0" w:space="0" w:color="auto"/>
            <w:left w:val="none" w:sz="0" w:space="0" w:color="auto"/>
            <w:bottom w:val="none" w:sz="0" w:space="0" w:color="auto"/>
            <w:right w:val="none" w:sz="0" w:space="0" w:color="auto"/>
          </w:divBdr>
          <w:divsChild>
            <w:div w:id="1925601747">
              <w:marLeft w:val="0"/>
              <w:marRight w:val="0"/>
              <w:marTop w:val="0"/>
              <w:marBottom w:val="0"/>
              <w:divBdr>
                <w:top w:val="none" w:sz="0" w:space="0" w:color="auto"/>
                <w:left w:val="none" w:sz="0" w:space="0" w:color="auto"/>
                <w:bottom w:val="none" w:sz="0" w:space="0" w:color="auto"/>
                <w:right w:val="none" w:sz="0" w:space="0" w:color="auto"/>
              </w:divBdr>
              <w:divsChild>
                <w:div w:id="3186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93956">
      <w:bodyDiv w:val="1"/>
      <w:marLeft w:val="0"/>
      <w:marRight w:val="0"/>
      <w:marTop w:val="0"/>
      <w:marBottom w:val="0"/>
      <w:divBdr>
        <w:top w:val="none" w:sz="0" w:space="0" w:color="auto"/>
        <w:left w:val="none" w:sz="0" w:space="0" w:color="auto"/>
        <w:bottom w:val="none" w:sz="0" w:space="0" w:color="auto"/>
        <w:right w:val="none" w:sz="0" w:space="0" w:color="auto"/>
      </w:divBdr>
      <w:divsChild>
        <w:div w:id="287322220">
          <w:marLeft w:val="0"/>
          <w:marRight w:val="0"/>
          <w:marTop w:val="0"/>
          <w:marBottom w:val="0"/>
          <w:divBdr>
            <w:top w:val="none" w:sz="0" w:space="0" w:color="auto"/>
            <w:left w:val="none" w:sz="0" w:space="0" w:color="auto"/>
            <w:bottom w:val="none" w:sz="0" w:space="0" w:color="auto"/>
            <w:right w:val="none" w:sz="0" w:space="0" w:color="auto"/>
          </w:divBdr>
          <w:divsChild>
            <w:div w:id="1833135873">
              <w:marLeft w:val="0"/>
              <w:marRight w:val="0"/>
              <w:marTop w:val="0"/>
              <w:marBottom w:val="0"/>
              <w:divBdr>
                <w:top w:val="none" w:sz="0" w:space="0" w:color="auto"/>
                <w:left w:val="none" w:sz="0" w:space="0" w:color="auto"/>
                <w:bottom w:val="none" w:sz="0" w:space="0" w:color="auto"/>
                <w:right w:val="none" w:sz="0" w:space="0" w:color="auto"/>
              </w:divBdr>
              <w:divsChild>
                <w:div w:id="1078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334718">
      <w:bodyDiv w:val="1"/>
      <w:marLeft w:val="0"/>
      <w:marRight w:val="0"/>
      <w:marTop w:val="0"/>
      <w:marBottom w:val="0"/>
      <w:divBdr>
        <w:top w:val="none" w:sz="0" w:space="0" w:color="auto"/>
        <w:left w:val="none" w:sz="0" w:space="0" w:color="auto"/>
        <w:bottom w:val="none" w:sz="0" w:space="0" w:color="auto"/>
        <w:right w:val="none" w:sz="0" w:space="0" w:color="auto"/>
      </w:divBdr>
      <w:divsChild>
        <w:div w:id="1598253535">
          <w:marLeft w:val="0"/>
          <w:marRight w:val="0"/>
          <w:marTop w:val="0"/>
          <w:marBottom w:val="0"/>
          <w:divBdr>
            <w:top w:val="none" w:sz="0" w:space="0" w:color="auto"/>
            <w:left w:val="none" w:sz="0" w:space="0" w:color="auto"/>
            <w:bottom w:val="none" w:sz="0" w:space="0" w:color="auto"/>
            <w:right w:val="none" w:sz="0" w:space="0" w:color="auto"/>
          </w:divBdr>
          <w:divsChild>
            <w:div w:id="614363520">
              <w:marLeft w:val="0"/>
              <w:marRight w:val="0"/>
              <w:marTop w:val="0"/>
              <w:marBottom w:val="0"/>
              <w:divBdr>
                <w:top w:val="none" w:sz="0" w:space="0" w:color="auto"/>
                <w:left w:val="none" w:sz="0" w:space="0" w:color="auto"/>
                <w:bottom w:val="none" w:sz="0" w:space="0" w:color="auto"/>
                <w:right w:val="none" w:sz="0" w:space="0" w:color="auto"/>
              </w:divBdr>
              <w:divsChild>
                <w:div w:id="8810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05584">
      <w:bodyDiv w:val="1"/>
      <w:marLeft w:val="0"/>
      <w:marRight w:val="0"/>
      <w:marTop w:val="0"/>
      <w:marBottom w:val="0"/>
      <w:divBdr>
        <w:top w:val="none" w:sz="0" w:space="0" w:color="auto"/>
        <w:left w:val="none" w:sz="0" w:space="0" w:color="auto"/>
        <w:bottom w:val="none" w:sz="0" w:space="0" w:color="auto"/>
        <w:right w:val="none" w:sz="0" w:space="0" w:color="auto"/>
      </w:divBdr>
      <w:divsChild>
        <w:div w:id="1238007161">
          <w:marLeft w:val="0"/>
          <w:marRight w:val="0"/>
          <w:marTop w:val="0"/>
          <w:marBottom w:val="0"/>
          <w:divBdr>
            <w:top w:val="none" w:sz="0" w:space="0" w:color="auto"/>
            <w:left w:val="none" w:sz="0" w:space="0" w:color="auto"/>
            <w:bottom w:val="none" w:sz="0" w:space="0" w:color="auto"/>
            <w:right w:val="none" w:sz="0" w:space="0" w:color="auto"/>
          </w:divBdr>
          <w:divsChild>
            <w:div w:id="745952767">
              <w:marLeft w:val="0"/>
              <w:marRight w:val="0"/>
              <w:marTop w:val="0"/>
              <w:marBottom w:val="0"/>
              <w:divBdr>
                <w:top w:val="none" w:sz="0" w:space="0" w:color="auto"/>
                <w:left w:val="none" w:sz="0" w:space="0" w:color="auto"/>
                <w:bottom w:val="none" w:sz="0" w:space="0" w:color="auto"/>
                <w:right w:val="none" w:sz="0" w:space="0" w:color="auto"/>
              </w:divBdr>
              <w:divsChild>
                <w:div w:id="14651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472810">
      <w:bodyDiv w:val="1"/>
      <w:marLeft w:val="0"/>
      <w:marRight w:val="0"/>
      <w:marTop w:val="0"/>
      <w:marBottom w:val="0"/>
      <w:divBdr>
        <w:top w:val="none" w:sz="0" w:space="0" w:color="auto"/>
        <w:left w:val="none" w:sz="0" w:space="0" w:color="auto"/>
        <w:bottom w:val="none" w:sz="0" w:space="0" w:color="auto"/>
        <w:right w:val="none" w:sz="0" w:space="0" w:color="auto"/>
      </w:divBdr>
      <w:divsChild>
        <w:div w:id="1720593006">
          <w:marLeft w:val="0"/>
          <w:marRight w:val="0"/>
          <w:marTop w:val="0"/>
          <w:marBottom w:val="0"/>
          <w:divBdr>
            <w:top w:val="none" w:sz="0" w:space="0" w:color="auto"/>
            <w:left w:val="none" w:sz="0" w:space="0" w:color="auto"/>
            <w:bottom w:val="none" w:sz="0" w:space="0" w:color="auto"/>
            <w:right w:val="none" w:sz="0" w:space="0" w:color="auto"/>
          </w:divBdr>
          <w:divsChild>
            <w:div w:id="620846172">
              <w:marLeft w:val="0"/>
              <w:marRight w:val="0"/>
              <w:marTop w:val="0"/>
              <w:marBottom w:val="0"/>
              <w:divBdr>
                <w:top w:val="none" w:sz="0" w:space="0" w:color="auto"/>
                <w:left w:val="none" w:sz="0" w:space="0" w:color="auto"/>
                <w:bottom w:val="none" w:sz="0" w:space="0" w:color="auto"/>
                <w:right w:val="none" w:sz="0" w:space="0" w:color="auto"/>
              </w:divBdr>
              <w:divsChild>
                <w:div w:id="7462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499162">
      <w:bodyDiv w:val="1"/>
      <w:marLeft w:val="0"/>
      <w:marRight w:val="0"/>
      <w:marTop w:val="0"/>
      <w:marBottom w:val="0"/>
      <w:divBdr>
        <w:top w:val="none" w:sz="0" w:space="0" w:color="auto"/>
        <w:left w:val="none" w:sz="0" w:space="0" w:color="auto"/>
        <w:bottom w:val="none" w:sz="0" w:space="0" w:color="auto"/>
        <w:right w:val="none" w:sz="0" w:space="0" w:color="auto"/>
      </w:divBdr>
      <w:divsChild>
        <w:div w:id="1544322396">
          <w:marLeft w:val="0"/>
          <w:marRight w:val="0"/>
          <w:marTop w:val="0"/>
          <w:marBottom w:val="0"/>
          <w:divBdr>
            <w:top w:val="none" w:sz="0" w:space="0" w:color="auto"/>
            <w:left w:val="none" w:sz="0" w:space="0" w:color="auto"/>
            <w:bottom w:val="none" w:sz="0" w:space="0" w:color="auto"/>
            <w:right w:val="none" w:sz="0" w:space="0" w:color="auto"/>
          </w:divBdr>
          <w:divsChild>
            <w:div w:id="1014920963">
              <w:marLeft w:val="0"/>
              <w:marRight w:val="0"/>
              <w:marTop w:val="0"/>
              <w:marBottom w:val="0"/>
              <w:divBdr>
                <w:top w:val="none" w:sz="0" w:space="0" w:color="auto"/>
                <w:left w:val="none" w:sz="0" w:space="0" w:color="auto"/>
                <w:bottom w:val="none" w:sz="0" w:space="0" w:color="auto"/>
                <w:right w:val="none" w:sz="0" w:space="0" w:color="auto"/>
              </w:divBdr>
              <w:divsChild>
                <w:div w:id="13573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12309">
      <w:bodyDiv w:val="1"/>
      <w:marLeft w:val="0"/>
      <w:marRight w:val="0"/>
      <w:marTop w:val="0"/>
      <w:marBottom w:val="0"/>
      <w:divBdr>
        <w:top w:val="none" w:sz="0" w:space="0" w:color="auto"/>
        <w:left w:val="none" w:sz="0" w:space="0" w:color="auto"/>
        <w:bottom w:val="none" w:sz="0" w:space="0" w:color="auto"/>
        <w:right w:val="none" w:sz="0" w:space="0" w:color="auto"/>
      </w:divBdr>
      <w:divsChild>
        <w:div w:id="823350814">
          <w:marLeft w:val="0"/>
          <w:marRight w:val="0"/>
          <w:marTop w:val="0"/>
          <w:marBottom w:val="0"/>
          <w:divBdr>
            <w:top w:val="none" w:sz="0" w:space="0" w:color="auto"/>
            <w:left w:val="none" w:sz="0" w:space="0" w:color="auto"/>
            <w:bottom w:val="none" w:sz="0" w:space="0" w:color="auto"/>
            <w:right w:val="none" w:sz="0" w:space="0" w:color="auto"/>
          </w:divBdr>
          <w:divsChild>
            <w:div w:id="214438167">
              <w:marLeft w:val="0"/>
              <w:marRight w:val="0"/>
              <w:marTop w:val="0"/>
              <w:marBottom w:val="0"/>
              <w:divBdr>
                <w:top w:val="none" w:sz="0" w:space="0" w:color="auto"/>
                <w:left w:val="none" w:sz="0" w:space="0" w:color="auto"/>
                <w:bottom w:val="none" w:sz="0" w:space="0" w:color="auto"/>
                <w:right w:val="none" w:sz="0" w:space="0" w:color="auto"/>
              </w:divBdr>
              <w:divsChild>
                <w:div w:id="11802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21079">
      <w:bodyDiv w:val="1"/>
      <w:marLeft w:val="0"/>
      <w:marRight w:val="0"/>
      <w:marTop w:val="0"/>
      <w:marBottom w:val="0"/>
      <w:divBdr>
        <w:top w:val="none" w:sz="0" w:space="0" w:color="auto"/>
        <w:left w:val="none" w:sz="0" w:space="0" w:color="auto"/>
        <w:bottom w:val="none" w:sz="0" w:space="0" w:color="auto"/>
        <w:right w:val="none" w:sz="0" w:space="0" w:color="auto"/>
      </w:divBdr>
      <w:divsChild>
        <w:div w:id="1645158121">
          <w:marLeft w:val="0"/>
          <w:marRight w:val="0"/>
          <w:marTop w:val="0"/>
          <w:marBottom w:val="0"/>
          <w:divBdr>
            <w:top w:val="none" w:sz="0" w:space="0" w:color="auto"/>
            <w:left w:val="none" w:sz="0" w:space="0" w:color="auto"/>
            <w:bottom w:val="none" w:sz="0" w:space="0" w:color="auto"/>
            <w:right w:val="none" w:sz="0" w:space="0" w:color="auto"/>
          </w:divBdr>
          <w:divsChild>
            <w:div w:id="1868135492">
              <w:marLeft w:val="0"/>
              <w:marRight w:val="0"/>
              <w:marTop w:val="0"/>
              <w:marBottom w:val="0"/>
              <w:divBdr>
                <w:top w:val="none" w:sz="0" w:space="0" w:color="auto"/>
                <w:left w:val="none" w:sz="0" w:space="0" w:color="auto"/>
                <w:bottom w:val="none" w:sz="0" w:space="0" w:color="auto"/>
                <w:right w:val="none" w:sz="0" w:space="0" w:color="auto"/>
              </w:divBdr>
              <w:divsChild>
                <w:div w:id="8972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1679">
      <w:bodyDiv w:val="1"/>
      <w:marLeft w:val="0"/>
      <w:marRight w:val="0"/>
      <w:marTop w:val="0"/>
      <w:marBottom w:val="0"/>
      <w:divBdr>
        <w:top w:val="none" w:sz="0" w:space="0" w:color="auto"/>
        <w:left w:val="none" w:sz="0" w:space="0" w:color="auto"/>
        <w:bottom w:val="none" w:sz="0" w:space="0" w:color="auto"/>
        <w:right w:val="none" w:sz="0" w:space="0" w:color="auto"/>
      </w:divBdr>
      <w:divsChild>
        <w:div w:id="1740516371">
          <w:marLeft w:val="0"/>
          <w:marRight w:val="0"/>
          <w:marTop w:val="0"/>
          <w:marBottom w:val="0"/>
          <w:divBdr>
            <w:top w:val="none" w:sz="0" w:space="0" w:color="auto"/>
            <w:left w:val="none" w:sz="0" w:space="0" w:color="auto"/>
            <w:bottom w:val="none" w:sz="0" w:space="0" w:color="auto"/>
            <w:right w:val="none" w:sz="0" w:space="0" w:color="auto"/>
          </w:divBdr>
          <w:divsChild>
            <w:div w:id="89590570">
              <w:marLeft w:val="0"/>
              <w:marRight w:val="0"/>
              <w:marTop w:val="0"/>
              <w:marBottom w:val="0"/>
              <w:divBdr>
                <w:top w:val="none" w:sz="0" w:space="0" w:color="auto"/>
                <w:left w:val="none" w:sz="0" w:space="0" w:color="auto"/>
                <w:bottom w:val="none" w:sz="0" w:space="0" w:color="auto"/>
                <w:right w:val="none" w:sz="0" w:space="0" w:color="auto"/>
              </w:divBdr>
              <w:divsChild>
                <w:div w:id="297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542720">
      <w:bodyDiv w:val="1"/>
      <w:marLeft w:val="0"/>
      <w:marRight w:val="0"/>
      <w:marTop w:val="0"/>
      <w:marBottom w:val="0"/>
      <w:divBdr>
        <w:top w:val="none" w:sz="0" w:space="0" w:color="auto"/>
        <w:left w:val="none" w:sz="0" w:space="0" w:color="auto"/>
        <w:bottom w:val="none" w:sz="0" w:space="0" w:color="auto"/>
        <w:right w:val="none" w:sz="0" w:space="0" w:color="auto"/>
      </w:divBdr>
      <w:divsChild>
        <w:div w:id="614795741">
          <w:marLeft w:val="0"/>
          <w:marRight w:val="0"/>
          <w:marTop w:val="0"/>
          <w:marBottom w:val="0"/>
          <w:divBdr>
            <w:top w:val="none" w:sz="0" w:space="0" w:color="auto"/>
            <w:left w:val="none" w:sz="0" w:space="0" w:color="auto"/>
            <w:bottom w:val="none" w:sz="0" w:space="0" w:color="auto"/>
            <w:right w:val="none" w:sz="0" w:space="0" w:color="auto"/>
          </w:divBdr>
          <w:divsChild>
            <w:div w:id="787699489">
              <w:marLeft w:val="0"/>
              <w:marRight w:val="0"/>
              <w:marTop w:val="0"/>
              <w:marBottom w:val="0"/>
              <w:divBdr>
                <w:top w:val="none" w:sz="0" w:space="0" w:color="auto"/>
                <w:left w:val="none" w:sz="0" w:space="0" w:color="auto"/>
                <w:bottom w:val="none" w:sz="0" w:space="0" w:color="auto"/>
                <w:right w:val="none" w:sz="0" w:space="0" w:color="auto"/>
              </w:divBdr>
              <w:divsChild>
                <w:div w:id="11787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486718">
      <w:bodyDiv w:val="1"/>
      <w:marLeft w:val="0"/>
      <w:marRight w:val="0"/>
      <w:marTop w:val="0"/>
      <w:marBottom w:val="0"/>
      <w:divBdr>
        <w:top w:val="none" w:sz="0" w:space="0" w:color="auto"/>
        <w:left w:val="none" w:sz="0" w:space="0" w:color="auto"/>
        <w:bottom w:val="none" w:sz="0" w:space="0" w:color="auto"/>
        <w:right w:val="none" w:sz="0" w:space="0" w:color="auto"/>
      </w:divBdr>
      <w:divsChild>
        <w:div w:id="1827014633">
          <w:marLeft w:val="0"/>
          <w:marRight w:val="0"/>
          <w:marTop w:val="0"/>
          <w:marBottom w:val="0"/>
          <w:divBdr>
            <w:top w:val="none" w:sz="0" w:space="0" w:color="auto"/>
            <w:left w:val="none" w:sz="0" w:space="0" w:color="auto"/>
            <w:bottom w:val="none" w:sz="0" w:space="0" w:color="auto"/>
            <w:right w:val="none" w:sz="0" w:space="0" w:color="auto"/>
          </w:divBdr>
          <w:divsChild>
            <w:div w:id="105589082">
              <w:marLeft w:val="0"/>
              <w:marRight w:val="0"/>
              <w:marTop w:val="0"/>
              <w:marBottom w:val="0"/>
              <w:divBdr>
                <w:top w:val="none" w:sz="0" w:space="0" w:color="auto"/>
                <w:left w:val="none" w:sz="0" w:space="0" w:color="auto"/>
                <w:bottom w:val="none" w:sz="0" w:space="0" w:color="auto"/>
                <w:right w:val="none" w:sz="0" w:space="0" w:color="auto"/>
              </w:divBdr>
              <w:divsChild>
                <w:div w:id="55234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01816">
      <w:bodyDiv w:val="1"/>
      <w:marLeft w:val="0"/>
      <w:marRight w:val="0"/>
      <w:marTop w:val="0"/>
      <w:marBottom w:val="0"/>
      <w:divBdr>
        <w:top w:val="none" w:sz="0" w:space="0" w:color="auto"/>
        <w:left w:val="none" w:sz="0" w:space="0" w:color="auto"/>
        <w:bottom w:val="none" w:sz="0" w:space="0" w:color="auto"/>
        <w:right w:val="none" w:sz="0" w:space="0" w:color="auto"/>
      </w:divBdr>
      <w:divsChild>
        <w:div w:id="1746605134">
          <w:marLeft w:val="0"/>
          <w:marRight w:val="0"/>
          <w:marTop w:val="0"/>
          <w:marBottom w:val="0"/>
          <w:divBdr>
            <w:top w:val="none" w:sz="0" w:space="0" w:color="auto"/>
            <w:left w:val="none" w:sz="0" w:space="0" w:color="auto"/>
            <w:bottom w:val="none" w:sz="0" w:space="0" w:color="auto"/>
            <w:right w:val="none" w:sz="0" w:space="0" w:color="auto"/>
          </w:divBdr>
          <w:divsChild>
            <w:div w:id="831139879">
              <w:marLeft w:val="0"/>
              <w:marRight w:val="0"/>
              <w:marTop w:val="0"/>
              <w:marBottom w:val="0"/>
              <w:divBdr>
                <w:top w:val="none" w:sz="0" w:space="0" w:color="auto"/>
                <w:left w:val="none" w:sz="0" w:space="0" w:color="auto"/>
                <w:bottom w:val="none" w:sz="0" w:space="0" w:color="auto"/>
                <w:right w:val="none" w:sz="0" w:space="0" w:color="auto"/>
              </w:divBdr>
              <w:divsChild>
                <w:div w:id="20728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1079">
      <w:bodyDiv w:val="1"/>
      <w:marLeft w:val="0"/>
      <w:marRight w:val="0"/>
      <w:marTop w:val="0"/>
      <w:marBottom w:val="0"/>
      <w:divBdr>
        <w:top w:val="none" w:sz="0" w:space="0" w:color="auto"/>
        <w:left w:val="none" w:sz="0" w:space="0" w:color="auto"/>
        <w:bottom w:val="none" w:sz="0" w:space="0" w:color="auto"/>
        <w:right w:val="none" w:sz="0" w:space="0" w:color="auto"/>
      </w:divBdr>
      <w:divsChild>
        <w:div w:id="754060639">
          <w:marLeft w:val="0"/>
          <w:marRight w:val="0"/>
          <w:marTop w:val="0"/>
          <w:marBottom w:val="0"/>
          <w:divBdr>
            <w:top w:val="none" w:sz="0" w:space="0" w:color="auto"/>
            <w:left w:val="none" w:sz="0" w:space="0" w:color="auto"/>
            <w:bottom w:val="none" w:sz="0" w:space="0" w:color="auto"/>
            <w:right w:val="none" w:sz="0" w:space="0" w:color="auto"/>
          </w:divBdr>
          <w:divsChild>
            <w:div w:id="27490190">
              <w:marLeft w:val="0"/>
              <w:marRight w:val="0"/>
              <w:marTop w:val="0"/>
              <w:marBottom w:val="0"/>
              <w:divBdr>
                <w:top w:val="none" w:sz="0" w:space="0" w:color="auto"/>
                <w:left w:val="none" w:sz="0" w:space="0" w:color="auto"/>
                <w:bottom w:val="none" w:sz="0" w:space="0" w:color="auto"/>
                <w:right w:val="none" w:sz="0" w:space="0" w:color="auto"/>
              </w:divBdr>
              <w:divsChild>
                <w:div w:id="16283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60068">
      <w:bodyDiv w:val="1"/>
      <w:marLeft w:val="0"/>
      <w:marRight w:val="0"/>
      <w:marTop w:val="0"/>
      <w:marBottom w:val="0"/>
      <w:divBdr>
        <w:top w:val="none" w:sz="0" w:space="0" w:color="auto"/>
        <w:left w:val="none" w:sz="0" w:space="0" w:color="auto"/>
        <w:bottom w:val="none" w:sz="0" w:space="0" w:color="auto"/>
        <w:right w:val="none" w:sz="0" w:space="0" w:color="auto"/>
      </w:divBdr>
      <w:divsChild>
        <w:div w:id="1732314526">
          <w:marLeft w:val="0"/>
          <w:marRight w:val="0"/>
          <w:marTop w:val="0"/>
          <w:marBottom w:val="0"/>
          <w:divBdr>
            <w:top w:val="none" w:sz="0" w:space="0" w:color="auto"/>
            <w:left w:val="none" w:sz="0" w:space="0" w:color="auto"/>
            <w:bottom w:val="none" w:sz="0" w:space="0" w:color="auto"/>
            <w:right w:val="none" w:sz="0" w:space="0" w:color="auto"/>
          </w:divBdr>
          <w:divsChild>
            <w:div w:id="1159884330">
              <w:marLeft w:val="0"/>
              <w:marRight w:val="0"/>
              <w:marTop w:val="0"/>
              <w:marBottom w:val="0"/>
              <w:divBdr>
                <w:top w:val="none" w:sz="0" w:space="0" w:color="auto"/>
                <w:left w:val="none" w:sz="0" w:space="0" w:color="auto"/>
                <w:bottom w:val="none" w:sz="0" w:space="0" w:color="auto"/>
                <w:right w:val="none" w:sz="0" w:space="0" w:color="auto"/>
              </w:divBdr>
              <w:divsChild>
                <w:div w:id="20198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49465">
      <w:bodyDiv w:val="1"/>
      <w:marLeft w:val="0"/>
      <w:marRight w:val="0"/>
      <w:marTop w:val="0"/>
      <w:marBottom w:val="0"/>
      <w:divBdr>
        <w:top w:val="none" w:sz="0" w:space="0" w:color="auto"/>
        <w:left w:val="none" w:sz="0" w:space="0" w:color="auto"/>
        <w:bottom w:val="none" w:sz="0" w:space="0" w:color="auto"/>
        <w:right w:val="none" w:sz="0" w:space="0" w:color="auto"/>
      </w:divBdr>
      <w:divsChild>
        <w:div w:id="785001925">
          <w:marLeft w:val="0"/>
          <w:marRight w:val="0"/>
          <w:marTop w:val="0"/>
          <w:marBottom w:val="0"/>
          <w:divBdr>
            <w:top w:val="none" w:sz="0" w:space="0" w:color="auto"/>
            <w:left w:val="none" w:sz="0" w:space="0" w:color="auto"/>
            <w:bottom w:val="none" w:sz="0" w:space="0" w:color="auto"/>
            <w:right w:val="none" w:sz="0" w:space="0" w:color="auto"/>
          </w:divBdr>
          <w:divsChild>
            <w:div w:id="1906332569">
              <w:marLeft w:val="0"/>
              <w:marRight w:val="0"/>
              <w:marTop w:val="0"/>
              <w:marBottom w:val="0"/>
              <w:divBdr>
                <w:top w:val="none" w:sz="0" w:space="0" w:color="auto"/>
                <w:left w:val="none" w:sz="0" w:space="0" w:color="auto"/>
                <w:bottom w:val="none" w:sz="0" w:space="0" w:color="auto"/>
                <w:right w:val="none" w:sz="0" w:space="0" w:color="auto"/>
              </w:divBdr>
              <w:divsChild>
                <w:div w:id="12611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corteidh.or.cr/docs/comunicados/cp_28_2020.pdf" TargetMode="External"/><Relationship Id="rId1" Type="http://schemas.openxmlformats.org/officeDocument/2006/relationships/hyperlink" Target="http://www.corteidh.or.cr/docs/comunicados/cp_18_202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E8C493E-0060-496F-89B7-EB5FCC578F06}">
  <ds:schemaRefs>
    <ds:schemaRef ds:uri="http://schemas.microsoft.com/sharepoint/v3/contenttype/forms"/>
  </ds:schemaRefs>
</ds:datastoreItem>
</file>

<file path=customXml/itemProps2.xml><?xml version="1.0" encoding="utf-8"?>
<ds:datastoreItem xmlns:ds="http://schemas.openxmlformats.org/officeDocument/2006/customXml" ds:itemID="{41BF4FB1-2ADB-4D0F-A4BC-C115BB9D9DB6}">
  <ds:schemaRefs>
    <ds:schemaRef ds:uri="http://schemas.microsoft.com/office/2006/metadata/properties"/>
  </ds:schemaRefs>
</ds:datastoreItem>
</file>

<file path=customXml/itemProps3.xml><?xml version="1.0" encoding="utf-8"?>
<ds:datastoreItem xmlns:ds="http://schemas.openxmlformats.org/officeDocument/2006/customXml" ds:itemID="{0970D265-391C-45E0-8D9D-8E70ABD52B13}">
  <ds:schemaRefs>
    <ds:schemaRef ds:uri="http://schemas.openxmlformats.org/officeDocument/2006/bibliography"/>
  </ds:schemaRefs>
</ds:datastoreItem>
</file>

<file path=customXml/itemProps4.xml><?xml version="1.0" encoding="utf-8"?>
<ds:datastoreItem xmlns:ds="http://schemas.openxmlformats.org/officeDocument/2006/customXml" ds:itemID="{A10C21FD-0AA2-45F7-8869-66448601A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3288</Words>
  <Characters>18085</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2</cp:revision>
  <cp:lastPrinted>2019-12-17T00:27:00Z</cp:lastPrinted>
  <dcterms:created xsi:type="dcterms:W3CDTF">2020-12-02T18:44:00Z</dcterms:created>
  <dcterms:modified xsi:type="dcterms:W3CDTF">2020-12-02T18:44:00Z</dcterms:modified>
</cp:coreProperties>
</file>