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t>Corte Interamericana de Derechos Humanos</w:t>
        <w:br/>
        <w:br/>
        <w:br/>
        <w:t xml:space="preserve">                   Caso Castillo Petruzzi y otros Vs. Perú</w:t>
        <w:br/>
        <w:br/>
        <w:br/>
        <w:t xml:space="preserve">                    Sentencia de 4 de septiembre de 1998</w:t>
        <w:br/>
        <w:t xml:space="preserve">                         (Excepciones Preliminares)</w:t>
        <w:br/>
        <w:br/>
        <w:br/>
        <w:br/>
        <w:t>En el caso Castillo Petruzzi y otros,</w:t>
        <w:br/>
        <w:br/>
        <w:br/>
        <w:t>la Corte Interamericana de Derechos Humanos (en  adelante  “la  Corte”,  “la</w:t>
        <w:br/>
        <w:t>Corte  Interamericana”  o  “el  Tribunal”)  integrada  por  los   siguientes</w:t>
        <w:br/>
        <w:t>jueces;[1]</w:t>
        <w:br/>
        <w:br/>
        <w:t xml:space="preserve">      Hernán Salgado Pesantes, Presidente</w:t>
        <w:br/>
        <w:t xml:space="preserve">      Antônio A. Cançado Trindade, Vicepresidente</w:t>
        <w:br/>
        <w:t xml:space="preserve">      Máximo Pacheco Gómez, Juez</w:t>
        <w:br/>
        <w:t xml:space="preserve">      Oliver Jackman, Juez</w:t>
        <w:br/>
        <w:t xml:space="preserve">      Sergio García Ramírez, Juez</w:t>
        <w:br/>
        <w:t xml:space="preserve">      Carlos Vicente de Roux Rengifo, Juez</w:t>
        <w:br/>
        <w:t xml:space="preserve">      Fernando Vidal Ramírez, Juez ad hoc;</w:t>
        <w:br/>
        <w:br/>
        <w:t>presentes, además,</w:t>
        <w:br/>
        <w:br/>
        <w:br/>
        <w:t xml:space="preserve">      Manuel E. Ventura Robles, Secretario y</w:t>
        <w:br/>
        <w:t xml:space="preserve">      Víctor M. Rodríguez Rescia, Secretario adjunto a.i.,</w:t>
        <w:br/>
        <w:br/>
        <w:br/>
        <w:t>de acuerdo con el artículo 36.6 del Reglamento de  la  Corte  Interamericana</w:t>
        <w:br/>
        <w:t>de Derechos Humanos  (en  adelante  “el  Reglamento”),  dicta  la  siguiente</w:t>
        <w:br/>
        <w:t>sentencia sobre las excepciones preliminares interpuestas por el Estado  del</w:t>
        <w:br/>
        <w:t>Perú (en adelante “el Estado” o “el Perú” ).</w:t>
        <w:br/>
        <w:br/>
        <w:br/>
        <w:t xml:space="preserve">                                      I</w:t>
        <w:br/>
        <w:t xml:space="preserve">                          INTRODUCCIÓN DE LA CAUSA</w:t>
        <w:br/>
        <w:br/>
        <w:t>1.    Este caso fue sometido a la Corte Interamericana de  Derechos  Humanos</w:t>
        <w:br/>
        <w:t>por  la  Comisión  Interamericana  de  Derechos  Humanos  (en  adelante  “la</w:t>
        <w:br/>
        <w:t>Comisión” o “la Comisión  Interamericana”)  el  22  de  julio  de  1997.  Se</w:t>
        <w:br/>
        <w:t>originó en la denuncia No. 11.319, recibida en la Secretaría de la  Comisión</w:t>
        <w:br/>
        <w:t>el 28 de enero de 1994.</w:t>
        <w:br/>
        <w:br/>
        <w:br/>
        <w:br/>
        <w:br/>
        <w:t xml:space="preserve">                                     II</w:t>
        <w:br/>
        <w:t xml:space="preserve">                       HECHOS EXPUESTOS EN LA DEMANDA</w:t>
        <w:br/>
        <w:br/>
        <w:t>2.    De acuerdo con la demanda, el Perú violó el derecho a la  nacionalidad</w:t>
        <w:br/>
        <w:t>de  los  señores  Jaime  Francisco  Castillo  Petruzzi,   María   Concepción</w:t>
        <w:br/>
        <w:t>Pincheira  Sáez,  Lautaro  Enrique  Mellado  Saavedra  y  Alejandro  Astorga</w:t>
        <w:br/>
        <w:t>Valdés, al juzgarlos y condenarlos por el delito de “traición a la  patria”,</w:t>
        <w:br/>
        <w:t>de conformidad con el Decreto-Ley No.  25.659,  aunque  el  Perú  no  es  su</w:t>
        <w:br/>
        <w:t>patria.  Asimismo,  la  Comisión  aseveró  que  dichas  personas  no  fueron</w:t>
        <w:br/>
        <w:t>juzgadas por un juez o tribunal competente, independiente e  imparcial,  con</w:t>
        <w:br/>
        <w:t>violación de las  garantías  judiciales,  pues  todos  fueron  procesados  y</w:t>
        <w:br/>
        <w:t>condenados a cadena perpetua por un tribunal “sin rostro”,  perteneciente  a</w:t>
        <w:br/>
        <w:t>la justicia militar. Para tal afirmación la Comisión se basa,  entre  otros,</w:t>
        <w:br/>
        <w:t>en los siguientes hechos:</w:t>
        <w:br/>
        <w:br/>
        <w:t xml:space="preserve">      a.    El 15 de octubre de 1993 las supuestas víctimas fueron detenidas</w:t>
        <w:br/>
        <w:t xml:space="preserve">      por personal de la Dirección Nacional contra el Terrorismo.</w:t>
        <w:br/>
        <w:br/>
        <w:br/>
        <w:t xml:space="preserve">      b.    El 20 de noviembre de 1993 el juez instructor resolvió abrir  la</w:t>
        <w:br/>
        <w:t xml:space="preserve">      instrucción contra las supuestas víctimas.</w:t>
        <w:br/>
        <w:br/>
        <w:br/>
        <w:t xml:space="preserve">      c.    El 7 de enero de 1994, el Juez Instructor Militar Especial de la</w:t>
        <w:br/>
        <w:t xml:space="preserve">      Fuerza Aérea del Perú falló que declaraba “infundada la  excepción  de</w:t>
        <w:br/>
        <w:t xml:space="preserve">      declinatoria de jurisdicción deducida por los acusados Jaime  Castillo</w:t>
        <w:br/>
        <w:t xml:space="preserve">      Petruzzi,  María  Pincheira  Sáez,  y  Lautaro  Mellado  Saavedra;   y</w:t>
        <w:br/>
        <w:t xml:space="preserve">      declarando  fundada  la  excepción  de  declinatoria  de  jurisdicción</w:t>
        <w:br/>
        <w:t xml:space="preserve">      deducida por el inculpado Alejandro Astorga Valdez”. En el caso de los</w:t>
        <w:br/>
        <w:t xml:space="preserve">      tres primeros se les condenó como “autores del Delito de Traición a la</w:t>
        <w:br/>
        <w:t xml:space="preserve">      Patria,  a  la  pena  de  Cadena  Perpetua,  con   la   accesoria   de</w:t>
        <w:br/>
        <w:t xml:space="preserve">      inhabilitación absoluta y perpetua, el aislamiento celular y  continuo</w:t>
        <w:br/>
        <w:t xml:space="preserve">      durante el primer año de la decisión y luego con trabajo obligatorio”.</w:t>
        <w:br/>
        <w:t xml:space="preserve">      En cuanto al caso del señor Astorga Valdés se señaló que “este Juzgado</w:t>
        <w:br/>
        <w:t xml:space="preserve">      deviene incompetente para pronunciarse sobre [su] conducta criminal”.</w:t>
        <w:br/>
        <w:br/>
        <w:br/>
        <w:t xml:space="preserve">      d.    El 14 de marzo de 1994 la segunda instancia militar confirmó  la</w:t>
        <w:br/>
        <w:t xml:space="preserve">      sentencia de 7 de enero de  1994,  dictada  por  el  Tribunal  Militar</w:t>
        <w:br/>
        <w:t xml:space="preserve">      Especial de la Fuerza Aérea del Perú.</w:t>
        <w:br/>
        <w:br/>
        <w:br/>
        <w:t xml:space="preserve">      e.    El 3 de mayo  de  1994  el  Tribunal  Supremo  Militar  Especial</w:t>
        <w:br/>
        <w:t xml:space="preserve">      declaró no haber lugar a la nulidad de la resolución de 14 de marzo de</w:t>
        <w:br/>
        <w:t xml:space="preserve">      1994, que confirma la sentencia de primera instancia de 7 de enero del</w:t>
        <w:br/>
        <w:t xml:space="preserve">      mismo año,  declarando  infundada  la  excepción  de  declinatoria  de</w:t>
        <w:br/>
        <w:t xml:space="preserve">      jurisdicción promovida por los señores  Castillo  Petruzzi,  Pincheira</w:t>
        <w:br/>
        <w:t xml:space="preserve">      Sáez y Mellado Saavedra. Además declaró “haber nulidad en la parte que</w:t>
        <w:br/>
        <w:t xml:space="preserve">      declara fundada la excepción de declinatoria de jurisdicción  deducida</w:t>
        <w:br/>
        <w:t xml:space="preserve">      por Alejandro Luis Astorga Valdez” y se inhibió del conocimiento de la</w:t>
        <w:br/>
        <w:t xml:space="preserve">      causa por encontrarlo responsable del</w:t>
        <w:br/>
        <w:br/>
        <w:br/>
        <w:t xml:space="preserve">         delito de terrorismo [...] por lo  que  revocando  la  de  vista  y</w:t>
        <w:br/>
        <w:t xml:space="preserve">         modificando  la  de  Primera  Instancia  [declaró]   infundada   la</w:t>
        <w:br/>
        <w:t xml:space="preserve">         excepción de declinatoria de jurisdicción  deducida  por  Alejandro</w:t>
        <w:br/>
        <w:t xml:space="preserve">         Luis Astorga Valdez y lo [condenó] a la pena privativa de  libertad</w:t>
        <w:br/>
        <w:t xml:space="preserve">         de cadena perpetua como autor del delito de traición a la patria.</w:t>
        <w:br/>
        <w:br/>
        <w:t xml:space="preserve">                                     III</w:t>
        <w:br/>
        <w:t xml:space="preserve">                       PROCEDIMIENTO ANTE LA COMISIÓN</w:t>
        <w:br/>
        <w:br/>
        <w:br/>
        <w:t>3.     El  28  de  enero  de  1994  la  señora  Verónica  Reyna,  Jefa   del</w:t>
        <w:br/>
        <w:t>Departamento Jurídico de la organización chilena Fundación de  Ayuda  Social</w:t>
        <w:br/>
        <w:t>de las  Iglesias  Cristianas  (en  adelante  “FASIC”)  presentó  la  primera</w:t>
        <w:br/>
        <w:t>denuncia correspondiente a este caso. El 29 de junio  de  1994  la  Comisión</w:t>
        <w:br/>
        <w:t>transmitió al Estado las partes pertinentes de la  denuncia  y  le  solicitó</w:t>
        <w:br/>
        <w:t>que  suministrara  información   sobre   los   hechos   materia   de   dicha</w:t>
        <w:br/>
        <w:t>comunicación, dentro de un plazo de dos meses; además, le pidió que  enviase</w:t>
        <w:br/>
        <w:t>información referente al agotamiento de los recursos internos.</w:t>
        <w:br/>
        <w:br/>
        <w:t>4.    El 26 de agosto de  1994  un  segundo  grupo  de  denunciantes  aportó</w:t>
        <w:br/>
        <w:t>nuevos antecedentes relacionados con el caso y el 18 de  noviembre  de  1994</w:t>
        <w:br/>
        <w:t>incluyó  el  caso  del  señor  Alejandro  Astorga  Valdés.  En  la   primera</w:t>
        <w:br/>
        <w:t>comunicación citada se señaló que el 6 de enero de 1994  los  defensores  de</w:t>
        <w:br/>
        <w:t>las presuntas víctimas fueron notificados de  que  disponían  de  dos  horas</w:t>
        <w:br/>
        <w:t>para consultar el expediente de la causa y preparar la  defensa,  y  que  el</w:t>
        <w:br/>
        <w:t>día siguiente se leyó la sentencia condenatoria.  El  29  de  septiembre  de</w:t>
        <w:br/>
        <w:t>1994 este grupo de peticionarios reiteró su denuncia. El 22 de noviembre  de</w:t>
        <w:br/>
        <w:t>1994 la Secretaría de la Comisión informó  telefónicamente  al  mismo  grupo</w:t>
        <w:br/>
        <w:t>que necesitaba contar con un  poder  o  una  autorización  de  los  primeros</w:t>
        <w:br/>
        <w:t>peticionarios para poder ser incluido como copeticionario del caso.</w:t>
        <w:br/>
        <w:br/>
        <w:t>5.     El  14  de  septiembre  de  1994  el  Estado  presentó   información,</w:t>
        <w:br/>
        <w:t>acompañando  copia  del  oficio  No.  534-S-CSJM  del  Consejo  Superior  de</w:t>
        <w:br/>
        <w:t>Justicia Militar del 1 de septiembre de 1994.  En dicho informe se  consignó</w:t>
        <w:br/>
        <w:t>que</w:t>
        <w:br/>
        <w:br/>
        <w:t xml:space="preserve">         se  siguió  Causa  No.  078-TP-93-L,  [contra  Castillo   Petruzzi,</w:t>
        <w:br/>
        <w:t xml:space="preserve">         Pincheira Sáez y Mellado Saavedra] ante el Juzgado  Militar  de  la</w:t>
        <w:br/>
        <w:t xml:space="preserve">         Fuerza Aérea del Perú, por  el  delito  de  Traición  a  la  Patria</w:t>
        <w:br/>
        <w:t xml:space="preserve">         habiéndoseles  impuesto  pena  privativa  de  libertad  de   Cadena</w:t>
        <w:br/>
        <w:t xml:space="preserve">         Perpetua al haber  quedado  acreditada  su  responsabilidad  en  la</w:t>
        <w:br/>
        <w:t xml:space="preserve">         comisión del indicado ilícito penal.</w:t>
        <w:br/>
        <w:br/>
        <w:br/>
        <w:t>Además agregó el Estado que los tribunales peruanos  son  “competentes  para</w:t>
        <w:br/>
        <w:t>conocer los delitos que se cometen dentro del  territorio  nacional[,]  como</w:t>
        <w:br/>
        <w:t>expresión de su soberanía”, y  que  la  ley  penal  del  Perú  es  aplicable</w:t>
        <w:br/>
        <w:t>independientemente  de  la  nacionalidad  del  autor  del  delito  y  de  su</w:t>
        <w:br/>
        <w:t>domicilio. El Estado  señaló  además  que  el  tipo  penal  consignado  como</w:t>
        <w:br/>
        <w:t>traición a la patria en el Decreto-Ley No. 25.659 identifica una  figura  de</w:t>
        <w:br/>
        <w:t>terrorismo agravado, el cual “por su naturaleza y la forma como  se  ejecuta</w:t>
        <w:br/>
        <w:t>requiere  de  Tribunales  con  las  garantías  de   seguridad   necesarias”.</w:t>
        <w:br/>
        <w:t>Finalmente, el Estado manifestó que en todos los procesos  que  se  tramitan</w:t>
        <w:br/>
        <w:t>ante los tribunales militares se observan las “normas  del  debido  proceso,</w:t>
        <w:br/>
        <w:t>la instancia plural (tres instancias), la tutela jurisdiccional,  motivación</w:t>
        <w:br/>
        <w:t>de las resoluciones, inaplicabilidad por analogía de la  Ley  Penal  [,]  se</w:t>
        <w:br/>
        <w:t>informa de la causa de su  detención”,  y  se  provee  asistencia  legal  al</w:t>
        <w:br/>
        <w:t>detenido. El  23  de  septiembre  de  1994  la  Comisión  transmitió  a  los</w:t>
        <w:br/>
        <w:t>peticionarios copia de la respuesta del Perú.</w:t>
        <w:br/>
        <w:br/>
        <w:t>6.    El 8 de noviembre de 1994  los  peticionarios  originales  presentaron</w:t>
        <w:br/>
        <w:t>sus observaciones a la respuesta del Estado. En  ellas  solicitaron  que  se</w:t>
        <w:br/>
        <w:t>tuviera  por  “ampliada  [la]  denuncia  de  [e]nero  pasado,  en  favor  de</w:t>
        <w:br/>
        <w:t>Alejandro Astorga Valdez”, quien no figuraba como  víctima  en  la  denuncia</w:t>
        <w:br/>
        <w:t>original.  En cuanto a su caso establecieron que</w:t>
        <w:br/>
        <w:br/>
        <w:t xml:space="preserve">         [e]n el fallo de Primera Instancia, el Juez Militar declaró fundada</w:t>
        <w:br/>
        <w:t xml:space="preserve">         la excepción (sic) de declinatoria de jurisdicción, presentada  por</w:t>
        <w:br/>
        <w:t xml:space="preserve">         su defensa.</w:t>
        <w:br/>
        <w:br/>
        <w:br/>
        <w:t xml:space="preserve">         El Fiscal Superior Militar emite  dictamen  pronunciándose  por  la</w:t>
        <w:br/>
        <w:t xml:space="preserve">         confirmación del fallo, incluyendo la excepción de Astorga Valdez.</w:t>
        <w:br/>
        <w:br/>
        <w:br/>
        <w:t xml:space="preserve">         En el fallo de Segunda Instancia el Tribunal Especial Militar de la</w:t>
        <w:br/>
        <w:t xml:space="preserve">         FAP confirma el fallo  de  Primera  Instancia  disponiendo  que  la</w:t>
        <w:br/>
        <w:t xml:space="preserve">         documentación con respecto a Astorga Valdez sea remitida  al  fuero</w:t>
        <w:br/>
        <w:t xml:space="preserve">         común. Sin embargo, al interponerse recurso de nulidad por parte de</w:t>
        <w:br/>
        <w:t xml:space="preserve">         los otros condenados a cadena perpetua, el expediente es elevado al</w:t>
        <w:br/>
        <w:t xml:space="preserve">         Consejo Supremo de la Justicia Militar.</w:t>
        <w:br/>
        <w:br/>
        <w:br/>
        <w:t xml:space="preserve">         Este Consejo modifica la sentencia de Primera Instancia  condenando</w:t>
        <w:br/>
        <w:t xml:space="preserve">         a Astorga Valdez a la pena  de  cadena  perpetua,  como  autor  del</w:t>
        <w:br/>
        <w:t xml:space="preserve">         delito de Traición a la Patria en agravio del Estado Peruano.</w:t>
        <w:br/>
        <w:br/>
        <w:t>La Comisión accedió a esta solicitud, de acuerdo con el artículo  30  de  su</w:t>
        <w:br/>
        <w:t>Reglamento.</w:t>
        <w:br/>
        <w:br/>
        <w:t>7.    El 14 de diciembre de 1994 los segundos peticionarios  presentaron  un</w:t>
        <w:br/>
        <w:t>poder notarial otorgado por los familiares  de  las  supuestas  víctimas  al</w:t>
        <w:br/>
        <w:t>Presidente de la Comisión Chilena de Derechos Humanos, señor Jaime  Castillo</w:t>
        <w:br/>
        <w:t>Velasco y al señor Carlos Margotta Trincado.</w:t>
        <w:br/>
        <w:br/>
        <w:t>8.    El 31 de enero de 1995 la Comisión recibió de  los  peticionarios,  un</w:t>
        <w:br/>
        <w:t>informe  de  la  Comisión  de  Derechos  Humanos  de  los  Partidos  de   la</w:t>
        <w:br/>
        <w:t>Concertación Democrática de Chile (en adelante “la delegación chilena”),  en</w:t>
        <w:br/>
        <w:t>el que mencionaba que esta última Comisión intentó hacer una visita in  loco</w:t>
        <w:br/>
        <w:t>a los ciudadanos chilenos recluidos en el Perú. Según  se  afirmó  en  dicho</w:t>
        <w:br/>
        <w:t>informe,  “el  Gobierno  peruano  prohibió  a  la   [d]elegación   [c]hilena</w:t>
        <w:br/>
        <w:t>entrevistarse  con  los  reclusos  [c]hilenos,  esto  a  pesar   de  que  la</w:t>
        <w:br/>
        <w:t>delegación pudo visitar el Penal de  Yanamayo  [...],  donde  se  encuentran</w:t>
        <w:br/>
        <w:t>actualmente encarcelados los peticionarios”. Este  informe  fue  transmitido</w:t>
        <w:br/>
        <w:t>al Estado el 20 de marzo de 1995.</w:t>
        <w:br/>
        <w:br/>
        <w:t>9.    El 8 de marzo  de  1995  la  Comisión  recibió  información  adicional</w:t>
        <w:br/>
        <w:t>enviada por el Perú sobre el “estado jurídico” del caso  de  Jaime  Castillo</w:t>
        <w:br/>
        <w:t>Petruzzi, María Concepción Pincheira  Sáez  y  Lautaro  Mellado  Saavedra  a</w:t>
        <w:br/>
        <w:t>través del cual establece que</w:t>
        <w:br/>
        <w:br/>
        <w:br/>
        <w:t xml:space="preserve">         [m]ediante oficio Nro. 09-FG/CSJM, de  fecha  15.02.95,  el  Fiscal</w:t>
        <w:br/>
        <w:t xml:space="preserve">         General del Consejo Supremo de Justicia Militar,  Mayor  Gral.  FAP</w:t>
        <w:br/>
        <w:t xml:space="preserve">         Enrique Quiroga Carmona, comunica  que  [Jaime  Castillo  Petruzzi,</w:t>
        <w:br/>
        <w:t xml:space="preserve">         María Concepción Pincheira Sáez y Lautaro Mellado Saavedra]  fueron</w:t>
        <w:br/>
        <w:t xml:space="preserve">         sentenciados a cadena perpetua, señalando [con respecto al  primero</w:t>
        <w:br/>
        <w:t xml:space="preserve">         que] a través de su abogado Dr. Grimaldo Achaui Loayza, presentó un</w:t>
        <w:br/>
        <w:t xml:space="preserve">         recurso de casación contra la ejecutoria que lo condenaba, la misma</w:t>
        <w:br/>
        <w:t xml:space="preserve">         que fue declarada improcedente por resolución del Tribunal  Supremo</w:t>
        <w:br/>
        <w:t xml:space="preserve">         Militar Especial de fecha 14.09.94.</w:t>
        <w:br/>
        <w:br/>
        <w:br/>
        <w:t>Esta información fue transmitida a los  peticionarios  el  16  de  marzo  de</w:t>
        <w:br/>
        <w:t>1995.</w:t>
        <w:br/>
        <w:br/>
        <w:t>10.   Por nota del 6 de junio de 1995, el Perú informó, mediante oficio  No.</w:t>
        <w:br/>
        <w:t>316-95 de 2 de junio de 1995, sobre  el  estado  de  salud  y  la  situación</w:t>
        <w:br/>
        <w:t>jurídica de tres de las presuntas víctimas. El Perú afirmó que</w:t>
        <w:br/>
        <w:br/>
        <w:t xml:space="preserve">         [s]e solicitó al Fiscal Superior Decano de Puno,  mediante  [oficio</w:t>
        <w:br/>
        <w:t xml:space="preserve">         No.] 223-95  MP-FN-FEDPDH-DH-V,  de  fecha  18.04.95,  disponga  la</w:t>
        <w:br/>
        <w:t xml:space="preserve">         verificación del estado de salud  de  [Jaime  Castillo  Petruzzi  y</w:t>
        <w:br/>
        <w:t xml:space="preserve">         Lautaro Mellado Saavedra], así como se informe sobre  su  situación</w:t>
        <w:br/>
        <w:t xml:space="preserve">         jurídica  actual.  Mediante  [oficio  No.]  09-FG-CSJM,  de   fecha</w:t>
        <w:br/>
        <w:t xml:space="preserve">         15.02.95, el Fiscal General del Consejo Supremo de Justicia Militar</w:t>
        <w:br/>
        <w:t xml:space="preserve">         comunica  que  los  mismos  habían  sido  sentenciados   a   Cadena</w:t>
        <w:br/>
        <w:t xml:space="preserve">         Perpetua[.]</w:t>
        <w:br/>
        <w:br/>
        <w:t>Agregó además que</w:t>
        <w:br/>
        <w:br/>
        <w:t xml:space="preserve">         [m]ediante  [oficio   No.]   222-95-MP-FN-FEDPDH-DH-V,   de   fecha</w:t>
        <w:br/>
        <w:t xml:space="preserve">         18.04.95, se solicitó al  Director  del  Establecimiento  Penal  de</w:t>
        <w:br/>
        <w:t xml:space="preserve">         Máxima Seguridad  para  Mujeres-Chorrillos,  información  sobre  la</w:t>
        <w:br/>
        <w:t xml:space="preserve">         situación jurídica y  verificación  del  estado  de  salud  de  las</w:t>
        <w:br/>
        <w:t xml:space="preserve">         referidas internas [entre quienes estaba María Concepción Pincheira</w:t>
        <w:br/>
        <w:t xml:space="preserve">         Sáez. Se aseguró que  esta  información  no  fue  obtenida  en  esa</w:t>
        <w:br/>
        <w:t xml:space="preserve">         oportunidad].</w:t>
        <w:br/>
        <w:br/>
        <w:br/>
        <w:t>Esta información fue ampliada el 7 de noviembre de  1995  estableciendo  que</w:t>
        <w:br/>
        <w:t>María Concepción Pincheira Sáez había sido  sentenciada  a  cadena  perpetua</w:t>
        <w:br/>
        <w:t>por el delito de traición a la patria  y  que  fue  “asesorada  por  el  Dr.</w:t>
        <w:br/>
        <w:t>Castañeda,  durante  todo  el  proceso.  Refiere  problemas   de   salud   y</w:t>
        <w:br/>
        <w:t>hostigamiento [por] parte de las internas”. Dicha información fue enviada  a</w:t>
        <w:br/>
        <w:t>los peticionarios el 30 de los mismos mes y año.</w:t>
        <w:br/>
        <w:br/>
        <w:t>11.   El 14 de junio de 1996 los peticionarios  solicitaron  a  la  Comisión</w:t>
        <w:br/>
        <w:t>que adoptara medidas cautelares en favor de las supuestas  víctimas,  debido</w:t>
        <w:br/>
        <w:t>a la posibilidad de que éstas fueran trasladadas a un  centro  de  reclusión</w:t>
        <w:br/>
        <w:t>“inhabitable”.  La  Comisión  solicitó  información  sobre  este  asunto  al</w:t>
        <w:br/>
        <w:t>Estado, que mediante nota de 16 de julio de 1996  informó  que  “no  existía</w:t>
        <w:br/>
        <w:t>disposición alguna para trasladar a los internos de nacionalidad chilena”  a</w:t>
        <w:br/>
        <w:t>otro centro penitenciario, de conformidad con  la  ejecutoria  del  Tribunal</w:t>
        <w:br/>
        <w:t>Supremo Militar Especial, el cual dispuso que la condena de cadena  perpetua</w:t>
        <w:br/>
        <w:t>debería ser cumplida en el Penal de Yanamayo, en Puno.</w:t>
        <w:br/>
        <w:br/>
        <w:t>12.   El 19 de noviembre de 1996 la Comisión informó al  Estado  que  en  su</w:t>
        <w:br/>
        <w:t>93º Período de Sesiones consideró admisible el caso No. 11.319 y se  puso  a</w:t>
        <w:br/>
        <w:t>disposición de las partes para llegar a  una  solución  amistosa.  El  6  de</w:t>
        <w:br/>
        <w:t>febrero  de  1997  el  Perú  rechazó  la  propuesta  de  solución  amistosa,</w:t>
        <w:br/>
        <w:t>basándose   en   que   las   supuestas   víctimas   “fueron    procesad[a]s,</w:t>
        <w:br/>
        <w:t>sentenciad[a]s  y  condenad[a]s  de  conformidad   con   las   disposiciones</w:t>
        <w:br/>
        <w:t>contenidas en el Decreto Ley No. 25659 y el  Decreto  Ley  No.  25708”,  que</w:t>
        <w:br/>
        <w:t>regulan  el  delito  de  traición   a   la   patria   y   el   procedimiento</w:t>
        <w:br/>
        <w:t>correspondiente. Además, señaló que  se  habían  observado  las  normas  del</w:t>
        <w:br/>
        <w:t>debido proceso y el principio de territorialidad establecido en el  artículo</w:t>
        <w:br/>
        <w:t>1 del Código Penal peruano.</w:t>
        <w:br/>
        <w:br/>
        <w:t>13.   El 17 de diciembre de 1996 la Comisión recibió un informe del  Consejo</w:t>
        <w:br/>
        <w:t>Supremo de Justicia Militar  del  Perú,  en  el  que  se  señalaba  que  los</w:t>
        <w:br/>
        <w:t>tribunales peruanos son competentes para conocer los casos  seguidos  contra</w:t>
        <w:br/>
        <w:t>las supuestas víctimas, ya que los delitos imputados a éstas  se  cometieron</w:t>
        <w:br/>
        <w:t>en la jurisdicción peruana, y en virtud de que  “la  territorialidad  de  la</w:t>
        <w:br/>
        <w:t>ley penal es independiente de la nacionalidad del autor”. Además, el  Estado</w:t>
        <w:br/>
        <w:t>señaló que en dichos casos  se  observó  el  debido  proceso,  la  instancia</w:t>
        <w:br/>
        <w:t>plural, la tutela jurisdiccional y la motivación de las resoluciones.</w:t>
        <w:br/>
        <w:br/>
        <w:t>14.   El 18  de  diciembre  de  1996  los  peticionarios  solicitaron  a  la</w:t>
        <w:br/>
        <w:t>Comisión que adoptara  medidas  cautelares  para  resguardar  la  integridad</w:t>
        <w:br/>
        <w:t>física de las supuestas  víctimas,  tomando  en  cuenta  las  circunstancias</w:t>
        <w:br/>
        <w:t>derivadas del secuestro efectuado en la Embajada del Japón en  el  Perú  por</w:t>
        <w:br/>
        <w:t>miembros del Movimiento  Revolucionario  Tupac  Amaru  (MRTA),  con  el  que</w:t>
        <w:br/>
        <w:t>aquéllas habían sido relacionadas.</w:t>
        <w:br/>
        <w:br/>
        <w:t>15.   El 11 de marzo de 1997 la Comisión aprobó el Informe  17/97,  en  cuya</w:t>
        <w:br/>
        <w:t>parte final señaló</w:t>
        <w:br/>
        <w:br/>
        <w:t xml:space="preserve">         [...]</w:t>
        <w:br/>
        <w:t xml:space="preserve">            86.  Que  el  Estado  del  Perú,  al  haber  condenado  a  Jaime</w:t>
        <w:br/>
        <w:t xml:space="preserve">         Francisco  Castillo  Petruzzi,  María  Concepción  Pincheira  Saéz,</w:t>
        <w:br/>
        <w:t xml:space="preserve">         Lautaro  Enrique  Mellado  Saavedra  y  Alejandro  Astorga  Váldez,</w:t>
        <w:br/>
        <w:t xml:space="preserve">         conforme a los Decretos Ley No. 25.475 y No. 25.659, ha violado las</w:t>
        <w:br/>
        <w:t xml:space="preserve">         garantías judiciales que establece el artículo  8,  párrafo  1  así</w:t>
        <w:br/>
        <w:t xml:space="preserve">         como los derechos a la nacionalidad  y  a  la  protección  judicial</w:t>
        <w:br/>
        <w:t xml:space="preserve">         reconocidos  respectivamente  en  los  artículos  20  y  25  de  la</w:t>
        <w:br/>
        <w:t xml:space="preserve">         Convención  Americana  sobre  Derechos  Humanos  [en  adelante  “la</w:t>
        <w:br/>
        <w:t xml:space="preserve">         Convención o la Convención Americana”], en conexión con el artículo</w:t>
        <w:br/>
        <w:t xml:space="preserve">         1.1. de la misma.</w:t>
        <w:br/>
        <w:br/>
        <w:br/>
        <w:t xml:space="preserve">            87.  Que el delito  de  traición  a  la  patria  que  regula  el</w:t>
        <w:br/>
        <w:t xml:space="preserve">      ordenamiento  jurídico  del  Perú,   viola   principios   de   derecho</w:t>
        <w:br/>
        <w:t xml:space="preserve">      internacional universalmente aceptados, de legalidad, debido  proceso,</w:t>
        <w:br/>
        <w:t xml:space="preserve">      garantías judiciales, derecho a la defensa y derecho a  ser  oído  por</w:t>
        <w:br/>
        <w:t xml:space="preserve">      tribunales imparciales e independientes; y en consecuencia,</w:t>
        <w:br/>
        <w:br/>
        <w:br/>
        <w:t xml:space="preserve">      Acuerda [recomendar] al Estado del Perú que:</w:t>
        <w:br/>
        <w:br/>
        <w:br/>
        <w:t xml:space="preserve">            88.  Declare la nulidad de los  procedimientos  seguidos  en  el</w:t>
        <w:br/>
        <w:t xml:space="preserve">      Fuero Privativo Militar por Traición a la Patria en  contra  de  Jaime</w:t>
        <w:br/>
        <w:t xml:space="preserve">      Castillo  Petruzzi,  Lautaro  Mellado   Saavedra,   María   Concepción</w:t>
        <w:br/>
        <w:t xml:space="preserve">      Pincheira  Sáez  y  Alejandro  Astorga  Váldez  y  disponga   que   el</w:t>
        <w:br/>
        <w:t xml:space="preserve">      juzgamiento de estas personas se lleve a cabo en un nuevo juicio  ante</w:t>
        <w:br/>
        <w:t xml:space="preserve">      el Fuero Común y, con plena  observancia  de  las  normas  del  debido</w:t>
        <w:br/>
        <w:t xml:space="preserve">      proceso legal, y</w:t>
        <w:br/>
        <w:br/>
        <w:br/>
        <w:t xml:space="preserve">            89.  La Comisión con base  al  artículo  50  de  la  Convención,</w:t>
        <w:br/>
        <w:t xml:space="preserve">      solicita al Estado peruano que en un plazo de 2  meses  informe  a  la</w:t>
        <w:br/>
        <w:t xml:space="preserve">      Comisión sobre las medidas que hubiese adoptado en cumplimiento de las</w:t>
        <w:br/>
        <w:t xml:space="preserve">      recomendaciones que se formulan en el presente informe, el cual  tiene</w:t>
        <w:br/>
        <w:t xml:space="preserve">      carácter reservado y no debe darse a publicidad.</w:t>
        <w:br/>
        <w:br/>
        <w:br/>
        <w:t>16.   El 24 de abril de 1997 el Informe 17/97 fue transmitido al  Perú,  con</w:t>
        <w:br/>
        <w:t>la solicitud de que hiciera saber a la Comisión, dentro de un plazo  de  dos</w:t>
        <w:br/>
        <w:t>meses, las medidas adoptadas al respecto.</w:t>
        <w:br/>
        <w:br/>
        <w:t>17.   Tras haber solicitado y recibido una prórroga hasta el 8 de  julio  de</w:t>
        <w:br/>
        <w:t>1997, el Estado presentó un informe, en el que rebatió las  conclusiones  de</w:t>
        <w:br/>
        <w:t>la Comisión y afirmó la legitimidad de sus actuaciones.</w:t>
        <w:br/>
        <w:br/>
        <w:t>18.   El 27 de junio de 1997 la Comisión tomó la  decisión  de  enviar  este</w:t>
        <w:br/>
        <w:t>caso a la Corte.</w:t>
        <w:br/>
        <w:br/>
        <w:br/>
        <w:t xml:space="preserve">                                     IV</w:t>
        <w:br/>
        <w:t xml:space="preserve">                         PROCEDIMIENTO ANTE LA CORTE</w:t>
        <w:br/>
        <w:br/>
        <w:t>19.   Al presentar la demanda a  la  Corte  el  22  de  julio  de  1997,  la</w:t>
        <w:br/>
        <w:t>Comisión invocó el artículo 51.1 de la Convención Americana y solicitó a  la</w:t>
        <w:br/>
        <w:t>Corte que decidiera si hubo violación de  los  artículos  5  (Derecho  a  la</w:t>
        <w:br/>
        <w:t>Integridad  Personal),  8  (Garantías  Judiciales),   20   (Derecho   a   la</w:t>
        <w:br/>
        <w:t>Nacionalidad), 29 (Normas de Interpretación) en relación con  la  Convención</w:t>
        <w:br/>
        <w:t>de Viena sobre Relaciones Consulares; y  1.1  (Obligación  de  respetar  los</w:t>
        <w:br/>
        <w:t>derechos) y 51.2, todos ellos de la Convención Americana.</w:t>
        <w:br/>
        <w:br/>
        <w:t>20.   La Comisión Interamericana designó como delegados a los señores  Oscar</w:t>
        <w:br/>
        <w:t>Luján Fappiano, Carlos Ayala Corao y Claudio Grossman;  como  abogada  a  la</w:t>
        <w:br/>
        <w:t>señora Christina M. Cerna, y como asistentes a los señores  Verónica  Reyna,</w:t>
        <w:br/>
        <w:t>Nelson Caucota, Jaime Castillo Velasco y Enrique Correa. De acuerdo  con  el</w:t>
        <w:br/>
        <w:t>artículo 22.2 del Reglamento,  informó  también  a  la  Corte  que  los  dos</w:t>
        <w:br/>
        <w:t>primeros  asistentes  actuarían  como  denunciantes  originales  y  los  dos</w:t>
        <w:br/>
        <w:t>últimos, como representantes de las supuestas víctimas.</w:t>
        <w:br/>
        <w:br/>
        <w:t>21.   Por nota de 31 de julio de 1997, luego del  examen  preliminar  de  la</w:t>
        <w:br/>
        <w:t>demanda  realizado  por  el  Presidente  de  la  Corte  (en   adelante   “el</w:t>
        <w:br/>
        <w:t>Presidente”), la Secretaría  de  la  Corte  (en  adelante  “la  Secretaría”)</w:t>
        <w:br/>
        <w:t>notificó aquélla al Estado y le  informó  que  disponía  de  los  siguientes</w:t>
        <w:br/>
        <w:t>plazos: cuatro meses para presentar su contestación,  un  mes  para  nombrar</w:t>
        <w:br/>
        <w:t>agente y agente alterno y dos meses para  oponer  excepciones  preliminares.</w:t>
        <w:br/>
        <w:t>Estos plazos correrían a partir  de  la  notificación  de  la  demanda.  Por</w:t>
        <w:br/>
        <w:t>comunicación de la misma fecha, se invitó al Perú a designar juez ad hoc.</w:t>
        <w:br/>
        <w:br/>
        <w:t>22.   Mediante comunicaciones de fechas  26  y  28  de  agosto  de  1997  la</w:t>
        <w:br/>
        <w:t>Comisión presentó una versión corregida del texto en español de la  demanda,</w:t>
        <w:br/>
        <w:t>y señaló que aquélla contenía “correcciones de errores menores,  sobre  todo</w:t>
        <w:br/>
        <w:t>de estilo [y] debería reemplazar la versión anterior que  fuera  sometida  a</w:t>
        <w:br/>
        <w:t>la Corte el 22 de julio de 1997”. Dicha versión  corregida  fue  transmitida</w:t>
        <w:br/>
        <w:t>al Estado el 2 de septiembre de 1997.</w:t>
        <w:br/>
        <w:br/>
        <w:t>23.   El 3 de septiembre de 1997 el Perú comunicó a la Corte la  designación</w:t>
        <w:br/>
        <w:t>del señor Fernando Vidal Ramírez como juez ad hoc.</w:t>
        <w:br/>
        <w:br/>
        <w:t>24.   El 5 de septiembre de 1997 el  Perú  designó  agente  al  señor  Mario</w:t>
        <w:br/>
        <w:t>Cavagnaro Basile y agente alterno al señor Walter Palomino Cabezas.</w:t>
        <w:br/>
        <w:br/>
        <w:t>25.   El 22 de septiembre de 1997 el Estado solicitó que la Corte  precisara</w:t>
        <w:br/>
        <w:t>si debía “tenerse como válida” la nueva versión de la demanda (supra  22)  o</w:t>
        <w:br/>
        <w:t>si, por el contrario, se mantenía la de 22 de julio del mismo año.</w:t>
        <w:br/>
        <w:br/>
        <w:t>26.   El 24 de septiembre de 1997  la  Secretaría,  siguiendo  instrucciones</w:t>
        <w:br/>
        <w:t>del Presidente, informó al Perú que en vista de la solicitud  de  aclaración</w:t>
        <w:br/>
        <w:t>del Estado y  para  asegurar  la  “transparencia  del  proceso”,  el  propio</w:t>
        <w:br/>
        <w:t>Presidente había decidido suspender el curso de los  plazos  para  contestar</w:t>
        <w:br/>
        <w:t>la  demanda  y  oponer  excepciones  preliminares,  hasta  que  la  Comisión</w:t>
        <w:br/>
        <w:t>presentara las aclaraciones referentes a las correcciones  hechas  al  texto</w:t>
        <w:br/>
        <w:t>original de la demanda.</w:t>
        <w:br/>
        <w:br/>
        <w:t>27.   El 1 de octubre de 1997 el Perú presentó un escrito, en  el  que  hizo</w:t>
        <w:br/>
        <w:t>valer las siguientes excepciones preliminares:</w:t>
        <w:br/>
        <w:br/>
        <w:t xml:space="preserve">      Primera Excepción</w:t>
        <w:br/>
        <w:br/>
        <w:br/>
        <w:t xml:space="preserve">      falta de agotamiento de la jurisdicción interna del Perú al tiempo  en</w:t>
        <w:br/>
        <w:t xml:space="preserve">      que la Comisión Interamericana de Derechos Humanos admitió  a  trámite</w:t>
        <w:br/>
        <w:t xml:space="preserve">      conforme al artículo 37 de su Reglamento, el reclamo a  favor  de  los</w:t>
        <w:br/>
        <w:t xml:space="preserve">      ciudadanos  chilenos  Jaime   Francisco   Castillo   Petruzzi,   María</w:t>
        <w:br/>
        <w:t xml:space="preserve">      Concepción  Pincheira  Sáez,  Lautaro  Enrique  Mellado   Saavedra   y</w:t>
        <w:br/>
        <w:t xml:space="preserve">      Alejandro Astorga Valdés.</w:t>
        <w:br/>
        <w:br/>
        <w:br/>
        <w:t xml:space="preserve">      Segunda Excepción</w:t>
        <w:br/>
        <w:br/>
        <w:br/>
        <w:t xml:space="preserve">      falta de competencia de la Comisión Interamericana de Derechos Humanos</w:t>
        <w:br/>
        <w:t xml:space="preserve">      y de la Corte Interamericana de  Derechos  Humanos  para  conocer,  la</w:t>
        <w:br/>
        <w:t xml:space="preserve">      primera, la denuncia interpuesta por la Fundación de Ayuda  Social  de</w:t>
        <w:br/>
        <w:t xml:space="preserve">      las Iglesias Cristianas (FASIC) en relación con los citados ciudadanos</w:t>
        <w:br/>
        <w:t xml:space="preserve">      chilenos;  y  la  segunda,  de  tramitar  esta  demanda   al   haberse</w:t>
        <w:br/>
        <w:t xml:space="preserve">      interpuesto la denuncia original sin  que  se  hubiese  acreditado  el</w:t>
        <w:br/>
        <w:t xml:space="preserve">      agotamiento de la jurisdicción interna del Perú.</w:t>
        <w:br/>
        <w:br/>
        <w:br/>
        <w:t xml:space="preserve">      Tercera Excepción</w:t>
        <w:br/>
        <w:br/>
        <w:br/>
        <w:t xml:space="preserve">      falta de reclamación  previa  y  de  agotamiento  de  la  jurisdicción</w:t>
        <w:br/>
        <w:t xml:space="preserve">      interna del Perú [con respecto a] la presunta violación [del  artículo</w:t>
        <w:br/>
        <w:t xml:space="preserve">      29 de la Convención en relación con]  la  Convención  de  Viena  sobre</w:t>
        <w:br/>
        <w:t xml:space="preserve">      Relaciones Consulares.</w:t>
        <w:br/>
        <w:br/>
        <w:br/>
        <w:t xml:space="preserve">      Cuarta Excepción</w:t>
        <w:br/>
        <w:br/>
        <w:br/>
        <w:t xml:space="preserve">      falta de reclamación  previa  y  de  agotamiento  de  la  jurisdicción</w:t>
        <w:br/>
        <w:t xml:space="preserve">      interna del Perú con relación a la pretensión expuesta en el punto  6)</w:t>
        <w:br/>
        <w:t xml:space="preserve">      del escrito de demanda, para que la Corte ordene al Estado peruano  la</w:t>
        <w:br/>
        <w:t xml:space="preserve">      inmediata  libertad  de  Jaime  Francisco  Castillo  Petruzzi,   María</w:t>
        <w:br/>
        <w:t xml:space="preserve">      Concepción Pincheira Sáez, Lautaro Enrique Mellada  (sic)  Saavedra  y</w:t>
        <w:br/>
        <w:t xml:space="preserve">      Alejandro Astorga Valdés y que los indemnice.</w:t>
        <w:br/>
        <w:br/>
        <w:br/>
        <w:t xml:space="preserve">      Quinta Excepción</w:t>
        <w:br/>
        <w:br/>
        <w:br/>
        <w:t xml:space="preserve">      falta de personería de quien a nombre de la Fundación de Ayuda  Social</w:t>
        <w:br/>
        <w:t xml:space="preserve">      de las Iglesias Cristianas (FASIC) presentó  la  denuncia  No.  11.319</w:t>
        <w:br/>
        <w:t xml:space="preserve">      contra el Estado peruano ante la Comisión Interamericana  de  Derechos</w:t>
        <w:br/>
        <w:t xml:space="preserve">      Humanos y  de  la  falta  de  legitimidad  para  obrar  de  la  citada</w:t>
        <w:br/>
        <w:t xml:space="preserve">      fundación.</w:t>
        <w:br/>
        <w:br/>
        <w:br/>
        <w:t xml:space="preserve">      Sexta Excepción</w:t>
        <w:br/>
        <w:br/>
        <w:br/>
        <w:t xml:space="preserve">      falta de legitimidad para obrar de la Fundación de Ayuda Social de las</w:t>
        <w:br/>
        <w:t xml:space="preserve">      Iglesias Cristianas y de los que la Comisión refiere en los puntos 13)</w:t>
        <w:br/>
        <w:t xml:space="preserve">      y 14) del escrito de demanda  como  ‘otro  grupo  de  denunciantes’  o</w:t>
        <w:br/>
        <w:t xml:space="preserve">      ‘segundo grupo de peticionarios’ [y soberanía].</w:t>
        <w:br/>
        <w:br/>
        <w:br/>
        <w:t xml:space="preserve">      Séptima Excepción</w:t>
        <w:br/>
        <w:br/>
        <w:br/>
        <w:t xml:space="preserve">      prematura decisión de la Honorable Comisión de enviar el presente caso</w:t>
        <w:br/>
        <w:t xml:space="preserve">      a la Corte Interamericana de Derechos Humanos.</w:t>
        <w:br/>
        <w:br/>
        <w:br/>
        <w:t xml:space="preserve">      Octava Excepción</w:t>
        <w:br/>
        <w:br/>
        <w:br/>
        <w:t xml:space="preserve">      ambigüedad en el modo de proponer la demanda.</w:t>
        <w:br/>
        <w:br/>
        <w:br/>
        <w:t xml:space="preserve">      Novena Excepción</w:t>
        <w:br/>
        <w:br/>
        <w:br/>
        <w:t xml:space="preserve">      caducidad de la demanda.</w:t>
        <w:br/>
        <w:br/>
        <w:br/>
        <w:t xml:space="preserve">      Décima Excepción</w:t>
        <w:br/>
        <w:br/>
        <w:br/>
        <w:t xml:space="preserve">      desconocimiento de los principios de] soberanía y jurisdicción.</w:t>
        <w:br/>
        <w:br/>
        <w:t>En cuanto a las  excepciones  primera,  segunda,  tercera,  cuarta,  quinta,</w:t>
        <w:br/>
        <w:t>sexta y octava, el Estado solicitó que la Corte  las  declarara  fundadas  o</w:t>
        <w:br/>
        <w:t>reservara el pronunciamiento correspondiente para  la  resolución  sobre  el</w:t>
        <w:br/>
        <w:t>fondo del asunto. En cuanto a las  excepciones  séptima,  novena  y  décima,</w:t>
        <w:br/>
        <w:t>solicitó que se declararan fundadas y se archivara la demanda.</w:t>
        <w:br/>
        <w:br/>
        <w:t>28.   El 6  de  octubre  de  1997  la  Comisión  presentó  a  la  Corte  una</w:t>
        <w:br/>
        <w:t>comunicación, a la que agregó una “lista de correcciones efectuadas [...]  a</w:t>
        <w:br/>
        <w:t>la demanda” de 22  de  julio  de  1997  (supra  26).  El  día  siguiente  la</w:t>
        <w:br/>
        <w:t>Secretaría,  por  instrucciones  del  Presidente,  solicitó  al   Perú   que</w:t>
        <w:br/>
        <w:t>presentara, a más tardar el 13 de octubre del mismo año,  sus  observaciones</w:t>
        <w:br/>
        <w:t>a las aclaraciones efectuadas por  la  Comisión.   Dichas  observaciones  no</w:t>
        <w:br/>
        <w:t>fueron recibidas.</w:t>
        <w:br/>
        <w:br/>
        <w:t>29.   Por resolución de 15 de octubre de 1997 el Presidente decidió</w:t>
        <w:br/>
        <w:br/>
        <w:t xml:space="preserve">      1.    Aclarar que el texto original de [la] demanda  presentado  a  la</w:t>
        <w:br/>
        <w:t xml:space="preserve">      Corte Interamericana de Derechos Humanos el 22 de julio de 1997 por la</w:t>
        <w:br/>
        <w:t xml:space="preserve">      Comisión Interamericana de  Derechos  Humanos  en  este  caso,  es  el</w:t>
        <w:br/>
        <w:t xml:space="preserve">      documento que las partes deben tener  como  válido  para  preparar  su</w:t>
        <w:br/>
        <w:t xml:space="preserve">      defensa y alegatos.</w:t>
        <w:br/>
        <w:br/>
        <w:br/>
        <w:t xml:space="preserve">      2.    Incorporar al  texto  original  de  la  demanda  únicamente  las</w:t>
        <w:br/>
        <w:t xml:space="preserve">      correcciones presentadas por la Comisión  Interamericana  de  Derechos</w:t>
        <w:br/>
        <w:t xml:space="preserve">      Humanos en su escrito de 6 de octubre de 1997.</w:t>
        <w:br/>
        <w:br/>
        <w:br/>
        <w:t xml:space="preserve">      3.    Declarar improcedente la solicitud de  la  Comisión  de  que  se</w:t>
        <w:br/>
        <w:t xml:space="preserve">      reemplace el texto original de la demanda con el texto presentado a la</w:t>
        <w:br/>
        <w:t xml:space="preserve">      Corte el 26 y 28 de agosto de 1997.</w:t>
        <w:br/>
        <w:br/>
        <w:br/>
        <w:t xml:space="preserve">      4.    Continuar con la tramitación del presente  caso  y  reanudar  el</w:t>
        <w:br/>
        <w:t xml:space="preserve">      plazo para contestar la demanda, el cual vencerá el 27 de diciembre de</w:t>
        <w:br/>
        <w:t xml:space="preserve">      1997.</w:t>
        <w:br/>
        <w:br/>
        <w:br/>
        <w:t xml:space="preserve">      5.    Reanudar el plazo para interponer excepciones  preliminares,  el</w:t>
        <w:br/>
        <w:t xml:space="preserve">      cual vencerá el 27 de octubre  de  1997  y  solicitar  al  Estado  que</w:t>
        <w:br/>
        <w:t xml:space="preserve">      indique si ratifica el contenido de su escrito  de  1  de  octubre  de</w:t>
        <w:br/>
        <w:t xml:space="preserve">      1997.</w:t>
        <w:br/>
        <w:br/>
        <w:t>30.   El 17 de octubre de 1997 el Estado ratificó su escrito de  excepciones</w:t>
        <w:br/>
        <w:t>preliminares, presentado el 1 de los mismos mes y año (supra 27).</w:t>
        <w:br/>
        <w:br/>
        <w:t>31.   El 22 de octubre de 1997 la Secretaría recibió  copia  del  expediente</w:t>
        <w:br/>
        <w:t>original tramitado ante la Comisión.</w:t>
        <w:br/>
        <w:br/>
        <w:t>32.   El 21 de noviembre de 1997 la Comisión presentó sus alegatos  escritos</w:t>
        <w:br/>
        <w:t>sobre las excepciones preliminares interpuestas por el Perú y solicitó a  la</w:t>
        <w:br/>
        <w:t>Corte que las declarara infundadas.</w:t>
        <w:br/>
        <w:br/>
        <w:t>33.   El 12 de diciembre de 1997 el Perú solicitó una prórroga  hasta  el  5</w:t>
        <w:br/>
        <w:t>de enero de 1998 para la presentación de su escrito de  contestación  de  la</w:t>
        <w:br/>
        <w:t>demanda. El 15 de diciembre de 1997, la Secretaría, siguiendo  instrucciones</w:t>
        <w:br/>
        <w:t>del Presidente, informó al Estado que</w:t>
        <w:br/>
        <w:br/>
        <w:t xml:space="preserve">      el  plazo  de  presentación  de  la  contestación  de  la  demanda  es</w:t>
        <w:br/>
        <w:t xml:space="preserve">      improrrogable. No obstante, la Corte permanecerá cerrada a partir  del</w:t>
        <w:br/>
        <w:t xml:space="preserve">      medio día del 24 de diciembre del presente año y abrirá  de  nuevo  el</w:t>
        <w:br/>
        <w:t xml:space="preserve">      día 5 de enero de 1998, razón por la cual el Ilustrado Estado del Perú</w:t>
        <w:br/>
        <w:t xml:space="preserve">      podría presentar hasta esa fecha dicha contestación.</w:t>
        <w:br/>
        <w:br/>
        <w:t>34.   El 5 de enero de  1998  el  Estado  presentó  la  contestación  de  la</w:t>
        <w:br/>
        <w:t>demanda, en la cual solicitó que la Corte  declarase  aquélla  infundada  en</w:t>
        <w:br/>
        <w:t>todas sus partes.</w:t>
        <w:br/>
        <w:br/>
        <w:t>35.   El 19 de enero de 1998 el Estado “solicitó [...] tener  por  impugnado</w:t>
        <w:br/>
        <w:t>el instrumento” que la Comisión anexó a sus alegatos sobre  las  excepciones</w:t>
        <w:br/>
        <w:t>preliminares, por medio del cual se hace constar la personería  jurídica  de</w:t>
        <w:br/>
        <w:t>FASIC, a la que en esa comunicación se alude  como  la  Fundación  de  Ayuda</w:t>
        <w:br/>
        <w:t>Social de Fieles de las Iglesias Cristianas.</w:t>
        <w:br/>
        <w:br/>
        <w:t>36.   El 22 de enero de 1998 la Comisión remitió copia de documentación  que</w:t>
        <w:br/>
        <w:t>le había sido enviada por FASIC, relacionada con  la  personalidad  jurídica</w:t>
        <w:br/>
        <w:t>de ésta.</w:t>
        <w:br/>
        <w:br/>
        <w:t>37.   El 17 de febrero de 1998, de acuerdo con una solicitud  hecha  por  la</w:t>
        <w:br/>
        <w:t>Comisión el 11 del mismo mes, la Secretaría solicitó al Estado el  envío  de</w:t>
        <w:br/>
        <w:t>diversos  folios  relativos  a  los  medios  probatorios  aportados  con  la</w:t>
        <w:br/>
        <w:t>contestación de la demanda. El Estado cumplió dicho requerimiento el  23  de</w:t>
        <w:br/>
        <w:t>marzo del año citado.</w:t>
        <w:br/>
        <w:br/>
        <w:t>38.   Por resolución de 9 de marzo  de  1998  el  Presidente  convocó  a  la</w:t>
        <w:br/>
        <w:t>Comisión Interamericana y al Perú a una audiencia pública que se  celebraría</w:t>
        <w:br/>
        <w:t>en la sede de la Corte el 8 de junio siguiente, para conocer sus  puntos  de</w:t>
        <w:br/>
        <w:t>vista sobre las excepciones preliminares interpuestas.</w:t>
        <w:br/>
        <w:br/>
        <w:t>39.   Mediante escrito de 17 de marzo de 1998 el Estado  manifestó  que  los</w:t>
        <w:br/>
        <w:t>documentos presentados por la Comisión el 22 de enero de 1998 (supra 36)  no</w:t>
        <w:br/>
        <w:t>hacían más que confirmar sus cuestionamientos  sobre  la  personería  de  la</w:t>
        <w:br/>
        <w:t>fundación peticionaria e “impugnó” uno de ellos.</w:t>
        <w:br/>
        <w:br/>
        <w:t>40.   El 19 de marzo de 1998  la  Secretaría,  siguiendo  instrucciones  del</w:t>
        <w:br/>
        <w:t>Presidente, informó al Estado que  las  partes  pertinentes  del  expediente</w:t>
        <w:br/>
        <w:t>tramitado ante la Comisión fueron aportadas  por  ésta  oportunamente  y  se</w:t>
        <w:br/>
        <w:t>encuentran en poder de la Corte, en razón de que  el  Perú  había  requerido</w:t>
        <w:br/>
        <w:t>tanto en su escrito de excepciones preliminares como en su  contestación  de</w:t>
        <w:br/>
        <w:t>la demanda que la Comisión exhibiera todo lo actuado en este caso.</w:t>
        <w:br/>
        <w:br/>
        <w:t>41.   El 19 de marzo de 1998  la  Secretaría,  siguiendo  instrucciones  del</w:t>
        <w:br/>
        <w:t>Presidente,  solicitó  al  Estado  copia  autenticada   de   las   leyes   y</w:t>
        <w:br/>
        <w:t>disposiciones reglamentarias aplicadas en los procesos  tramitados  ante  la</w:t>
        <w:br/>
        <w:t>jurisdicción peruana contra las supuestas víctimas en este  caso,  así  como</w:t>
        <w:br/>
        <w:t>de los expedientes judiciales completos de dichos procesos.</w:t>
        <w:br/>
        <w:br/>
        <w:t>42.   El 14 de  abril  de  1998  el  Estado  informó  a  la  Corte  que  las</w:t>
        <w:br/>
        <w:t>disposiciones legales solicitadas habían sido  presentadas  como  parte  del</w:t>
        <w:br/>
        <w:t>acervo probatorio en el caso Loayza Tamayo, y  pidió  que  se  indicara  qué</w:t>
        <w:br/>
        <w:t>piezas del expediente judicial relativo a las  supuestas  víctimas  en  este</w:t>
        <w:br/>
        <w:t>caso sería necesario presentar, ya que  aquél  “[constituye]  un  voluminoso</w:t>
        <w:br/>
        <w:t>conjunto  de  documentos  que  involucran  también  a   numerosas   personas</w:t>
        <w:br/>
        <w:t>distintas a las que se refiere esta demanda”.</w:t>
        <w:br/>
        <w:br/>
        <w:t>43.   El 27 de abril de 1998 la  Comisión  reiteró  su  solicitud  sobre  la</w:t>
        <w:br/>
        <w:t>presentación de “las leyes y demás  disposiciones  reglamentarias  aplicadas</w:t>
        <w:br/>
        <w:t>en  los  procesos  realizados  por  la  jurisdicción  peruana  contra  Jaime</w:t>
        <w:br/>
        <w:t>Francisco Castillo Petruzzi y [o]tros, así como  de  todas  aquellas  partes</w:t>
        <w:br/>
        <w:t>pertinentes  de  los  expedientes  judiciales  referentes  a  estos  casos”.</w:t>
        <w:br/>
        <w:t>Además, la Comisión se opuso a la utilización de los mismos  documentos  que</w:t>
        <w:br/>
        <w:t>contienen las leyes y disposiciones presentadas en el  caso  Loayza  Tamayo,</w:t>
        <w:br/>
        <w:t>argumentando que se trata de expedientes distintos.  El 7 de julio de  1998,</w:t>
        <w:br/>
        <w:t>la Secretaría, siguiendo instrucciones de la Corte, solicitó  al  Estado  la</w:t>
        <w:br/>
        <w:t>presentación de las partes pertinentes del expediente judicial  del  proceso</w:t>
        <w:br/>
        <w:t>seguido en el Perú contra Jaime  Francisco  Castillo  Petruzzi  y  otros,  e</w:t>
        <w:br/>
        <w:t>informó a ambas partes que se integrarían al  expediente  las  disposiciones</w:t>
        <w:br/>
        <w:t>legales consignadas en el caso Loayza Tamayo.</w:t>
        <w:br/>
        <w:br/>
        <w:t>44.   La audiencia pública tuvo lugar en la sede de la Corte el  8 de  junio</w:t>
        <w:br/>
        <w:t>de 1998.</w:t>
        <w:br/>
        <w:br/>
        <w:t>Comparecieron</w:t>
        <w:br/>
        <w:br/>
        <w:t>por el Estado del Perú:</w:t>
        <w:br/>
        <w:br/>
        <w:t xml:space="preserve">      Walter Palomino Cabezas, agente alterno,</w:t>
        <w:br/>
        <w:t xml:space="preserve">      Ana Reátegui Napurí, asesora, y</w:t>
        <w:br/>
        <w:t xml:space="preserve">      Jennie Vizcarra Alvizuri, asesora;</w:t>
        <w:br/>
        <w:br/>
        <w:t>por la Comisión Interamericana de Derechos Humanos:</w:t>
        <w:br/>
        <w:br/>
        <w:t xml:space="preserve">      Oscar Luján Fappiano, delegado,</w:t>
        <w:br/>
        <w:t xml:space="preserve">      Christina Cerna, abogada,</w:t>
        <w:br/>
        <w:t xml:space="preserve">      Verónica Reyna, asistente, y</w:t>
        <w:br/>
        <w:t xml:space="preserve">      Nelson Caucota, asistente.</w:t>
        <w:br/>
        <w:br/>
        <w:br/>
        <w:t>45.   El 14 de julio de 1998 la Secretaría, siguiendo  instrucciones  de  la</w:t>
        <w:br/>
        <w:t>Corte, solicitó a la Comisión que remitiera el acta de la sesión en  la  que</w:t>
        <w:br/>
        <w:t>acordó enviar el presente caso a la Corte, así como de  cualquier  documento</w:t>
        <w:br/>
        <w:t>en el que se hiciese constar que las  supuestas  víctimas  conocían  de  las</w:t>
        <w:br/>
        <w:t>gestiones hechas en su favor ante la  Comisión,  independientemente  de  que</w:t>
        <w:br/>
        <w:t>los gestores contaran o no con poderes expedidos por sus familiares.  El  29</w:t>
        <w:br/>
        <w:t>de julio de 1998 la Comisión envió los documentos solicitados.</w:t>
        <w:br/>
        <w:br/>
        <w:t>46.   El 14 de julio y el 3 de  agosto  de  1998  la  Secretaría,  siguiendo</w:t>
        <w:br/>
        <w:t>instrucciones de la Corte, solicitó al Estado el  envío  del  oficio  número</w:t>
        <w:br/>
        <w:t>521-DIVICOTE-DINCOTE, de 19 de octubre de  1993.  El  Estado  remitió  a  la</w:t>
        <w:br/>
        <w:t>Corte la documentación solicitada, la cual fue recibida en la Secretaría  de</w:t>
        <w:br/>
        <w:t>la Corte el 7 de agosto de 1998.</w:t>
        <w:br/>
        <w:br/>
        <w:t>47.   El 24 de agosto de 1998 el Estado objetó  la  minuta  de  la  Comisión</w:t>
        <w:br/>
        <w:t>(supra 45), porque estaba redactada en  idioma  inglés  y  solicitó  que  se</w:t>
        <w:br/>
        <w:t>aportara en español.  El 25 de agosto  de  1998,  la  Secretaría,  siguiendo</w:t>
        <w:br/>
        <w:t>instrucciones  del  Presidente,  envió  al  Estado  y  a  la  Comisión   una</w:t>
        <w:br/>
        <w:t>traducción para que éstos conocieran el contenido del documento  mencionado.</w:t>
        <w:br/>
        <w:t>El plazo otorgado para este efecto expiró el 28 de agosto de  1998  sin  que</w:t>
        <w:br/>
        <w:t>se recibiesen en la Secretaría observaciones de las partes.</w:t>
        <w:br/>
        <w:br/>
        <w:t>48.   El 1 de septiembre de 1998 el Estado informó sobre algunas  cuestiones</w:t>
        <w:br/>
        <w:t>relacionadas  con  la  asistencia  consular  de  Chile  en  el  Perú.   Esta</w:t>
        <w:br/>
        <w:t>comunicación fue transmitida el 3  de  septiembre  a  la  Comisión,  con  la</w:t>
        <w:br/>
        <w:t>solicitud de que  hiciera  llegar  a  la  Corte  cualquier  observación  que</w:t>
        <w:br/>
        <w:t>estimara pertinente dentro de las 24 horas siguientes.</w:t>
        <w:br/>
        <w:br/>
        <w:br/>
        <w:t xml:space="preserve">                                      V</w:t>
        <w:br/>
        <w:t xml:space="preserve">                                 COMPETENCIA</w:t>
        <w:br/>
        <w:br/>
        <w:t>49.   El Perú es Estado Parte en la Convención  Americana  desde  el  28  de</w:t>
        <w:br/>
        <w:t>julio de 1978 y aceptó la competencia contenciosa  de  la  Corte  el  21  de</w:t>
        <w:br/>
        <w:t>enero de 1981. En consecuencia, la Corte es competente, en los términos  del</w:t>
        <w:br/>
        <w:t>artículo 62.3 de la Convención, para conocer  las  excepciones  preliminares</w:t>
        <w:br/>
        <w:t>presentadas por el Estado.</w:t>
        <w:br/>
        <w:br/>
        <w:br/>
        <w:br/>
        <w:t xml:space="preserve">                                     VI</w:t>
        <w:br/>
        <w:t xml:space="preserve">                           CONSIDERACIONES PREVIAS</w:t>
        <w:br/>
        <w:br/>
        <w:t>50.   Las excepciones planteadas por el Perú se refieren,  fundamentalmente,</w:t>
        <w:br/>
        <w:t>a los siguientes asuntos procesales: agotamiento de  los  recursos  internos</w:t>
        <w:br/>
        <w:t>(cfr.  primera,  segunda,  tercera  y  cuarta   excepciones),   personalidad</w:t>
        <w:br/>
        <w:t>jurídica y  legitimación  (cfr.  quinta  y  sexta  excepciones),  “prematura</w:t>
        <w:br/>
        <w:t>decisión”  de  envío  del  caso  a  la  Corte  (cfr.   séptima   excepción),</w:t>
        <w:br/>
        <w:t>“ambigüedad en el modo de proponer  la  demanda”  (cfr.  octava  excepción),</w:t>
        <w:br/>
        <w:t>caducidad  de  la  demanda  (cfr.   novena   excepción)   y   “soberanía   y</w:t>
        <w:br/>
        <w:t>jurisdicción” (cfr. décima  excepción).  Se  examinarán  en  seguida  dichas</w:t>
        <w:br/>
        <w:t>excepciones bajo rubros generales en que se indica el tema  fundamental  que</w:t>
        <w:br/>
        <w:t>estas excepciones abordan, sin perjuicio de hacer los reenvíos  pertinentes,</w:t>
        <w:br/>
        <w:t>para evitar reiteraciones innecesarias, y de que en cada caso  se  analicen,</w:t>
        <w:br/>
        <w:t>además, otros asuntos mencionados por el  Perú  en  su  explicación  de  las</w:t>
        <w:br/>
        <w:t>respectivas excepciones.</w:t>
        <w:br/>
        <w:br/>
        <w:br/>
        <w:t xml:space="preserve">                                     VII</w:t>
        <w:br/>
        <w:t xml:space="preserve">                    AGOTAMIENTO DE LOS RECURSOS INTERNOS</w:t>
        <w:br/>
        <w:br/>
        <w:t xml:space="preserve">                              Primera excepción</w:t>
        <w:br/>
        <w:br/>
        <w:t>51.   La primera excepción interpuesta por el Estado se refiere a la</w:t>
        <w:br/>
        <w:br/>
        <w:t xml:space="preserve">      falta de agotamiento de la jurisdicción interna del Perú al tiempo  en</w:t>
        <w:br/>
        <w:t xml:space="preserve">      que la Comisión Interamericana de Derechos Humanos admitió  a  trámite</w:t>
        <w:br/>
        <w:t xml:space="preserve">      conforme al artículo 37 de su Reglamento, el reclamo a  favor  de  los</w:t>
        <w:br/>
        <w:t xml:space="preserve">      ciudadanos  chilenos  Jaime   Francisco   Castillo   Petruzzi,   María</w:t>
        <w:br/>
        <w:t xml:space="preserve">      Concepción  Pincheira  Sáez,  Lautaro  Enrique  Mellado   Saavedra   y</w:t>
        <w:br/>
        <w:t xml:space="preserve">      Alejandro Astorga Valdés.</w:t>
        <w:br/>
        <w:br/>
        <w:t>52.   La Corte resume en los siguientes términos los alegatos del  Estado  y</w:t>
        <w:br/>
        <w:t>de la Comisión en lo que respecta a esa excepción:</w:t>
        <w:br/>
        <w:br/>
        <w:t xml:space="preserve">      a.    El Estado señaló que la Comisión Interamericana recibió e inició</w:t>
        <w:br/>
        <w:t xml:space="preserve">      la tramitación de la denuncia el 28 de enero de  1994,  cuando  estaba</w:t>
        <w:br/>
        <w:t xml:space="preserve">      pendiente un proceso en el Perú contra las supuestas víctimas. El 3 de</w:t>
        <w:br/>
        <w:t xml:space="preserve">      mayo de 1994 el Tribunal Supremo Militar Especial del Consejo  Supremo</w:t>
        <w:br/>
        <w:t xml:space="preserve">      de Justicia Militar condenó a aquéllas por “la  comisión  del  aludido</w:t>
        <w:br/>
        <w:t xml:space="preserve">      ilícito penal”. La denuncia presentada por Verónica  Reyna,  Jefa  del</w:t>
        <w:br/>
        <w:t xml:space="preserve">      Departamento Jurídico de FASIC, se refería a  tres  de  las  supuestas</w:t>
        <w:br/>
        <w:t xml:space="preserve">      víctimas; la presunta cuarta víctima, Alejandro  Astorga  Valdés,  fue</w:t>
        <w:br/>
        <w:t xml:space="preserve">      agregada posteriormente.  En la audiencia pública el Perú  señaló  que</w:t>
        <w:br/>
        <w:t xml:space="preserve">      la Comisión le comunicó la denuncia el 29 de junio de 1994. El  Estado</w:t>
        <w:br/>
        <w:t xml:space="preserve">      manifestó que la Comisión incumplió lo  estipulado  en  los  artículos</w:t>
        <w:br/>
        <w:t xml:space="preserve">      46.1.a) y 47.a) de la Convención, el artículo 37 de  su  Reglamento  y</w:t>
        <w:br/>
        <w:t xml:space="preserve">      los artículos 18 y 19 a) de su Estatuto.</w:t>
        <w:br/>
        <w:br/>
        <w:br/>
        <w:t xml:space="preserve">      b.    La Comisión señaló que la denuncia fue transmitida al Perú el 29</w:t>
        <w:br/>
        <w:t xml:space="preserve">      de junio del mismo año, después de que el Consejo Supremo de  Justicia</w:t>
        <w:br/>
        <w:t xml:space="preserve">      Militar emitiera la sentencia condenatoria, de 3 de mayo de  ese  año.</w:t>
        <w:br/>
        <w:t xml:space="preserve">      Agregó que, en su concepto, ni siquiera hubiera sido necesario  agotar</w:t>
        <w:br/>
        <w:t xml:space="preserve">      los recursos internos, dado  que  los  Decretos-Ley  número  25.659  y</w:t>
        <w:br/>
        <w:t xml:space="preserve">      25.708 sobre el delito de traición a la patria y las  correspondientes</w:t>
        <w:br/>
        <w:t xml:space="preserve">      normas procesales, así como su aplicación  al  caso  concreto,  no  se</w:t>
        <w:br/>
        <w:t xml:space="preserve">      ajustan a “las garantías fundamentales del debido proceso”. Durante la</w:t>
        <w:br/>
        <w:t xml:space="preserve">      audiencia pública,  la  Comisión  advirtió  que  su  planteamiento  se</w:t>
        <w:br/>
        <w:t xml:space="preserve">      sustenta en la  excepción  a  la  regla  de  agotamiento  de  recursos</w:t>
        <w:br/>
        <w:t xml:space="preserve">      internos (artículo 46.2 de la Convención) y señaló que este  punto  no</w:t>
        <w:br/>
        <w:t xml:space="preserve">      fue invocado oportunamente ante ella.</w:t>
        <w:br/>
        <w:br/>
        <w:t>53.   En lo que respecta a esta primera excepción propuesta por  el  Estado,</w:t>
        <w:br/>
        <w:t>la Corte  no  considerará  las  calificaciones  de  ambas  partes  sobre  la</w:t>
        <w:br/>
        <w:t>naturaleza del proceso seguido en contra de las supuestas víctimas,  por  lo</w:t>
        <w:br/>
        <w:t>que toca a su conformidad  con  los  principios  del  debido  proceso  legal</w:t>
        <w:br/>
        <w:t>recogido en la Convención. En efecto, tomando en cuenta el carácter de  este</w:t>
        <w:br/>
        <w:t>asunto, el Tribunal estima que el análisis correspondiente  debe  reservarse</w:t>
        <w:br/>
        <w:t>para el pronunciamiento de fondo sobre la controversia planteada.</w:t>
        <w:br/>
        <w:br/>
        <w:t>54.   La Corte advierte que si bien la Comisión recibió la  denuncia  acerca</w:t>
        <w:br/>
        <w:t>de  este  caso  cuando  el  procedimiento  penal  se  hallaba  pendiente  de</w:t>
        <w:br/>
        <w:t>resolución definitiva en última instancia,  ante  la  justicia  militar,  la</w:t>
        <w:br/>
        <w:t>mera presentación de aquélla no motivó que la Comisión iniciara  el  trámite</w:t>
        <w:br/>
        <w:t>del asunto. En rigor, no debiera confundirse el recibo de una denuncia,  que</w:t>
        <w:br/>
        <w:t>deriva de un  acto  del  denunciante,  con  la  admisión  y  tramitación  de</w:t>
        <w:br/>
        <w:t>aquélla, que se concreta en actos específicos de la  propia  Comisión,  como</w:t>
        <w:br/>
        <w:t>lo es la resolución que admite la denuncia, en su caso,  y  la  notificación</w:t>
        <w:br/>
        <w:t>al Estado acerca de ésta.</w:t>
        <w:br/>
        <w:br/>
        <w:t>55.   Es necesario observar que en  este  caso  el  trámite  comenzó  varios</w:t>
        <w:br/>
        <w:t>meses  después  de  la  presentación  de  la  denuncia,  cuando  ya  existía</w:t>
        <w:br/>
        <w:t>sentencia definitiva del órgano de justicia  militar  de  última  instancia.</w:t>
        <w:br/>
        <w:t>Fue precisamente entonces cuando la Comisión hizo saber  al  Perú,  mediante</w:t>
        <w:br/>
        <w:t>notificación de 29 de junio de 1994, la denuncia presentada y  requirió  sus</w:t>
        <w:br/>
        <w:t>observaciones sobre ella, para que el Estado pudiera aducir  en  su  defensa</w:t>
        <w:br/>
        <w:t>lo que creyese pertinente.</w:t>
        <w:br/>
        <w:br/>
        <w:t>56.   También señala que el Estado no alegó ante la  Comisión  la  falta  de</w:t>
        <w:br/>
        <w:t>agotamiento de  los  recursos  de  jurisdicción  interna.   Al  no  hacerlo,</w:t>
        <w:br/>
        <w:t>prescindió de un medio de defensa que la Convención establece en su favor  e</w:t>
        <w:br/>
        <w:t>incurrió en admisión tácita de la  inexistencia  de  dichos  recursos  o  el</w:t>
        <w:br/>
        <w:t>oportuno agotamiento de éstos, como se ha señalado  en  procedimientos  ante</w:t>
        <w:br/>
        <w:t>órganos  de  la  jurisdicción  internacional  (así,  la  Corte  Europea   ha</w:t>
        <w:br/>
        <w:t>sostenido que las excepciones de inadmisibilidad deben  ser  presentadas  al</w:t>
        <w:br/>
        <w:t>iniciarse el trámite ante la  Comisión,  salvo  que  el  Estado  no  hubiese</w:t>
        <w:br/>
        <w:t>podido invocarlas oportunamente, por razones no imputables a él  (cfr.  Eur.</w:t>
        <w:br/>
        <w:t>Court H. R., Artico judgment of 13 May 1980, Series A No. 37,  párrs.  24  y</w:t>
        <w:br/>
        <w:t>ss.; Eur. Court H. R., judgment of Foti and  others  of  10  December  1982,</w:t>
        <w:br/>
        <w:t>Series A No. 56, párrs. 46 y ss.; Eur. Court H. R., Corigliano  judgment  of</w:t>
        <w:br/>
        <w:t>10 December 1982, Series A No. 57, párrs. 31 y ss.; Eur. Court H.R.,  Bozano</w:t>
        <w:br/>
        <w:t>judgment of 18 December 1986, Series A No. 111, párr. 44; Eur. Court H.  R.,</w:t>
        <w:br/>
        <w:t>Ciulla case, decision of 23 March 1988, Series A No. 148, párrs. 28 y ss.  y</w:t>
        <w:br/>
        <w:t>Eur. Court H. R., de Jong, Baljet and van  den  Brick  judgment  of  22  May</w:t>
        <w:br/>
        <w:t>1984, Series A No. 77, párrs. 35 y ss.) y lo  ha  sostenido  esta  Corte  en</w:t>
        <w:br/>
        <w:t>anteriores decisiones (Asunto de Viviana Gallardo y  otras.  No.  G  101/81.</w:t>
        <w:br/>
        <w:t>Serie A, párr.  26;  Caso  Velásquez  Rodríguez,  Excepciones  Preliminares,</w:t>
        <w:br/>
        <w:t>Sentencia de 26 de junio de 1987. Serie C No. 1, párrs. 88, 89; Caso  Fairén</w:t>
        <w:br/>
        <w:t>Garbi y Solís Corrales, Excepciones Preliminares, Sentencia de 26  de  junio</w:t>
        <w:br/>
        <w:t>de 1987. Serie C No. 2,  párrs.  87,  88;  Caso  Godínez  Cruz,  Excepciones</w:t>
        <w:br/>
        <w:t>Preliminares, Sentencia de 26 de junio de 1987. Serie C No.  3,  párrs.  90,</w:t>
        <w:br/>
        <w:t>91; Caso Fairén Garbi y Solís Corrales, Sentencia del 15 de marzo  de  1989.</w:t>
        <w:br/>
        <w:t>Serie  C  No.  6,  párr.  109;  Caso  Neira  Alegría  y  Otros,  Excepciones</w:t>
        <w:br/>
        <w:t>Preliminares, Sentencia de 11 de diciembre de 1991. Serie C  No.  13,  párr.</w:t>
        <w:br/>
        <w:t>30; Caso Gangaram Panday, Sentencia de 21 de enero de 1994. Serie C No.  16,</w:t>
        <w:br/>
        <w:t>párrs. 38 y 40; Caso Castillo Páez, Excepciones Preliminares,  Sentencia  de</w:t>
        <w:br/>
        <w:t>30 de enero de  1996.  Serie  C  No.  24,  párr.  40;  Caso  Loayza  Tamayo,</w:t>
        <w:br/>
        <w:t>Excepciones Preliminares, Sentencia de 31 de enero de 1996. Serie C No.  25,</w:t>
        <w:br/>
        <w:t>párr. 40; complementariamente a  los  fallos  anteriores,  en  cuanto  a  la</w:t>
        <w:br/>
        <w:t>oportunidad para presentar defensas, la Corte se ha pronunciado en  el  Caso</w:t>
        <w:br/>
        <w:t>Caballero Delgado y Santana, Excepciones Preliminares, Sentencia  de  21  de</w:t>
        <w:br/>
        <w:t>enero de 1994. Serie C No. 17, párr. 60)).</w:t>
        <w:br/>
        <w:br/>
        <w:t>57.   Por consiguiente, la Corte estima que  esta  excepción  preliminar  es</w:t>
        <w:br/>
        <w:t>inadmisible.</w:t>
        <w:br/>
        <w:br/>
        <w:t xml:space="preserve">                              Segunda excepción</w:t>
        <w:br/>
        <w:br/>
        <w:t>58.   La segunda excepción interpuesta por el Estado se refiere a la</w:t>
        <w:br/>
        <w:br/>
        <w:t xml:space="preserve">      falta de competencia de la Comisión Interamericana de Derechos Humanos</w:t>
        <w:br/>
        <w:t xml:space="preserve">      y de la Corte Interamericana de  Derechos  Humanos  para  conocer,  la</w:t>
        <w:br/>
        <w:t xml:space="preserve">      primera, la denuncia interpuesta por la Fundación de Ayuda  Social  de</w:t>
        <w:br/>
        <w:t xml:space="preserve">      las Iglesias Cristianas (FASIC) en relación con los citados ciudadanos</w:t>
        <w:br/>
        <w:t xml:space="preserve">      chilenos;  y  la  segunda,  de  tramitar  esta  demanda   al   haberse</w:t>
        <w:br/>
        <w:t xml:space="preserve">      interpuesto la denuncia original sin  que  se  hubiese  acreditado  el</w:t>
        <w:br/>
        <w:t xml:space="preserve">      agotamiento de la jurisdicción interna del Perú.</w:t>
        <w:br/>
        <w:br/>
        <w:t>59.   La Corte resume de la siguiente manera las posiciones del Estado y  de</w:t>
        <w:br/>
        <w:t>la Comisión al respecto:</w:t>
        <w:br/>
        <w:br/>
        <w:t xml:space="preserve">      a.    El Estado señaló que la Comisión recibió e inició la tramitación</w:t>
        <w:br/>
        <w:t xml:space="preserve">      de la denuncia cuando todavía estaba en curso la acción  penal  contra</w:t>
        <w:br/>
        <w:t xml:space="preserve">      las supuestas víctimas, y  afirmó  que  aquélla  está  facultada  para</w:t>
        <w:br/>
        <w:t xml:space="preserve">      conocer un asunto cuando se han agotado los recursos internos y que el</w:t>
        <w:br/>
        <w:t xml:space="preserve">      incumplimiento de esta norma “acarrea la incompetencia de la  Comisión</w:t>
        <w:br/>
        <w:t xml:space="preserve">      y [...] determina que la Corte carezca igualmente de competencia  para</w:t>
        <w:br/>
        <w:t xml:space="preserve">      asumir jurisdicción y emitir un pronunciamiento válido sobre el  fondo</w:t>
        <w:br/>
        <w:t xml:space="preserve">      de la cuestión controvertida”. El Estado  resaltó  que  las  supuestas</w:t>
        <w:br/>
        <w:t xml:space="preserve">      víctimas o sus abogados pudieron interponer  las  acciones  de  hábeas</w:t>
        <w:br/>
        <w:t xml:space="preserve">      corpus o de amparo y no lo hicieron.</w:t>
        <w:br/>
        <w:br/>
        <w:br/>
        <w:t xml:space="preserve">      b.    La Comisión apuntó que esta segunda  excepción  sólo  repite  la</w:t>
        <w:br/>
        <w:t xml:space="preserve">      primera. Observó que en octubre de 1993, por  las  circunstancias  del</w:t>
        <w:br/>
        <w:t xml:space="preserve">      proceso y por ser aplicable el artículo 6 del Decreto-Ley No.  25.659,</w:t>
        <w:br/>
        <w:t xml:space="preserve">      se les “prohibió [a las  supuestas  víctimas  la  posibilidad  de]  la</w:t>
        <w:br/>
        <w:t xml:space="preserve">      interposición de la acción de [h]ábeas corpus o de amparo”. Además, la</w:t>
        <w:br/>
        <w:t xml:space="preserve">      Comisión afirmó que pese a que el 25 de noviembre de 1993 se  modificó</w:t>
        <w:br/>
        <w:t xml:space="preserve">      el Decreto-Ley citado a través del Decreto-Ley No. 26.248, permitiendo</w:t>
        <w:br/>
        <w:t xml:space="preserve">      la interposición del recurso de hábeas corpus en casos de  traición  a</w:t>
        <w:br/>
        <w:t xml:space="preserve">      la patria, esta modificación legal “se produjo con mucha posterioridad</w:t>
        <w:br/>
        <w:t xml:space="preserve">      a la sentencia definitiva, firme y ejecutoriada dictada por  el  fuero</w:t>
        <w:br/>
        <w:t xml:space="preserve">      privativo militar; lo que hace que el recurso result[e]  ineficaz  por</w:t>
        <w:br/>
        <w:t xml:space="preserve">      inoportuno”.  Asimismo,  advirtió  que  no  podía  interponerse   este</w:t>
        <w:br/>
        <w:t xml:space="preserve">      recurso, ya que se refería a los mismos hechos por los  que  se  había</w:t>
        <w:br/>
        <w:t xml:space="preserve">      juzgado a los detenidos. Igualmente, la Comisión subrayó que el Estado</w:t>
        <w:br/>
        <w:t xml:space="preserve">      no había demostrado la efectividad de dicho recurso para la liberación</w:t>
        <w:br/>
        <w:t xml:space="preserve">      de personas juzgadas por “un tribunal militar ‘sin rostro’”.</w:t>
        <w:br/>
        <w:br/>
        <w:t>60.   El principal asunto que se aborda en esta segunda excepción, la  falta</w:t>
        <w:br/>
        <w:t>de agotamiento oportuno de los recursos de  jurisdicción  interna,  ha  sido</w:t>
        <w:br/>
        <w:t>analizado a propósito de la primera excepción (supra 53 a 56),  y  por  ello</w:t>
        <w:br/>
        <w:t>la Corte no estima necesario volver sobre  las  consideraciones  que  ya  ha</w:t>
        <w:br/>
        <w:t>formulado.</w:t>
        <w:br/>
        <w:t>61.   En el desarrollo de la segunda excepción esgrimida por  el  Estado  se</w:t>
        <w:br/>
        <w:t>alude específicamente a los recursos de hábeas corpus y amparo.  En  previas</w:t>
        <w:br/>
        <w:t>resoluciones, la Corte ha sostenido que el hábeas corpus es, en  efecto,  el</w:t>
        <w:br/>
        <w:t>recurso idóneo para combatir violaciones al derecho a la  libertad  personal</w:t>
        <w:br/>
        <w:t>(El hábeas corpus bajo suspensión de  garantías  (arts.  27.2,  25.1  y  7.6</w:t>
        <w:br/>
        <w:t>Convención Americana sobre Derechos Humanos), Opinión Consultiva OC-8/87  de</w:t>
        <w:br/>
        <w:t>30 de enero de 1987. Serie A No. 8, párrs. 35 y 42).</w:t>
        <w:br/>
        <w:br/>
        <w:t>62.   En este orden de cosas, conviene recordar  que  el  artículo  6.4  del</w:t>
        <w:br/>
        <w:t>Decreto-Ley  No. 26.248, de 12 de noviembre de 1993, que  modificó  en  este</w:t>
        <w:br/>
        <w:t>punto al Decreto-Ley No. 25.659, aplicado a las presuntas víctimas,  dispone</w:t>
        <w:br/>
        <w:t>que “no son admisibles las acciones de  hábeas  corpus  sustentadas  en  los</w:t>
        <w:br/>
        <w:t>mismos hechos o causales, materia de  un  procedimiento  en  trámite,  o  ya</w:t>
        <w:br/>
        <w:t>resuelto”. En cuanto al amparo, el Decreto-Ley 25.659 excluía  el  acceso  a</w:t>
        <w:br/>
        <w:t>esa garantía, y no se ha probado que se hubiera producido  una  modificación</w:t>
        <w:br/>
        <w:t>a dicho ordenamiento para autorizar el empleo de ese recurso. Es  pertinente</w:t>
        <w:br/>
        <w:t>recordar que en el caso Loayza Tamayo esta Corte consideró que las  personas</w:t>
        <w:br/>
        <w:t>acusadas y procesadas, de acuerdo con lo dispuesto en el  referido  Decreto-</w:t>
        <w:br/>
        <w:t>Ley No. 25.659, no tenían acceso al derecho de petición relacionado con  las</w:t>
        <w:br/>
        <w:t>salvaguardas  del  derecho  de  libertad  personal  (Caso   Loayza   Tamayo,</w:t>
        <w:br/>
        <w:t>Sentencia de 17 de septiembre de 1997. Serie C No. 33, párr. 52).</w:t>
        <w:br/>
        <w:br/>
        <w:t>63.   Por lo demás, al proponer  la  excepción  que  ahora  se  analiza,  el</w:t>
        <w:br/>
        <w:t>Estado no exploró la aplicabilidad del hábeas corpus y  del  amparo  a  este</w:t>
        <w:br/>
        <w:t>caso, ni demostró, en general, la eficacia de esos recursos en asuntos  como</w:t>
        <w:br/>
        <w:t>el presente, es decir, que los mismos fuesen  adecuados  y  operasen  en  la</w:t>
        <w:br/>
        <w:t>realidad. Es evidente, y así lo ha resuelto la  Corte,  que  corresponde  al</w:t>
        <w:br/>
        <w:t>Estado acreditar la efectividad de los recursos internos cuya  aplicabilidad</w:t>
        <w:br/>
        <w:t>sostiene (Asunto de Viviana Gallardo  y  otras,  supra  56;  Caso  Velásquez</w:t>
        <w:br/>
        <w:t>Rodríguez, Excepciones Preliminares, supra 56; Caso  Fairén  Garbi  y  Solís</w:t>
        <w:br/>
        <w:t>Corrales,  Excepciones  Preliminares,   supra   56;   Caso   Godínez   Cruz,</w:t>
        <w:br/>
        <w:t>Excepciones Preliminares, supra 56; Caso Velásquez Rodríguez,  Sentencia  de</w:t>
        <w:br/>
        <w:t>29 de julio de 1988. Serie C No. 4, párr. 64; Caso Godínez  Cruz,  Sentencia</w:t>
        <w:br/>
        <w:t>de 20 de enero de 1989. Serie C No. 5, párr. 67; Caso Fairén Garbi  y  Solís</w:t>
        <w:br/>
        <w:t>Corrales, supra 56; Caso Neira Alegría y  Otros,  Excepciones  Preliminares,</w:t>
        <w:br/>
        <w:t>supra 56; Caso Gangaram Panday, supra 56; Caso Caballero Delgado y  Santana,</w:t>
        <w:br/>
        <w:t>Excepciones  Preliminares,  supra  56;  Caso  Castillo   Páez,   Excepciones</w:t>
        <w:br/>
        <w:t>Preliminares, supra 56; Caso Loayza Tamayo, Excepciones Preliminares,  supra</w:t>
        <w:br/>
        <w:t>56).</w:t>
        <w:br/>
        <w:br/>
        <w:t>64.   En razón de  lo  anterior,  la  Corte  considera  que  esta  excepción</w:t>
        <w:br/>
        <w:t>preliminar es inadmisible.</w:t>
        <w:br/>
        <w:br/>
        <w:t xml:space="preserve">                              Tercera excepción</w:t>
        <w:br/>
        <w:br/>
        <w:t>65.   La tercera excepción interpuesta por el Estado se refiere a  la  falta</w:t>
        <w:br/>
        <w:t>de reclamación previa y de agotamiento de la jurisdicción interna  del  Perú</w:t>
        <w:br/>
        <w:t>respecto  a  la  presunta  violación  del  artículo  29  de  la   Convención</w:t>
        <w:br/>
        <w:t>Americana,  en  relación  con  la  Convención  de  Viena  sobre   Relaciones</w:t>
        <w:br/>
        <w:t>Consulares.</w:t>
        <w:br/>
        <w:br/>
        <w:t>66.   La Corte resume como sigue los alegatos del Estado y  de  la  Comisión</w:t>
        <w:br/>
        <w:t>sobre este punto:</w:t>
        <w:br/>
        <w:br/>
        <w:t xml:space="preserve">      a.    El Estado afirmó que “ha brindado todas las  facilidades  a  los</w:t>
        <w:br/>
        <w:t xml:space="preserve">      funcionarios consulares de Chile para que visiten a las personas de su</w:t>
        <w:br/>
        <w:t xml:space="preserve">      nacionalidad detenidas”. Manifestó que el Informe 17/97,  no  contiene</w:t>
        <w:br/>
        <w:t xml:space="preserve">      recomendación alguna sobre la supuesta violación del artículo 29 de la</w:t>
        <w:br/>
        <w:t xml:space="preserve">      Convención Americana, en combinación con la Convención de Viena  sobre</w:t>
        <w:br/>
        <w:t xml:space="preserve">      Relaciones Consulares, y que al no haber sido agotada la  jurisdicción</w:t>
        <w:br/>
        <w:t xml:space="preserve">      interna peruana en lo que se refiere a esta cuestión, la  Corte  debió</w:t>
        <w:br/>
        <w:t xml:space="preserve">      rechazar este extremo de la  demanda.  En  la  audiencia  pública,  el</w:t>
        <w:br/>
        <w:t xml:space="preserve">      Estado mencionó que el informe de la visita de la delegación  chilena,</w:t>
        <w:br/>
        <w:t xml:space="preserve">      “no fue  materia  de  debate  y  discusión  a  nivel  de  la  Comisión</w:t>
        <w:br/>
        <w:t xml:space="preserve">      Interamericana, [ni] materia del informe confidencial”.</w:t>
        <w:br/>
        <w:br/>
        <w:br/>
        <w:t xml:space="preserve">      b.    La  Comisión  afirmó  que  ni  la  Convención  Americana  ni  el</w:t>
        <w:br/>
        <w:t xml:space="preserve">      Reglamento establecen que la demanda deba ser una réplica  exacta  del</w:t>
        <w:br/>
        <w:t xml:space="preserve">      informe previsto en el artículo 50 de la Convención. Añadió que en  el</w:t>
        <w:br/>
        <w:t xml:space="preserve">      Informe 17/97 se manifestó que la delegación  chilena,  a  la  que  se</w:t>
        <w:br/>
        <w:t xml:space="preserve">      prohibió visitar a las  supuestas  víctimas,  remitió  un  informe  al</w:t>
        <w:br/>
        <w:t xml:space="preserve">      Estado el 20 de marzo de 1995, en el que señaló que el artículo 20 del</w:t>
        <w:br/>
        <w:t xml:space="preserve">      Decreto-Ley No. 25.475 contraviene las  normas  de  la  Convención  de</w:t>
        <w:br/>
        <w:t xml:space="preserve">      Viena sobre Relaciones Consulares, ya que autoriza  la  incomunicación</w:t>
        <w:br/>
        <w:t xml:space="preserve">      total de los reos.  El  6  de  junio  de  1995  el  Estado  envió  sus</w:t>
        <w:br/>
        <w:t xml:space="preserve">      observaciones a dicho informe y no aludió a la suspensión de  visitas.</w:t>
        <w:br/>
        <w:t xml:space="preserve">      Durante la audiencia pública ante la Corte, la Comisión indicó que  no</w:t>
        <w:br/>
        <w:t xml:space="preserve">      había incluido en su informe lo relativo  a  la  visita  consular,  en</w:t>
        <w:br/>
        <w:t xml:space="preserve">      virtud de que los detenidos ya habían sido condenados y por  ello  “no</w:t>
        <w:br/>
        <w:t xml:space="preserve">      había posibilidad de reparación porque  el  daño  era  ya  inferido  e</w:t>
        <w:br/>
        <w:t xml:space="preserve">      irrevocable”.</w:t>
        <w:br/>
        <w:br/>
        <w:t>67.   El punto que aquí  se  aborda  pudiera  ser  examinado  a  la  luz  de</w:t>
        <w:br/>
        <w:t>diversos hechos y consideraciones,  como  son:  la  comunicación  de  19  de</w:t>
        <w:br/>
        <w:t>octubre de 1993 que el Estado manifiesta haber dirigido a la  representación</w:t>
        <w:br/>
        <w:t>consular de Chile en el Perú sobre la detención de las presuntas víctimas  y</w:t>
        <w:br/>
        <w:t>acerca de la cual exhibe copia en la que figura el sello  de  recibo  en  la</w:t>
        <w:br/>
        <w:t>oficina  consular  correspondiente  el  20  del  mismo  mes   y   año;   las</w:t>
        <w:br/>
        <w:t>características  de  la  comisión  de  la  delegación  chilena  que  intentó</w:t>
        <w:br/>
        <w:t>entrevistarse con las supuestas  víctimas  en  el  reclusorio  de  Yanamayo,</w:t>
        <w:br/>
        <w:t>comisión que estaba integrada por miembros del Poder Legislativo de Chile  y</w:t>
        <w:br/>
        <w:t>las constancias que existen en el expediente acerca  de  la  realización  de</w:t>
        <w:br/>
        <w:t>visitas consulares a María Concepción Pincheira Sáez. La Corte no  analizará</w:t>
        <w:br/>
        <w:t>estos extremos, que corresponderían al fondo del caso.</w:t>
        <w:br/>
        <w:br/>
        <w:t>68.   En cambio, el Tribunal considera pertinente señalar  que  la  Comisión</w:t>
        <w:br/>
        <w:t>no planteó este punto en su  Informe  17/97.  Si  bien   es  cierto  que  la</w:t>
        <w:br/>
        <w:t>demanda no ha de ser, necesariamente, una  simple  reiteración  del  informe</w:t>
        <w:br/>
        <w:t>rendido por la Comisión, también lo es que no debiera contener conceptos  de</w:t>
        <w:br/>
        <w:t>violación que el Estado no conoció durante la etapa  del  procedimiento  que</w:t>
        <w:br/>
        <w:t>se sigue ante la propia Comisión, y que por eso  mismo  no  pudo  desvirtuar</w:t>
        <w:br/>
        <w:t>oportunamente. No sobra recordar que en esa etapa el Estado  dispone  de  la</w:t>
        <w:br/>
        <w:t>posibilidad  de  admitir  los  hechos   aducidos   por   los   denunciantes,</w:t>
        <w:br/>
        <w:t>rechazarlos motivadamente o procurar una  solución  amistosa  que  evite  la</w:t>
        <w:br/>
        <w:t>remisión del asunto a la Corte. Si el Estado  no  conoce  ciertos  hechos  o</w:t>
        <w:br/>
        <w:t>determinadas afirmaciones que luego se presentarán en la demanda,  no  puede</w:t>
        <w:br/>
        <w:t>hacer uso de los derechos que le  asisten  en  aquella  etapa  procesal.  Es</w:t>
        <w:br/>
        <w:t>preciso observar que en este caso no se trata de alguna de las  obligaciones</w:t>
        <w:br/>
        <w:t>generales instituidas en la Convención Americana (artículos 1.1 y  2),  cuyo</w:t>
        <w:br/>
        <w:t>cumplimiento  debe  examinar  de  oficio  la  Corte  (cfr.   Caso   Cantoral</w:t>
        <w:br/>
        <w:t>Benavides,  Sentencia  de  excepciones  preliminares,  Sentencia  de  3   de</w:t>
        <w:br/>
        <w:t>septiembre de 1998. Serie C No. 40, párr. 46).</w:t>
        <w:br/>
        <w:br/>
        <w:t>69.   Por lo expuesto anteriormente, la  Corte  estima  que  esta  excepción</w:t>
        <w:br/>
        <w:t>preliminar es admisible.</w:t>
        <w:br/>
        <w:br/>
        <w:t xml:space="preserve">                              Cuarta excepción</w:t>
        <w:br/>
        <w:br/>
        <w:t>70.   La cuarta excepción interpuesta por el Estado se refiere a la</w:t>
        <w:br/>
        <w:br/>
        <w:br/>
        <w:t xml:space="preserve">      falta de reclamación  previa  y  de  agotamiento  de  la  jurisdicción</w:t>
        <w:br/>
        <w:t xml:space="preserve">      interna del Perú con relación a la pretensión expuesta en el punto  6)</w:t>
        <w:br/>
        <w:t xml:space="preserve">      del escrito de demanda, para que la Corte ordene al Estado peruano  la</w:t>
        <w:br/>
        <w:t xml:space="preserve">      inmediata  libertad  de  Jaime  Francisco  Castillo  Petruzzi,   María</w:t>
        <w:br/>
        <w:t xml:space="preserve">      Concepción  Pincheira  Sáez,  Lautaro  Enrique  Mellad[o]  Saavedra  y</w:t>
        <w:br/>
        <w:t xml:space="preserve">      Alejandro Astorga Valdés y que los indemnice.</w:t>
        <w:br/>
        <w:br/>
        <w:t>71.   La Corte resume de la siguiente manera los alegatos del  Estado  y  de</w:t>
        <w:br/>
        <w:t>la Comisión en torno a esa excepción:</w:t>
        <w:br/>
        <w:br/>
        <w:br/>
        <w:t xml:space="preserve">      a.    El Estado señaló que en el Informe 17/97 la Comisión se limitó a</w:t>
        <w:br/>
        <w:t xml:space="preserve">      solicitar  la nulidad de  los  procedimientos  seguidos  en  el  fuero</w:t>
        <w:br/>
        <w:t xml:space="preserve">      privativo militar contra las presuntas víctimas, a fin  de  que  éstas</w:t>
        <w:br/>
        <w:t xml:space="preserve">      fueran juzgadas nuevamente ante el fuero común. Sobre  esta  base,  el</w:t>
        <w:br/>
        <w:t xml:space="preserve">      Estado argumentó que ni la Comisión ni los peticionarios  agotaron  la</w:t>
        <w:br/>
        <w:t xml:space="preserve">      jurisdicción interna del Perú y que las peticiones  contenidas  en  la</w:t>
        <w:br/>
        <w:t xml:space="preserve">      demanda debían referirse a los puntos establecidos en las conclusiones</w:t>
        <w:br/>
        <w:t xml:space="preserve">      y recomendaciones del Informe.  Durante la audiencia pública, el  Perú</w:t>
        <w:br/>
        <w:t xml:space="preserve">      agregó que el Estado se había visto “recortado en su derecho a  alegar</w:t>
        <w:br/>
        <w:t xml:space="preserve">      y tiene que hacerlo valer  a  modo  de  excepción  cuanto  también  se</w:t>
        <w:br/>
        <w:t xml:space="preserve">      tratará en el fondo del asunto”.</w:t>
        <w:br/>
        <w:br/>
        <w:br/>
        <w:t xml:space="preserve">      b.    La Comisión manifestó que ni la Convención ni el  Reglamento  se</w:t>
        <w:br/>
        <w:t xml:space="preserve">      refieren a “la supuesta necesidad de duplicar en la  demanda  ante  la</w:t>
        <w:br/>
        <w:t xml:space="preserve">      Corte, el mismo petitorio de las conclusiones  y  recomendaciones  del</w:t>
        <w:br/>
        <w:t xml:space="preserve">      informe [del] artículo 50”. Señaló, además, que,  por  nota  de  8  de</w:t>
        <w:br/>
        <w:t xml:space="preserve">      julio de 1997, el Perú presentó sus observaciones al Informe 17/97,  y</w:t>
        <w:br/>
        <w:t xml:space="preserve">      en ellas no se refirió  a  las  medidas  adoptadas  para  cumplir  las</w:t>
        <w:br/>
        <w:t xml:space="preserve">      recomendaciones recogidas en aquél. De conformidad  con  el  principio</w:t>
        <w:br/>
        <w:t xml:space="preserve">      non bis in idem, el Perú no podría juzgar ante la jurisdicción civil a</w:t>
        <w:br/>
        <w:t xml:space="preserve">      las supuestas víctimas por los mismos hechos de los que había conocido</w:t>
        <w:br/>
        <w:t xml:space="preserve">      la justicia militar, por lo cual la Comisión solicitó la nulidad de lo</w:t>
        <w:br/>
        <w:t xml:space="preserve">      actuado.</w:t>
        <w:br/>
        <w:br/>
        <w:t>72.   La Corte se remite a las consideraciones formuladas con respecto a  la</w:t>
        <w:br/>
        <w:t>falta de agotamiento de recursos de  jurisdicción  interna,  que  examinó  a</w:t>
        <w:br/>
        <w:t>propósito de la primera excepción (supra 53  a  56)  y  a  las  que  aludió,</w:t>
        <w:br/>
        <w:t>asimismo, al referirse a  la  segunda  excepción  propuesta  por  el  Estado</w:t>
        <w:br/>
        <w:t>(supra 60).</w:t>
        <w:br/>
        <w:br/>
        <w:t>73.   Por otra parte, es pertinente mencionar el argumento del Estado  sobre</w:t>
        <w:br/>
        <w:t>cierta incongruencia en la posición que sustenta  la  Comisión,  tomando  en</w:t>
        <w:br/>
        <w:t>cuenta el conjunto de los planteamientos de ésta. El  Estado  consideró  que</w:t>
        <w:br/>
        <w:t>la Comisión solicitó, por una parte,  la  nulidad  del  proceso  seguido  en</w:t>
        <w:br/>
        <w:t>contra de las supuestas víctimas, que culminó  en  sentencia  definitiva  de</w:t>
        <w:br/>
        <w:t>condena y, por otra, requirió la inmediata libertad de aquéllas. Aun  cuando</w:t>
        <w:br/>
        <w:t>el planteamiento  de  estas  peticiones  pudo  formularse  en  términos  más</w:t>
        <w:br/>
        <w:t>rigurosos para evitar confusiones, la Corte estima que tal incongruencia  es</w:t>
        <w:br/>
        <w:t>más aparente que real. La anulación de un  proceso  en  el  que  ha  recaido</w:t>
        <w:br/>
        <w:t>sentencia firme de condena no implica la apertura de  uno  nuevo  contra  la</w:t>
        <w:br/>
        <w:t>misma persona y por los mismos hechos porque se incurriría en una  flagrante</w:t>
        <w:br/>
        <w:t>violación del principio non bis in idem, sino que conlleva  la  inmediata  y</w:t>
        <w:br/>
        <w:t>absoluta libertad del inculpado. La Corte, al analizar  las  expresiones  de</w:t>
        <w:br/>
        <w:t>la  Comisión,  puede  establecer  el  posible  alcance  de  ellas,  que   se</w:t>
        <w:br/>
        <w:t>identifican en un doble objetivo: la nulidad del proceso, de un lado,  y  la</w:t>
        <w:br/>
        <w:t>libertad del inculpado, del otro, como natural efecto  jurídico  de  aquella</w:t>
        <w:br/>
        <w:t>nulidad.</w:t>
        <w:br/>
        <w:br/>
        <w:t>74.   Por tales motivos, la Corte considera que  esta  excepción  preliminar</w:t>
        <w:br/>
        <w:t>es inadmisible.</w:t>
        <w:br/>
        <w:br/>
        <w:br/>
        <w:t xml:space="preserve">                                    VIII</w:t>
        <w:br/>
        <w:t xml:space="preserve">                    PERSONALIDAD JURÍDICA Y LEGITIMACIÓN</w:t>
        <w:br/>
        <w:br/>
        <w:t xml:space="preserve">                              Quinta excepción</w:t>
        <w:br/>
        <w:br/>
        <w:t>75.   La quinta excepción interpuesta por el Estado se refiere a la</w:t>
        <w:br/>
        <w:br/>
        <w:t xml:space="preserve">      falta de personería de quien a nombre de la Fundación de Ayuda  Social</w:t>
        <w:br/>
        <w:t xml:space="preserve">      de las Iglesias Cristianas (FASIC) presentó  la  denuncia  No.  11.319</w:t>
        <w:br/>
        <w:t xml:space="preserve">      contra el Estado peruano ante la Comisión Interamericana  de  Derechos</w:t>
        <w:br/>
        <w:t xml:space="preserve">      Humanos y  de  la  falta  de  legitimidad  para  obrar  de  la  citada</w:t>
        <w:br/>
        <w:t xml:space="preserve">      fundación.</w:t>
        <w:br/>
        <w:br/>
        <w:t>76.   A este respecto, la Corte resume los  alegatos  del  Estado  y  de  la</w:t>
        <w:br/>
        <w:t>Comisión como se indica en seguida:</w:t>
        <w:br/>
        <w:br/>
        <w:br/>
        <w:t xml:space="preserve">      a.     El  Estado  manifestó  que  quien  actúa   en   nombre   o   en</w:t>
        <w:br/>
        <w:t xml:space="preserve">      representación de una persona jurídica  tiene  que  estar  debidamente</w:t>
        <w:br/>
        <w:t xml:space="preserve">      autorizado por los estatutos de ésta o contar con poder expreso. Ni la</w:t>
        <w:br/>
        <w:t xml:space="preserve">      señora Verónica Reyna ni FASIC fueron acreditadas como  representantes</w:t>
        <w:br/>
        <w:t xml:space="preserve">      y como entidad no gubernamental reconocida en Chile,  respectivamente.</w:t>
        <w:br/>
        <w:t xml:space="preserve">      Durante  la  audiencia  pública,  el  Estado  añadió  que  no   estaba</w:t>
        <w:br/>
        <w:t xml:space="preserve">      cuestionando la existencia de esa fundación,  sino  la  personería  de</w:t>
        <w:br/>
        <w:t xml:space="preserve">      quien presentó la denuncia en su nombre.</w:t>
        <w:br/>
        <w:br/>
        <w:br/>
        <w:t xml:space="preserve">      b.     La  Comisión  replicó  que  no  solicitó  a  la  fundación  que</w:t>
        <w:br/>
        <w:t xml:space="preserve">      “acreditara su personería jurídica cuando presentó la denuncia en este</w:t>
        <w:br/>
        <w:t xml:space="preserve">      caso porque es una entidad conocida por la Comisión”, que  aparece  en</w:t>
        <w:br/>
        <w:t xml:space="preserve">      la Guía de Organizaciones  No  Gubernamentales  de  Derechos  Humanos,</w:t>
        <w:br/>
        <w:t xml:space="preserve">      publicada en 1991 por el Instituto Interamericano de Derechos  Humanos</w:t>
        <w:br/>
        <w:t xml:space="preserve">      de San José, Costa Rica. Durante la  audiencia  pública,  la  Comisión</w:t>
        <w:br/>
        <w:t xml:space="preserve">      señaló que siempre “ha interpretado con criterio amplio este  artículo</w:t>
        <w:br/>
        <w:t xml:space="preserve">      44 del que no se desprende la exigencia de que existan  un  mandato  o</w:t>
        <w:br/>
        <w:t xml:space="preserve">      una representación  específica;  basta  con  que  actúe  un  grupo  de</w:t>
        <w:br/>
        <w:t xml:space="preserve">      personas”.</w:t>
        <w:br/>
        <w:br/>
        <w:t>77.    Con  respecto  a  esta   excepción,   la   Corte   hace   notar   que</w:t>
        <w:br/>
        <w:t>independientemente del examen que pudiera hacerse, si  fuera  indispensable,</w:t>
        <w:br/>
        <w:t>acerca de la existencia y las facultades de FASIC  y  de  las  personas  que</w:t>
        <w:br/>
        <w:t>manifiestan actuar en  su  nombre,  es  claro  que  el  artículo  44  de  la</w:t>
        <w:br/>
        <w:t>Convención permite que cualquier  grupo  de  personas  formule  denuncias  o</w:t>
        <w:br/>
        <w:t>quejas por violación de los derechos consagrados  por  la  Convención.  Esta</w:t>
        <w:br/>
        <w:t>amplia facultad de denuncia  es  un  rasgo  característico  del  sistema  de</w:t>
        <w:br/>
        <w:t>protección internacional de los derechos humanos. En el caso que nos  ocupa,</w:t>
        <w:br/>
        <w:t>los promoventes son un “grupo de personas”, y por lo tanto,  satisfacen  una</w:t>
        <w:br/>
        <w:t>de las hipótesis  previstas,  para  fines  de  legitimación,  en  el  citado</w:t>
        <w:br/>
        <w:t>artículo  44.  La  evidente  acreditación   de   esta   circunstancia   hace</w:t>
        <w:br/>
        <w:t>innecesario analizar el registro de  FASIC  y  la  relación  que  con  dicha</w:t>
        <w:br/>
        <w:t>fundación  guardan  o  dicen  guardar   quienes   se   ostentan   como   sus</w:t>
        <w:br/>
        <w:t>representantes. Esta consideración se fortalece si se recuerda que, como  ha</w:t>
        <w:br/>
        <w:t>manifestado la Corte en otras ocasiones,  las  formalidades  características</w:t>
        <w:br/>
        <w:t>de ciertas ramas del derecho interno no rigen en  el  derecho  internacional</w:t>
        <w:br/>
        <w:t>de los derechos humanos, cuyo principal y determinante cuidado es la  debida</w:t>
        <w:br/>
        <w:t>y  completa  protección  de  esos   derechos.   En   otras   palabras,   “la</w:t>
        <w:br/>
        <w:t>inobservancia de ciertas formalidades  no  siempre  es  relevante,  pues  lo</w:t>
        <w:br/>
        <w:t>esencial es que  se  preserven  las  condiciones  necesarias  para  que  los</w:t>
        <w:br/>
        <w:t>derechos procesales de las partes no sean disminuidos  o  desequilibrados  y</w:t>
        <w:br/>
        <w:t>para que se alcancen los fines  para  los  cuales  han  sido  diseñados  los</w:t>
        <w:br/>
        <w:t>distintos   procedimientos”   (Caso   Velásquez    Rodríguez,    Excepciones</w:t>
        <w:br/>
        <w:t>Preliminares, supra 56, párrs. 33 y 34; Caso Fairén Garbi y Solís  Corrales,</w:t>
        <w:br/>
        <w:t>Excepciones Preliminares, supra 56, párrs.  38  y  39;  Caso  Godínez  Cruz,</w:t>
        <w:br/>
        <w:t>Excepciones Preliminares, supra 56, párrs. 36 y 37; Caso Paniagua Morales  y</w:t>
        <w:br/>
        <w:t>Otros, Excepciones Preliminares, Sentencia de 25 de enero de 1996.  Serie  C</w:t>
        <w:br/>
        <w:t>No.  23,  párr.  42  y  Caso  Caballero  Delgado  y   Santana,   Excepciones</w:t>
        <w:br/>
        <w:t>Preliminares, supra 56, párr. 44). En este mismo sentido se  ha  pronunciado</w:t>
        <w:br/>
        <w:t>la Corte Internacional de Justicia, cuando dice que  ésta  “al  ejercer  una</w:t>
        <w:br/>
        <w:t>jurisdicción   internacional,   no   está   llamada   a   atribuir   a   las</w:t>
        <w:br/>
        <w:t>consideraciones de forma la misma importancia que ellas podrían tener en  el</w:t>
        <w:br/>
        <w:t>derecho interno” (Mavrommatis Palestine Concessions, Judgment No.  2,  1924,</w:t>
        <w:br/>
        <w:t>P.C.I.J., Series A, No. 2, pág.  34;  Legal  Status  of  Eastern  Greenland,</w:t>
        <w:br/>
        <w:t>Judgment,  1933,  P.C.I.J.,  Series  A/B,  No.  53,  pág.  71;  Aegean   Sea</w:t>
        <w:br/>
        <w:t>Continental Shelf, Judgment, I.C.J. Reports 1978, párr. 42).</w:t>
        <w:br/>
        <w:br/>
        <w:t>78.   La Corte ha agregado que pueden ser dispensadas  ciertas  formalidades</w:t>
        <w:br/>
        <w:t>a condición de que exista  equilibrio  entre  la  justicia  y  la  seguridad</w:t>
        <w:br/>
        <w:t>jurídica (Caso Cayara, Excepciones Preliminares, Sentencia de 3  de  febrero</w:t>
        <w:br/>
        <w:t>de 1993.  Serie  C  No.  14,  párr.  42;  Caso  Paniagua  Morales  y  Otros,</w:t>
        <w:br/>
        <w:t>Excepciones  Preliminares,  supra  77,  párr.  38;   Caso   Castillo   Páez,</w:t>
        <w:br/>
        <w:t>Excepciones  Preliminares,  supra  56,  párr.  34  y  Caso  Loayza   Tamayo,</w:t>
        <w:br/>
        <w:t>Excepciones Preliminares, supra 56, párr.  33).   En  el  ejercicio  de  sus</w:t>
        <w:br/>
        <w:t>atribuciones para valorar el debido proceso ante la  Corte  (Caso  Velásquez</w:t>
        <w:br/>
        <w:t>Rodríguez, Excepciones Preliminares, supra 56, párr. 34; Caso  Fairén  Garbi</w:t>
        <w:br/>
        <w:t>y Solís Corrales, Excepciones  Preliminares,  supra  56,  párr.  39  y  Caso</w:t>
        <w:br/>
        <w:t>Godínez Cruz, Excepciones Preliminares, supra 56, párr. 37), ésta  considera</w:t>
        <w:br/>
        <w:t>que  en  el  presente  caso  se  han  respetado  las  cuestiones  esenciales</w:t>
        <w:br/>
        <w:t>implícitas en las reglas de procedimiento de la Convención.</w:t>
        <w:br/>
        <w:br/>
        <w:t>79.   Por lo anterior, la Corte estima que esta excepción preliminar  no  es</w:t>
        <w:br/>
        <w:t>admisible.</w:t>
        <w:br/>
        <w:br/>
        <w:t xml:space="preserve">                               Sexta excepción</w:t>
        <w:br/>
        <w:br/>
        <w:t>80.   La sexta excepción interpuesta por el Estado se refiere a la</w:t>
        <w:br/>
        <w:br/>
        <w:t xml:space="preserve">      falta de legitimidad para obrar de la Fundación de Ayuda Social de las</w:t>
        <w:br/>
        <w:t xml:space="preserve">      Iglesias Cristianas y de los que la Comisión refiere en los puntos 13)</w:t>
        <w:br/>
        <w:t xml:space="preserve">      y 14) del escrito de demanda  como  ‘otro  grupo  de  denunciantes’  o</w:t>
        <w:br/>
        <w:t xml:space="preserve">      ‘segundo grupo de peticionarios’ [y a la soberanía].</w:t>
        <w:br/>
        <w:br/>
        <w:t>81.   La Corte resume de la siguiente manera los alegatos del  Estado  y  de</w:t>
        <w:br/>
        <w:t>la Comisión en lo que concierne a esta excepción:</w:t>
        <w:br/>
        <w:br/>
        <w:br/>
        <w:t xml:space="preserve">      a.    El Estado advirtió que las  personas  mencionadas  anteriormente</w:t>
        <w:br/>
        <w:t xml:space="preserve">      carecen de legitimidad, según lo establecido en el artículo 44  de  la</w:t>
        <w:br/>
        <w:t xml:space="preserve">      Convención, para “plantear un cuestionamiento [sobre] actos  soberanos</w:t>
        <w:br/>
        <w:t xml:space="preserve">      realizados por  las  autoridades  peruanas”.  Las  presuntas  víctimas</w:t>
        <w:br/>
        <w:t xml:space="preserve">      “ingresaron subrepticiamente al [Perú] y se dedicaron a  subvertir  el</w:t>
        <w:br/>
        <w:t xml:space="preserve">      orden establecido, asociándose con una  organización  terrorista”.  El</w:t>
        <w:br/>
        <w:t xml:space="preserve">      cuestionamiento de los actos soberanos  del  Perú  se  hace  por  “una</w:t>
        <w:br/>
        <w:t xml:space="preserve">      supuesta persona jurídica de derecho privado no peruana  y/o  terceras</w:t>
        <w:br/>
        <w:t xml:space="preserve">      personas no identificadas o cuya  identidad  no  es  conocida  por  el</w:t>
        <w:br/>
        <w:t xml:space="preserve">      Estado Peruano y que  presuntamente  tampoco  tienen  la  nacionalidad</w:t>
        <w:br/>
        <w:t xml:space="preserve">      peruana”. Se “trata de terroristas profesionales internacionales, como</w:t>
        <w:br/>
        <w:t xml:space="preserve">      los han calificado las propias autoridades  chilenas”.  Las  presuntas</w:t>
        <w:br/>
        <w:t xml:space="preserve">      víctimas  desconocieron  lo  estipulado  en  el  artículo  32  de   la</w:t>
        <w:br/>
        <w:t xml:space="preserve">      Convención y  lo  establecido  en  la  Constitución  peruana  entonces</w:t>
        <w:br/>
        <w:t xml:space="preserve">      vigente.  Durante la audiencia pública  el  Perú  advirtió  que  “esta</w:t>
        <w:br/>
        <w:t xml:space="preserve">      excepción toca aspectos que deberán ventilarse en el fondo del asunto,</w:t>
        <w:br/>
        <w:t xml:space="preserve">      por lo que [se] reserv[ó] el derecho en cuanto a sustentar[la]”.</w:t>
        <w:br/>
        <w:br/>
        <w:br/>
        <w:t xml:space="preserve">      b.    La Comisión señaló que “[e]l paso de una cuestión de  la  esfera</w:t>
        <w:br/>
        <w:t xml:space="preserve">      doméstica a la internacional se hace en virtud de la existencia de  un</w:t>
        <w:br/>
        <w:t xml:space="preserve">      tratado  u  otra  norma  de  derecho  internacional,  que  impone  una</w:t>
        <w:br/>
        <w:t xml:space="preserve">      obligación”.  Además, señaló que tal  como  se  dijo  al  analizar  la</w:t>
        <w:br/>
        <w:t xml:space="preserve">      excepción  anterior,  FASIC  cuenta  con  personería   jurídica   para</w:t>
        <w:br/>
        <w:t xml:space="preserve">      presentar una denuncia contra el Perú. Advirtió que tanto la  Comisión</w:t>
        <w:br/>
        <w:t xml:space="preserve">      como la Corte son competentes para examinar el presente caso,  ya  que</w:t>
        <w:br/>
        <w:t xml:space="preserve">      el Perú ratificó la Convención y aceptó la competencia  de  la  Corte.</w:t>
        <w:br/>
        <w:t xml:space="preserve">      Afirmó que los inculpados,  independientemente  de  que  se  trate  de</w:t>
        <w:br/>
        <w:t xml:space="preserve">      terroristas, mercenarios o delincuentes comunes, tienen  los  derechos</w:t>
        <w:br/>
        <w:t xml:space="preserve">      consagrados en el artículo 8 de la Convención.  Frente  a  la  reserva</w:t>
        <w:br/>
        <w:t xml:space="preserve">      hecha por el Estado durante la audiencia pública, la Comisión  aseguró</w:t>
        <w:br/>
        <w:t xml:space="preserve">      que “si las excepciones se oponen ahora, ahora hay que fundarlas”.</w:t>
        <w:br/>
        <w:br/>
        <w:br/>
        <w:t>82.   Sobre esta excepción, la Corte se atiene  a  las  consideraciones  que</w:t>
        <w:br/>
        <w:t>formuló al examinar la legitimación de FASIC y de sus representantes  (supra</w:t>
        <w:br/>
        <w:t>77).  En cuanto a las manifestaciones acerca del principio  de  soberanía  y</w:t>
        <w:br/>
        <w:t>sus implicaciones en el presente caso, se remite  al  examen  de  la  décima</w:t>
        <w:br/>
        <w:t>excepción (infra 101 a 102).</w:t>
        <w:br/>
        <w:br/>
        <w:t>83.   Por lo que toca a la materia exclusiva de  esta  sexta  excepción,  la</w:t>
        <w:br/>
        <w:t>Corte subraya que no puede ni debe discutir o juzgar la  naturaleza  de  los</w:t>
        <w:br/>
        <w:t>delitos atribuidos a las supuestas víctimas, ciertamente muy graves, que  se</w:t>
        <w:br/>
        <w:t>halla reservada al juicio penal correspondiente. La Corte sólo está  llamada</w:t>
        <w:br/>
        <w:t>a pronunciarse acerca de violaciones concretas a  las  disposiciones  de  la</w:t>
        <w:br/>
        <w:t>Convención, en relación con cualesquiera personas  e  independientemente  de</w:t>
        <w:br/>
        <w:t>la situación jurídica que éstas guarden y de la licitud  o  ilicitud  de  su</w:t>
        <w:br/>
        <w:t>conducta desde la perspectiva de las normas penales  que  pudieran  resultar</w:t>
        <w:br/>
        <w:t>aplicables conforme a la legislación nacional.</w:t>
        <w:br/>
        <w:br/>
        <w:t>84.   Una conducta de riesgo o lesión para los bienes jurídicos  mencionados</w:t>
        <w:br/>
        <w:t>en el artículo 32 de la Convención, invocado por el  Perú,  determinaría  la</w:t>
        <w:br/>
        <w:t>intervención  de  la  justicia  ordinaria  para  la  determinación   de   la</w:t>
        <w:br/>
        <w:t>responsabilidad que corresponda a  quienes  incurrieron  en  ella,  pero  no</w:t>
        <w:br/>
        <w:t>suprimiría los derechos humanos de los inculpados ni les  privaría,  por  lo</w:t>
        <w:br/>
        <w:t>tanto, de la posibilidad  de  acceder  a  los  órganos  de  la  jurisdicción</w:t>
        <w:br/>
        <w:t>internacional en esta materia. En otra oportunidad, la Corte se ha  referido</w:t>
        <w:br/>
        <w:t>a la gravedad de los delitos real o supuestamente cometidos por la  víctima,</w:t>
        <w:br/>
        <w:t>estimando  que  aquélla  no  conoce  de  la  inocencia  o  culpabilidad  del</w:t>
        <w:br/>
        <w:t>imputado, y que un pronunciamiento de esa  naturaleza  compete  al  tribunal</w:t>
        <w:br/>
        <w:t>penal interno (cfr. Caso Suárez Rosero, Sentencia  de  12  de  noviembre  de</w:t>
        <w:br/>
        <w:t>1997. Serie C No. 35, párr. 37).</w:t>
        <w:br/>
        <w:br/>
        <w:t>85.   Por consiguiente, la Corte estima que  esta  excepción  preliminar  es</w:t>
        <w:br/>
        <w:t>inadmisible.</w:t>
        <w:br/>
        <w:br/>
        <w:t xml:space="preserve">                                     IX</w:t>
        <w:br/>
        <w:t xml:space="preserve">              “PREMATURA DECISIÓN” DE ENVÍO DEL CASO A LA CORTE</w:t>
        <w:br/>
        <w:br/>
        <w:t xml:space="preserve">                              Séptima excepción</w:t>
        <w:br/>
        <w:br/>
        <w:t>86.   La séptima excepción interpuesta  por  el  Estado  se  refiere  a  “la</w:t>
        <w:br/>
        <w:t>prematura decisión de la Honorable Comisión de enviar el presente caso a  la</w:t>
        <w:br/>
        <w:t>Corte Interamericana de Derechos Humanos”.</w:t>
        <w:br/>
        <w:br/>
        <w:t>87.   La Corte resume como sigue las posiciones del Estado y de la  Comisión</w:t>
        <w:br/>
        <w:t>a este respecto:</w:t>
        <w:br/>
        <w:br/>
        <w:t xml:space="preserve">      a.    El Estado alegó que la Comisión aprobó  en  su  95º  Período  de</w:t>
        <w:br/>
        <w:t xml:space="preserve">      Sesiones el Informe 17/97, que fue remitido al Estado el 24  de  abril</w:t>
        <w:br/>
        <w:t xml:space="preserve">      de 1997. El 5 de junio del mismo año, se concedió al Perú una prórroga</w:t>
        <w:br/>
        <w:t xml:space="preserve">      para pronunciarse sobre ese Informe, que  concluiría  el  8  de  julio</w:t>
        <w:br/>
        <w:t xml:space="preserve">      siguiente. A pesar de que estaba corriendo el plazo adicional,  el  27</w:t>
        <w:br/>
        <w:t xml:space="preserve">      de junio de 1997 la Comisión decidió enviar el caso a la Corte.  Según</w:t>
        <w:br/>
        <w:t xml:space="preserve">      el Estado, dicha decisión fue prematura y constituyó un  “adelanto  de</w:t>
        <w:br/>
        <w:t xml:space="preserve">      opinión que invalid[ó] el accionar de la Comisión y vici[ó] de nulidad</w:t>
        <w:br/>
        <w:t xml:space="preserve">      la interposición de la demanda por infringir  una  garantía  elemental</w:t>
        <w:br/>
        <w:t xml:space="preserve">      relacionada con el derecho al debido proceso”.</w:t>
        <w:br/>
        <w:br/>
        <w:br/>
        <w:t xml:space="preserve">      b.    La Comisión manifestó que de acuerdo con el artículo  51  de  la</w:t>
        <w:br/>
        <w:t xml:space="preserve">      Convención, podía enviar el caso a la Corte a  más  tardar  el  24  de</w:t>
        <w:br/>
        <w:t xml:space="preserve">      julio de 1997. El 27 de junio de 1997 decidió hacerlo así,  sujeto  al</w:t>
        <w:br/>
        <w:t xml:space="preserve">      eventual cumplimiento de las recomendaciones por parte del  Perú.   El</w:t>
        <w:br/>
        <w:t xml:space="preserve">      Perú, mediante nota de 8 de julio de 1997, recibida por la Comisión el</w:t>
        <w:br/>
        <w:t xml:space="preserve">      día 10, rechazó las recomendaciones contenidas en el Informe,  por  lo</w:t>
        <w:br/>
        <w:t xml:space="preserve">      que ésta alegó que no fue necesario reconsiderar la decisión adoptada.</w:t>
        <w:br/>
        <w:t xml:space="preserve">      Además, hizo notar que el Perú no había indicado  en  qué  medida  fue</w:t>
        <w:br/>
        <w:t xml:space="preserve">      perjudicado por la  decisión  controvertida.  Finalmente,  durante  la</w:t>
        <w:br/>
        <w:t xml:space="preserve">      audiencia pública la Comisión añadió que se vio  en  la  necesidad  de</w:t>
        <w:br/>
        <w:t xml:space="preserve">      tomar esta decisión en virtud de que “no funciona permanentemente”.</w:t>
        <w:br/>
        <w:br/>
        <w:t>88.   En lo que concierne a esta excepción, la Corte señala que la  decisión</w:t>
        <w:br/>
        <w:t>adoptada por la Comisión sobre el envío del caso  ante  la  Corte,  decisión</w:t>
        <w:br/>
        <w:t>que aquélla explica en función de su sistema de  trabajo  y  del  calendario</w:t>
        <w:br/>
        <w:t>que rige sus sesiones, no se tradujo en la remisión inmediata de la  demanda</w:t>
        <w:br/>
        <w:t>a la Corte. A este respecto, para ilustrar las consideraciones  precedentes,</w:t>
        <w:br/>
        <w:t>es útil recordar la sucesión de fechas  relevantes  en  el  examen  de  esta</w:t>
        <w:br/>
        <w:t>excepción. La ampliación de plazo solicitada por el Perú y concedida por  la</w:t>
        <w:br/>
        <w:t>Comisión concluía el 8 de julio de 1997. La decisión de esta  última  en  el</w:t>
        <w:br/>
        <w:t>sentido de enviar el caso a la Corte se produjo el 27 de junio,  sujetándose</w:t>
        <w:br/>
        <w:t>“al eventual cumplimiento de las recomendaciones” contenidas en el  Informe,</w:t>
        <w:br/>
        <w:t>según sostiene la Comisión. El Perú hizo llegar sus observaciones el  10  de</w:t>
        <w:br/>
        <w:t>julio, y en ellas rechazó las recomendaciones de  la  Comisión.  Finalmente,</w:t>
        <w:br/>
        <w:t>ésta presentó la demanda el 22 de julio, es decir, casi un  mes  después  de</w:t>
        <w:br/>
        <w:t>haber resuelto hacerlo y dos semanas después de que concluyó  la  ampliación</w:t>
        <w:br/>
        <w:t>del plazo inicial y de que el Estado se negó a atender  las  recomendaciones</w:t>
        <w:br/>
        <w:t>de la Comisión. Esta circunstancia demuestra que el Perú no se vio  afectado</w:t>
        <w:br/>
        <w:t>por una interrupción de facto del plazo que tenía a su  favor,  y  fortalece</w:t>
        <w:br/>
        <w:t>el dicho de la Comisión en el sentido de que la ejecución de su  acuerdo  de</w:t>
        <w:br/>
        <w:t>27 de junio se  hallaba  supeditada  a  la  respuesta  que  suministrara  el</w:t>
        <w:br/>
        <w:t>Estado. Es manifiesto que la simple determinación adoptada por  la  Comisión</w:t>
        <w:br/>
        <w:t>ese 27 de junio no causó perjuicio alguno al Estado.</w:t>
        <w:br/>
        <w:br/>
        <w:t>89.    Por  todo  lo  anterior,  la  Corte  considera  que  esta   excepción</w:t>
        <w:br/>
        <w:t>preliminar es inadmisible.</w:t>
        <w:br/>
        <w:br/>
        <w:br/>
        <w:br/>
        <w:br/>
        <w:br/>
        <w:t xml:space="preserve">                                      X</w:t>
        <w:br/>
        <w:t xml:space="preserve">                “AMBIGÜEDAD EN EL MODO DE PROPONER LA DEMANDA”</w:t>
        <w:br/>
        <w:br/>
        <w:t xml:space="preserve">                              Octava excepción</w:t>
        <w:br/>
        <w:br/>
        <w:t>90.   La octava  excepción  interpuesta  por  el  Estado  se  refiere  a  la</w:t>
        <w:br/>
        <w:t>“ambigüedad en el modo de proponer la demanda”.</w:t>
        <w:br/>
        <w:br/>
        <w:t>91.   La Corte resume de la siguiente manera los alegatos del  Estado  y  de</w:t>
        <w:br/>
        <w:t>la Comisión:</w:t>
        <w:br/>
        <w:br/>
        <w:t xml:space="preserve">      a.    El Estado alegó que no hay coincidencia entre el  objeto  de  la</w:t>
        <w:br/>
        <w:t xml:space="preserve">      demanda y la petición que en ésta se formula, ya que al  referirse  al</w:t>
        <w:br/>
        <w:t xml:space="preserve">      objeto la Comisión solicitó a la Corte la libertad de los detenidos  y</w:t>
        <w:br/>
        <w:t xml:space="preserve">      la reparación de los presuntos daños materiales y morales  causados  a</w:t>
        <w:br/>
        <w:t xml:space="preserve">      éstos, mientras que en la petición requirió que el Estado anulara  los</w:t>
        <w:br/>
        <w:t xml:space="preserve">      procedimientos seguidos en el fuero militar contra dichas  personas  e</w:t>
        <w:br/>
        <w:t xml:space="preserve">      iniciara un  nuevo  procedimiento,  respetando  el  debido  proceso  y</w:t>
        <w:br/>
        <w:t xml:space="preserve">      acordando las consecuentes reparaciones por las “violaciones  causadas</w:t>
        <w:br/>
        <w:t xml:space="preserve">      en los procesos militares”.</w:t>
        <w:br/>
        <w:br/>
        <w:t xml:space="preserve">      b.    La Comisión consideró que esta excepción “reitera los argumentos</w:t>
        <w:br/>
        <w:t xml:space="preserve">      presentados bajo el rubro de la Cuarta Excepción”; que su posición  es</w:t>
        <w:br/>
        <w:t xml:space="preserve">      la expuesta en el procedimiento ante la Corte y no la contenida en  el</w:t>
        <w:br/>
        <w:t xml:space="preserve">      Informe 17/97; que</w:t>
        <w:br/>
        <w:br/>
        <w:t xml:space="preserve">           [la] falta de identidad del  Informe  [del]  artículo  50  y  el</w:t>
        <w:br/>
        <w:t xml:space="preserve">           Informe [del] artículo 51 o una demanda ante la Corte, tiene que</w:t>
        <w:br/>
        <w:t xml:space="preserve">           ver con ‘la conducta asumida por el Estado’, como  la  Corte  ha</w:t>
        <w:br/>
        <w:t xml:space="preserve">           señalado en su Opinión Consultiva  -  13.  [...]  Si  el  Estado</w:t>
        <w:br/>
        <w:t xml:space="preserve">           peruano  hubiera  tomado  las  medidas  para   implementar   las</w:t>
        <w:br/>
        <w:t xml:space="preserve">           recomendaciones  del  Informe  [del]  artículo  50,  no   habría</w:t>
        <w:br/>
        <w:t xml:space="preserve">           necesidad de elaborar una demanda  para  la  Corte.  Tampoco  se</w:t>
        <w:br/>
        <w:t xml:space="preserve">           requeriría escuchar  a  los  peticionarios  por  la  Corte  para</w:t>
        <w:br/>
        <w:t xml:space="preserve">           decidir sobre la reparación.</w:t>
        <w:br/>
        <w:br/>
        <w:t xml:space="preserve">     Durante la audiencia pública, la Comisión añadió que la oscuridad  del</w:t>
        <w:br/>
        <w:t xml:space="preserve">     libelo “a lo sumo, si es que  existe,  puede  representar  decirle  al</w:t>
        <w:br/>
        <w:t xml:space="preserve">     demandante que aclare los términos de  su  demanda,  pero  de  ninguna</w:t>
        <w:br/>
        <w:t xml:space="preserve">     manera el rechazo in limine”.</w:t>
        <w:br/>
        <w:br/>
        <w:t>92.    En cuanto a esta octava excepción propuesta por el Estado,  la  Corte</w:t>
        <w:br/>
        <w:t>estima que son aplicables las consideraciones que  formuló  al  examinar  la</w:t>
        <w:br/>
        <w:t>cuarta excepción (supra 73). Desde luego, debiera  haber  congruencia  entre</w:t>
        <w:br/>
        <w:t>lo que se manifiesta en el cuerpo de la demanda y lo que, en tal virtud,  se</w:t>
        <w:br/>
        <w:t>pretende en los puntos petitorios de dicho documento, tomando en  cuenta  la</w:t>
        <w:br/>
        <w:t>continuidad natural que lógicamente existe entre aquélla y  éstos.  En  todo</w:t>
        <w:br/>
        <w:t>caso, el Tribunal puede y debe, conforme  al  principio  iura  novit  curia,</w:t>
        <w:br/>
        <w:t>examinar el acto en su conjunto y precisar la naturaleza  y  el  sentido  de</w:t>
        <w:br/>
        <w:t>las peticiones que formula el demandante,  para  apreciarlas  debidamente  y</w:t>
        <w:br/>
        <w:t>resolver lo que corresponda (Caso Velásquez Rodríguez, supra 63,  párr.  163</w:t>
        <w:br/>
        <w:t>y Caso Godínez Cruz, supra 73, párr. 173). La Corte no entra  en  el  examen</w:t>
        <w:br/>
        <w:t>de otras apreciaciones expuestas a propósito de esta  excepción  interpuesta</w:t>
        <w:br/>
        <w:t>por el Estado y que no son  propiamente  materia  de  excepción  preliminar,</w:t>
        <w:br/>
        <w:t>cuyo análisis se reserva para el momento de la sentencia respectiva.</w:t>
        <w:br/>
        <w:br/>
        <w:t>93.   En consecuencia, la Corte estima  que  esta  excepción  preliminar  es</w:t>
        <w:br/>
        <w:t>inadmisible.</w:t>
        <w:br/>
        <w:br/>
        <w:br/>
        <w:t xml:space="preserve">                                     XI</w:t>
        <w:br/>
        <w:t xml:space="preserve">                           CADUCIDAD DE LA DEMANDA</w:t>
        <w:br/>
        <w:br/>
        <w:t xml:space="preserve">                              Novena excepción</w:t>
        <w:br/>
        <w:br/>
        <w:t>94.   La novena  excepción  interpuesta  por  el  Estado  se  refiere  a  la</w:t>
        <w:br/>
        <w:t>“caducidad de la demanda”.</w:t>
        <w:br/>
        <w:br/>
        <w:t>95.   La Corte resume así los alegatos del Estado y de la Comisión:</w:t>
        <w:br/>
        <w:br/>
        <w:t xml:space="preserve">      a.    El Estado se refirió a la presentación de una versión  corregida</w:t>
        <w:br/>
        <w:t xml:space="preserve">      de la demanda, por parte de la Comisión, el 26 y 28 de agosto de 1997.</w:t>
        <w:br/>
        <w:t xml:space="preserve">      Señaló que la “presentación de la demanda, su  admisión  a  trámite  y</w:t>
        <w:br/>
        <w:t xml:space="preserve">      seguidamente su notificación a  la  contraparte,  hizo  precluir  todo</w:t>
        <w:br/>
        <w:t xml:space="preserve">      derecho de quien acciona para modificar o variar su pretensión en todo</w:t>
        <w:br/>
        <w:t xml:space="preserve">      o en  parte”.  La  presentación  de  la  demanda,  su  admisión  y  la</w:t>
        <w:br/>
        <w:t xml:space="preserve">      notificación a la parte contraria, “son actos únicos e invariables que</w:t>
        <w:br/>
        <w:t xml:space="preserve">      no pueden ser modificados y mucho menos de manera unilateral”. Aceptar</w:t>
        <w:br/>
        <w:t xml:space="preserve">      como  definitivo  el  segundo  texto  presentado  por   la   Comisión,</w:t>
        <w:br/>
        <w:t xml:space="preserve">      equivaldría a admitir que la demanda fue interpuesta cuando ya  habían</w:t>
        <w:br/>
        <w:t xml:space="preserve">      transcurrido los tres meses a que se refiere el artículo  51.1  de  la</w:t>
        <w:br/>
        <w:t xml:space="preserve">      Convención Americana en concordancia con los artículos 19.a y  23  del</w:t>
        <w:br/>
        <w:t xml:space="preserve">      Estatuto de la Comisión y 47.2 de su Reglamento.</w:t>
        <w:br/>
        <w:br/>
        <w:br/>
        <w:t xml:space="preserve">      b.    La Comisión manifestó que el 26 de agosto de 1997 solicitó a  la</w:t>
        <w:br/>
        <w:t xml:space="preserve">      Corte que reemplazara la demanda por la versión corregida del texto en</w:t>
        <w:br/>
        <w:t xml:space="preserve">      español presentada ese mismo día. En dicho texto, la Comisión  expresó</w:t>
        <w:br/>
        <w:t xml:space="preserve">      que “[lo] que se corrigió fueron meros errores ortográficos, de estilo</w:t>
        <w:br/>
        <w:t xml:space="preserve">      o mecanográficos en la redacción  de  la  demanda  en  su  versión  en</w:t>
        <w:br/>
        <w:t xml:space="preserve">      castellano”. Indicó que el asunto fue resuelto el  15  de  octubre  de</w:t>
        <w:br/>
        <w:t xml:space="preserve">      1997 por el Presidente de la Corte,  y  observó,  finalmente,  que  el</w:t>
        <w:br/>
        <w:t xml:space="preserve">      Estado no había señalado  qué  perjuicio  causaba  a  su  defensa  una</w:t>
        <w:br/>
        <w:t xml:space="preserve">      modificación de esa naturaleza.</w:t>
        <w:br/>
        <w:br/>
        <w:t>96.   Sobre esta excepción, la Corte reconoce que no puede  existir  más  de</w:t>
        <w:br/>
        <w:t>un texto de demanda, tomando en cuenta las características  y  consecuencias</w:t>
        <w:br/>
        <w:t>de este acto procesal, pero al mismo tiempo observa  que  en  este  caso  el</w:t>
        <w:br/>
        <w:t>demandante incorporó  correcciones  o  rectificaciones  puramente  formales,</w:t>
        <w:br/>
        <w:t>para mejorar la presentación del documento, sin  modificar  ninguna  de  las</w:t>
        <w:br/>
        <w:t>pretensiones que en éste se hicieron  valer oportunamente, ni  afectar,  por</w:t>
        <w:br/>
        <w:t>lo mismo, la defensa procesal del Estado.</w:t>
        <w:br/>
        <w:br/>
        <w:t>97.   En todo caso, es preciso indicar que este asunto quedó ya examinado  y</w:t>
        <w:br/>
        <w:t>atendido por el Presidente de la Corte, en su resolución de  15  de  octubre</w:t>
        <w:br/>
        <w:t>de 1997 (supra 29). Efectivamente,  en  ésta  se  estableció  el  texto  que</w:t>
        <w:br/>
        <w:t>tendría valor  como  demanda  en  el  presente  proceso,  con  exclusión  de</w:t>
        <w:br/>
        <w:t>cualquier otro. La decisión del Presidente fue notificada a  la  Comisión  y</w:t>
        <w:br/>
        <w:t>al Estado, el 15 y el 17 de octubre de 1997 respectivamente, y  aquéllos  no</w:t>
        <w:br/>
        <w:t>la objetaron ni pidieron aclaraciones o precisiones al respecto.</w:t>
        <w:br/>
        <w:br/>
        <w:t>98.   En razón de  lo  expuesto,  la  Corte  considera  que  esta  excepción</w:t>
        <w:br/>
        <w:t>preliminar es inadmisible.</w:t>
        <w:br/>
        <w:br/>
        <w:br/>
        <w:br/>
        <w:br/>
        <w:t xml:space="preserve">                                     XII</w:t>
        <w:br/>
        <w:t xml:space="preserve">                          “SOBERANÍA Y JURISDICCIÓN”</w:t>
        <w:br/>
        <w:br/>
        <w:t xml:space="preserve">                              Décima excepción</w:t>
        <w:br/>
        <w:br/>
        <w:t>99.    El  Estado  identifica  la  décima  excepción  como   “soberanía    y</w:t>
        <w:br/>
        <w:t>jurisdicción”.</w:t>
        <w:br/>
        <w:br/>
        <w:t>100.  La Corte resume como se indica a continuación los  planteamientos  del</w:t>
        <w:br/>
        <w:t>Estado y de la Comisión en torno a este punto:</w:t>
        <w:br/>
        <w:br/>
        <w:t xml:space="preserve">      a.    El  Estado  afirmó  que  si  bien  no  entraría  a  examinar  la</w:t>
        <w:br/>
        <w:t xml:space="preserve">      ambigüedad  de  la  demanda,  sí  analizaría  que  “existen   aspectos</w:t>
        <w:br/>
        <w:t xml:space="preserve">      inherentes a la soberanía de los Estados y de los  individuos  que  la</w:t>
        <w:br/>
        <w:t xml:space="preserve">      componen o conforman que no pueden renunciarse sin  afectar  el  orden</w:t>
        <w:br/>
        <w:t xml:space="preserve">      público”. Sobre esta  base,  el  Perú  afirmó  que  es  una  República</w:t>
        <w:br/>
        <w:t xml:space="preserve">      soberana y con pleno derecho  de  dictar  las  leyes  necesarias  para</w:t>
        <w:br/>
        <w:t xml:space="preserve">      reprimir los delitos cometidos  en  su  territorio  por  nacionales  o</w:t>
        <w:br/>
        <w:t xml:space="preserve">      extranjeros; que la condena  de  las  presuntas  víctimas  se  realizó</w:t>
        <w:br/>
        <w:t xml:space="preserve">      conforme a lo establecido en los Decretos-Ley Nos.  25.659,  25.708  y</w:t>
        <w:br/>
        <w:t xml:space="preserve">      25.744, así como en la Constitución de 1993, vigente en ese momento, y</w:t>
        <w:br/>
        <w:t xml:space="preserve">      que “la decisión soberana de cualquier  organismo  jurisdiccional  del</w:t>
        <w:br/>
        <w:t xml:space="preserve">      Perú no puede ser modificada y menos aún dejada sin efecto por ninguna</w:t>
        <w:br/>
        <w:t xml:space="preserve">      autoridad nacional, extranjera o  supranacional”.  Finalmente,  señaló</w:t>
        <w:br/>
        <w:t xml:space="preserve">      que los “ilícitos penales que cometan los nacionales y extranjeros  en</w:t>
        <w:br/>
        <w:t xml:space="preserve">      el territorio peruano, son sancionados por los tribunales  competentes</w:t>
        <w:br/>
        <w:t xml:space="preserve">      del país y lo que éstos resuelven es definitivo”.</w:t>
        <w:br/>
        <w:br/>
        <w:br/>
        <w:t xml:space="preserve">      b.    La Comisión manifestó que la décima excepción es “una mezcla  de</w:t>
        <w:br/>
        <w:t xml:space="preserve">      las [e]xcepciones ya  presentadas  y  consideradas  anteriormente”,  y</w:t>
        <w:br/>
        <w:t xml:space="preserve">      reiteró los argumentos expresados a propósito de la  sexta  excepción.</w:t>
        <w:br/>
        <w:t xml:space="preserve">      Advirtió que tanto ella misma  como  la  Corte  son  competentes  para</w:t>
        <w:br/>
        <w:t xml:space="preserve">      examinar y decidir este caso, pues el Perú aceptó  la  competencia  de</w:t>
        <w:br/>
        <w:t xml:space="preserve">      los órganos del sistema interamericano con respecto a  los  actos  que</w:t>
        <w:br/>
        <w:t xml:space="preserve">      violen los derechos humanos consagrados en la Convención Americana.</w:t>
        <w:br/>
        <w:br/>
        <w:t>101.  En lo que respecta a la décima y última  excepción  planteada  por  el</w:t>
        <w:br/>
        <w:t>Estado, la  Corte  debe  recordar  que  el  Perú  suscribió  y  ratificó  la</w:t>
        <w:br/>
        <w:t>Convención Americana sobre Derechos Humanos.  En  consecuencia,  aceptó  las</w:t>
        <w:br/>
        <w:t>obligaciones convencionales consagradas en ésta en relación  con  todas  las</w:t>
        <w:br/>
        <w:t>personas bajo su jurisdicción, sin discriminación  alguna.  No  sobra  decir</w:t>
        <w:br/>
        <w:t>que el Perú, al igual que los demás Estados Parte en la  Convención,  aceptó</w:t>
        <w:br/>
        <w:t>ésta precisamente en el ejercicio de su soberanía.</w:t>
        <w:br/>
        <w:br/>
        <w:t>102.  Al constituirse como Estado Parte en la Convención,  el  Perú  admitió</w:t>
        <w:br/>
        <w:t>la competencia de los órganos del sistema interamericano  de  protección  de</w:t>
        <w:br/>
        <w:t>los derechos humanos, y por ende se  obligó,  también  en  ejercicio  de  su</w:t>
        <w:br/>
        <w:t>soberanía, a participar en los procedimientos ante la Comisión y la Corte  y</w:t>
        <w:br/>
        <w:t>asumir  las  obligaciones  que  derivan  de  éstos  y,  en  general,  de  la</w:t>
        <w:br/>
        <w:t>aplicación de la Convención.</w:t>
        <w:br/>
        <w:br/>
        <w:t>103.  Si las presuntas víctimas hubiesen actuado, como lo  afirma  el  Perú,</w:t>
        <w:br/>
        <w:t>en forma inconsecuente con las disposiciones de la Convención y  de  la  ley</w:t>
        <w:br/>
        <w:t>nacional a la que  deben  sujetarse,  como  lo  manifiesta  el  Perú,  puede</w:t>
        <w:br/>
        <w:t>acarrear consecuencias penales conforme a las infracciones cometidas, en  su</w:t>
        <w:br/>
        <w:t>caso, pero no releva al Estado de cumplir las obligaciones que  éste  asumió</w:t>
        <w:br/>
        <w:t>como Estado Parte en la Convención mencionada.</w:t>
        <w:br/>
        <w:br/>
        <w:t>104.  Por consiguiente, la Corte estima que  esta  excepción  preliminar  es</w:t>
        <w:br/>
        <w:t>inadmisible.</w:t>
        <w:br/>
        <w:br/>
        <w:br/>
        <w:t xml:space="preserve">                                    XIII</w:t>
        <w:br/>
        <w:t>105.  Por tanto,</w:t>
        <w:br/>
        <w:br/>
        <w:t>LA CORTE,</w:t>
        <w:br/>
        <w:br/>
        <w:t>DECIDE</w:t>
        <w:br/>
        <w:br/>
        <w:t>por cinco votos contra dos,</w:t>
        <w:br/>
        <w:br/>
        <w:t>1.    Desestimar las  excepciones  preliminares  primera,  segunda,  cuarta,</w:t>
        <w:br/>
        <w:t>quinta, sexta, séptima, octava, novena  y  décima  opuestas  por  el  Estado</w:t>
        <w:br/>
        <w:t>Peruano.</w:t>
        <w:br/>
        <w:br/>
        <w:t>Disienten los Jueces de Roux Rengifo y Vidal Ramírez.</w:t>
        <w:br/>
        <w:br/>
        <w:t>por unanimidad,</w:t>
        <w:br/>
        <w:br/>
        <w:t>2.    Admitir la tercera excepción presentada por el Estado Peruano.</w:t>
        <w:br/>
        <w:br/>
        <w:t>por unanimidad,</w:t>
        <w:br/>
        <w:br/>
        <w:t>3.    Continuar con la tramitación del fondo  del  caso,  salvo  en  lo  que</w:t>
        <w:br/>
        <w:t>respecta a la tercera excepción.</w:t>
        <w:br/>
        <w:br/>
        <w:t>El Juez Cançado Trindade hizo conocer a la Corte  su  Voto  Concurrente;  el</w:t>
        <w:br/>
        <w:t>Juez de Roux Rengifo,  su  Voto  parcialmente  Disidente  y  el  Juez  Vidal</w:t>
        <w:br/>
        <w:t>Ramírez, su Voto Disidente, los cuales acompañan esta sentencia.</w:t>
        <w:br/>
        <w:br/>
        <w:t>Redactada en español y en inglés, haciendo fe el texto en  español,  en  San</w:t>
        <w:br/>
        <w:t>José, Costa Rica, el día 4 de septiembre de 1998.</w:t>
        <w:br/>
        <w:br/>
        <w:br/>
        <w:br/>
        <w:t xml:space="preserve">                           Hernán Salgado Pesantes</w:t>
        <w:br/>
        <w:t xml:space="preserve">                                 Presidente</w:t>
        <w:br/>
        <w:br/>
        <w:t>Antônio A. Cançado Trindade                      Máximo Pacheco Gómez</w:t>
        <w:br/>
        <w:br/>
        <w:t>Oliver Jackman                                        Sergio García Ramírez</w:t>
        <w:br/>
        <w:br/>
        <w:t>Carlos Vicente de Roux Rengifo                          Fernando Vidal</w:t>
        <w:br/>
        <w:t>Ramírez</w:t>
        <w:br/>
        <w:br/>
        <w:br/>
        <w:t xml:space="preserve">                          Manuel E. Ventura Robles</w:t>
        <w:br/>
        <w:t xml:space="preserve">                                 Secretario</w:t>
        <w:br/>
        <w:br/>
        <w:t>Comuníquese y ejecútese,</w:t>
        <w:br/>
        <w:t xml:space="preserve">                                                     Hernán Salgado Pesantes</w:t>
        <w:br/>
        <w:t xml:space="preserve">                                       Presidente</w:t>
        <w:br/>
        <w:br/>
        <w:br/>
        <w:t>Manuel E. Ventura Robles</w:t>
        <w:br/>
        <w:br/>
        <w:t xml:space="preserve">              VOTO CONCURRENTE DEL JUEZ A. A. CANÇADO TRINDADE</w:t>
        <w:br/>
        <w:br/>
        <w:br/>
        <w:br/>
        <w:t>1.    He concurrido con mi voto a la adopción de la  presente  Sentencia  de</w:t>
        <w:br/>
        <w:t>la Corte Interamericana de Derechos Humanos sobre  excepciones  preliminares</w:t>
        <w:br/>
        <w:t>en el caso Castillo Petruzzi versus Perú.  Lo  decidido  por  la  Corte,  al</w:t>
        <w:br/>
        <w:t>desestimar la quinta y la sexta excepciones  preliminares  interpuestas  por</w:t>
        <w:br/>
        <w:t>el  Estado  demandado  (relativas  a  la  personalidad  jurídica  y   a   la</w:t>
        <w:br/>
        <w:t>legitimatio  ad  causam  de  la   organización   non-gubernamental   chilena</w:t>
        <w:br/>
        <w:t>peticionaria, la Fundación  de  Ayuda  Social  de  las  Iglesias  Cristianas</w:t>
        <w:br/>
        <w:t>(FASIC)), pone  de  relieve  el  derecho  de  petición  individual  bajo  la</w:t>
        <w:br/>
        <w:t>Convención Americana sobre Derechos Humanos (artículo  44),  alcanzando  las</w:t>
        <w:br/>
        <w:t>bases del propio mecanismo de protección bajo la Convención Americana.</w:t>
        <w:br/>
        <w:br/>
        <w:t>2.    La importancia del derecho de petición individual no me  parece  haber</w:t>
        <w:br/>
        <w:t>sido  suficientemente  resaltada  por  la  doctrina  y   la   jurisprudencia</w:t>
        <w:br/>
        <w:t>internacionales hasta la fecha; la atención que han dedicado  a  la  materia</w:t>
        <w:br/>
        <w:t>ha sido, sorprendentemente, insatisfactoria a mi modo  de  ver,  dejando  de</w:t>
        <w:br/>
        <w:t>guardar proporción con la gran relevancia de que se reviste  el  derecho  de</w:t>
        <w:br/>
        <w:t>petición individual bajo la Convención Americana. Este es un  punto  que  me</w:t>
        <w:br/>
        <w:t>es particularmente  caro.  No  hay  que  perder  de  vista  que,  en  última</w:t>
        <w:br/>
        <w:t>instancia, es por el  libre  y  pleno  ejercicio  del  derecho  de  petición</w:t>
        <w:br/>
        <w:t>individual que se garantiza el acceso directo del individuo a la justicia  a</w:t>
        <w:br/>
        <w:t>nivel internacional.</w:t>
        <w:br/>
        <w:br/>
        <w:t>3.    La cuestión de la  legitimatio  ad  causam  de  los  peticionarios  ha</w:t>
        <w:br/>
        <w:t>ocupado una posición central en esta etapa de excepciones  preliminares  del</w:t>
        <w:br/>
        <w:t>caso Castillo Petruzzi versus Perú, y la Corte Interamericana decidió, a  mi</w:t>
        <w:br/>
        <w:t>modo de ver acertadamente, desestimar  la  quinta  y  la  sexta  excepciones</w:t>
        <w:br/>
        <w:t>preliminares, que versaban sobre la materia.  En  mi  entendimiento,  no  se</w:t>
        <w:br/>
        <w:t>puede analizar el artículo 44 como si fuera una disposición  como  cualquier</w:t>
        <w:br/>
        <w:t>otra de la Convención, como si no estuviera relacionada  con  la  obligación</w:t>
        <w:br/>
        <w:t>de los Estados Partes de no crear obstáculos o dificultades para el libre  y</w:t>
        <w:br/>
        <w:t>pleno ejercicio del derecho de petición  individual,  o  como  si  fuera  de</w:t>
        <w:br/>
        <w:t>igual jerarquía que  otras  disposiciones  procedimentales.  El  derecho  de</w:t>
        <w:br/>
        <w:t>petición individual constituye, en suma, la piedra  angular  del  acceso  de</w:t>
        <w:br/>
        <w:t>los  individuos  a  todo  el  mecanismo  de  protección  de  la   Convención</w:t>
        <w:br/>
        <w:t>Americana.</w:t>
        <w:br/>
        <w:br/>
        <w:t>4.    Como la sentencia de un tribunal  internacional  de  derechos  humanos</w:t>
        <w:br/>
        <w:t>sirve el amplio propósito no  sólo  de  resolver  las  cuestiones  jurídicas</w:t>
        <w:br/>
        <w:t>planteadas en un caso concreto, sino también de  aclarar  y  desarrollar  el</w:t>
        <w:br/>
        <w:t>sentido de las normas del tratado de  derechos  humanos  en  aprecio,  y  de</w:t>
        <w:br/>
        <w:t>contribuir de ese modo a su observancia por los Estados  Partes[2],  me  veo</w:t>
        <w:br/>
        <w:t>así en la obligación de agregar mis reflexiones sobre  la  materia  en  este</w:t>
        <w:br/>
        <w:t>Voto Concurrente. Lo hago, teniendo presentes las  inquietudes  manifestadas</w:t>
        <w:br/>
        <w:t>sobre el particular durante la audiencia pública ante la Corte realizada  el</w:t>
        <w:br/>
        <w:t>día 08 de junio de 1998[3], y en respaldo a lo decidido por la Corte  en  el</w:t>
        <w:br/>
        <w:t>presente  caso  Castillo  Petruzzi,  dada  la  necesidad  que  constato   de</w:t>
        <w:br/>
        <w:t>contribuir a esclarecer - inclusive  para  casos  futuros  -  la  naturaleza</w:t>
        <w:br/>
        <w:t>jurídica y el alcance del derecho de petición individual  bajo  el  artículo</w:t>
        <w:br/>
        <w:t>44 de la Convención Americana.</w:t>
        <w:br/>
        <w:br/>
        <w:t>I.    Consagración, Naturaleza Jurídica y Alcance del  Derecho  de  Petición</w:t>
        <w:br/>
        <w:t xml:space="preserve">      Individual.</w:t>
        <w:br/>
        <w:br/>
        <w:t>5.    El derecho de petición individual  es  una  conquista  definitiva  del</w:t>
        <w:br/>
        <w:t>Derecho Internacional de los Derechos Humanos. Es de la  propia  esencia  de</w:t>
        <w:br/>
        <w:t>la protección internacional de los derechos humanos la contraposición  entre</w:t>
        <w:br/>
        <w:t>los individuos demandantes y los Estados demandados en  casos  de  supuestas</w:t>
        <w:br/>
        <w:t>violaciones de los derechos protegidos. Fue precisamente  en  este  contexto</w:t>
        <w:br/>
        <w:t>de protección que se operó el rescate  histórico  de  la  posición  del  ser</w:t>
        <w:br/>
        <w:t>humano como sujeto  del  Derecho  Internacional  de  los  Derechos  Humanos,</w:t>
        <w:br/>
        <w:t>dotado de plena capacidad procesal internacional.</w:t>
        <w:br/>
        <w:br/>
        <w:t>6.    Tres siglos de un ordenamiento internacional  cristalizado,  a  partir</w:t>
        <w:br/>
        <w:t>de los tratados de paz de Westfalia (1648), con base en la  coordinación  de</w:t>
        <w:br/>
        <w:t>Estados-naciones  independientes,  en   la   juxtaposición   de   soberanías</w:t>
        <w:br/>
        <w:t>absolutas, llevaron a la exclusión de aquel ordenamiento de  los  individuos</w:t>
        <w:br/>
        <w:t>como sujetos de derechos. En el plano internacional, los  Estados  asumieron</w:t>
        <w:br/>
        <w:t>el monopolio  de  la  titularidad  de  derechos;  los  individuos,  para  su</w:t>
        <w:br/>
        <w:t>protección,  fueron  dejados  enteramente  a  merced  de  la  intermediación</w:t>
        <w:br/>
        <w:t>discrecional de sus Estados nacionales. El  ordenamiento  internacional  así</w:t>
        <w:br/>
        <w:t>erigido, - que los excesos  del  positivismo  jurídico  intentaron  en  vano</w:t>
        <w:br/>
        <w:t>justificar, - de él excluyó  precisamente  el  destinatario  último  de  las</w:t>
        <w:br/>
        <w:t>normas jurídicas: el ser humano.</w:t>
        <w:br/>
        <w:br/>
        <w:t>7.     Tres  siglos  de  un  ordenamiento  internacional  marcado   por   el</w:t>
        <w:br/>
        <w:t>predominio de las soberanías estatales y por la exclusión de los  individuos</w:t>
        <w:br/>
        <w:t>fueron incapaces de evitar las violaciones masivas de los derechos  humanos,</w:t>
        <w:br/>
        <w:t>perpetradas en todas las regiones del mundo, y las sucesivas atrocidades  de</w:t>
        <w:br/>
        <w:t>nuestro  siglo,   inclusive   las   contemporáneas[4].   Tales   atrocidades</w:t>
        <w:br/>
        <w:t>despertaron  la  conciencia  jurídica  universal  para   la   necesidad   de</w:t>
        <w:br/>
        <w:t>reconceptualizar  las  propias   bases   del   ordenamiento   internacional,</w:t>
        <w:br/>
        <w:t>restituyendo  al  ser  humano  la  posición  central  de  donde  había  sido</w:t>
        <w:br/>
        <w:t>desplazado. Esta reconstrucción, sobre bases humanas,  tomó  por  fundamento</w:t>
        <w:br/>
        <w:t>conceptual cánones enteramente distintos, como lo son los de la  realización</w:t>
        <w:br/>
        <w:t>de valores comunes superiores, de la titularidad de derechos del propio  ser</w:t>
        <w:br/>
        <w:t>humano, de la garantía colectiva de su realización, y del carácter  objetivo</w:t>
        <w:br/>
        <w:t>de  las  obligaciones  de  protección[5].  El  orden  internacional  de  las</w:t>
        <w:br/>
        <w:t>soberanías cedía terreno al de la solidaridad.</w:t>
        <w:br/>
        <w:br/>
        <w:t>8.     Esta  profunda   transformación   del   ordenamiento   internacional,</w:t>
        <w:br/>
        <w:t>desencadenada a  partir  de  las  Declaraciones  Universal  y  Americana  de</w:t>
        <w:br/>
        <w:t>Derechos Humanos de 1948, a completar este año medio siglo de evolución,  no</w:t>
        <w:br/>
        <w:t>se  ha  dado  sin  dificultades,  precisamente  por   requerir   una   nueva</w:t>
        <w:br/>
        <w:t>mentalidad. Pasó, además, por etapas,  algunas  de  las  cuales  ya  no  más</w:t>
        <w:br/>
        <w:t>suficientemente estudiadas en nuestros días, inclusive en lo referente a  la</w:t>
        <w:br/>
        <w:t>consagración del derecho de petición individual. Ya en  los  primordios  del</w:t>
        <w:br/>
        <w:t>ejercicio de este derecho se enfatizó que, aunque motivado por  la  búsqueda</w:t>
        <w:br/>
        <w:t>de la reparación individual, el derecho de petición contribuye también  para</w:t>
        <w:br/>
        <w:t>asegurar el respeto por las obligaciones de carácter objetivo  que  vinculan</w:t>
        <w:br/>
        <w:t>los Estados Partes[6]. En varios casos el ejercicio del derecho de  petición</w:t>
        <w:br/>
        <w:t>ha ido más allá, ocasionando cambios en el ordenamiento jurídico  interno  y</w:t>
        <w:br/>
        <w:t>en la práctica de los órganos públicos del Estado[7]. La  significación  del</w:t>
        <w:br/>
        <w:t>derecho de petición individual sólo puede  ser  apropiadamente  evaluada  en</w:t>
        <w:br/>
        <w:t>perspectiva histórica.</w:t>
        <w:br/>
        <w:br/>
        <w:t>9.    En efecto, revela la historia juris de algunos países que  el  antiguo</w:t>
        <w:br/>
        <w:t>derecho de petición  (right  to  petition),  en  el  plano  interno,  a  las</w:t>
        <w:br/>
        <w:t>autoridades centrales, como expresión o  manifestación  de  la  libertad  de</w:t>
        <w:br/>
        <w:t>expresión, se desarrolló gradualmente en un recurso  legal  accionable  ante</w:t>
        <w:br/>
        <w:t>los tribunales para la  reparación  de  daños[8].  Sólo  en  una  época  más</w:t>
        <w:br/>
        <w:t>reciente el derecho  de  petición  (right  of  petition,  no  más  right  to</w:t>
        <w:br/>
        <w:t>petition) vino a formarse en  el  seno  de  organizaciones  internacionales.</w:t>
        <w:br/>
        <w:t>Surgieron  las  primeras  distinciones  clásicas,  como  la  elaborada   por</w:t>
        <w:br/>
        <w:t>Feinberg[9] y endosada por Drost[10], entre pétition plainte, basada en  una</w:t>
        <w:br/>
        <w:t>violación de un derecho privado individual (v.g., un  derecho  civil)  y  en</w:t>
        <w:br/>
        <w:t>búsqueda de reparación por  parte  de  las  autoridades,  y  pétition  voeu,</w:t>
        <w:br/>
        <w:t>atinente a los intereses generales de un grupo (v.g., un  derecho  político)</w:t>
        <w:br/>
        <w:t>y en búsqueda de medidas públicas por parte de las autoridades.</w:t>
        <w:br/>
        <w:br/>
        <w:t>10.    La  pétition  voeu  evolucionó  para  lo  que  se  pasó  a  denominar</w:t>
        <w:br/>
        <w:t>“comunicación”; ejemplos, a su vez, de pétitions plaintes -  o  “peticiones”</w:t>
        <w:br/>
        <w:t>stricto sensu - se encuentran, por ejemplo, en los sistemas  de  minorías  y</w:t>
        <w:br/>
        <w:t>mandatos bajo la Sociedad de las Naciones y en el  sistema  de  tutela  bajo</w:t>
        <w:br/>
        <w:t>las Naciones Unidas[11]. Fueron  estos  algunos  de  los  primeros  sistemas</w:t>
        <w:br/>
        <w:t>internacionales a otorgar capacidad procesal directamente a  los  individuos</w:t>
        <w:br/>
        <w:t>y grupos privados[12]. Tales antecedentes, a lo largo de  la  primera  mitad</w:t>
        <w:br/>
        <w:t>del siglo XX, abrieron  camino  para  el  desarrollo,  en  el  seno  de  las</w:t>
        <w:br/>
        <w:t>Naciones Unidas y bajo los  tratados  de  derechos  humanos  en  los  planos</w:t>
        <w:br/>
        <w:t>global  y  regional,  de  los  mecanismos  contemporáneos  de  peticiones  o</w:t>
        <w:br/>
        <w:t>comunicaciones relativas a violaciones de derechos humanos[13].</w:t>
        <w:br/>
        <w:br/>
        <w:t>11.   Con la consolidación de estos mecanismos, concediendo  acceso  directo</w:t>
        <w:br/>
        <w:t>a los individuos a las  instancias  internacionales,  tornábase  patente  el</w:t>
        <w:br/>
        <w:t>reconocimiento, también en el plano procesal, de que los  derechos  humanos,</w:t>
        <w:br/>
        <w:t>inherentes a la persona humana, son anteriores y superiores al  Estado  y  a</w:t>
        <w:br/>
        <w:t>toda otra forma de organización política, y emancipábase el ser  humano  del</w:t>
        <w:br/>
        <w:t>yugo estatal, siempre y cuando se mostrase éste  arbitrario.  Recuperaba  el</w:t>
        <w:br/>
        <w:t>individuo su presencia, para la vindicación de sus  derechos,  en  el  plano</w:t>
        <w:br/>
        <w:t>internacional, presencia ésta que le fuera negada en  el  proceso  histórico</w:t>
        <w:br/>
        <w:t>de formación del Estado moderno pero que se manifestara en  la  preocupación</w:t>
        <w:br/>
        <w:t>inmediata con el ser humano en los manuscritos originales  de  los  llamados</w:t>
        <w:br/>
        <w:t>fundadores  del  derecho   internacional[14]   (el   derecho   de   gentes),</w:t>
        <w:br/>
        <w:t>destacadamente en las lecciones  perennes   -  sobre  todo  la  De  Indis  -</w:t>
        <w:br/>
        <w:t>Relectio Prior, de 1538-1539 - de Francisco de Vitoria[15], el gran  maestro</w:t>
        <w:br/>
        <w:t>de Salamanca.</w:t>
        <w:br/>
        <w:br/>
        <w:t>12.    Esta  transformación,  propia  de  nuestro  tiempo,  corresponde   al</w:t>
        <w:br/>
        <w:t>reconocimiento de la necesidad de que todos los Estados, para evitar  nuevas</w:t>
        <w:br/>
        <w:t>violaciones de los derechos humanos, respondan por  la  manera  cómo  tratan</w:t>
        <w:br/>
        <w:t>todos los seres  humanos  que  se  encuentran  bajo  su  jurisdicción.  Esta</w:t>
        <w:br/>
        <w:t>prestación  de  cuentas  simplemente  no  hubiera  sido   posible   sin   la</w:t>
        <w:br/>
        <w:t>consagración del derecho de petición individual, en medio al  reconocimiento</w:t>
        <w:br/>
        <w:t>del carácter objetivo de las obligaciones de protección y  a  la  aceptación</w:t>
        <w:br/>
        <w:t>de la garantía colectiva de cumplimiento de las  mismas.  Es  este  el  real</w:t>
        <w:br/>
        <w:t>sentido  del  rescate  histórico  del  individuo  como  sujeto  del  Derecho</w:t>
        <w:br/>
        <w:t>Internacional de los Derechos Humanos.</w:t>
        <w:br/>
        <w:br/>
        <w:t>13.   Aún así, en el plano global, fue necesario esperar  hasta  la  primera</w:t>
        <w:br/>
        <w:t>mitad de los años setenta para que se concretizase el derecho  de  petición,</w:t>
        <w:br/>
        <w:t>en los mecanismos tanto convencionales (tratados y convenciones de  derechos</w:t>
        <w:br/>
        <w:t>humanos) como extra-convencionales (establecidos  por  resoluciones)  en  el</w:t>
        <w:br/>
        <w:t>ámbito de las Naciones Unidas. Paralelamente, en el plano regional  europeo,</w:t>
        <w:br/>
        <w:t>el derecho de petición individual, juntamente  con  la  noción  de  garantía</w:t>
        <w:br/>
        <w:t>colectiva, pasaron a constituir dos de los trazos más distintivos del  nuevo</w:t>
        <w:br/>
        <w:t>sistema de protección inaugurado  por  la  Convención  Europea  de  Derechos</w:t>
        <w:br/>
        <w:t>Humanos de 1950, y, a fortiori, de todo  el  Derecho  Internacional  de  los</w:t>
        <w:br/>
        <w:t>Derechos Humanos.</w:t>
        <w:br/>
        <w:br/>
        <w:t>14.   Hace  tres  décadas,  con  ocasión  del  vigésimo  aniversario  de  la</w:t>
        <w:br/>
        <w:t>Declaración  Universal  de  Derechos  Humanos  de  1948,  René  Cassin,  que</w:t>
        <w:br/>
        <w:t>participara del proceso preparatorio de su elaboración[16], ponderaba que</w:t>
        <w:br/>
        <w:br/>
        <w:t xml:space="preserve">    “(...) S'il subsiste encore sur la  terre,  de  grandes  zones  où  des</w:t>
        <w:br/>
        <w:t xml:space="preserve">    millions d'hommes ou de femmes  résignés  à  leur  destin  n'osent  pas</w:t>
        <w:br/>
        <w:t xml:space="preserve">    proférer la moindre plainte ou même ne  conçoivent  pas  qu'un  recours</w:t>
        <w:br/>
        <w:t xml:space="preserve">    quelconque soit possible, ces territoires se rétrécissent  de  jour  en</w:t>
        <w:br/>
        <w:t xml:space="preserve">    jour. La prise de conscience de ce qu'une  émancipation  est  possible,</w:t>
        <w:br/>
        <w:t xml:space="preserve">    est devenue de plus en plus générale. (...) La  condition  première  de</w:t>
        <w:br/>
        <w:t xml:space="preserve">    toute justice, c'est-à-dire la possibilité d'acculer  les  puissants  à</w:t>
        <w:br/>
        <w:t xml:space="preserve">    subir (...) un contrôle public, est remplie beaucoup plus  souvent  que</w:t>
        <w:br/>
        <w:t xml:space="preserve">    jadis. (...) La plupart  des  Conventions  et  Pactes  [des  droits  de</w:t>
        <w:br/>
        <w:t xml:space="preserve">    l'homme],  (...)  incitent  les  États  Parties  àcréer  chez  eux  des</w:t>
        <w:br/>
        <w:t xml:space="preserve">    instances de recours et prévoient certaines mesures de protection ou de</w:t>
        <w:br/>
        <w:t xml:space="preserve">    contrôle international. (...) Le fait que la résignation  sans  espoir,</w:t>
        <w:br/>
        <w:t xml:space="preserve">    que le mur du silence et que l'absence de tout recours soient  en  voie</w:t>
        <w:br/>
        <w:t xml:space="preserve">    de réduction ou de  disparition,  ouvre  à  l'humanité  en  marche  des</w:t>
        <w:br/>
        <w:t xml:space="preserve">    perspectives encourageantes. (...)”[17].</w:t>
        <w:br/>
        <w:br/>
        <w:t>15.   La apreciación del derecho  de  petición  individual  como  método  de</w:t>
        <w:br/>
        <w:t>implementación internacional de los derechos  humanos  tiene  necesariamente</w:t>
        <w:br/>
        <w:t>que tomar en cuenta el punto básico de  la  legitimatio  ad  causam  de  los</w:t>
        <w:br/>
        <w:t>peticionarios y de las condiciones del uso y  de  la  admisibilidad  de  las</w:t>
        <w:br/>
        <w:t>peticiones (consignadas en los distintos instrumentos  de  derechos  humanos</w:t>
        <w:br/>
        <w:t>que  las  prevén).  Es  éste,  precisamente,  el  aspecto  central  de   las</w:t>
        <w:br/>
        <w:t>cuestiones jurídicas  planteadas  en  el  presente  caso  Castillo  Petruzzi</w:t>
        <w:br/>
        <w:t>versus Perú, en su etapa de excepciones preliminares. A  ese  respecto,  los</w:t>
        <w:br/>
        <w:t>tratados  de  derechos  humanos  que   prevén   el   derecho   de   petición</w:t>
        <w:br/>
        <w:t>individual[18] en su mayoría condicionan el ejercicio de este derecho a  que</w:t>
        <w:br/>
        <w:t>el autor de la denuncia o comunicación sea - o  se  pretenda  -  víctima  de</w:t>
        <w:br/>
        <w:t>violación de los derechos humanos  (v.g.,  Convención  Europea  de  Derechos</w:t>
        <w:br/>
        <w:t>Humanos, artículo 25; [primero] Protocolo Facultativo al Pacto  de  Derechos</w:t>
        <w:br/>
        <w:t>Civiles y Políticos, artículo 2; Convención sobre la  Eliminación  de  Todas</w:t>
        <w:br/>
        <w:t>las Formas de Discriminación Racial, artículo XIV (1) y (2);  Convención  de</w:t>
        <w:br/>
        <w:t>las Naciones Unidas contra la Tortura, artículo 22).</w:t>
        <w:br/>
        <w:br/>
        <w:t>16.    La  noción   de   víctima   ha,   significativamente,   experimentado</w:t>
        <w:br/>
        <w:t>considerable expansión a través de la construcción  jurisprudencial  de  los</w:t>
        <w:br/>
        <w:t>órganos  de  supervisión  internacionales,  al  pasar  a  abarcar   víctimas</w:t>
        <w:br/>
        <w:t>directas e indirectas, así como víctimas “potenciales”, es  decir,  las  que</w:t>
        <w:br/>
        <w:t>sostienen  un  interés  personal  potencial  reconocidamente  válido  en  la</w:t>
        <w:br/>
        <w:t>vindicación de sus derechos[19].  La  Convención  Americana  sobre  Derechos</w:t>
        <w:br/>
        <w:t>Humanos (artículo 44) y la Carta Africana  de  Derechos  Humanos  y  de  los</w:t>
        <w:br/>
        <w:t>Pueblos (artículos 55-56) adoptan, sin  embargo,  en  este  particular,  una</w:t>
        <w:br/>
        <w:t>solución  más  liberal,  por  cuanto  no  imponen  a  los  peticionarios  el</w:t>
        <w:br/>
        <w:t>requisito de la condición de víctima.</w:t>
        <w:br/>
        <w:br/>
        <w:t>17.   De todos modos, las soluciones dadas por los tratados  e  instrumentos</w:t>
        <w:br/>
        <w:t>de derechos humanos al jus standi del  demandante  (con  matices,  a  saber,</w:t>
        <w:br/>
        <w:t>supuesta víctima y  “autor  de  la  comunicación”,  víctima  “razonablemente</w:t>
        <w:br/>
        <w:t>presumida”,  calificaciones  especiales  de  los  reclamantes,  derecho   de</w:t>
        <w:br/>
        <w:t>petición ampliamente atribuído), parecen vincularse a la naturaleza  de  los</w:t>
        <w:br/>
        <w:t>procedimientos  en  cuestión  (derecho  de   petición   o   comunicación   o</w:t>
        <w:br/>
        <w:t>representación [individual])[20]. Diferencias en la naturaleza  jurídica  de</w:t>
        <w:br/>
        <w:t>estos procedimientos, sin embargo, significativamente  no  han  impedido  el</w:t>
        <w:br/>
        <w:t>desarrollo de una jurisprudencia, de los distintos  órganos  de  supervisión</w:t>
        <w:br/>
        <w:t>internacionales, convergente en cuanto a una protección  más  eficaz  a  las</w:t>
        <w:br/>
        <w:t>supuestas víctimas.</w:t>
        <w:br/>
        <w:br/>
        <w:t>18.   Ha sido bajo la Convención Europea de Derechos Humanos que  una  vasta</w:t>
        <w:br/>
        <w:t>jurisprudencia sobre el derecho de petición individual se  ha  desarrollado.</w:t>
        <w:br/>
        <w:t>Es cierto que el artículo 25 de  la  Convención  Europea  fué  originalmente</w:t>
        <w:br/>
        <w:t>concebido como una cláusula facultativa;  hoy  día,  sin  embargo,  es  ésta</w:t>
        <w:br/>
        <w:t>aceptada por todos los Estados Partes en la Convención,  y,  muy  pronto,  a</w:t>
        <w:br/>
        <w:t>partir del 01 de noviembre  de  este  año,  con  la  entrada  en  vigor  del</w:t>
        <w:br/>
        <w:t>Protocolo XI a la Convención, el derecho de petición  ante  la  nueva  Corte</w:t>
        <w:br/>
        <w:t>Europea (como órgano jurisdiccional único  bajo  la  Convención  modificada)</w:t>
        <w:br/>
        <w:t>será mandatorio  (como  lo  ha  sido  bajo  la  Convención  Americana  sobre</w:t>
        <w:br/>
        <w:t>Derechos Humanos desde su adopción en 1969).  Dos  breves  observaciones  me</w:t>
        <w:br/>
        <w:t>parecen aquí necesarias.</w:t>
        <w:br/>
        <w:br/>
        <w:t>19.   En primer lugar, hace casi medio siglo, aún al  concebir  el  artículo</w:t>
        <w:br/>
        <w:t>25 originalmente  como  una  cláusula  facultativa,  los  redactores  de  la</w:t>
        <w:br/>
        <w:t>Convención Europea cuidaron de determinar, en el primer párrafo in  fine  de</w:t>
        <w:br/>
        <w:t>la cláusula, la obligación de los Estados Partes  que  la  aceptaron  de  no</w:t>
        <w:br/>
        <w:t>interponer cualquier impedimento u obstáculo al  ejercicio  del  derecho  de</w:t>
        <w:br/>
        <w:t>petición individual. En el caso Cruz Varas  y  Otros  versus  Suecia  (1990-</w:t>
        <w:br/>
        <w:t>1991), la Corte Europea  y,  en  escala  más  amplia  la  Comisión  Europea,</w:t>
        <w:br/>
        <w:t>reconocieron el  derecho  de  naturaleza  procesal  que  el  artículo  25(1)</w:t>
        <w:br/>
        <w:t>confiere a los individuos demandantes, en  virtud  del  cual  éstos  últimos</w:t>
        <w:br/>
        <w:t>pueden recurrir libremente a  la  Comisión,  sin  que  el  Estado  Parte  en</w:t>
        <w:br/>
        <w:t>cuestión impida o dificulte su iniciativa[21].</w:t>
        <w:br/>
        <w:br/>
        <w:t>20.   El derecho  de  petición  individual  disfruta,  pues,  de  autonomía,</w:t>
        <w:br/>
        <w:t>distinto que es de los derechos sustantivos enumerados en el título I de  la</w:t>
        <w:br/>
        <w:t>Convención Europea. Cualquier obstáculo interpuesto por el Estado  Parte  en</w:t>
        <w:br/>
        <w:t>cuestión a su libre ejercicio acarrearía, así, una  violación  adicional  de</w:t>
        <w:br/>
        <w:t>la Convención, paralelamente a otras violaciones que se  comprueben  de  los</w:t>
        <w:br/>
        <w:t>derechos sustantivos en ésta  consagrados.  Su  autonomía  en  nada  se  vio</w:t>
        <w:br/>
        <w:t>afectada por el hecho de haber sido originalmente previsto en  una  cláusula</w:t>
        <w:br/>
        <w:t>facultativa de la Convención (artículo 25).</w:t>
        <w:br/>
        <w:br/>
        <w:t>21.   En segundo lugar, y reforzando este punto, tanto la Comisión  como  la</w:t>
        <w:br/>
        <w:t>Corte Europeas de Derechos Humanos han entendido que el propio  concepto  de</w:t>
        <w:br/>
        <w:t>víctima (a la luz del artículo 25 de la Convención)  debe  ser  interpretado</w:t>
        <w:br/>
        <w:t>autónomamente  bajo  la  Convención.  Este  entendimiento  encuéntrase   hoy</w:t>
        <w:br/>
        <w:t>sólidamente respaldado por la jurisprudence constante  bajo  la  Convención.</w:t>
        <w:br/>
        <w:t>Así, en varias decisiones en  los  últimos  años,  la  Comisión  Europea  ha</w:t>
        <w:br/>
        <w:t>advertido  consistente  e  invariablemente  que  el  concepto  de  “víctima”</w:t>
        <w:br/>
        <w:t>utilizado en el artículo 25 de la Convención debe ser interpretado de  forma</w:t>
        <w:br/>
        <w:t>autónoma e independientemente de conceptos de  derecho  interno  tales  como</w:t>
        <w:br/>
        <w:t>los de interés o calidad para interponer una acción  judicial  o  participar</w:t>
        <w:br/>
        <w:t>en un proceso legal[22].</w:t>
        <w:br/>
        <w:br/>
        <w:t>22.   La Corte Europea, a su vez, en el caso Norris versus  Irlanda  (1988),</w:t>
        <w:br/>
        <w:t>ponderó que las condiciones que rigen las peticiones  individuales  bajo  el</w:t>
        <w:br/>
        <w:t>artículo 25 de la Convención “no coinciden necesariamente con los  criterios</w:t>
        <w:br/>
        <w:t>nacionales relativos  al  locus  standi”,  que  pueden  inclusive  servir  a</w:t>
        <w:br/>
        <w:t>propósitos distintos de los contemplados en el mencionado  artículo  25[23].</w:t>
        <w:br/>
        <w:t>Resulta, pues, clarísima la autonomía del derecho de petición individual  en</w:t>
        <w:br/>
        <w:t>el plano internacional vis-à-vis  disposiciones  del  derecho  interno.  Los</w:t>
        <w:br/>
        <w:t>elementos  singularizados  en  esta  jurisprudencia   protectora   aplicarse</w:t>
        <w:br/>
        <w:t>igualmente bajo procedimientos de otros tratados  de  derechos  humanos  que</w:t>
        <w:br/>
        <w:t>requieren la condición  de  “víctima”  para  el  ejercicio  del  derecho  de</w:t>
        <w:br/>
        <w:t>petición individual (cf. supra).</w:t>
        <w:br/>
        <w:br/>
        <w:t>23.   Cada uno de  estos  procedimientos,  a  pesar  de  diferencias  en  su</w:t>
        <w:br/>
        <w:t>naturaleza jurídica, ha contribuido, a su modo, al  gradual  fortalecimiento</w:t>
        <w:br/>
        <w:t>de la capacidad procesal  del  demandante  en  el  plano  internacional.  En</w:t>
        <w:br/>
        <w:t>reconocimiento expreso de la relevancia del derecho de petición  individual,</w:t>
        <w:br/>
        <w:t>la Declaración y Programa de Acción de Viena, principal  documento  adoptado</w:t>
        <w:br/>
        <w:t>por la II Conferencia  Mundial  de  Derechos  Humanos  (1993),  urgió  a  su</w:t>
        <w:br/>
        <w:t>adopción,  como  método  adicional  de   protección,   mediante   Protocolos</w:t>
        <w:br/>
        <w:t>Facultativos a la Convención sobre la Eliminación de  Todas  las  Formas  de</w:t>
        <w:br/>
        <w:t>Discriminación contra la Mujer y al Pacto de Derechos  Económicos,  Sociales</w:t>
        <w:br/>
        <w:t>y Culturales[24]. El referido documento recomendó,  además,  a  los  Estados</w:t>
        <w:br/>
        <w:t>Partes en los tratados de derechos  humanos,  la  aceptación  de  todos  los</w:t>
        <w:br/>
        <w:t>procedimientos  facultativos  disponibles  de  peticiones  o  comunicaciones</w:t>
        <w:br/>
        <w:t>individuales[25].</w:t>
        <w:br/>
        <w:br/>
        <w:t>II.   El Derecho de Petición Individual bajo la Convención  Americana  sobre</w:t>
        <w:br/>
        <w:t xml:space="preserve">      Derechos Humanos.</w:t>
        <w:br/>
        <w:br/>
        <w:t>24.   En el sistema interamericano de protección de  los  derechos  humanos,</w:t>
        <w:br/>
        <w:t>el derecho de petición individual se ha constituido en un  medio  eficaz  de</w:t>
        <w:br/>
        <w:t>enfrentar casos no sólo individuales sino también de violaciones  masivas  y</w:t>
        <w:br/>
        <w:t>sistemáticas de los derechos humanos[26], aún antes de la entrada  en  vigor</w:t>
        <w:br/>
        <w:t>de la Convención Americana sobre Derechos  Humanos  (i.e.,  en  la  práctica</w:t>
        <w:br/>
        <w:t>inicial de la Comisión Interamericana de Derechos Humanos).  Su  importancia</w:t>
        <w:br/>
        <w:t>ha sido fundamental, y no podría jamás ser minimizada. La  consagración  del</w:t>
        <w:br/>
        <w:t>derecho de  petición  individual  bajo  el  artículo  44  de  la  Convención</w:t>
        <w:br/>
        <w:t>Americana sobre Derechos Humanos se revistió de significación  especial.  No</w:t>
        <w:br/>
        <w:t>sólo fue su importancia, para el mecanismo de la Convención  como  un  todo,</w:t>
        <w:br/>
        <w:t>debidamente enfatizada en los travaux préparatoires de  aquella  disposición</w:t>
        <w:br/>
        <w:t>de la Convención[27], como también representó un avance  en  relación  a  lo</w:t>
        <w:br/>
        <w:t>que, hasta la adopción del Pacto de San José en 1969, se  había  logrado  al</w:t>
        <w:br/>
        <w:t>respecto, en el ámbito del Derecho Internacional de los Derechos Humanos.</w:t>
        <w:br/>
        <w:br/>
        <w:t>25.   La otra Convención regional entonces en vigor, la Convención  Europea,</w:t>
        <w:br/>
        <w:t>sólo aceptara el derecho de petición individual originalmente consagrado  en</w:t>
        <w:br/>
        <w:t>una cláusula facultativa (el artículo 25 de  la  Convención),  condicionando</w:t>
        <w:br/>
        <w:t>la legitimatio ad causam a la demostración de la condición  de  víctima  por</w:t>
        <w:br/>
        <w:t>el  demandante  individual,  -  lo  que,  a  su  vez,  propició  un  notable</w:t>
        <w:br/>
        <w:t>desarrollo jurisprudencial de la noción  de  “víctima”  bajo  la  Convención</w:t>
        <w:br/>
        <w:t>Europea (supra). La  Convención  Americana,  de  forma  distinta,  tornó  el</w:t>
        <w:br/>
        <w:t>derecho de petición individual (artículo 44 de  la  Convención)  mandatorio,</w:t>
        <w:br/>
        <w:t>de  aceptación  automática  por  los  Estados  ratificantes,  abriéndolo   a</w:t>
        <w:br/>
        <w:t>“cualquier  persona  o  grupo  de  personas,  o   entidad   no-gubernamental</w:t>
        <w:br/>
        <w:t>legalmente reconocida en uno o más Estados miembros de la  Organización”  de</w:t>
        <w:br/>
        <w:t>los Estados Americanos  (OEA),  -  lo  que  revela  la  importancia  capital</w:t>
        <w:br/>
        <w:t>atribuida al mismo[28].</w:t>
        <w:br/>
        <w:br/>
        <w:t>26.   Fue éste, reconocidamente, uno de los grandes avances logrados por  la</w:t>
        <w:br/>
        <w:t>Convención Americana, en los planos tanto conceptual y normativo,  así  como</w:t>
        <w:br/>
        <w:t>operativo. No se justificaría,  pues,  que,  transcurridos  veinte  años  de</w:t>
        <w:br/>
        <w:t>operación de nuestra Convención  regional[29],  se  admitiera  circundar  de</w:t>
        <w:br/>
        <w:t>restricciones el amplio alcance de la legitimatio ad causam,  por  parte  de</w:t>
        <w:br/>
        <w:t>cualquier persona, bajo el artículo 44  de  la  Convención  Americana.  Cabe</w:t>
        <w:br/>
        <w:t>extraer  las  consecuencias  del  amplio  alcance  del  artículo  44  de  la</w:t>
        <w:br/>
        <w:t>Convención,  en  lo  que  se  refiere  a  la  condición  de  los  individuos</w:t>
        <w:br/>
        <w:t>peticionarios[30]. Además, en la misma línea  de  pensamiento,  el  artículo</w:t>
        <w:br/>
        <w:t>1(1) de la Convención  Americana  consagra  la  obligación  general  de  los</w:t>
        <w:br/>
        <w:t>Estados Partes de respetar los derechos en ella consagrados  y  asegurar  su</w:t>
        <w:br/>
        <w:t>libre y pleno ejercicio a toda persona sujeta a su  jurisdicción  (sea  ella</w:t>
        <w:br/>
        <w:t>nacional,    extranjera,    refugiada    o    apátrida,     indistintamente,</w:t>
        <w:br/>
        <w:t>independientemente de su estatuto jurídico en el derecho interno).</w:t>
        <w:br/>
        <w:br/>
        <w:t>27.   Hay que tener siempre presente la autonomía del  derecho  de  petición</w:t>
        <w:br/>
        <w:t>individual vis-à-vis el derecho interno de los  Estados.  Su  relevancia  no</w:t>
        <w:br/>
        <w:t>puede ser minimizada, por  cuanto  puede  ocurrir  que,  en  un  determinado</w:t>
        <w:br/>
        <w:t>ordenamiento jurídico interno, un individuo se vea imposibilitado,  por  las</w:t>
        <w:br/>
        <w:t>circunstancias de una situación jurídica, a  tomar  providencias  judiciales</w:t>
        <w:br/>
        <w:t>por sí mismo. Lo cual no significa que estaría él privado de hacerlo  en  el</w:t>
        <w:br/>
        <w:t>ejercicio del derecho de petición individual bajo la  Convención  Americana,</w:t>
        <w:br/>
        <w:t>u otro tratado de derechos humanos.</w:t>
        <w:br/>
        <w:br/>
        <w:t>28.   Pero la Convención Americana va más allá: la  legitimatio  ad  causam,</w:t>
        <w:br/>
        <w:t>que extiende a todo  y  cualquier  peticionario,  puede  prescindir  aún  de</w:t>
        <w:br/>
        <w:t>alguna manifestación por parte de la propia víctima. El derecho de  petición</w:t>
        <w:br/>
        <w:t>individual, así ampliamente concebido, tiene como efecto  inmediato  ampliar</w:t>
        <w:br/>
        <w:t>el alcance de la protección, sobre todo en casos en que las víctimas  (v.g.,</w:t>
        <w:br/>
        <w:t>detenidos incomunicados, desaparecidos, entre  otras  situaciones)  se  vean</w:t>
        <w:br/>
        <w:t>imposibilitadas de actuar por cuenta propia, y necesitan  de  la  iniciativa</w:t>
        <w:br/>
        <w:t>de un tercero como peticionario en su defensa.</w:t>
        <w:br/>
        <w:br/>
        <w:t>29.   Uno de los trazos marcantes de la emancipación del ser humano,  vis-à-</w:t>
        <w:br/>
        <w:t>vis su propio Estado, como sujeto del Derecho Internacional de los  Derechos</w:t>
        <w:br/>
        <w:t>Humanos, reside precisamente en la desnacionalización de  la  protección  en</w:t>
        <w:br/>
        <w:t>el presente contexto. La nacionalidad desaparece como  vinculum  juris  para</w:t>
        <w:br/>
        <w:t>el ejercicio de la protección (diferentemente de la  protección  diplomática</w:t>
        <w:br/>
        <w:t>discrecionaria  en  el  contencioso  inter-estatal,   basada   en   premisas</w:t>
        <w:br/>
        <w:t>fundamentalmente  distintas),  bastando  que  el  individuo   demandante   -</w:t>
        <w:br/>
        <w:t>independientemente de  nacionalidad  o  domicilio  -  se  encuentre  (aunque</w:t>
        <w:br/>
        <w:t>temporariamente) bajo la jurisdicción de uno de los  Estados  Partes  en  el</w:t>
        <w:br/>
        <w:t>tratado de derechos humanos en cuestión.</w:t>
        <w:br/>
        <w:br/>
        <w:t>30.   En relación con  la  cuestión  planteada  en  la  quinta  y  la  sexta</w:t>
        <w:br/>
        <w:t>excepciones preliminares en el presente caso Castillo Petruzzi  versus  Perú</w:t>
        <w:br/>
        <w:t>(atinente a la personalidad jurídica y a la  legitimatio  ad  causam  de  la</w:t>
        <w:br/>
        <w:t>entidad  peticionaria,  la  FASIC),  sería  inconsistente  con  esta   nueva</w:t>
        <w:br/>
        <w:t>concepción de protección  que  se  buscase  condicionar  la  legitimatio  ad</w:t>
        <w:br/>
        <w:t>causam de una entidad  no-gubernamental  a  los  requisitos  legales  de  un</w:t>
        <w:br/>
        <w:t>determinado ordenamiento jurídico interno; en nada sorprende, pues, que  sea</w:t>
        <w:br/>
        <w:t>suficiente (bajo la Convención Americana) que esté  tal  entidad  legalmente</w:t>
        <w:br/>
        <w:t>reconocida en cualquiera de los Estados  miembros  de  la  Organización.  La</w:t>
        <w:br/>
        <w:t>Convención Americana no  exige  un  determinado  estatuto  jurídico  de  tal</w:t>
        <w:br/>
        <w:t>entidad, ni impone cualesquiera requisitos formales; lo único  que  requiere</w:t>
        <w:br/>
        <w:t>es que esté la entidad en cuestión  “legalmente  reconocida  en  uno  o  más</w:t>
        <w:br/>
        <w:t>Estados miembros” de la OEA.</w:t>
        <w:br/>
        <w:br/>
        <w:t>31.   Circunscribir tal requisito  al  derecho  interno  de  un  determinado</w:t>
        <w:br/>
        <w:t>Estado colisionaría con la letra y el espíritu de la  Convención  Americana.</w:t>
        <w:br/>
        <w:t>No hay, pues, que intentar dar a ese  requisito  una  dimensión  que  él  no</w:t>
        <w:br/>
        <w:t>tiene, pues, en última instancia, el derecho de petición individual bajo  la</w:t>
        <w:br/>
        <w:t>Convención Americana  -  como  lo  ha  señalado  la  Corte  en  la  presente</w:t>
        <w:br/>
        <w:t>Sentencia - encuéntrase abierto ampliamente a cualquier persona o  grupo  de</w:t>
        <w:br/>
        <w:t>personas. No se  cuestiona  la  facultad  del  Estado  demandado  de  buscar</w:t>
        <w:br/>
        <w:t>determinar  el  reconocimiento  legal  de   una   entidad   no-gubernamental</w:t>
        <w:br/>
        <w:t>peticionaria, bajo el artículo 44 de la Convención, desde que con eso no  se</w:t>
        <w:br/>
        <w:t>pretenda subordinarla a disposiciones pertinentes de su propio  ordenamiento</w:t>
        <w:br/>
        <w:t>jurídico interno o del derecho interno de un Estado determinado.</w:t>
        <w:br/>
        <w:br/>
        <w:t>32.   A ejemplo del propio derecho de petición individual  per  se  bajo  la</w:t>
        <w:br/>
        <w:t>Convención Americana (y demás tratados  de  derechos  humanos)  en  general,</w:t>
        <w:br/>
        <w:t>también ese requisito  de  legalidad  de  una  entidad  no-gubernamental  en</w:t>
        <w:br/>
        <w:t>particular encuéntrase desnacionalizado[31]. La protección de  los  derechos</w:t>
        <w:br/>
        <w:t>humanos accionada por el ejercicio del derecho  de  petición  individual  se</w:t>
        <w:br/>
        <w:t>efectúa a la luz de  la  noción  de  garantía  colectiva,  subyacente  a  la</w:t>
        <w:br/>
        <w:t>Convención Americana (así como a los demás tratados  de  derechos  humanos).</w:t>
        <w:br/>
        <w:t>Es en  ese  contexto  que  se  ha  de  apreciar  el  amplio  alcance  de  la</w:t>
        <w:br/>
        <w:t>legitimatio ad causam bajo el artículo 44 de la Convención Americana.</w:t>
        <w:br/>
        <w:br/>
        <w:t>33.   La desnacionalización de la protección  y  de  los  requisitos  de  la</w:t>
        <w:br/>
        <w:t>acción internacional de salvaguardia de  los  derechos  humanos,  además  de</w:t>
        <w:br/>
        <w:t>ampliar sensiblemente el círculo de personas protegidas,  posibilitó  a  los</w:t>
        <w:br/>
        <w:t>individuos ejercer derechos emanados directamente del derecho  internacional</w:t>
        <w:br/>
        <w:t>(derecho de gentes), implementados  a  la  luz  de  la  referida  noción  de</w:t>
        <w:br/>
        <w:t>garantía colectiva, y no más simplemente “concedidos” por el Estado. Con  el</w:t>
        <w:br/>
        <w:t>acceso de los individuos a la justicia a nivel  internacional,  mediante  el</w:t>
        <w:br/>
        <w:t>ejercicio del derecho de petición individual, se  dió  finalmente  expresión</w:t>
        <w:br/>
        <w:t>concreta al reconocimiento de que los derechos humanos a ser protegidos  son</w:t>
        <w:br/>
        <w:t>inherentes a la persona humana y no derivan del  Estado.  Por  consiguiente,</w:t>
        <w:br/>
        <w:t>la acción de su protección no se agota -no puede agotarse  -  en  la  acción</w:t>
        <w:br/>
        <w:t>del Estado.</w:t>
        <w:br/>
        <w:br/>
        <w:t>34.   De todos los mecanismos de protección internacional  de  los  derechos</w:t>
        <w:br/>
        <w:t>humanos, el derecho de petición individual es el más dinámico, inclusive  al</w:t>
        <w:br/>
        <w:t>atribuir  la  iniciativa  de  acción   al   propio   individuo   (la   parte</w:t>
        <w:br/>
        <w:t>ostensiblemente más débil vis-à-vis el  poder  público),  distintamente  del</w:t>
        <w:br/>
        <w:t>ejercicio ex officio  de  otros  métodos  (como  los  de  investigaciones  e</w:t>
        <w:br/>
        <w:t>informes) por parte de los órganos de supervisión internacional. Es  el  que</w:t>
        <w:br/>
        <w:t>mejor refleja la especificidad del Derecho  Internacional  de  los  Derechos</w:t>
        <w:br/>
        <w:t>Humanos,  en  comparación  con  otras   soluciones   propias   del   Derecho</w:t>
        <w:br/>
        <w:t>Internacional Público (como se puede desprender de la sentencia de  1995  de</w:t>
        <w:br/>
        <w:t>la Corte Europea de Derechos Humanos en el importante caso  Loizidou  versus</w:t>
        <w:br/>
        <w:t>Turquía, que ciertamente se tornará locus classicus sobre la materia)[32].</w:t>
        <w:br/>
        <w:br/>
        <w:t>35.   En las audiencias públicas ante la Corte Interamericana, en  distintos</w:t>
        <w:br/>
        <w:t>casos, - sobre todo  las  audiencias  relativas  a  reparaciones,  -  me  ha</w:t>
        <w:br/>
        <w:t>llamado  particularmente  la  atención  el  señalamiento,   cada   vez   más</w:t>
        <w:br/>
        <w:t>frecuente, por parte de las víctimas o de sus familiares, en el  sentido  de</w:t>
        <w:br/>
        <w:t>que, si no fuese por el  acceso  a  la  instancia  internacional,  jamás  se</w:t>
        <w:br/>
        <w:t>hubiera hecho justicia en sus casos  concretos.  Seamos  realistas:  sin  el</w:t>
        <w:br/>
        <w:t>derecho de petición individual, y el consecuente  acceso  a  la  justicia  a</w:t>
        <w:br/>
        <w:t>nivel internacional, los derechos consagrados en la Convención Americana  se</w:t>
        <w:br/>
        <w:t>reducirían a poco más que letra muerta. Es por el libre  y  pleno  ejercicio</w:t>
        <w:br/>
        <w:t>del derecho de petición  individual  que  los  derechos  consagrados  en  la</w:t>
        <w:br/>
        <w:t>Convención se tornan efectivos. El derecho de  petición  individual  abriga,</w:t>
        <w:br/>
        <w:t>en efecto, la última esperanza de los que no encontraron  justicia  a  nivel</w:t>
        <w:br/>
        <w:t>nacional. No me omitiría ni vacilaría  en  acrecentar,  -  permitiéndome  la</w:t>
        <w:br/>
        <w:t>metáfora, - que el derecho  de  petición  individual  es  indudablemente  la</w:t>
        <w:br/>
        <w:t>estrella más luminosa en el firmamento de los derechos humanos.</w:t>
        <w:br/>
        <w:br/>
        <w:t>36.   El derecho de petición  individual  es  una  cláusula  pétrea  de  los</w:t>
        <w:br/>
        <w:t>tratados de derechos humanos que lo consagran, - a ejemplo del  artículo  44</w:t>
        <w:br/>
        <w:t>de la Convención Americana, - sobre la cual se erige el  mecanismo  jurídico</w:t>
        <w:br/>
        <w:t>de la emancipación del  ser  humano  vis-à-vis  el  propio  Estado  para  la</w:t>
        <w:br/>
        <w:t>protección de sus derechos en el ámbito del  Derecho  Internacional  de  los</w:t>
        <w:br/>
        <w:t>Derechos Humanos. Otra  cláusula  pétrea  es  la  de  la  aceptación  de  la</w:t>
        <w:br/>
        <w:t>competencia contenciosa de la Corte Interamericana de Derechos Humanos,  que</w:t>
        <w:br/>
        <w:t>no admite limitaciones otras que las expresamente contenidas en el  artículo</w:t>
        <w:br/>
        <w:t>62 de la Convención Americana.</w:t>
        <w:br/>
        <w:br/>
        <w:t>37.   No es función de la Corte asegurar la debida aplicación por el  Estado</w:t>
        <w:br/>
        <w:t>Parte de su propio derecho interno,  sino  más  bien  asegurar  la  correcta</w:t>
        <w:br/>
        <w:t>aplicación de la Convención Americana en el ámbito de  su  derecho  interno,</w:t>
        <w:br/>
        <w:t>de modo a proteger todos los derechos en ésta última consagrados.  Cualquier</w:t>
        <w:br/>
        <w:t>entendimiento  en  contrario  sustraería  de  la  Corte  las  facultades  de</w:t>
        <w:br/>
        <w:t>protección  inherentes  a  su  jurisdicción,  privando  indebidamente  a  la</w:t>
        <w:br/>
        <w:t>Convención Americana de  efectos  en  el  derecho  interno  de  los  Estados</w:t>
        <w:br/>
        <w:t>Partes. Así siendo, más allá de lo que expresamente  disponen  los  tratados</w:t>
        <w:br/>
        <w:t>de  derechos  humanos  al  respecto,  tales  cláusulas  pétreas  no  admiten</w:t>
        <w:br/>
        <w:t>restricciones de derecho interno.</w:t>
        <w:br/>
        <w:br/>
        <w:t>38.   Las referidas cláusulas pétreas - el derecho de petición individual  y</w:t>
        <w:br/>
        <w:t>la  jurisdicción  compulsoria   en   materia   contenciosa   de   la   Corte</w:t>
        <w:br/>
        <w:t>Interamericana - constituyen materia de ordre public internacional,  que  no</w:t>
        <w:br/>
        <w:t>podría estar a merced de  limitaciones  no  previstas  en  los  tratados  de</w:t>
        <w:br/>
        <w:t>protección, invocadas por los Estados Partes por razones  o  vicisitudes  de</w:t>
        <w:br/>
        <w:t>orden interno. Si de ese modo no  hubiese  sido  originalmente  concebido  y</w:t>
        <w:br/>
        <w:t>consistentemente entendido el  derecho  de  petición  individual,  muy  poco</w:t>
        <w:br/>
        <w:t>habría avanzado la protección internacional de los derechos humanos  en  ese</w:t>
        <w:br/>
        <w:t>medio siglo de evolución. El derecho de petición individual,  tan  amplia  y</w:t>
        <w:br/>
        <w:t>liberalmente  reconocido  bajo  la  Convención  Americana   sobre   Derechos</w:t>
        <w:br/>
        <w:t>Humanos, constituye, como ya se ha señalado, una  conquista  definitiva  del</w:t>
        <w:br/>
        <w:t>Derecho Internacional de los Derechos Humanos, a ser  siempre  decididamente</w:t>
        <w:br/>
        <w:t>resguardada por la Corte Interamericana de Derechos Humanos, como  lo  viene</w:t>
        <w:br/>
        <w:t>a hacer en la presente Sentencia sobre excepciones preliminares en  el  caso</w:t>
        <w:br/>
        <w:t>Castillo Petruzzi.</w:t>
        <w:br/>
        <w:br/>
        <w:t>III.  El Derecho de Petición Individual De Lege Ferenda:  Del  Locus  Standi</w:t>
        <w:br/>
        <w:t xml:space="preserve">      al Jus Standi ante la Corte Interamericana de Derechos Humanos.</w:t>
        <w:br/>
        <w:br/>
        <w:t>39.   A estas reflexiones en defensa  del  amplio  alcance  del  derecho  de</w:t>
        <w:br/>
        <w:t>petición individual  bajo  la  Convención  Americana,  no  podría  dejar  de</w:t>
        <w:br/>
        <w:t>agregar  una  consideración  final  de   lege   ferenda:   en   el   sistema</w:t>
        <w:br/>
        <w:t>interamericano de protección, alcanzará el derecho  de  petición  individual</w:t>
        <w:br/>
        <w:t>su plenitud en el día en que pueda ser ejercido por los peticionarios ya  no</w:t>
        <w:br/>
        <w:t>más ante la Comisión Interamericana, pero  sí  directamente  ante  la  Corte</w:t>
        <w:br/>
        <w:t>Interamericana de Derechos Humanos[33]. La vía jurisdiccional constituye  la</w:t>
        <w:br/>
        <w:t>más perfeccionada y evolucionada modalidad de  protección  internacional  de</w:t>
        <w:br/>
        <w:t>los derechos humanos. El sistema europeo de  protección  esperó  casi  medio</w:t>
        <w:br/>
        <w:t>siglo[34] para dar expresión concreta a esta realidad.</w:t>
        <w:br/>
        <w:br/>
        <w:t>40.   Su perfeccionamiento institucional mediante la  inminente  entrada  en</w:t>
        <w:br/>
        <w:t>vigor del Protocolo n.  11  a  la  Convención  Europea  refleja,  en  última</w:t>
        <w:br/>
        <w:t>instancia, el reconocimiento inequívoco de que los  derechos  humanos  deben</w:t>
        <w:br/>
        <w:t>ser protegidos en el plano internacional por un órgano judicial  permanente,</w:t>
        <w:br/>
        <w:t>con jurisdicción compulsoria en materia contenciosa, al cual los  individuos</w:t>
        <w:br/>
        <w:t>tengan el derecho de acceso directo independientemente de la  aceptación  de</w:t>
        <w:br/>
        <w:t>una cláusula facultativa por sus respectivos  Estados[35].  Al  proceder  en</w:t>
        <w:br/>
        <w:t>esta línea de pensamiento, los responsables por  la  operación  del  sistema</w:t>
        <w:br/>
        <w:t>europeo  de  protección  han  al  fin  logrado  superar   las   vacilaciones</w:t>
        <w:br/>
        <w:t>proyectadas en el mecanismo original de la Convención Europea[36],  emanadas</w:t>
        <w:br/>
        <w:t>de dogmas y temores propios de una etapa histórica ya superada[37].</w:t>
        <w:br/>
        <w:br/>
        <w:t>41.   Esta evolución destaca precisamente lo que me  he  permitido  en  este</w:t>
        <w:br/>
        <w:t>Voto Concurrente denominar cláusulas pétreas de la protección  internacional</w:t>
        <w:br/>
        <w:t>de los derechos humanos en el marco de nuestro sistema  regional,  a  saber,</w:t>
        <w:br/>
        <w:t>el derecho de petición individual y la jurisdicción compulsoria  del  órgano</w:t>
        <w:br/>
        <w:t>judicial de protección (aceptada sin limitaciones otras que  las  contenidas</w:t>
        <w:br/>
        <w:t>expresamente en el tratado de derechos humanos  en  cuestión)[38].  Bajo  la</w:t>
        <w:br/>
        <w:t>Convención Americana, distintamente de la Europea, el  derecho  de  petición</w:t>
        <w:br/>
        <w:t>individual  fue  concebido  desde  el  inicio   como   mandatorio;   nuestra</w:t>
        <w:br/>
        <w:t>Convención regional lo ha extendido, de forma más  liberal,  automáticamente</w:t>
        <w:br/>
        <w:t>a toda persona bajo la jurisdicción de  los  Estados  Partes.  Casi  treinta</w:t>
        <w:br/>
        <w:t>años transcurridos desde su adopción, nos vemos hoy ante  el  desafío  y  la</w:t>
        <w:br/>
        <w:t>necesidad de un nuevo salto cualitativo.</w:t>
        <w:br/>
        <w:br/>
        <w:t>42.   Tratase de buscar asegurar, ya no sólo la  representación  directa  de</w:t>
        <w:br/>
        <w:t>las víctimas o de sus familiares (locus standi) en el procedimiento ante  la</w:t>
        <w:br/>
        <w:t>Corte Interamericana en casos ya enviados a ésta por la Comisión  (en  todas</w:t>
        <w:br/>
        <w:t>las etapas del proceso y no apenas en  la  de  reparaciones[39]),  sino  más</w:t>
        <w:br/>
        <w:t>bien el derecho de acceso directo de los individuos  ante  la  propia  Corte</w:t>
        <w:br/>
        <w:t>(jus standi), para traer un caso directamente ante ella, como futuro  órgano</w:t>
        <w:br/>
        <w:t>jurisdiccional único para la solución de casos concretos bajo la  Convención</w:t>
        <w:br/>
        <w:t>Americana.  Para  esto,  prescindirían  los  individuos   de   la   Comisión</w:t>
        <w:br/>
        <w:t>Interamericana, la cual, sin  embargo,  retendría  funciones  otras  que  la</w:t>
        <w:br/>
        <w:t>contenciosa[40],   prerrogativa   de   la   futura   Corte    Interamericana</w:t>
        <w:br/>
        <w:t>permanente[41].</w:t>
        <w:br/>
        <w:br/>
        <w:t>43.   Sería, pues, una estructura institucional distinta de la  del  sistema</w:t>
        <w:br/>
        <w:t>europeo  de  protección,  atenta  a  la  realidad  de  las  necesidades   de</w:t>
        <w:br/>
        <w:t>protección de nuestro continente.  Pero  tendría  en  común  con  aquél,  el</w:t>
        <w:br/>
        <w:t>propósito de superar duplicaciones, retardos  y  desequilibrios  procesales,</w:t>
        <w:br/>
        <w:t>inherentes  al  actual  mecanismo   de   protección   bajo   la   Convención</w:t>
        <w:br/>
        <w:t>Americana[42], los cuales reclaman su perfeccionamiento. Más que todo,  este</w:t>
        <w:br/>
        <w:t>salto cualitativo atendería, a mi modo de ver, a un imperativo de  justicia.</w:t>
        <w:br/>
        <w:t>El jus standi - no más apenas locus standi in  judicio,  -  irrestricto,  de</w:t>
        <w:br/>
        <w:t>los individuos, ante la propia Corte Interamericana, representa, -  como  he</w:t>
        <w:br/>
        <w:t>señalado en mis Votos en otros casos ante la Corte[43],  -  la  consecuencia</w:t>
        <w:br/>
        <w:t>lógica de la concepción y formulación de derechos a ser protegidos  bajo  la</w:t>
        <w:br/>
        <w:t>Convención  Americana  en  el  plano  internacional,  a  las   cuales   debe</w:t>
        <w:br/>
        <w:t>necesariamente corresponder la capacidad jurídica plena  de  los  individuos</w:t>
        <w:br/>
        <w:t>peticionarios de vindicarlos.</w:t>
        <w:br/>
        <w:br/>
        <w:t>44.   La jurisdiccionalización del  mecanismo  de  protección  se  impone  a</w:t>
        <w:br/>
        <w:t>partir del reconocimiento  de  los  roles  esencialmente  distintos  de  los</w:t>
        <w:br/>
        <w:t>individuos peticionarios - la verdadera parte demandante - y de la  Comisión</w:t>
        <w:br/>
        <w:t>(órgano de supervisión de la Convención que presta asistencia a  la  Corte).</w:t>
        <w:br/>
        <w:t>Bajo la Convención Americana, los individuos marcan presencia  tanto  en  el</w:t>
        <w:br/>
        <w:t>inicio del proceso, al ejercer el derecho de petición en razón de los  daños</w:t>
        <w:br/>
        <w:t>alegados, como al final del mismo, como beneficiarios de  las  reparaciones,</w:t>
        <w:br/>
        <w:t>en casos de  violaciones  comprobadas  de  sus  derechos;  no  hace  sentido</w:t>
        <w:br/>
        <w:t>negarles presencia durante el proceso. El derecho de acceso a la justicia  a</w:t>
        <w:br/>
        <w:t>nivel internacional debe efectivamente hacerse acompañar de la  garantía  de</w:t>
        <w:br/>
        <w:t>la  igualdad  procesal  (equality  of  arms/égalité   des   armes)   en   el</w:t>
        <w:br/>
        <w:t>procedimiento  ante  el  órgano  judicial,  elemento  esencial  a  cualquier</w:t>
        <w:br/>
        <w:t>mecanismo jurisdiccional de protección de los derechos humanos, sin el  cual</w:t>
        <w:br/>
        <w:t>estará el mecanismo en cuestión irremediablemente mitigado.</w:t>
        <w:br/>
        <w:br/>
        <w:t>45.   Para  alcanzar  este  grado  de  perfeccionamiento  procesal,  debemos</w:t>
        <w:br/>
        <w:t>contar con el necesario e imprescindible convencimiento pleno por  parte  de</w:t>
        <w:br/>
        <w:t>los Estados que integran el sistema interamericano de protección de  que  el</w:t>
        <w:br/>
        <w:t>jus standi de los individuos ante la Corte es una medida  benéfica  no  sólo</w:t>
        <w:br/>
        <w:t>para los peticionarios sino también  para  ellos  mismos  (los  Estados  que</w:t>
        <w:br/>
        <w:t>vengan a ser demandados), así como para el mecanismo de protección  como  un</w:t>
        <w:br/>
        <w:t>todo. Esto en razón de la jurisdiccionalización, garantía  adicional  de  la</w:t>
        <w:br/>
        <w:t>prevalencia del rule of law en todo el contencioso de los  derechos  humanos</w:t>
        <w:br/>
        <w:t>bajo la Convención Americana.</w:t>
        <w:br/>
        <w:br/>
        <w:t>46.   Si deseamos realmente actuar a la altura de los  desafíos  de  nuestro</w:t>
        <w:br/>
        <w:t>tiempo, es a la consagración de dicho jus  standi  que  debemos  prontamente</w:t>
        <w:br/>
        <w:t>dedicarnos,  con  la  misma  clarividencia  y  osadía  lúcida  con  que  los</w:t>
        <w:br/>
        <w:t>redactores de la Convención Americana divisaron originalmente el derecho  de</w:t>
        <w:br/>
        <w:t>petición individual. Con la base convencional que  nos  fue  legada  por  el</w:t>
        <w:br/>
        <w:t>artículo 44 de la Convención Americana, no necesitamos esperar  medio  siglo</w:t>
        <w:br/>
        <w:t>para dar expresión concreta al referido jus standi. Con la consolidación  de</w:t>
        <w:br/>
        <w:t>este último, es la protección internacional que, en última instancia, en  el</w:t>
        <w:br/>
        <w:t>ámbito de nuestro sistema regional de protección, habrá  alcanzado  con  eso</w:t>
        <w:br/>
        <w:t>su madurez.</w:t>
        <w:br/>
        <w:br/>
        <w:t xml:space="preserve">                                            Antônio Augusto Cançado Trindade</w:t>
        <w:br/>
        <w:t xml:space="preserve">                                                     Juez</w:t>
        <w:br/>
        <w:br/>
        <w:br/>
        <w:br/>
        <w:br/>
        <w:br/>
        <w:t>Manuel E. Ventura Robles</w:t>
        <w:br/>
        <w:t xml:space="preserve">        Secretario</w:t>
        <w:br/>
        <w:br/>
        <w:br/>
        <w:t xml:space="preserve">                       VOTO PARCIALMENTE DISIDENTE DEL</w:t>
        <w:br/>
        <w:br/>
        <w:t xml:space="preserve">                     JUEZ CARLOS VICENTE DE ROUX RENGIFO</w:t>
        <w:br/>
        <w:br/>
        <w:t>Me aparto de la decisión adoptada por la Corte en relación con  la  primera,</w:t>
        <w:br/>
        <w:t>la segunda y la cuarta excepciones preliminares presentadas  por  el  Estado</w:t>
        <w:br/>
        <w:t>demandado porque considero que  las  cuestiones  referentes  a  la  supuesta</w:t>
        <w:br/>
        <w:t>falta de agotamiento de los recursos internos  ha  debido  acumularse  a  la</w:t>
        <w:br/>
        <w:t>materia de fondo del caso.</w:t>
        <w:br/>
        <w:br/>
        <w:t>Como lo  he  planteado  en  otra  oportunidad  (cfr.  voto  disidente  a  la</w:t>
        <w:br/>
        <w:t>sentencia  de  excepciones  preliminares  del  Caso   Cantoral   Benavides),</w:t>
        <w:br/>
        <w:t>considero que si la controversia entre las partes gira, con  toda  fuerza  y</w:t>
        <w:br/>
        <w:t>claridad, en torno a la supuesta inexistencia del debido proceso legal o  la</w:t>
        <w:br/>
        <w:t>presunta  imposibilidad  de  acceder  a  los  recursos  de  la  jurisdicción</w:t>
        <w:br/>
        <w:t>interna, la Corte debe evitar  pronunciarse,  en  la  etapa  de  excepciones</w:t>
        <w:br/>
        <w:t>preliminares, sobre el agotamiento de dichos recursos y sobre si se  produjo</w:t>
        <w:br/>
        <w:t>o no una decisión definitiva al respecto. Lo adecuado es, por el  contrario,</w:t>
        <w:br/>
        <w:t>acumular esos extremos con  las  cuestiones  de  fondo,  acogiéndose  a  las</w:t>
        <w:br/>
        <w:t>previsiones de los artículos 46.2.a. y 46.2.b. de la  Convención  Americana.</w:t>
        <w:br/>
        <w:t>Y ello entre otras, por una razón, muy pertinente para el presente caso:  si</w:t>
        <w:br/>
        <w:t>se configuraron las condiciones de inexistencia  del  debido  proceso  legal</w:t>
        <w:br/>
        <w:t>(condiciones  cuya  comprobación  es  materia  de  fondo),  los  reclamantes</w:t>
        <w:br/>
        <w:t>quedaron eximidos de la obligación de agotar los recursos internos.</w:t>
        <w:br/>
        <w:br/>
        <w:t>En consecuencia, mi voto es el siguiente:</w:t>
        <w:br/>
        <w:br/>
        <w:t>1.    Acumular a la materia de fondo la primera,  la  segunda  y  la  cuarta</w:t>
        <w:br/>
        <w:t>excepciones preliminares opuestas por el Estado Peruano.</w:t>
        <w:br/>
        <w:br/>
        <w:t>2.    Admitir la tercera  excepción  preliminar  presentada  por  el  Estado</w:t>
        <w:br/>
        <w:t>Peruano.</w:t>
        <w:br/>
        <w:br/>
        <w:t>3.    Desestimar la quinta, la sexta, la séptima, la octava, la novena y  la</w:t>
        <w:br/>
        <w:t>décima excepciones preliminares opuestas por el Estado Peruano.</w:t>
        <w:br/>
        <w:br/>
        <w:t>4.    Continuar con la tramitación del fondo  del  caso,  salvo  en  lo  que</w:t>
        <w:br/>
        <w:t>respecta a la tercera excepción.</w:t>
        <w:br/>
        <w:br/>
        <w:t xml:space="preserve">                                              Carlos Vicente de Roux Rengifo</w:t>
        <w:br/>
        <w:t xml:space="preserve">      Juez</w:t>
        <w:br/>
        <w:br/>
        <w:t>Manuel E. Ventura Robles</w:t>
        <w:br/>
        <w:t xml:space="preserve">      Secretario</w:t>
        <w:br/>
        <w:br/>
        <w:br/>
        <w:t xml:space="preserve">                    VOTO DISIDENTE DEL JUEZ VIDAL RAMÍREZ</w:t>
        <w:br/>
        <w:br/>
        <w:br/>
        <w:br/>
        <w:t>1.    Disiento  de  la  decisión  adoptada  en  la  Sentencia  que  resuelve</w:t>
        <w:br/>
        <w:t>desestimar las excepciones preliminares opuestas por el agente del  Gobierno</w:t>
        <w:br/>
        <w:t>del Perú, por los siguientes fundamentos:</w:t>
        <w:br/>
        <w:br/>
        <w:t xml:space="preserve">      1.1   El artículo 27 de la Convención Americana autoriza a los Estados</w:t>
        <w:br/>
        <w:t xml:space="preserve">      Parte, en los casos que precisa y en  los  que  se  incluyen  los  que</w:t>
        <w:br/>
        <w:t xml:space="preserve">      constituyen  peligro   público   o   emergencias   que   amenacen   la</w:t>
        <w:br/>
        <w:t xml:space="preserve">      independencia o seguridad del Estado, a  adoptar  medidas  que  en  lo</w:t>
        <w:br/>
        <w:t xml:space="preserve">      posible sean compatibles con las obligaciones que  impone  el  Derecho</w:t>
        <w:br/>
        <w:t xml:space="preserve">      Internacional y con respeto a los derechos y garantías  que  la  misma</w:t>
        <w:br/>
        <w:t xml:space="preserve">      norma precisa.</w:t>
        <w:br/>
        <w:br/>
        <w:br/>
        <w:t xml:space="preserve">            El Estado peruano ha estado en la necesidad de  adoptar  medidas</w:t>
        <w:br/>
        <w:t xml:space="preserve">      de defensa frente a la agresión armada y violenta que venía  sufriendo</w:t>
        <w:br/>
        <w:t xml:space="preserve">      su población de  parte  de  organizaciones  terroristas  que  violaban</w:t>
        <w:br/>
        <w:t xml:space="preserve">      elementales derechos humanos.</w:t>
        <w:br/>
        <w:br/>
        <w:br/>
        <w:t xml:space="preserve">            En esta  situación  de  emergencia  se  tipificó  el  delito  de</w:t>
        <w:br/>
        <w:t xml:space="preserve">      terrorismo agravado con el nomen iuris de traición a la  patria  y  se</w:t>
        <w:br/>
        <w:t xml:space="preserve">      dispuso su procesamiento en la jurisdicción militar.</w:t>
        <w:br/>
        <w:br/>
        <w:br/>
        <w:t xml:space="preserve">      1.2   En el presente  caso,  tipificados  los  actos  delictivos  como</w:t>
        <w:br/>
        <w:t xml:space="preserve">      terrorismo agravado, sus autores fueron sometidos  a  la  jurisdicción</w:t>
        <w:br/>
        <w:t xml:space="preserve">      militar y juzgados dentro del proceso previa y legalmente establecido,</w:t>
        <w:br/>
        <w:t xml:space="preserve">      abriéndose el proceso con fecha 20 de noviembre de 1993 y  concluyendo</w:t>
        <w:br/>
        <w:t xml:space="preserve">      con la sentencia que causó ejecutoria dictada con fecha 3 de  mayo  de</w:t>
        <w:br/>
        <w:t xml:space="preserve">      1994.</w:t>
        <w:br/>
        <w:br/>
        <w:br/>
        <w:t xml:space="preserve">      1.3   La Constitución Política del Perú preceptúa que el ejercicio  de</w:t>
        <w:br/>
        <w:t xml:space="preserve">      las acciones de hábeas corpus y de amparo no se  suspende  durante  la</w:t>
        <w:br/>
        <w:t xml:space="preserve">      vigencia  del  estado  de  emergencia  (artículo  200)  y  si   alguna</w:t>
        <w:br/>
        <w:t xml:space="preserve">      restricción han establecido las leyes de excepción dictadas, la  norma</w:t>
        <w:br/>
        <w:t xml:space="preserve">      constitucional prevalece sobre toda otra norma legal en aplicación del</w:t>
        <w:br/>
        <w:t xml:space="preserve">      principio de la jerarquía normativa (artículo  51),  por  lo  que  las</w:t>
        <w:br/>
        <w:t xml:space="preserve">      acciones de garantía podían y pueden ser ejercitadas por los imputados</w:t>
        <w:br/>
        <w:t xml:space="preserve">      de terrorismo.</w:t>
        <w:br/>
        <w:br/>
        <w:t>2.    Al haberse presentado la denuncia  con  fecha  28  de  enero  de  1994</w:t>
        <w:br/>
        <w:t>resulta evidente que, en aplicación del artículo  46.1.a  de  la  Convención</w:t>
        <w:br/>
        <w:t>Americana, no se había producido el agotamiento de la jurisdicción interna.</w:t>
        <w:br/>
        <w:br/>
        <w:t>3.    Disiento de la motivación que sustenta la desestimación de  la  cuarta</w:t>
        <w:br/>
        <w:t>excepción opuesta por el agente del Gobierno del Perú, pues  la  nulidad  de</w:t>
        <w:br/>
        <w:t>un proceso implica la apertura de uno nuevo,  sin  que  este  nuevo  proceso</w:t>
        <w:br/>
        <w:t>constituya una violación del principio non bis in idem.</w:t>
        <w:br/>
        <w:br/>
        <w:t>4.    Disiento de la motivación que sustenta la desestimación de  la  quinta</w:t>
        <w:br/>
        <w:t>y sexta excepciones opuestas por el agente del Gobierno del Perú por  cuanto</w:t>
        <w:br/>
        <w:t>el artículo 44 de la Convención Americana al indicar los sujetos que  pueden</w:t>
        <w:br/>
        <w:t>peticionar utiliza una disyunción, por lo que la  entidad  no  gubernamental</w:t>
        <w:br/>
        <w:t>no puede ser considerada como  “un  grupo  de  personas”.   Por  entidad  no</w:t>
        <w:br/>
        <w:t>gubernamental se entiende una persona jurídica debidamente  constituida  con</w:t>
        <w:br/>
        <w:t>representantes que deben actuar con poder de representación, pues actúan  in</w:t>
        <w:br/>
        <w:t>contemplatio domini, por lo que deben acreditarla.</w:t>
        <w:br/>
        <w:br/>
        <w:t>5.    La decisión respecto de la décima excepción preliminar opuesta por  el</w:t>
        <w:br/>
        <w:t>agente del Gobierno del Perú ha debido ser diferida para resolverse  con  el</w:t>
        <w:br/>
        <w:t>fondo.</w:t>
        <w:br/>
        <w:br/>
        <w:br/>
        <w:br/>
        <w:t xml:space="preserve">                                                      Fernando Vidal Ramírez</w:t>
        <w:br/>
        <w:t xml:space="preserve">                                                                        Juez</w:t>
        <w:br/>
        <w:br/>
        <w:br/>
        <w:br/>
        <w:t>Manuel E. Ventura Robles</w:t>
        <w:br/>
        <w:t xml:space="preserve">       Secretario</w:t>
        <w:br/>
        <w:t>-----------------------</w:t>
        <w:br/>
        <w:t>[1] El Juez Alirio Abreu Burelli inform— a  la  Corte  que  por  motivos  de</w:t>
        <w:br/>
        <w:t>fuerza mayor no podrá estar presente en la deliberación  final  y  firma  de</w:t>
        <w:br/>
        <w:t>esta sentencia.</w:t>
        <w:br/>
        <w:t>[2]. En ese sentido, Corte Europea de Derechos Humanos, caso Irlanda  versus</w:t>
        <w:br/>
        <w:t>Reino Unido (Fondo), Sentencia del 18 de enero de 1978, Serie A, n.  25,  p.</w:t>
        <w:br/>
        <w:t>62, párr. 154.</w:t>
        <w:br/>
        <w:br/>
        <w:t>[3]. Cf. Corte Interamericana  de  Derechos  Humanos,  Transcripción  de  la</w:t>
        <w:br/>
        <w:t>Audiencia Pública Celebrada en la Sede de la Corte el 08 de  Junio  de  1998</w:t>
        <w:br/>
        <w:t>sobre Excepciones Preliminares  en  el  Caso  Castillo  Petruzzi,  pp.  9-12</w:t>
        <w:br/>
        <w:t>(circulación interna).</w:t>
        <w:br/>
        <w:br/>
        <w:t>[4]. Como el holocausto, el gulag, seguidos de nuevos  actos  de  genocidio,</w:t>
        <w:br/>
        <w:t>v.g., en el sudeste asiático, en Europa central (ex-Yugoslavia),  en  África</w:t>
        <w:br/>
        <w:t>(Ruanda).</w:t>
        <w:br/>
        <w:br/>
        <w:t>[5].  Con  incidencia  directa  de  dichos  cánones  en   los   métodos   de</w:t>
        <w:br/>
        <w:t>interpretación  de   la   normativa   internacional   de   protección,   sin</w:t>
        <w:br/>
        <w:t>necesariamente apartarse de las reglas generales de  interpretación  de  los</w:t>
        <w:br/>
        <w:t>tratados enunciadas en los artículos 31-33 de las dos Convenciones de  Viena</w:t>
        <w:br/>
        <w:t>sobre Derecho de los Tratados (de 1969 y 1986).</w:t>
        <w:br/>
        <w:br/>
        <w:t>[6]. Por ejemplo, bajo el artículo 25 de la Convención Europea  de  Derechos</w:t>
        <w:br/>
        <w:t>Humanos; cf. H. Rolin, "Le rôle du requérant dans la  procédure  prévue  par</w:t>
        <w:br/>
        <w:t>la Commission européenne des droits  de  l'homme",  9  Revue  hellénique  de</w:t>
        <w:br/>
        <w:t>droit international (1956) pp. 3-14, esp. p.  9;  C.Th.  Eustathiades,  "Les</w:t>
        <w:br/>
        <w:t>recours individuels à la Commission européenne des droits  de  l'homme",  in</w:t>
        <w:br/>
        <w:t>Grundprobleme  des   internationalen   Rechts   -   Festschrift   für   Jean</w:t>
        <w:br/>
        <w:t>Spiropoulos, Bonn, Schimmelbusch &amp; Co., 1957, p. 121;  F.  Durante,  Ricorsi</w:t>
        <w:br/>
        <w:t>Individuali ad Organi Internazionali, Milano, Giuffrè,  1958,  pp.  125-152,</w:t>
        <w:br/>
        <w:t>esp. pp. 129-130; K. Vasak, La Convention européenne des droits de  l'homme,</w:t>
        <w:br/>
        <w:t>Paris, LGDJ, 1964, pp. 96-98; M. Virally, "L'accès des  particuliers  à  une</w:t>
        <w:br/>
        <w:t>instance internationale: la protection des droits de l'homme dans  le  cadre</w:t>
        <w:br/>
        <w:t>européen", 20 Mémoires Publiés par la Faculté de Droit de Genève (1964)  pp.</w:t>
        <w:br/>
        <w:t>67-89; H. Mosler, "The Protection of Human  Rights  by  International  Legal</w:t>
        <w:br/>
        <w:t>Procedure", 52 Georgetown Law Journal (1964) pp. 818-819.</w:t>
        <w:br/>
        <w:br/>
        <w:t>[7]. Hay que tener siempre presente que,  distintamente  de  las  cuestiones</w:t>
        <w:br/>
        <w:t>regidas por el Derecho Internacional Público, en su mayor  parte  planteadas</w:t>
        <w:br/>
        <w:t>horizontalmente  sobre  todo  en  el  plano  inter-estatal,  las  cuestiones</w:t>
        <w:br/>
        <w:t>relativas a los derechos humanos se sitúan verticalmente en el plano  intra-</w:t>
        <w:br/>
        <w:t>estatal, en la contraposición entre los Estados y  los  seres  humanos  bajo</w:t>
        <w:br/>
        <w:t>sus respectivas jurisdicciones. Por consiguiente, pretender que los  órganos</w:t>
        <w:br/>
        <w:t>de protección internacional no puedan verificar  la  compatibilidad  de  las</w:t>
        <w:br/>
        <w:t>normas y prácticas del derecho interno, y sus omisiones,  con  la  normativa</w:t>
        <w:br/>
        <w:t>internacional  de  protección,  sería  un  contrasentido.  También  aquí  se</w:t>
        <w:br/>
        <w:t>evidencia  la  especificidad  del  Derecho  Internacional  de  los  Derechos</w:t>
        <w:br/>
        <w:t>Humanos. El  hecho  de  que  este  último  vaya  más  allá  que  el  Derecho</w:t>
        <w:br/>
        <w:t>Internacional Público en materia de protección, al  abarcar  el  tratamiento</w:t>
        <w:br/>
        <w:t>dispensado por los Estados a los seres humanos bajo sus  jurisdicciones,  no</w:t>
        <w:br/>
        <w:t>significa que una interpretación conservadora deba por eso  imponerse;  todo</w:t>
        <w:br/>
        <w:t>lo contrario, se impone una interpretación en conformidad  con  el  carácter</w:t>
        <w:br/>
        <w:t>innovador - en relación con dogmas del pasado, como el  de  la  "competencia</w:t>
        <w:br/>
        <w:t>nacional exclusiva" o dominio reservado de los Estados,  como  emanación  de</w:t>
        <w:br/>
        <w:t>la soberanía estatal, - de la normativa internacional de protección  de  los</w:t>
        <w:br/>
        <w:t>derechos humanos.  Con  el  desarrollo  del  Derecho  Internacional  de  los</w:t>
        <w:br/>
        <w:t>Derechos  Humanos,  es  el  propio  Derecho  Internacional  Público  que  se</w:t>
        <w:br/>
        <w:t>enriquece, en la afirmación de cánones  y  principios  propios  al  presente</w:t>
        <w:br/>
        <w:t>dominio de protección, asentados en premisas fundamentalmente  distintas  de</w:t>
        <w:br/>
        <w:t>las que  han  orientado  sus  postulados  en  el  plano  de  las  relaciones</w:t>
        <w:br/>
        <w:t>puramente inter-estatales. El Derecho Internacional de los Derechos  Humanos</w:t>
        <w:br/>
        <w:t>viene, así, a afirmar la aptitud  del  Derecho  Internacional  Público  para</w:t>
        <w:br/>
        <w:t>asegurar, en el presente  contexto,  el  cumplimiento  de  las  obligaciones</w:t>
        <w:br/>
        <w:t>internacionales de protección de  los  Estados  vis-à-vis  todos  los  seres</w:t>
        <w:br/>
        <w:t>humanos bajo sus jurisdicciones.</w:t>
        <w:br/>
        <w:br/>
        <w:t>[8]. J. Humphrey, "The Right of Petition in the  United  Nations",  4  Revue</w:t>
        <w:br/>
        <w:t>des droits de l'homme/Human Rights Journal (1971) p. 463.</w:t>
        <w:br/>
        <w:br/>
        <w:t>[9]. N. Feinberg, "La pétition  en  droit  international",  40  Recueil  des</w:t>
        <w:br/>
        <w:t>Cours de l'Académie de Droit International de La Haye (1932) pp. 576-639.</w:t>
        <w:br/>
        <w:br/>
        <w:t>[10]. P.N. Drost, Human Rights as Legal Rights, Leyden, Sijthoff, 1965,  pp.</w:t>
        <w:br/>
        <w:t>67-75, y cf. pp. 91-96 y 101.</w:t>
        <w:br/>
        <w:br/>
        <w:t>[11]. Cf., v.g., J. Stone, "The Legal Nature  of  Minorities  Petition",  12</w:t>
        <w:br/>
        <w:t>British Year Book of International Law (1931) pp. 76-94; M. Sibert, "Sur  la</w:t>
        <w:br/>
        <w:t>procédure en matière de pétition dans les pays sous mandat et  et  quelques-</w:t>
        <w:br/>
        <w:t>unes de ses  insuffissances",  40  Revue  générale  de  Droit  international</w:t>
        <w:br/>
        <w:t>public (1933) pp.  257-272;  J.  Beauté,  Le  droit  de  pétition  dans  les</w:t>
        <w:br/>
        <w:t>territoires sous tutelle, Paris, LGDJ, 1962, pp. 1-256.</w:t>
        <w:br/>
        <w:br/>
        <w:t>[12]. A ellos cabe agregar otros sistemas de peticiones (como los  de  Alta-</w:t>
        <w:br/>
        <w:t>Silésia, de las Islas  Aaland,  del  Sarre  y  de  Danzig),  el  sistema  de</w:t>
        <w:br/>
        <w:t>navegación del río Reno, la  experiencia  de  la  Corte  Centroamericana  de</w:t>
        <w:br/>
        <w:t>Justicia (1907-1917), la jurisprudencia de los Tribunales Arbitrales  Mixtos</w:t>
        <w:br/>
        <w:t>y  de  las  Comisiones  Mixtas  de  Reclamaciones,   además   del   Tribunal</w:t>
        <w:br/>
        <w:t>Internacional de Presas propuesto en la II Conferencia de Paz de la Haya  de</w:t>
        <w:br/>
        <w:t>1907. Cf. C.A. Norgaard, The Position of  the  Individual  in  International</w:t>
        <w:br/>
        <w:t>Law, Copenhagen, Munksgaard,  1962,  pp.  99-172;  y,  anteriormente,  J.-C.</w:t>
        <w:br/>
        <w:t>Witenberg,  "La  recevabilité  des  réclamations  devant  les   juridictions</w:t>
        <w:br/>
        <w:t>internationales", 41 Recueil des Cours de l'Académie de Droit  International</w:t>
        <w:br/>
        <w:t>de La Haye (1932) pp.  5-135;  C.Th.  Eustathiades,  "Les  sujets  du  Droit</w:t>
        <w:br/>
        <w:t>international et la responsabilité internationale  -  nouvelles  tendances",</w:t>
        <w:br/>
        <w:t>84 Recueil des Cours de l'Académie de Droit International de La Haye  (1953)</w:t>
        <w:br/>
        <w:t>pp. 401-614.</w:t>
        <w:br/>
        <w:br/>
        <w:t>[13]. Cf. M.E. Tardu, Human Rights  -  The  International  Petition  System,</w:t>
        <w:br/>
        <w:t>binders  1-3,  Dobbs  Ferry  N.Y.,  Oceana,  1979-1985;   Tom   Zwart,   The</w:t>
        <w:br/>
        <w:t>Admissibility of Human Rights Petitions, Dordrecht, Nijhoff,  1994,  pp.  1-</w:t>
        <w:br/>
        <w:t>237.</w:t>
        <w:br/>
        <w:br/>
        <w:t>[14]. Para un estudio general, cf. Francisco  de  Vitoria,  Relecciones  del</w:t>
        <w:br/>
        <w:t>Estado, de los Indios, y del Derecho de la  Guerra,  México,  Porrúa,  1985,</w:t>
        <w:br/>
        <w:t>pp. 1-101; P.P. Remec, The Position of the Individual in  International  Law</w:t>
        <w:br/>
        <w:t>according to Grotius and Vattel, The Hague, Nijhoff, 1960, pp.  1-245;  F.S.</w:t>
        <w:br/>
        <w:t>Ruddy, International Law in the Enlightenment,  Dobbs  Ferry  N.Y.,  Oceana,</w:t>
        <w:br/>
        <w:t>1975, pp.  1-364;  Association  Internationale  Vitoria-Suarez,  Vitoria  et</w:t>
        <w:br/>
        <w:t>Suarez -Contribution des théologiens au Droit international moderne,  Paris,</w:t>
        <w:br/>
        <w:t>Pédone, 1939, pp. 1-278.</w:t>
        <w:br/>
        <w:br/>
        <w:t>[15]. Cf. Obras de Francisco de Vitoria -  Relecciones  Teológicas  (ed.  T.</w:t>
        <w:br/>
        <w:t>Urdanoz), Madrid, B.A.C., 1960, pp. 1-1386, esp. pp. 491-726.</w:t>
        <w:br/>
        <w:br/>
        <w:t>[16]. Como rapporteur del Grupo  de  Trabajo  de  la  Comisión  de  Derechos</w:t>
        <w:br/>
        <w:t>Humanos de  Naciones  Unidas,  encargado  de  preparar  el  proyecto  de  la</w:t>
        <w:br/>
        <w:t>Declaración (mayo de 1947 a junio de 1948).</w:t>
        <w:br/>
        <w:br/>
        <w:t>[17]. R. Cassin, "Vingt ans après la Déclaration Universelle",  8  Revue  de</w:t>
        <w:br/>
        <w:t>la  Commission  Internationale  de  Juristes  (1967)   n.   2,   pp.   9-10.</w:t>
        <w:br/>
        <w:t>[Traducción: "(...) Si todavía subsiste en la  tierra  grandes  zonas  donde</w:t>
        <w:br/>
        <w:t>millones de hombres o mujeres, resignados a su destino, no osan proferir  la</w:t>
        <w:br/>
        <w:t>menor reclamación o ni siquiera a concibir  que  un  recurso  cualquier  sea</w:t>
        <w:br/>
        <w:t>posible, éstos territorios disminuyen cada día. La toma  de  consciencia  de</w:t>
        <w:br/>
        <w:t>que una emancipación es posible, tórnase cada  vez  más  general.  (...)  La</w:t>
        <w:br/>
        <w:t>primera condición de toda justicia, cual sea, la posibilidad de acorralar  a</w:t>
        <w:br/>
        <w:t>los poderosos para sujetarse a (...) un control público,  se  satisface  hoy</w:t>
        <w:br/>
        <w:t>día mucho más frecuentemente que en el  pasado.  (...)  Las  Convenciones  y</w:t>
        <w:br/>
        <w:t>Pactos [de derechos humanos] en su mayoría,  (...)  incitan  a  los  Estados</w:t>
        <w:br/>
        <w:t>Partes en ellos a crear las instancias de recursos y preven ciertas  medidas</w:t>
        <w:br/>
        <w:t>de protección  o  de  control  internacional.  (...)  El  hecho  de  que  la</w:t>
        <w:br/>
        <w:t>resignación sin esperanza, de que el muro del silencio y de que la  ausencia</w:t>
        <w:br/>
        <w:t>de todo recurso estén en vías de reducción o  de  desaparición,  abre  a  la</w:t>
        <w:br/>
        <w:t>humanidad en marcha perspectivas alentadoras (...)".</w:t>
        <w:br/>
        <w:br/>
        <w:t>[18]. En el plano global, el  derecho  de  petición  individual  encuéntrase</w:t>
        <w:br/>
        <w:t>previsto, por ejemplo, en el [primer]  Protocolo  Facultativo  al  Pacto  de</w:t>
        <w:br/>
        <w:t>Derechos Civiles y Políticos (artículos 1-3 y 5), en la Convención sobre  la</w:t>
        <w:br/>
        <w:t>Eliminación de Todas las Formas de Discriminación Racial (artículo XIV),  en</w:t>
        <w:br/>
        <w:t>la Convención de las Naciones Unidas contra la Tortura (artículo 22). En  el</w:t>
        <w:br/>
        <w:t>plano regional, el derecho de  petición  individual  encuéntrase  consagrado</w:t>
        <w:br/>
        <w:t>tanto en la Convención Europea de Derechos Humanos (artículo 25) como en  la</w:t>
        <w:br/>
        <w:t>Convención Americana sobre Derechos Humanos (artículo  44)  y  en  la  Carta</w:t>
        <w:br/>
        <w:t>Africana de Derechos Humanos y de los Pueblos (artículos 55-58).</w:t>
        <w:br/>
        <w:br/>
        <w:t>[19]. La evolución de la noción de "víctima" (inclusive la potencial) en  el</w:t>
        <w:br/>
        <w:t>Derecho Internacional de los Derechos Humanos encuéntrase  examinada  en  mi</w:t>
        <w:br/>
        <w:t>curso  "Co-existence  and  Co-ordination  of  Mechanisms  of   International</w:t>
        <w:br/>
        <w:t>Protection of Human Rights (At Global and  Regional  Levels)",  202  Recueil</w:t>
        <w:br/>
        <w:t>des Cours de l'Académie de Droit International de La Haye  (1987)  pp.  243-</w:t>
        <w:br/>
        <w:t>299, esp. pp. 262-283.</w:t>
        <w:br/>
        <w:br/>
        <w:t>[20]. Ibid., pp. 248-261.</w:t>
        <w:br/>
        <w:br/>
        <w:t>[21]. Comparar  la  Sentencia,  del  20.03.1991,  de  la  Corte  Europea  de</w:t>
        <w:br/>
        <w:t>Derechos Humanos en el caso Cruz Varas y Otros versus Suecia  (Fondo,  Serie</w:t>
        <w:br/>
        <w:t>A, vol. 201), pp. 33-34 y 36,  párrs.  92-93  y  99,  con  la  Opinión,  del</w:t>
        <w:br/>
        <w:t>07.06.1990, de la Comisión Europea de Derechos  Humanos  en  el  mismo  caso</w:t>
        <w:br/>
        <w:t>(Anexo, in ibid.), pp. 50-52, párrs. 118, 122 y  125-126.  La  Comisión  fué</w:t>
        <w:br/>
        <w:t>más allá que la Corte, al argumentar, además, que, al dejar de  cumplir  con</w:t>
        <w:br/>
        <w:t>una solicitud de  no  deportar  al  individuo  demandante  (H.  Cruz  Varas,</w:t>
        <w:br/>
        <w:t>chileno), Suecia violó la obligación consagrada en el artículo  25  in  fine</w:t>
        <w:br/>
        <w:t>de la Convención Europea de no impedir la eficacia del derecho  de  petición</w:t>
        <w:br/>
        <w:t>individual; la Corte Europea, en decisión adoptada por 10  votos  contra  9,</w:t>
        <w:br/>
        <w:t>no estuvo de acuerdo con la Comisión - de forma menos  persuasiva  que  esta</w:t>
        <w:br/>
        <w:t>última - sobre este punto en particular.</w:t>
        <w:br/>
        <w:br/>
        <w:t>[22]. Cf. en ese sentido: Comisión Europea  de  Derechos  Humanos  (ComEDH),</w:t>
        <w:br/>
        <w:t>caso  Scientology  Kirche  Deutschland  e.V.  versus  Alemania   (appl.   n.</w:t>
        <w:br/>
        <w:t>34614/96), decisión del 07.04.1997, 89 Decisions and Reports (1997) p.  170;</w:t>
        <w:br/>
        <w:t>ComEDH, caso Zentralrat Deutscher Sinti und Roma y R. Rose  versus  Alemania</w:t>
        <w:br/>
        <w:t>(appl. n. 35208/97), decisión del 27.05.1997, p. 4  (no-publicada);  ComEDH,</w:t>
        <w:br/>
        <w:t>caso  Federación  Griega  de  Funcionarios  de  Aduana,  N.  Gialouris,   G.</w:t>
        <w:br/>
        <w:t>Christopoulos y 3333 Otros Funcionarios de Aduana versus  Grecia  (appl.  n.</w:t>
        <w:br/>
        <w:t>24581/94), decisión del 06.04.1995, 81-B Decisions  and  Reports  (1995)  p.</w:t>
        <w:br/>
        <w:t>127;  ComEDH,  caso  N.N.  Tauira  y  18  Otros  versus  Francia  (appl.  n.</w:t>
        <w:br/>
        <w:t>28204/95), decisión del 04.12.1995, 83-A Decisions  and  Reports  (1995)  p.</w:t>
        <w:br/>
        <w:t>130 (peticiones contra los ensayos  nucleares  franceses  en  el  atolón  de</w:t>
        <w:br/>
        <w:t>Mururoa y en el de Fangataufa, en la Polinesia francesa);  ComEDH,  caso  K.</w:t>
        <w:br/>
        <w:t>Sygounis, I. Kotsis y  Sindicato  de  Policiales  versus  Grecia  (appl.  n.</w:t>
        <w:br/>
        <w:t>18598/91), decisión del 18.05.1994, 78 Decisions and Reports (1994)  p.  77;</w:t>
        <w:br/>
        <w:t>ComEDH, caso Asociación de Aviadores de la República, J. Mata el Al.  versus</w:t>
        <w:br/>
        <w:t>España (appl. n.  10733/84),  decisión  del  11.03.1985,  41  Decisions  and</w:t>
        <w:br/>
        <w:t>Reports (1985) p. 222. - Según esta misma jurisprudencia, para atender a  la</w:t>
        <w:br/>
        <w:t>condición de "víctima" (bajo el artículo 25 de la Convención) debe haber  un</w:t>
        <w:br/>
        <w:t>"vínculo suficientemente directo" entre el individuo demandante  y  el  daño</w:t>
        <w:br/>
        <w:t>alegado, resultante de la supuesta violación de la Convención.</w:t>
        <w:br/>
        <w:br/>
        <w:t>[23]. Corte  Europea  de  Derechos  Humanos,  caso  Norris  versus  Irlanda,</w:t>
        <w:br/>
        <w:t>Sentencia del 26.10.1988, Serie A, vol. 142, p. 15, párr. 31.</w:t>
        <w:br/>
        <w:br/>
        <w:t>[24]. Declaración y Programa de Acción de Viena de 1993,  parte  II,  párrs.</w:t>
        <w:br/>
        <w:t>40 y 75, respectivamente. - La elaboración de  ambos  Proyectos  encuéntrase</w:t>
        <w:br/>
        <w:t>virtualmente concluida, en lo esencial, aguardando ahora la  aprobación  por</w:t>
        <w:br/>
        <w:t>parte de los Estados.</w:t>
        <w:br/>
        <w:br/>
        <w:t>[25]. Declaración y Programa de Acción de Viena de  1993,  parte  II,  párr.</w:t>
        <w:br/>
        <w:t>90.</w:t>
        <w:br/>
        <w:br/>
        <w:t>[26]. Lamento, pues, no poder compartir la insinuación presente en parte  de</w:t>
        <w:br/>
        <w:t>la bibliografía especializada europea contemporánea sobre la materia, en  el</w:t>
        <w:br/>
        <w:t>sentido de que el derecho de petición individual tal vez no  sea  eficaz  en</w:t>
        <w:br/>
        <w:t>lo referente a violaciones sistemáticas y masivas de  derechos  humanos.  La</w:t>
        <w:br/>
        <w:t>experiencia  acumulada  de  este  lado  del   Atlántico,   en   el   sistema</w:t>
        <w:br/>
        <w:t>interamericano de protección, apunta exactamente en el sentido contrario,  y</w:t>
        <w:br/>
        <w:t>gracias al derecho de petición individual muchas vidas fueron salvadas y  se</w:t>
        <w:br/>
        <w:t>logró realizar la justicia  en  casos  concretos  en  medio  de  situaciones</w:t>
        <w:br/>
        <w:t>generalizadas de violaciones de derechos humanos.</w:t>
        <w:br/>
        <w:br/>
        <w:t>[27]. Cf.  OEA,  Conferencia  Especializada  Interamericana  sobre  Derechos</w:t>
        <w:br/>
        <w:t>Humanos - Actas y Documentos (San José de Costa Rica, 07-22 de noviembre  de</w:t>
        <w:br/>
        <w:t>1969), doc. OEA/Ser.K/XVI/1.2, Washington D.C.,  Secretaría  General  de  la</w:t>
        <w:br/>
        <w:t>OEA, 1978, pp. 43, 47 y 373.</w:t>
        <w:br/>
        <w:br/>
        <w:t>[28]. La otra modalidad de petición, la inter-estatal, sólo  fue  consagrada</w:t>
        <w:br/>
        <w:t>en base facultativa (artículo 45 de la  Convención  Americana,  a  contrario</w:t>
        <w:br/>
        <w:t>del esquema de la Convención Europea -artículo 24 - en ese  particular),  lo</w:t>
        <w:br/>
        <w:t>que realza la relevancia atribuida al derecho de petición  individual.  Este</w:t>
        <w:br/>
        <w:t>punto no pasó desapercibido de la Corte Interamericana de Derechos  Humanos,</w:t>
        <w:br/>
        <w:t>que, en su segunda Opinión Consultiva,  sobre  el  Efecto  de  las  Reservas</w:t>
        <w:br/>
        <w:t>sobre la Entrada en Vigencia  de  la  Convención  Americana  sobre  Derechos</w:t>
        <w:br/>
        <w:t>Humanos (del 24.09.1982), invocó esta particularidad como ilustrativa de  la</w:t>
        <w:br/>
        <w:t>"gran importancia" atribuída por la Convención Americana a las  obligaciones</w:t>
        <w:br/>
        <w:t>de los Estados Partes vis-à-vis los individuos, por éstos exigibles  sin  la</w:t>
        <w:br/>
        <w:t>intermediación de otro Estado (párrafo 32).</w:t>
        <w:br/>
        <w:br/>
        <w:t>[29]. A partir de su entrada en vigor, el 18 de julio de 1978.</w:t>
        <w:br/>
        <w:br/>
        <w:t>[30]. Cf.,  en  ese  sentido,  mi  Voto  Disidente  en  el  caso  El  Amparo</w:t>
        <w:br/>
        <w:t>(Resolución sobre Interpretación de Sentencia, del  16.04.1997),  párr.  29,</w:t>
        <w:br/>
        <w:t>n. 12, reproducido in: OEA, Informe Anual  de  la  Corte  Interamericana  de</w:t>
        <w:br/>
        <w:t>Derechos Humanos - 1997, p. 142.</w:t>
        <w:br/>
        <w:br/>
        <w:t>[31]. Bajo la Convención  Europea  de  Derechos  Humanos,  por  ejemplo,  el</w:t>
        <w:br/>
        <w:t>requisito de  reconocimiento  legal  de  una  organización  no-gubernamental</w:t>
        <w:br/>
        <w:t>peticionaria (bajo el artículo 25) ni siquiera existe.  La  práctica  de  la</w:t>
        <w:br/>
        <w:t>Comisión Europea de Derechos Humanos endosa  la  interpretación  de  que  la</w:t>
        <w:br/>
        <w:t>referencia  del  artículo  25  de  la   Convención   a   "organización   no-</w:t>
        <w:br/>
        <w:t>gubernamental" tout court, sin condicionantes  o  calificativos,  tuvo  como</w:t>
        <w:br/>
        <w:t>propósito impedir la exclusión  de  cualesquiera  personas,  otras  que  las</w:t>
        <w:br/>
        <w:t>personas físicas, habilitadas a recurrir a  la  Comisión  Europea;  cf.  Les</w:t>
        <w:br/>
        <w:t>droits de l'homme et les personnes morales (Colloque de  Louvain  de  1969),</w:t>
        <w:br/>
        <w:t>Bruselas, Bruylant, 1970, p. 20 (intervención de H. Golsong);  y  cf.  Actes</w:t>
        <w:br/>
        <w:t>du Cinquième Colloque International sur la Convention Européenne des  Droits</w:t>
        <w:br/>
        <w:t>de l'Homme (Colloque de Francfort de 1980), Paris, Pédone, 1982,  pp.  35-78</w:t>
        <w:br/>
        <w:t>(informe de H. Delvaux). A su vez, la Corte Europea de Derechos Humanos,  en</w:t>
        <w:br/>
        <w:t>su sentencia del 09.12.1994 en el caso  de  los  Santos  Monasterios  versus</w:t>
        <w:br/>
        <w:t>Grecia, decidió rechazar un intento de imponer restricciones (otras  que  la</w:t>
        <w:br/>
        <w:t>de  la  condición  de  "víctima")  a  la  organización  no-gubernamental  en</w:t>
        <w:br/>
        <w:t>cuestión. En el cas d'espèce, el Estado demandado argumentó que,  dados  los</w:t>
        <w:br/>
        <w:t>vínculos que  él  mismo  mantenía  con  la  Iglesia  Ortodoxa  Griega  y  la</w:t>
        <w:br/>
        <w:t>"influencia considerable" de esta última en las actividades estatales  y  en</w:t>
        <w:br/>
        <w:t>la   administración   pública,   los   Monasterios   demandantes   no   eran</w:t>
        <w:br/>
        <w:t>organizaciones no-gubernamentales en  el  sentido  del  artículo  25  de  la</w:t>
        <w:br/>
        <w:t>Convención  Europea  (párr.  48).  La  Corte  rechazó  este  argumento,   al</w:t>
        <w:br/>
        <w:t>encontrar   que   los   referidos   Monasterios    no    ejercian    poderes</w:t>
        <w:br/>
        <w:t>gubernamentales. Su clasificación como entidades de  derecho  público  tenía</w:t>
        <w:br/>
        <w:t>por objeto tan solo extenderles protección jurídica vis-à-vis  terceros.  Al</w:t>
        <w:br/>
        <w:t>situarse  los  Santos  Monasterios  bajo  la  "supervisión  espiritual"  del</w:t>
        <w:br/>
        <w:t>arzobispo local y no bajo la supervisión del Estado, distinguíanse  de  este</w:t>
        <w:br/>
        <w:t>último, del cual eran "completamente independientes".  Por  consiguiente,  -</w:t>
        <w:br/>
        <w:t>concluyó  la   Corte   Europea,   -   los   Monasterios   demandantes   eran</w:t>
        <w:br/>
        <w:t>organizaciones no-gubernamentales en  el  sentido  del  artículo  25  de  la</w:t>
        <w:br/>
        <w:t>Convención Europea (párr. 49).</w:t>
        <w:br/>
        <w:br/>
        <w:t>[32]. Recuérdese que, en el caso Loizidou versus  Turquía  (sentencia  sobre</w:t>
        <w:br/>
        <w:t>excepciones preliminares del  23.03.1995),  la  Corte  Europea  de  Derechos</w:t>
        <w:br/>
        <w:t>Humanos descartó la posibilidad de restricciones  -  por  las  declaraciones</w:t>
        <w:br/>
        <w:t>turcas - en relación con las disposiciones-clave del  artículo  25  (derecho</w:t>
        <w:br/>
        <w:t>de petición individual), y del artículo 46 (aceptación  de  su  jurisdicción</w:t>
        <w:br/>
        <w:t>en materia contenciosa) de la Convención Europea.  Sostener  otra  posición,</w:t>
        <w:br/>
        <w:t>agregó, "no sólo debilitaría seriamente la función de la Comisión  y  de  la</w:t>
        <w:br/>
        <w:t>Corte en el desempeño  de  sus  atribuciones  pero  también  disminuiría  la</w:t>
        <w:br/>
        <w:t>eficacia de la Convención  como  un  instrumento  constitucional  del  orden</w:t>
        <w:br/>
        <w:t>público (ordre public) europeo" (párr. 75). La Corte descartó  el  argumento</w:t>
        <w:br/>
        <w:t>del  Estado  demandado  de  que  se  podría  inferir   la   posibilidad   de</w:t>
        <w:br/>
        <w:t>restricciones a las cláusulas facultativas de los artículos 25 y  46  de  la</w:t>
        <w:br/>
        <w:t>Convención por analogía con la práctica estatal  bajo  el  artículo  36  del</w:t>
        <w:br/>
        <w:t>Estatuto de la Corte Internacional de Justicia. La  Corte  Europea  no  sólo</w:t>
        <w:br/>
        <w:t>recordó  la  práctica  en   contrario   (aceptando   tales   cláusulas   sin</w:t>
        <w:br/>
        <w:t>restricciones) de los Estados Partes en la Convención Europea, pero  también</w:t>
        <w:br/>
        <w:t>resaltó el contexto fundamentalmente distinto  en  que  los  dos  tribunales</w:t>
        <w:br/>
        <w:t>operan,  siendo  la  Corte  Internacional  de  Justicia   "a   free-standing</w:t>
        <w:br/>
        <w:t>international tribunal which has no links to a standard-setting treaty  such</w:t>
        <w:br/>
        <w:t>as the Convention" (párrs. 82 y 68). La Corte  de  la  Haya,  -  reiteró  la</w:t>
        <w:br/>
        <w:t>Corte Europea, -  dirime  cuestiones  jurídicas  en  el  contencioso  inter-</w:t>
        <w:br/>
        <w:t>estatal, distintamente de las funciones de los órganos de supervisión de  un</w:t>
        <w:br/>
        <w:t>"tratado normativo" (law-making treaty)  como  la  Convención  Europea.  Por</w:t>
        <w:br/>
        <w:t>consiguiente, la "aceptación incondicional" de  las  cláusulas  facultativas</w:t>
        <w:br/>
        <w:t>de los artículos 25 y 46 de la Convención no da margen para analogía con  la</w:t>
        <w:br/>
        <w:t>práctica estatal bajo el artículo 36 del Estatuto de la Corte  Internacional</w:t>
        <w:br/>
        <w:t>de Justicia (párrs. 84-85).</w:t>
        <w:br/>
        <w:br/>
        <w:t>[33]. A ejemplo de lo que ocurrirá muy pronto,  en  el  sistema  europeo  de</w:t>
        <w:br/>
        <w:t>protección, con la entrada  en  vigor  del  Protocolo  XI  (de  1994)  a  la</w:t>
        <w:br/>
        <w:t>Convención Europea de Derechos Humanos, en el próximo día  01  de  noviembre</w:t>
        <w:br/>
        <w:t>de 1998.</w:t>
        <w:br/>
        <w:br/>
        <w:t>[34]. Desde la adopción en 1950 y entrada en vigor en 1953 de la  Convención</w:t>
        <w:br/>
        <w:t>Europea de Derechos Humanos hasta  la  inminente  entrada  en  vigor  de  su</w:t>
        <w:br/>
        <w:t>mencionado Protocolo XI, el 01.11.1998.</w:t>
        <w:br/>
        <w:br/>
        <w:t>[35]. A estos elementos se suman  la  agilización  y  perfeccionamiento  del</w:t>
        <w:br/>
        <w:t>procedimiento, y el estímulo al desarrollo de una  jurisprudencia  homogénea</w:t>
        <w:br/>
        <w:t>y claramente consistente. Cf. Council of  Europe,  Protocol  n.  11  to  the</w:t>
        <w:br/>
        <w:t>Convention for the Protection of Human Rights and Fundamental  Freedoms  and</w:t>
        <w:br/>
        <w:t>Explanatory Report, Strasbourg, C.E., 1994, pp. 3-52, esp pp. 25-28, 30,  35</w:t>
        <w:br/>
        <w:t>y 43; y, para un estudio particularmente detallado del Protocolo n. 11,  cf.</w:t>
        <w:br/>
        <w:t>A. Drzemczewski, "A Major Overhaul of the European Human  Rights  Convention</w:t>
        <w:br/>
        <w:t>Control Mechanism: Protocol n. 11", 6 Collected Courses of  the  Academy  of</w:t>
        <w:br/>
        <w:t>European Law (1997)-II, pp. 121-244.</w:t>
        <w:br/>
        <w:br/>
        <w:t>[36]. Que sirvió de modelo al de la Convención Americana.</w:t>
        <w:br/>
        <w:br/>
        <w:t>[37]. Cf., en ese  sentido,  Rolv  Ryssdall,  "The  Coming  of  Age  of  the</w:t>
        <w:br/>
        <w:t>European Convention on Human Rights", 1 European  Human  Rights  Law  Review</w:t>
        <w:br/>
        <w:t>(1996) pp. 18-29.</w:t>
        <w:br/>
        <w:br/>
        <w:t>[38]. Artículos 44 y 62, respectivamente, de la Convención  Americana  sobre</w:t>
        <w:br/>
        <w:t>Derechos Humanos.</w:t>
        <w:br/>
        <w:br/>
        <w:t>[39]. Como ocurre bajo el actual Reglamento de la Corte, artículo 23.</w:t>
        <w:br/>
        <w:br/>
        <w:t>[40]. A ejemplo de la realización de misiones de observación in  loco  y  la</w:t>
        <w:br/>
        <w:t>elaboración de informes.</w:t>
        <w:br/>
        <w:br/>
        <w:t>[41]. Ampliada, funcionando en cámaras, y con recursos humanos y  materiales</w:t>
        <w:br/>
        <w:t>considerablemente mayores.</w:t>
        <w:br/>
        <w:br/>
        <w:t>[42]. Así como al de la Convención Europea, que le sirvió de modelo.</w:t>
        <w:br/>
        <w:br/>
        <w:t>[43]. Cf., en ese sentido, mis Votos Razonados en los  casos  Castillo  Páez</w:t>
        <w:br/>
        <w:t>(Excepciones  Preliminares,  Sentencia  del  30.01.1996),  párrs.  14-17,  y</w:t>
        <w:br/>
        <w:t>Loayza Tamayo (Excepciones Preliminares, Sentencia del  31.01.1996),  párrs.</w:t>
        <w:br/>
        <w:t>14-17, respectivamente, reproducidos in: OEA,  Informe  Anual  de  la  Corte</w:t>
        <w:br/>
        <w:t>Interamericana  de  Derechos  Humanos   -   1996,   pp.   56-57   y   72-73,</w:t>
        <w:br/>
        <w:t>respectivamente.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