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t xml:space="preserve">                         Caso Loayza Tamayo Vs. Perú</w:t>
        <w:br/>
        <w:br/>
        <w:br/>
        <w:t xml:space="preserve">                 Resolución de la Corte  8 de marzo de 1998</w:t>
        <w:br/>
        <w:t xml:space="preserve">                  (Interpretación de la Sentencia de Fondo)</w:t>
        <w:br/>
        <w:br/>
        <w:br/>
        <w:t>En el caso Loayza Tamayo,</w:t>
        <w:br/>
        <w:br/>
        <w:t>la Corte Interamericana de Derechos Humanos (en adelante “la  Corte”  o  “la</w:t>
        <w:br/>
        <w:t>Corte Interamericana”), integrada por los siguientes jueces* :</w:t>
        <w:br/>
        <w:br/>
        <w:t xml:space="preserve">     Hernán Salgado Pesantes, Presidente</w:t>
        <w:br/>
        <w:t xml:space="preserve">     Antônio A. Cançado Trindade, Vicepresidente</w:t>
        <w:br/>
        <w:t xml:space="preserve">     Héctor Fix-Zamudio, Juez</w:t>
        <w:br/>
        <w:t xml:space="preserve">     Alejandro Montiel Argüello, Juez</w:t>
        <w:br/>
        <w:t xml:space="preserve">     Máximo Pacheco Gómez, Juez y</w:t>
        <w:br/>
        <w:t xml:space="preserve">     Alirio Abreu Burelli, Juez;</w:t>
        <w:br/>
        <w:br/>
        <w:t>presentes, además,</w:t>
        <w:br/>
        <w:br/>
        <w:t xml:space="preserve">     Manuel E. Ventura Robles, Secretario y</w:t>
        <w:br/>
        <w:t xml:space="preserve">     Víctor M. Rodríguez Rescia, Secretario adjunto a. i.</w:t>
        <w:br/>
        <w:br/>
        <w:br/>
        <w:t>de acuerdo con el artículo 67 de  la  Convención  Americana  sobre  Derechos</w:t>
        <w:br/>
        <w:t>Humanos (en adelante “la Convención” o  “la  Convención  Americana”)  y  los</w:t>
        <w:br/>
        <w:t>artículos  29.2  y  58  del  Reglamento  de  la  Corte  (en   adelante   “el</w:t>
        <w:br/>
        <w:t>Reglamento”) resuelve sobre la solicitud de interpretación de  la  sentencia</w:t>
        <w:br/>
        <w:t>emitida por la Corte el 17 de septiembre de 1997 en el  caso  Loayza  Tamayo</w:t>
        <w:br/>
        <w:t>(en adelante  “la  sentencia”),  presentada  por  el  Estado  del  Perú  (en</w:t>
        <w:br/>
        <w:t>adelante “el Perú” o “el Estado”) el 19 de diciembre de 1997.</w:t>
        <w:br/>
        <w:br/>
        <w:br/>
        <w:t xml:space="preserve">                                      I</w:t>
        <w:br/>
        <w:t xml:space="preserve">                         INTRODUCCIÓN DE LA DEMANDA</w:t>
        <w:br/>
        <w:br/>
        <w:t>1.    El 19 de diciembre de  1997  el  Perú  presentó,  de  acuerdo  con  el</w:t>
        <w:br/>
        <w:t>artículo 67 de la Convención Americana, en concordancia con el  artículo  58</w:t>
        <w:br/>
        <w:t>del Reglamento, una demanda de interpretación de la mencionada sentencia.</w:t>
        <w:br/>
        <w:br/>
        <w:t>2.    Mediante nota transmitida el 22 de diciembre de  1997,  el  Presidente</w:t>
        <w:br/>
        <w:t>le otorgó a la Comisión Interamericana de Derechos Humanos (en adelante  “la</w:t>
        <w:br/>
        <w:t>Comisión” o “la Comisión Interamericana”) plazo hasta  el  27  de  enero  de</w:t>
        <w:br/>
        <w:t>1998 para que  presentara  sus  alegaciones  en  relación  con  la  indicada</w:t>
        <w:br/>
        <w:t>demanda de interpretación.</w:t>
        <w:br/>
        <w:br/>
        <w:t>3.     El  16  de  enero  de  1998  la  Comisión  presentó  un  escrito   de</w:t>
        <w:br/>
        <w:t>observaciones sobre dicha demanda de interpretación,  en  el  cual  solicitó</w:t>
        <w:br/>
        <w:t>que ésta fuera declarada improcedente y rechazada.</w:t>
        <w:br/>
        <w:br/>
        <w:t>4.    El 23 de febrero de 1998 el Estado consignó un escrito en el  cual  se</w:t>
        <w:br/>
        <w:t>refirió a las observaciones de la Comisión  Interamericana  respecto  de  la</w:t>
        <w:br/>
        <w:t>demanda  de  interpretación.   Además,  reiteró  algunos   de   los   puntos</w:t>
        <w:br/>
        <w:t>contenidos en ésta.</w:t>
        <w:br/>
        <w:br/>
        <w:t>5.    El 3 de marzo de 1998 la Comisión presentó una nota  de  observaciones</w:t>
        <w:br/>
        <w:t>al escrito del Estado, fechado el 9 de febrero de 1998, en  la  que  reiteró</w:t>
        <w:br/>
        <w:t>que no se pronunció respecto a muchos puntos señalados por el Estado  porque</w:t>
        <w:br/>
        <w:br/>
        <w:br/>
        <w:t xml:space="preserve">      consideró que era innecesario en vista de la falta  de  fundamento  de</w:t>
        <w:br/>
        <w:t xml:space="preserve">      los mismos...  [y  que]  la  Comisión  no  tiene  la  “obligación”  de</w:t>
        <w:br/>
        <w:t xml:space="preserve">      pronunciarse sobre el  punto  específico  a  que  hace  referencia  el</w:t>
        <w:br/>
        <w:t xml:space="preserve">      mencionado escrito, particularmente si se considera que  la  solicitud</w:t>
        <w:br/>
        <w:t xml:space="preserve">      de interpretación esta dirigida  a  la  Honorable  Corte  y  no  a  la</w:t>
        <w:br/>
        <w:t xml:space="preserve">      Comisión.</w:t>
        <w:br/>
        <w:br/>
        <w:t>Además, solicitó que dicho escrito no se  agregue  por  improcedente  en  el</w:t>
        <w:br/>
        <w:t>expediente, por no ajustarse a lo que dispone el Reglamento.</w:t>
        <w:br/>
        <w:br/>
        <w:br/>
        <w:br/>
        <w:br/>
        <w:t xml:space="preserve">                                     II</w:t>
        <w:br/>
        <w:t xml:space="preserve">                          COMPOSICIÓN Y COMPETENCIA</w:t>
        <w:br/>
        <w:br/>
        <w:t>6.    La Corte, en esta ocasión, se integra con los jueces que  dictaron  la</w:t>
        <w:br/>
        <w:t>sentencia  de  17  de  septiembre  de  1997,  cuya  interpretación  ha  sido</w:t>
        <w:br/>
        <w:t>solicitada por el Perú.</w:t>
        <w:br/>
        <w:br/>
        <w:t>7.    Esta integración obedece a lo  dispuesto  por  el  artículo  58.3  del</w:t>
        <w:br/>
        <w:t>Reglamento, según el cual</w:t>
        <w:br/>
        <w:br/>
        <w:t xml:space="preserve">      [p]ara el examen de la demanda de interpretación la Corte  se  reunirá</w:t>
        <w:br/>
        <w:t xml:space="preserve">      si es posible, con la composición que tenía  al  dictar  la  sentencia</w:t>
        <w:br/>
        <w:t xml:space="preserve">      respectiva [...]</w:t>
        <w:br/>
        <w:br/>
        <w:t>8.    La  Corte  es  competente  para  resolver  la  presente  solicitud  de</w:t>
        <w:br/>
        <w:t>interpretación porque el artículo 67 de la Convención dispone:</w:t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9.     Por  su  parte,  el  artículo  58  del  Reglamento  establece  en  lo</w:t>
        <w:br/>
        <w:t>conducente:</w:t>
        <w:br/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2.    El secretario comunicará la  demanda  de  interpretación  a  los</w:t>
        <w:br/>
        <w:t xml:space="preserve">      Estados partes en el caso y a la Comisión, según  corresponda,  y  les</w:t>
        <w:br/>
        <w:t xml:space="preserve">      invitará a presentar las alegaciones escritas que estimen  pertinentes</w:t>
        <w:br/>
        <w:t xml:space="preserve">      dentro del plazo fijado por el presidente.</w:t>
        <w:br/>
        <w:br/>
        <w:br/>
        <w:t xml:space="preserve">      [...]</w:t>
        <w:br/>
        <w:br/>
        <w:br/>
        <w:t>10.   La sentencia del 17 de septiembre de 1997 fue notificada  al  Perú  el</w:t>
        <w:br/>
        <w:t>20 de los mismos mes y año y éste presentó, dentro del plazo establecido  en</w:t>
        <w:br/>
        <w:t>el artículo 67 de la Convención, la indicada demanda de interpretación.</w:t>
        <w:br/>
        <w:br/>
        <w:t xml:space="preserve">                                     III</w:t>
        <w:br/>
        <w:t xml:space="preserve">                            OBJETO DE LA DEMANDA</w:t>
        <w:br/>
        <w:br/>
        <w:t>11.   El Estado señaló, en su demanda de interpretación, que esta  comprende</w:t>
        <w:br/>
        <w:t>la parte resolutiva de la sentencia de la  Corte  de  17  de  septiembre  de</w:t>
        <w:br/>
        <w:t>1997.  En dicha parte resolutiva, la Corte decidió:</w:t>
        <w:br/>
        <w:br/>
        <w:br/>
        <w:t xml:space="preserve">      por unanimidad,</w:t>
        <w:br/>
        <w:br/>
        <w:br/>
        <w:t xml:space="preserve">      1.    Que el Estado del Perú violó en perjuicio de María Elena  Loayza</w:t>
        <w:br/>
        <w:t xml:space="preserve">      Tamayo el derecho a la libertad personal reconocido en el  artículo  7</w:t>
        <w:br/>
        <w:t xml:space="preserve">      de la Convención Americana sobre Derechos Humanos, en relación con los</w:t>
        <w:br/>
        <w:t xml:space="preserve">      artículos 25 y 1.1 de la misma.</w:t>
        <w:br/>
        <w:br/>
        <w:br/>
        <w:t xml:space="preserve">      por unanimidad,</w:t>
        <w:br/>
        <w:br/>
        <w:br/>
        <w:t xml:space="preserve">      2.    Que el Estado del Perú violó en perjuicio de María Elena  Loayza</w:t>
        <w:br/>
        <w:t xml:space="preserve">      Tamayo el derecho a la integridad personal reconocido en el artículo 5</w:t>
        <w:br/>
        <w:t xml:space="preserve">      de la Convención Americana sobre Derechos Humanos, en relación con  el</w:t>
        <w:br/>
        <w:t xml:space="preserve">      artículo 1.1 de la misma.</w:t>
        <w:br/>
        <w:br/>
        <w:br/>
        <w:t xml:space="preserve">      por unanimidad,</w:t>
        <w:br/>
        <w:br/>
        <w:br/>
        <w:t xml:space="preserve">      3.    Que el Estado del Perú violó en perjuicio de María Elena  Loayza</w:t>
        <w:br/>
        <w:t xml:space="preserve">      Tamayo las garantías judiciales establecidas en el artículo 8.1 y  8.2</w:t>
        <w:br/>
        <w:t xml:space="preserve">      de la Convención Americana sobre Derechos Humanos, en relación con los</w:t>
        <w:br/>
        <w:t xml:space="preserve">      artículos 25 y 1.1 de la misma, en los términos establecidos  en  esta</w:t>
        <w:br/>
        <w:t xml:space="preserve">      sentencia.</w:t>
        <w:br/>
        <w:br/>
        <w:br/>
        <w:t xml:space="preserve">      por seis votos contra uno,</w:t>
        <w:br/>
        <w:br/>
        <w:br/>
        <w:t xml:space="preserve">      4.    Que el Estado del Perú violó en perjuicio de María Elena  Loayza</w:t>
        <w:br/>
        <w:t xml:space="preserve">      Tamayo las garantías judiciales establecidas en el artículo 8.4 de  la</w:t>
        <w:br/>
        <w:t xml:space="preserve">      Convención Americana  sobre  Derechos  Humanos,  en  relación  con  el</w:t>
        <w:br/>
        <w:t xml:space="preserve">      artículo 1.1 de la misma.</w:t>
        <w:br/>
        <w:t xml:space="preserve">      Disiente el Juez Alejandro Montiel Argüello.</w:t>
        <w:br/>
        <w:br/>
        <w:br/>
        <w:t xml:space="preserve">      por seis votos contra uno,</w:t>
        <w:br/>
        <w:br/>
        <w:br/>
        <w:t xml:space="preserve">      5.    Que ordena que el Estado del Perú  ponga  en  libertad  a  María</w:t>
        <w:br/>
        <w:t xml:space="preserve">      Elena Loayza Tamayo dentro de un plazo razonable, en los términos  del</w:t>
        <w:br/>
        <w:t xml:space="preserve">      párrafo 84 de esta sentencia.</w:t>
        <w:br/>
        <w:br/>
        <w:br/>
        <w:t xml:space="preserve">      Disiente el Juez Alejandro Montiel Argüello.</w:t>
        <w:br/>
        <w:br/>
        <w:br/>
        <w:t xml:space="preserve">      por unanimidad,</w:t>
        <w:br/>
        <w:br/>
        <w:br/>
        <w:t xml:space="preserve">      6.    Que  el  Estado  del  Perú  está  obligado  a  pagar  una  justa</w:t>
        <w:br/>
        <w:t xml:space="preserve">      indemnización a la víctima y a sus  familiares  y  a  resarcirles  los</w:t>
        <w:br/>
        <w:t xml:space="preserve">      gastos en que hayan incurrido en sus gestiones  ante  las  autoridades</w:t>
        <w:br/>
        <w:t xml:space="preserve">      peruanas con ocasión de este proceso, para lo cual  queda  abierto  el</w:t>
        <w:br/>
        <w:t xml:space="preserve">      procedimiento correspondiente.</w:t>
        <w:br/>
        <w:br/>
        <w:br/>
        <w:t xml:space="preserve">      El Juez Montiel Argüello hizo conocer a la Corte su Voto  Disidente  y</w:t>
        <w:br/>
        <w:t xml:space="preserve">      los Jueces Cançado Trindade y Jackman su  Voto  Concurrente  Conjunto,</w:t>
        <w:br/>
        <w:t xml:space="preserve">      los cuales acompañarán a esta sentencia.</w:t>
        <w:br/>
        <w:br/>
        <w:t>12.   La Corte sintetiza los argumentos  y  peticiones  presentados  por  el</w:t>
        <w:br/>
        <w:t>Estado en su demanda de interpretación de la siguiente manera:</w:t>
        <w:br/>
        <w:br/>
        <w:t xml:space="preserve">      a.     que  la  sentencia  no  contiene  en  su  parte  resolutiva  un</w:t>
        <w:br/>
        <w:t xml:space="preserve">      pronunciamiento expreso sobre el agotamiento de  los  recursos  de  la</w:t>
        <w:br/>
        <w:t xml:space="preserve">      jurisdicción interna, pues sólo hace mención breve e incompleta  sobre</w:t>
        <w:br/>
        <w:t xml:space="preserve">      este asunto en sus  párrafos  47  y  48  y  que  en  la  sentencia  de</w:t>
        <w:br/>
        <w:t xml:space="preserve">      excepciones preliminares, dictada  en  este  caso,  la  Corte  tampoco</w:t>
        <w:br/>
        <w:t xml:space="preserve">      fundamentó el rechazo  de  la  excepción  de  no  agotamiento  de  los</w:t>
        <w:br/>
        <w:t xml:space="preserve">      recursos  de  la  jurisdicción  interna.   El  Perú   presentó   otros</w:t>
        <w:br/>
        <w:t xml:space="preserve">      argumentos relacionados con la excepción preliminar citada y manifestó</w:t>
        <w:br/>
        <w:t xml:space="preserve">      que todo lo actuado en el procedimiento seguido en la Comisión y  ante</w:t>
        <w:br/>
        <w:t xml:space="preserve">      la Corte está viciado de nulidad.  Por estas razones, solicitó que  la</w:t>
        <w:br/>
        <w:t xml:space="preserve">      Corte se pronuncie en forma expresa sobre la falta de  agotamiento  de</w:t>
        <w:br/>
        <w:t xml:space="preserve">      los recursos de jurisdicción interna;</w:t>
        <w:br/>
        <w:br/>
        <w:br/>
        <w:t xml:space="preserve">      b.    que no se violó el artículo 7 de la Convención en  perjuicio  de</w:t>
        <w:br/>
        <w:t xml:space="preserve">      la señora María Elena Loayza Tamayo y que la sentencia no señaló  cuál</w:t>
        <w:br/>
        <w:t xml:space="preserve">      de los siete  incisos  de  dicho  artículo  fue  violado;  que  en  la</w:t>
        <w:br/>
        <w:t xml:space="preserve">      sentencia la Corte admitió que el 6 de febrero de 1993, fecha  en  que</w:t>
        <w:br/>
        <w:t xml:space="preserve">      fue arrestada la señora Loayza Tamayo, regía el Decreto Supremo 006-93-</w:t>
        <w:br/>
        <w:t xml:space="preserve">      DE/CCFFAA, de  19  de  enero  de  1993,  que  prorrogó  el  estado  de</w:t>
        <w:br/>
        <w:t xml:space="preserve">      emergencia en la Provincia de Lima y en  la  Provincia  Constitucional</w:t>
        <w:br/>
        <w:t xml:space="preserve">      del Callao y que la detención de dicha señora se  realizó  de  acuerdo</w:t>
        <w:br/>
        <w:t xml:space="preserve">      con  las  exigencias  del  artículo  27  de  la  Convención  y  de  la</w:t>
        <w:br/>
        <w:t xml:space="preserve">      Constitución y la ley peruanas.  Asimismo, el  Estado  indicó  que  la</w:t>
        <w:br/>
        <w:t xml:space="preserve">      Corte  no  analizó  la  validez  de  la  declaratoria  del  estado  de</w:t>
        <w:br/>
        <w:t xml:space="preserve">      emergencia, dentro de las exigencias del artículo 27 citado;</w:t>
        <w:br/>
        <w:br/>
        <w:br/>
        <w:t xml:space="preserve">     c.    que la señora María Elena Loayza Tamayo  estaba  cumpliendo  una</w:t>
        <w:br/>
        <w:t xml:space="preserve">     condena de 20 años de pena privativa de libertad; que en este caso, de</w:t>
        <w:br/>
        <w:t xml:space="preserve">     acuerdo con la legislación peruana, la ejecución de  dicha  pena  sólo</w:t>
        <w:br/>
        <w:t xml:space="preserve">     podría haberse interrumpido por su cumplimiento o por la concesión  de</w:t>
        <w:br/>
        <w:t xml:space="preserve">     un indulto; que, por esta razón, la orden de la Corte de liberar a  la</w:t>
        <w:br/>
        <w:t xml:space="preserve">     señora Loayza Tamayo fue  irregular  e  ilegal;  que  esta  orden  fue</w:t>
        <w:br/>
        <w:t xml:space="preserve">     ejecutada aún  cuando  la  Corte  Suprema  de  Justicia  de  Lima  por</w:t>
        <w:br/>
        <w:t xml:space="preserve">     resolución de 14 de octubre de 1997 manifestó  su  desacuerdo  con  el</w:t>
        <w:br/>
        <w:t xml:space="preserve">     sentido y alcance de la  sentencia  de  la  Corte  Interamericana,  en</w:t>
        <w:br/>
        <w:t xml:space="preserve">     especial respecto de sus puntos resolutivos cuarto y quinto,  ya  que,</w:t>
        <w:br/>
        <w:t xml:space="preserve">     en su opinión, los órganos jurisdiccionales peruanos  no  violaron  el</w:t>
        <w:br/>
        <w:t xml:space="preserve">     artículo 8.4 de la Convención que se  refiere  al  principio  de  cosa</w:t>
        <w:br/>
        <w:t xml:space="preserve">     juzgada o doble juzgamiento.   Tampoco  la  sentencia  precisó  si  la</w:t>
        <w:br/>
        <w:t xml:space="preserve">     decisión de ordenar la libertad es un sobreseimiento de la  causa,  un</w:t>
        <w:br/>
        <w:t xml:space="preserve">     indulto judicial supranacional o una revisión  supranacional.   Agregó</w:t>
        <w:br/>
        <w:t xml:space="preserve">     que, en una nota de 20 de mayo de 1995, el Presidente de la Corte  (en</w:t>
        <w:br/>
        <w:t xml:space="preserve">     adelante “el Presidente”) señaló,  previa  consulta  con  la  Comisión</w:t>
        <w:br/>
        <w:t xml:space="preserve">     Permanente, que la Corte  no  estaba  facultada  ni  debía  intervenir</w:t>
        <w:br/>
        <w:t xml:space="preserve">     directamente en la toma de medidas judiciales  o  administrativas  que</w:t>
        <w:br/>
        <w:t xml:space="preserve">     competen a los órganos nacionales dentro de la jurisdicción interna de</w:t>
        <w:br/>
        <w:t xml:space="preserve">     cada país.  Según el Estado, dicha nota no fue objetada y forma  parte</w:t>
        <w:br/>
        <w:t xml:space="preserve">     del procedimiento, aún cuando “deliberadamente” no fue incluida en  la</w:t>
        <w:br/>
        <w:t xml:space="preserve">     relación de lo actuado que se consignó en el texto  de  la  sentencia.</w:t>
        <w:br/>
        <w:t xml:space="preserve">     Por tanto, la Corte incurrió en un error  in  iudicando  por  resolver</w:t>
        <w:br/>
        <w:t xml:space="preserve">     algo contradictorio con lo que anteriormente  había  dispuesto  en  la</w:t>
        <w:br/>
        <w:t xml:space="preserve">     misma causa y  se  pronunció  sobre  una  materia  que  no  es  de  su</w:t>
        <w:br/>
        <w:t xml:space="preserve">     competencia.  El Estado, además, solicitó a la Corte aclarar cómo debe</w:t>
        <w:br/>
        <w:t xml:space="preserve">     entenderse o interpretarse la orden de libertad  de  la  señora  María</w:t>
        <w:br/>
        <w:t xml:space="preserve">     Elena Loayza Tamayo de  acuerdo  con  las  disposiciones  del  derecho</w:t>
        <w:br/>
        <w:t xml:space="preserve">     interno peruano.  Finalmente, el Estado indicó que la Corte debe dejar</w:t>
        <w:br/>
        <w:t xml:space="preserve">     sin efecto en todos sus extremos lo dispuesto por el punto  resolutivo</w:t>
        <w:br/>
        <w:t xml:space="preserve">     5) de esa sentencia.</w:t>
        <w:br/>
        <w:br/>
        <w:br/>
        <w:t xml:space="preserve">      d.    que toda demanda ante la Corte tiene como antecedente lo actuado</w:t>
        <w:br/>
        <w:t xml:space="preserve">      en el procedimiento seguido ante la Comisión Interamericana,  el  cual</w:t>
        <w:br/>
        <w:t xml:space="preserve">      termina con el Informe en que ésta concluye que un Estado  ha  violado</w:t>
        <w:br/>
        <w:t xml:space="preserve">      en perjuicio de una persona determinados derechos, como lo hizo en  el</w:t>
        <w:br/>
        <w:t xml:space="preserve">      Informe No. 20/94 en el que declaró que el Perú era responsable de  la</w:t>
        <w:br/>
        <w:t xml:space="preserve">      violación del derecho a la libertad e integridad personales y  de  las</w:t>
        <w:br/>
        <w:t xml:space="preserve">      garantías judiciales que reconocen los artículos  7,  5  y  25  de  la</w:t>
        <w:br/>
        <w:t xml:space="preserve">      Convención Americana; que la demanda presentada  por  la  Comisión  en</w:t>
        <w:br/>
        <w:t xml:space="preserve">      este caso, excediéndose en los alcances del aludido  Informe,  incluyó</w:t>
        <w:br/>
        <w:t xml:space="preserve">      aspectos que no fueron materia del mismo, como  la  violación  de  los</w:t>
        <w:br/>
        <w:t xml:space="preserve">      derechos establecidos en el artículo 8, párrafos 1, 2.d, 2.g, 3 y 4 de</w:t>
        <w:br/>
        <w:t xml:space="preserve">      la Convención y que la Corte no sólo admitió a trámite  la  pretensión</w:t>
        <w:br/>
        <w:t xml:space="preserve">      sino que la declaró fundada, lo cual obliga al Tribunal a realizar una</w:t>
        <w:br/>
        <w:t xml:space="preserve">      interpretación en tal extremo.  Agregó que el punto resolutivo tercero</w:t>
        <w:br/>
        <w:t xml:space="preserve">      de la sentencia es incongruente con el párrafo 64 de la misma, pues en</w:t>
        <w:br/>
        <w:t xml:space="preserve">      este último la Corte señaló que no aparecen pruebas de que  la  señora</w:t>
        <w:br/>
        <w:t xml:space="preserve">      María Elena Loayza Tamayo hubiere sido coaccionada a  declarar  contra</w:t>
        <w:br/>
        <w:t xml:space="preserve">      sí misma y admitir su participación en los hechos y, sin  embargo,  en</w:t>
        <w:br/>
        <w:t xml:space="preserve">      el citado punto resolutivo se condenó al Perú  por  la  violación,  en</w:t>
        <w:br/>
        <w:t xml:space="preserve">      forma genérica, del artículo 8.2 de la Convención;</w:t>
        <w:br/>
        <w:br/>
        <w:br/>
        <w:t xml:space="preserve">      e.    que,  aún  cuando  la  solicitud  de  la  indemnización  de  los</w:t>
        <w:br/>
        <w:t xml:space="preserve">      familiares de la señora María Elena Loayza Tamayo no fue  incluida  en</w:t>
        <w:br/>
        <w:t xml:space="preserve">      el Informe No. 20/94 de la Comisión ni en la  demanda  presentada  por</w:t>
        <w:br/>
        <w:t xml:space="preserve">      ésta ante la Corte, la sentencia, sin precisar quiénes son, ordenó que</w:t>
        <w:br/>
        <w:t xml:space="preserve">      se les indemnizara.  El Perú afirmó  que  la  Corte  se  pronunció  de</w:t>
        <w:br/>
        <w:t xml:space="preserve">      manera ultra petita, por lo que es necesario una  interpretación  para</w:t>
        <w:br/>
        <w:t xml:space="preserve">      excluir de los alcances del fallo contenido en el punto 6) de la parte</w:t>
        <w:br/>
        <w:t xml:space="preserve">      resolutiva de la sentencia a  esos  familiares  por  no  haber  estado</w:t>
        <w:br/>
        <w:t xml:space="preserve">      comprendidos en el Informe No. 20/94, ni  tampoco  en  el  escrito  de</w:t>
        <w:br/>
        <w:t xml:space="preserve">      demanda; y</w:t>
        <w:br/>
        <w:br/>
        <w:br/>
        <w:t xml:space="preserve">      f.    que la Corte  dio  valor  a  los  testimonios  de  Juan  Alberto</w:t>
        <w:br/>
        <w:t xml:space="preserve">      Delgadillo Castañeda, Guzmán Casas Luis, Pedro Telmo Vega Valle,  Luis</w:t>
        <w:br/>
        <w:t xml:space="preserve">      Alberto Cantoral Benavides, María Elena Loayza Tamayo, Víctor  Álvarez</w:t>
        <w:br/>
        <w:t xml:space="preserve">      Pérez e Iván Arturo Bazán Chacón, a pesar que,  por  diversas  causas,</w:t>
        <w:br/>
        <w:t xml:space="preserve">      dichos testigos no eran imparciales.  El Estado solicitó  que,  en  la</w:t>
        <w:br/>
        <w:t xml:space="preserve">      interpretación, la Corte se pronunciara respecto de  la  invalidez  de</w:t>
        <w:br/>
        <w:t xml:space="preserve">      dichas declaraciones.</w:t>
        <w:br/>
        <w:br/>
        <w:t>13.   La Comisión en el escrito de 16  de  enero  de  1998,  señaló  que  la</w:t>
        <w:br/>
        <w:t>demanda de  interpretación  no  reúne  los  requisitos  establecidos  en  el</w:t>
        <w:br/>
        <w:t>artículo 67 de la Convención Americana, ya que  no  pretende  la  aclaración</w:t>
        <w:br/>
        <w:t>del  sentido  o  alcance  de  la  sentencia  sino  que,  por  el  contrario,</w:t>
        <w:br/>
        <w:t>constituye una impugnación de la misma, la cual es definitiva e  inapelable.</w:t>
        <w:br/>
        <w:t xml:space="preserve"> La Corte sintetiza los  argumentos  presentados  por  la  Comisión  en  sus</w:t>
        <w:br/>
        <w:t>observaciones a la demanda de interpretación en los siguientes términos:</w:t>
        <w:br/>
        <w:br/>
        <w:t xml:space="preserve">      a.    que la Corte, en la sentencia de excepciones preliminares  y  en</w:t>
        <w:br/>
        <w:t xml:space="preserve">      los párrafos 47  y  48  de  la  sentencia,  se  refirió  suficiente  y</w:t>
        <w:br/>
        <w:t xml:space="preserve">      claramente a la excepción de no agotamiento  de  los  recursos  de  la</w:t>
        <w:br/>
        <w:t xml:space="preserve">      jurisdicción interna; que la afirmación sobre la supuesta ausencia  de</w:t>
        <w:br/>
        <w:t xml:space="preserve">      motivación respecto de ella no tiene fundamento y, en  todo  caso,  no</w:t>
        <w:br/>
        <w:t xml:space="preserve">      podría alegarse mediante un pedido de interpretación;</w:t>
        <w:br/>
        <w:br/>
        <w:br/>
        <w:t xml:space="preserve">      b.    que la Corte sí consideró en la sentencia  los  alcances  de  la</w:t>
        <w:br/>
        <w:t xml:space="preserve">      declaración del estado de emergencia regulado por el artículo 27 de la</w:t>
        <w:br/>
        <w:t xml:space="preserve">      Convención, en el sentido de que éste no era relevante.  Agregó que el</w:t>
        <w:br/>
        <w:t xml:space="preserve">      Estado refuta la decisión de la Corte y no formula, respecto  de  este</w:t>
        <w:br/>
        <w:t xml:space="preserve">      asunto, ninguna solicitud de  interpretación  o  aclaración  sobre  el</w:t>
        <w:br/>
        <w:t xml:space="preserve">      sentido o alcance de la sentencia;</w:t>
        <w:br/>
        <w:br/>
        <w:br/>
        <w:t xml:space="preserve">      c.    que son claros el sentido y alcance de la sentencia respecto  de</w:t>
        <w:br/>
        <w:t xml:space="preserve">      la orden de puesta en libertad de la señora María Elena Loayza Tamayo,</w:t>
        <w:br/>
        <w:t xml:space="preserve">      en cumplimiento del artículo 63.1 de la Convención,  pues  de  acuerdo</w:t>
        <w:br/>
        <w:t xml:space="preserve">      con el principio de restitutio in integrum, se  debían  restituir  los</w:t>
        <w:br/>
        <w:t xml:space="preserve">      derechos y libertades de  la  víctima  consagrados  en  la  Convención</w:t>
        <w:br/>
        <w:t xml:space="preserve">      Americana y que la Corte declaró  violados.   Agregó  que  el  derecho</w:t>
        <w:br/>
        <w:t xml:space="preserve">      interno peruano contempla el cumplimiento de  una  resolución  emitida</w:t>
        <w:br/>
        <w:t xml:space="preserve">      por  un   organismo   internacional   por   parte   de   sus   órganos</w:t>
        <w:br/>
        <w:t xml:space="preserve">      jurisdiccionales,  cuando  el  Perú  se  encuentre   sometido   a   su</w:t>
        <w:br/>
        <w:t xml:space="preserve">      jurisdicción;</w:t>
        <w:br/>
        <w:br/>
        <w:br/>
        <w:t xml:space="preserve">      d.    que no existe disposición alguna, convencional o  reglamentaria,</w:t>
        <w:br/>
        <w:t xml:space="preserve">      que establezca que la demanda que origina un  proceso  ante  la  Corte</w:t>
        <w:br/>
        <w:t xml:space="preserve">      deba ajustarse a los términos del informe del artículo 50.   Asimismo,</w:t>
        <w:br/>
        <w:t xml:space="preserve">      señaló que la Corte declaró la violación del  principio  de  inocencia</w:t>
        <w:br/>
        <w:t xml:space="preserve">      consagrado en el artículo 8.2 de la Convención y no se trató, como  lo</w:t>
        <w:br/>
        <w:t xml:space="preserve">      señaló el Perú en la demanda de interpretación, de una condena por  la</w:t>
        <w:br/>
        <w:t xml:space="preserve">      violación genérica del artículo citado;</w:t>
        <w:br/>
        <w:br/>
        <w:br/>
        <w:t xml:space="preserve">      e.    que, respecto de la  indemnización  ordenada  en  favor  de  los</w:t>
        <w:br/>
        <w:t xml:space="preserve">      familiares de la víctima, no existe la necesidad de aclarar su sentido</w:t>
        <w:br/>
        <w:t xml:space="preserve">      o alcance, pues los familiares de una persona son  aquellos  parientes</w:t>
        <w:br/>
        <w:t xml:space="preserve">      designados con denominación propia y con vocación hereditaria, como ya</w:t>
        <w:br/>
        <w:t xml:space="preserve">      lo ha dicho la Corte; y</w:t>
        <w:br/>
        <w:br/>
        <w:br/>
        <w:t xml:space="preserve">      f.    que, respecto de los testimonios, la Corte actuó de acuerdo  con</w:t>
        <w:br/>
        <w:t xml:space="preserve">      el artículo 38.3 de su Reglamento y así  lo  hizo  saber  al  resolver</w:t>
        <w:br/>
        <w:t xml:space="preserve">      sobre las tachas presentadas por el Estado.  Agregó que de la  lectura</w:t>
        <w:br/>
        <w:t xml:space="preserve">      de la  sentencia  se  infiere  que  la  Corte  ha  dado  valor  a  las</w:t>
        <w:br/>
        <w:t xml:space="preserve">      declaraciones  cuando  los  aportes  de  conocimiento  de  los  hechos</w:t>
        <w:br/>
        <w:t xml:space="preserve">      proporcionados por los testigos en sus respectivas  deposiciones  eran</w:t>
        <w:br/>
        <w:t xml:space="preserve">      corroborados por otras pruebas rendidas en el proceso.</w:t>
        <w:br/>
        <w:br/>
        <w:br/>
        <w:t xml:space="preserve">                                     IV</w:t>
        <w:br/>
        <w:t xml:space="preserve">                         IMPROCEDENCIA DE LA DEMANDA</w:t>
        <w:br/>
        <w:br/>
        <w:t>14.   Según el artículo 67 de  la  Convención,  trascrito  con  anterioridad</w:t>
        <w:br/>
        <w:t>(supra,  párr.  8),  las  sentencias  de  esta  Corte  son   definitivas   e</w:t>
        <w:br/>
        <w:t>inapelables, pero pueden ser interpretadas a solicitud de cualquiera de  las</w:t>
        <w:br/>
        <w:t>partes cuando exista desacuerdo sobre el sentido y alcance del fallo.</w:t>
        <w:br/>
        <w:br/>
        <w:t>15.   La Corte Europea de Derechos Humanos, con fundamento  en  el  artículo</w:t>
        <w:br/>
        <w:t>57  del  Reglamento  A  de  dicho  Tribunal,  que  es  similar  al  precepto</w:t>
        <w:br/>
        <w:t>mencionado de la Convención Americana, señaló que la  interpretación  de  un</w:t>
        <w:br/>
        <w:t>fallo implica la precisión de su texto  no  sólo  en  cuanto  a  sus  puntos</w:t>
        <w:br/>
        <w:t>resolutivos sino también en  cuanto  a  la  determinación  del  alcance,  el</w:t>
        <w:br/>
        <w:t>sentido y la finalidad de sus consideraciones (Eur. Court H.  R.,  Ringeisen</w:t>
        <w:br/>
        <w:t>Case (Interpretation of the Judgment of 22 June 1972), Judgment of  23  June</w:t>
        <w:br/>
        <w:t>1973, Series A, Vol. 16).</w:t>
        <w:br/>
        <w:br/>
        <w:t>16.   Con igual razonamiento,  esta  Corte  considera  que  la  solicitud  o</w:t>
        <w:br/>
        <w:t>demanda de interpretación de una sentencia no debe utilizarse como un  medio</w:t>
        <w:br/>
        <w:t>de impugnación  sino  únicamente  debe  tener  como  objeto  desentrañar  el</w:t>
        <w:br/>
        <w:t>sentido del fallo cuando una de las partes sostiene  que  el  texto  de  sus</w:t>
        <w:br/>
        <w:t>puntos resolutivos o de sus consideraciones carece de claridad o  precisión,</w:t>
        <w:br/>
        <w:t>siempre y cuando esas consideraciones incidan en dicha parte  resolutiva  y,</w:t>
        <w:br/>
        <w:t>por tanto, no se puede pedir la modificación o  anulación  de  la  sentencia</w:t>
        <w:br/>
        <w:t>respectiva a través de una demanda de interpretación.</w:t>
        <w:br/>
        <w:br/>
        <w:t>17.   Esta Corte, al examinar  los  argumentos  del  Estado,  resumidos  con</w:t>
        <w:br/>
        <w:t>anterioridad (supra, párr.  12),  advierte  que,  indebidamente  y  bajo  la</w:t>
        <w:br/>
        <w:t>apariencia de una solicitud de interpretación, se pretende  la  modificación</w:t>
        <w:br/>
        <w:t>de la sentencia de fondo pronunciada por este Tribunal el 17  de  septiembre</w:t>
        <w:br/>
        <w:t>de 1997 en el caso Loayza Tamayo, ya que  el  Perú  alega  que  dicho  fallo</w:t>
        <w:br/>
        <w:t>incurrió en omisiones en algunos aspectos y no  está  correctamente  fundado</w:t>
        <w:br/>
        <w:t>en otros.</w:t>
        <w:br/>
        <w:br/>
        <w:t>18.   La Corte Europea de Derechos Humanos en  este  particular,  adoptó  en</w:t>
        <w:br/>
        <w:t>dos fallos recientes el mismo criterio que tiene esta  Corte  al  considerar</w:t>
        <w:br/>
        <w:t>que la materia de interpretación de una sentencia  no  puede  modificar  los</w:t>
        <w:br/>
        <w:t>aspectos  que  tienen  carácter  obligatorio  (Eur.  Court  HR,  Allenet  de</w:t>
        <w:br/>
        <w:t>Ribemont v. France, judgment of 7 August 1996 (interpretation) y Eur.  Court</w:t>
        <w:br/>
        <w:t>HR, Hentrich v. France, judgment of 3 July  1997  (interpretation),  Reports</w:t>
        <w:br/>
        <w:t>of Judgments and Decisions 1997-IV).</w:t>
        <w:br/>
        <w:br/>
        <w:t>19.   En cuanto a la petición del Estado de que se precise  el  alcance  del</w:t>
        <w:br/>
        <w:t>dispositivo contenido en el párrafo 84 del fallo en  cuanto  estableció  que</w:t>
        <w:br/>
        <w:t>“[e]l Estado del Perú debe, de acuerdo con las disposiciones de  su  derecho</w:t>
        <w:br/>
        <w:t>interno, ordenar la libertad de la señora María Elena Loayza  Tamayo  dentro</w:t>
        <w:br/>
        <w:t>de un plazo razonable”, considera la Corte que el Perú  cumplió  debidamente</w:t>
        <w:br/>
        <w:t>con esa parte de la sentencia al ponerla en libertad el  16  de  octubre  de</w:t>
        <w:br/>
        <w:t>1997, razón por la cual la demanda de interpretación queda sin contenido.</w:t>
        <w:br/>
        <w:br/>
        <w:br/>
        <w:t xml:space="preserve">                                      V</w:t>
        <w:br/>
        <w:br/>
        <w:t>POR TANTO,</w:t>
        <w:br/>
        <w:br/>
        <w:t>LA CORTE INTERAMERICANA DE DERECHOS HUMANOS</w:t>
        <w:br/>
        <w:br/>
        <w:t>con apoyo en los artículos 67 de  la  Convención  Americana  sobre  Derechos</w:t>
        <w:br/>
        <w:t>Humanos y 29.2 y 58 de su Reglamento,</w:t>
        <w:br/>
        <w:br/>
        <w:t>DECIDE:</w:t>
        <w:br/>
        <w:br/>
        <w:t>por unanimidad,</w:t>
        <w:br/>
        <w:br/>
        <w:t>Desestimar por improcedente la demanda de interpretación interpuesta por  el</w:t>
        <w:br/>
        <w:t>Estado del Perú.</w:t>
        <w:br/>
        <w:br/>
        <w:t>Redactada en español e inglés haciendo fe el texto en español,  en  la  sede</w:t>
        <w:br/>
        <w:t>de la Corte en San José, Costa Rica, el día 8 de marzo de 1998.</w:t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t>Antônio A. Cançado Trindade                       Héctor Fix-Zamudio</w:t>
        <w:br/>
        <w:br/>
        <w:br/>
        <w:br/>
        <w:br/>
        <w:t>Alejandro Montiel Argüello                            Máximo Pacheco Gómez</w:t>
        <w:br/>
        <w:br/>
        <w:br/>
        <w:br/>
        <w:t xml:space="preserve">                            Alirio Abreu Burelli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t>*  El Juez  Oliver  Jackman  se  excusó  de  conocer  sobre  la  demanda  de</w:t>
        <w:br/>
        <w:t>interpretación presentada por el Perú, por no poder participar en  el  XXIII</w:t>
        <w:br/>
        <w:t>Período Extraordinario de Sesiones de la Corte, de lo cual  fue  debidamente</w:t>
        <w:br/>
        <w:t>informado el Presidente.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