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CASO CESTI HURTADO VS. PERÚ</w:t>
        <w:br/>
        <w:br/>
        <w:br/>
        <w:t xml:space="preserve">                      Sentencia de 26 de enero de 1999</w:t>
        <w:br/>
        <w:t xml:space="preserve">                         (Excepciones Preliminares)</w:t>
        <w:br/>
        <w:br/>
        <w:br/>
        <w:t>En el caso Cesti Hurtado,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t xml:space="preserve">      Hernán Salgado Pesantes, Presidente</w:t>
        <w:br/>
        <w:t xml:space="preserve">      Antônio A. Cançado Trindade, Vicepresidente</w:t>
        <w:br/>
        <w:t xml:space="preserve">      Máximo Pacheco Gómez, Juez</w:t>
        <w:br/>
        <w:t xml:space="preserve">      Oliver Jackman, Juez</w:t>
        <w:br/>
        <w:t xml:space="preserve">      Alirio Abreu Burelli, Juez</w:t>
        <w:br/>
        <w:t xml:space="preserve">      Sergio García Ramírez, Juez y</w:t>
        <w:br/>
        <w:t xml:space="preserve">      Carlos Vicente de Roux Rengifo, Juez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</w:t>
        <w:br/>
        <w:br/>
        <w:t>de  acuerdo  con  el  artículo  36.6  de  su  Reglamento  (en  adelante  “el</w:t>
        <w:br/>
        <w:t>Reglamento”),  dicta  la   siguiente   sentencia   sobre   las   excepciones</w:t>
        <w:br/>
        <w:t>preliminares interpuestas por el Estado del Perú (en adelante “el Estado”  o</w:t>
        <w:br/>
        <w:t>“el Perú”).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Este caso fue sometido a la Corte por la  Comisión  Interamericana  de</w:t>
        <w:br/>
        <w:t>Derechos Humanos (en adelante “la Comisión” o “la Comisión  Interamericana”)</w:t>
        <w:br/>
        <w:t>el 9 de enero de 1998.  Se originó en la denuncia  número  11.730,  recibida</w:t>
        <w:br/>
        <w:t>en la Secretaría de la Comisión el 7 de marzo de 1997.</w:t>
        <w:br/>
        <w:br/>
        <w:br/>
        <w:t xml:space="preserve">                                     II</w:t>
        <w:br/>
        <w:t xml:space="preserve">                  Sobre los hechos expuestos en la demanda</w:t>
        <w:br/>
        <w:br/>
        <w:t>2.    En los siguientes párrafos, la Corte resume aquellos  hechos  alegados</w:t>
        <w:br/>
        <w:t>por la Comisión en el escrito de demanda, relevantes para  la  consideración</w:t>
        <w:br/>
        <w:t>de las excepciones preliminares:</w:t>
        <w:br/>
        <w:br/>
        <w:t xml:space="preserve">      a)    el señor Gustavo Adolfo Cesti Hurtado,  ciudadano  peruano,  fue</w:t>
        <w:br/>
        <w:t xml:space="preserve">      capitán en el Ejército peruano y se retiró del servicio en  1984.   Al</w:t>
        <w:br/>
        <w:t xml:space="preserve">      momento de los hechos del presente caso, era el Gerente General de  la</w:t>
        <w:br/>
        <w:t xml:space="preserve">      empresa “Top Security Sociedad Anónima”, la cual  tenía  celebrado  un</w:t>
        <w:br/>
        <w:t xml:space="preserve">      contrato de asesoría en materia de seguros con  el  Comando  Logístico</w:t>
        <w:br/>
        <w:t xml:space="preserve">      del Ejército peruano;</w:t>
        <w:br/>
        <w:br/>
        <w:br/>
        <w:t xml:space="preserve">      b)    en noviembre de 1996 se inició, ante el fuero  militar  peruano,</w:t>
        <w:br/>
        <w:t xml:space="preserve">      un proceso contra varios miembros del Ejército y contra el señor Cesti</w:t>
        <w:br/>
        <w:t xml:space="preserve">      Hurtado;</w:t>
        <w:br/>
        <w:br/>
        <w:br/>
        <w:t xml:space="preserve">      c)    el 23 de diciembre de 1996 se acusó al señor Cesti  Hurtado  por</w:t>
        <w:br/>
        <w:t xml:space="preserve">      los delitos de fraude, negligencia, desobediencia y delitos contra  el</w:t>
        <w:br/>
        <w:t xml:space="preserve">      deber y dignidad de la función y el 17  de  enero  de  1997  el  Vocal</w:t>
        <w:br/>
        <w:t xml:space="preserve">      Instructor ordenó su detención;</w:t>
        <w:br/>
        <w:br/>
        <w:br/>
        <w:t xml:space="preserve">      d)    el 31 de enero de 1997  el  señor  Cesti  Hurtado  interpuso  un</w:t>
        <w:br/>
        <w:t xml:space="preserve">      recurso de hábeas corpus, por considerar que el fuero militar  no  era</w:t>
        <w:br/>
        <w:t xml:space="preserve">      competente para juzgarle, en razón de su condición de civil.  El 12 de</w:t>
        <w:br/>
        <w:t xml:space="preserve">      febrero de 1997 el recurso  mencionado  fue  declarado  procedente  en</w:t>
        <w:br/>
        <w:t xml:space="preserve">      segunda instancia por la Sala Especializada de Derecho Público  de  la</w:t>
        <w:br/>
        <w:t xml:space="preserve">      Corte Superior de Lima, la cual ordenó  que  se  sustrajera  al  señor</w:t>
        <w:br/>
        <w:t xml:space="preserve">      Cesti Hurtado del procedimiento que se seguía ante el fuero militar  y</w:t>
        <w:br/>
        <w:t xml:space="preserve">      que se dejara sin efecto la orden de detención  y  el  impedimento  de</w:t>
        <w:br/>
        <w:t xml:space="preserve">      salida del país dictados en su contra.   La  resolución  de  la  “Sala</w:t>
        <w:br/>
        <w:t xml:space="preserve">      Especializada de Derecho Público” fue notificada al fuero  militar  el</w:t>
        <w:br/>
        <w:t xml:space="preserve">      18 de febrero de 1997;</w:t>
        <w:br/>
        <w:br/>
        <w:br/>
        <w:t xml:space="preserve">      e)    el 26 de febrero de 1997 el Consejo Supremo de Justicia  Militar</w:t>
        <w:br/>
        <w:t xml:space="preserve">      desconoció la resolución de la Sala Especializada de  Derecho  Público</w:t>
        <w:br/>
        <w:t xml:space="preserve">      de 12 de los mismos mes y año y dispuso la inmediata ejecución  de  la</w:t>
        <w:br/>
        <w:t xml:space="preserve">      orden de detención contra el señor Cesti Hurtado;</w:t>
        <w:br/>
        <w:br/>
        <w:br/>
        <w:t xml:space="preserve">      f)    el 28 de febrero de 1997 el señor Cesti Hurtado fue detenido;</w:t>
        <w:br/>
        <w:br/>
        <w:br/>
        <w:t xml:space="preserve">      g)    el 6 de marzo de 1997 la Sala Especializada de  Derecho  Público</w:t>
        <w:br/>
        <w:t xml:space="preserve">      de la Corte Superior de Lima manifestó que  sus  resoluciones  son  de</w:t>
        <w:br/>
        <w:t xml:space="preserve">      obligatorio acatamiento y declaró que es competente para la resolución</w:t>
        <w:br/>
        <w:t xml:space="preserve">      de acciones de garantía constitucional;</w:t>
        <w:br/>
        <w:br/>
        <w:br/>
        <w:t xml:space="preserve">      h)    el 8 de marzo de 1997 el  Vocal  del  fuero  militar  ordenó  la</w:t>
        <w:br/>
        <w:t xml:space="preserve">      detención definitiva y la continuación del proceso  abierto  en  dicho</w:t>
        <w:br/>
        <w:t xml:space="preserve">      fuero contra el señor Cesti Hurtado;</w:t>
        <w:br/>
        <w:br/>
        <w:br/>
        <w:t xml:space="preserve">      i)    entre los días 13 y 19 de marzo de 1997  el  Juez  Ejecutor  del</w:t>
        <w:br/>
        <w:t xml:space="preserve">      hábeas corpus notificó al fuero  militar  la  resolución  de  la  Sala</w:t>
        <w:br/>
        <w:t xml:space="preserve">      Especializada de Derecho Público de la Corte Superior  de  Lima  y  se</w:t>
        <w:br/>
        <w:t xml:space="preserve">      apersonó en el cuartel militar en que se encontraba detenido el  señor</w:t>
        <w:br/>
        <w:t xml:space="preserve">      Cesti Hurtado para  intentar,  infructuosamente,  que  se  pusiera  en</w:t>
        <w:br/>
        <w:t xml:space="preserve">      libertad a este último;</w:t>
        <w:br/>
        <w:br/>
        <w:br/>
        <w:t xml:space="preserve">      j)    el 13 de abril de 1997 la Sala de Guerra condenó al señor  Cesti</w:t>
        <w:br/>
        <w:t xml:space="preserve">      Hurtado a siete años de prisión; y</w:t>
        <w:br/>
        <w:br/>
        <w:br/>
        <w:t xml:space="preserve">      k)    el 2 de  mayo  de  1997  la  Sala  Revisora  del  fuero  militar</w:t>
        <w:br/>
        <w:t xml:space="preserve">      sentenció al señor Cesti Hurtado a cuatro años de prisión y al pago de</w:t>
        <w:br/>
        <w:t xml:space="preserve">      US$390.000,00 (trescientos noventa mil dólares de los  Estados  Unidos</w:t>
        <w:br/>
        <w:t xml:space="preserve">      de América).</w:t>
        <w:br/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3.    El 7 de marzo de  1997  la  Comisión  recibió  en  su  Secretaría  una</w:t>
        <w:br/>
        <w:t>denuncia hecha por la señora Carmen Judith Cardó Guarderas en  favor  de  su</w:t>
        <w:br/>
        <w:t>esposo, el señor Cesti Hurtado.  El 10 de los mismos mes y año, la  Comisión</w:t>
        <w:br/>
        <w:t>comunicó  la  denuncia  al  Estado,  al  cual  solicitó  que  presentara  la</w:t>
        <w:br/>
        <w:t>información correspondiente en un plazo de 90 días.</w:t>
        <w:br/>
        <w:br/>
        <w:t>4.    El 25 de abril de 1997 la  Comisión  solicitó  al  Perú,  como  medida</w:t>
        <w:br/>
        <w:t>cautelar, que le informara si se  había  dado  cumplimiento  “en  todas  sus</w:t>
        <w:br/>
        <w:t>partes el pronunciamiento recaído en el hábeas corpus” dictado en favor  del</w:t>
        <w:br/>
        <w:t>señor Cesti Hurtado y,  en  su  caso,  cuáles  serían  las  medidas  que  se</w:t>
        <w:br/>
        <w:t>adoptarían  con  ese  objeto.   Asimismo,   le   solicitó   que   presentara</w:t>
        <w:br/>
        <w:t>información referente a la  atención  médica  que  recibía  el  señor  Cesti</w:t>
        <w:br/>
        <w:t>Hurtado.  El 19 de mayo del mismo año, el Estado presentó a la  Comisión  su</w:t>
        <w:br/>
        <w:t>respuesta, la cual fue transmitida, en lo conducente, a la  peticionaria  el</w:t>
        <w:br/>
        <w:t>28 de los mismos mes y año.</w:t>
        <w:br/>
        <w:br/>
        <w:t>5.    El 9 de julio de 1997 el  Estado  presentó  “información  consolidada”</w:t>
        <w:br/>
        <w:t>sobre este caso, la cual, a criterio de la Comisión, contenía “una  síntesis</w:t>
        <w:br/>
        <w:t>de las posiciones que se habían acompañado en comunicaciones anteriores”.</w:t>
        <w:br/>
        <w:br/>
        <w:t>6.    El 12 de septiembre de 1997 la Comisión se puso a disposición  de  las</w:t>
        <w:br/>
        <w:t>partes para procurar una solución amistosa y les  solicitó  que  dieran  una</w:t>
        <w:br/>
        <w:t>respuesta sobre este ofrecimiento dentro de un plazo de 15 días.  El  Estado</w:t>
        <w:br/>
        <w:t>no dio respuesta a dicho ofrecimiento.</w:t>
        <w:br/>
        <w:t>7.    El 16 de octubre de 1997, durante su  97o.  Período  de  Sesiones,  la</w:t>
        <w:br/>
        <w:t>Comisión aprobó el Informe número 45/97, el cual fue transmitido  al  Estado</w:t>
        <w:br/>
        <w:t>el 30 de los mismos mes y año.  En dicho Informe, la  Comisión  planteó  las</w:t>
        <w:br/>
        <w:t>siguientes conclusiones:</w:t>
        <w:br/>
        <w:br/>
        <w:t xml:space="preserve">      1.    El Estado peruano es responsable de la violación del  derecho  a</w:t>
        <w:br/>
        <w:t xml:space="preserve">      la libertad personal del Sr. Gustavo Adolfo  Cesti  Hurtado  quien  se</w:t>
        <w:br/>
        <w:t xml:space="preserve">      encuentra detenido en la prisión militar del cuartel Simón Bolívar  de</w:t>
        <w:br/>
        <w:t xml:space="preserve">      Lima, derecho que se encuentra protegido por el artículo 7 inciso 1 de</w:t>
        <w:br/>
        <w:t xml:space="preserve">      la Convención Americana.</w:t>
        <w:br/>
        <w:br/>
        <w:br/>
        <w:t xml:space="preserve">      2.    El Estado peruano es responsable de la violación del derecho  al</w:t>
        <w:br/>
        <w:t xml:space="preserve">      debido proceso en contra del Sr.  Gustavo  Adolfo  Cesti  Hurtado,  al</w:t>
        <w:br/>
        <w:t xml:space="preserve">      haberlo sometido ante un Tribunal incompetente para  la  determinación</w:t>
        <w:br/>
        <w:t xml:space="preserve">      de sus derechos, y de la privación de su libertad  personal,  derechos</w:t>
        <w:br/>
        <w:t xml:space="preserve">      consagrados en los  artículos  8  inciso  1,  y  7  inciso  6,  de  la</w:t>
        <w:br/>
        <w:t xml:space="preserve">      Convención, respectivamente.</w:t>
        <w:br/>
        <w:br/>
        <w:br/>
        <w:t xml:space="preserve">      3.    El Estado peruano es responsable de la violación del derecho  al</w:t>
        <w:br/>
        <w:t xml:space="preserve">      honor y a la buena reputación del Sr. Gustavo Adolfo Cesti Hurtado, al</w:t>
        <w:br/>
        <w:t xml:space="preserve">      haberlo determinado como culpable de la comisión  de  un  delito  como</w:t>
        <w:br/>
        <w:t xml:space="preserve">      resultado de un proceso indebido, derecho que se encuentra  consagrado</w:t>
        <w:br/>
        <w:t xml:space="preserve">      por el artículo 11 de la Convención.</w:t>
        <w:br/>
        <w:br/>
        <w:br/>
        <w:t xml:space="preserve">      4.    El Estado peruano es responsable por la  falta  de  cumplimiento</w:t>
        <w:br/>
        <w:t xml:space="preserve">      del contenido de la sentencia de hábeas corpus que se emitió  a  favor</w:t>
        <w:br/>
        <w:t xml:space="preserve">      del Sr.  Gustavo  Adolfo  Cesti  Hurtado  en  instancia  definitiva  e</w:t>
        <w:br/>
        <w:t xml:space="preserve">      inapelable por la Sala  Especializada  de  Derecho  Público  de  Lima,</w:t>
        <w:br/>
        <w:t xml:space="preserve">      violando así el derecho del mencionado Sr. Cesti a que se ejecuten las</w:t>
        <w:br/>
        <w:t xml:space="preserve">      resoluciones a su favor como consecuencia de los recursos sencillos  y</w:t>
        <w:br/>
        <w:t xml:space="preserve">      rápidos a los que tiene derecho según lo consagrado  por  el  artículo</w:t>
        <w:br/>
        <w:t xml:space="preserve">      25.1 y 25.2.a y 25.2.c  de  la  Convención  Americana  sobre  Derechos</w:t>
        <w:br/>
        <w:t xml:space="preserve">      Humanos.</w:t>
        <w:br/>
        <w:br/>
        <w:br/>
        <w:t xml:space="preserve">      5.    El Estado peruano es responsable por la  violación  del  derecho</w:t>
        <w:br/>
        <w:t xml:space="preserve">      consagrado en el artículo 21 de la Convención, en  perjuicio  del  Sr.</w:t>
        <w:br/>
        <w:t xml:space="preserve">      Cesti Hurtado.</w:t>
        <w:br/>
        <w:br/>
        <w:br/>
        <w:t xml:space="preserve">      6.    El Estado peruano no ha permitido una cabal atención médica  del</w:t>
        <w:br/>
        <w:t xml:space="preserve">      Sr. Gustavo Adolfo Cesti Hurtado,  lo  cual  es  incompatible  con  el</w:t>
        <w:br/>
        <w:t xml:space="preserve">      artículo 5 de la Convención.</w:t>
        <w:br/>
        <w:br/>
        <w:br/>
        <w:t>y las siguientes recomendaciones al Estado:</w:t>
        <w:br/>
        <w:br/>
        <w:t xml:space="preserve">      1.    [Que ejecutara] de inmediato  la  resolución  de  hábeas  corpus</w:t>
        <w:br/>
        <w:t xml:space="preserve">      emitida por la Sala Especializada de Derecho Público de Lima de  fecha</w:t>
        <w:br/>
        <w:t xml:space="preserve">      12 de febrero de 1997, a favor del Sr. Gustavo Adolfo Cesti Hurtado  y</w:t>
        <w:br/>
        <w:t xml:space="preserve">      en consecuencia [dispusiera]  su  libertad,  [dejara]  sin  efecto  el</w:t>
        <w:br/>
        <w:t xml:space="preserve">      proceso que se le inició al señor Cesti ante el fuero  militar  y  las</w:t>
        <w:br/>
        <w:t xml:space="preserve">      conclusiones a las que en ese proceso se han arribado.</w:t>
        <w:br/>
        <w:br/>
        <w:br/>
        <w:t xml:space="preserve">      2.    [Que indemnizara] al Sr. Gustavo Adolfo Cesti  Hurtado  por  las</w:t>
        <w:br/>
        <w:t xml:space="preserve">      consecuencias  ocasionadas  por  la  detención  indebida,  el  proceso</w:t>
        <w:br/>
        <w:t xml:space="preserve">      irregular y el cuestionamiento a su honor al que fue sometido.</w:t>
        <w:br/>
        <w:br/>
        <w:br/>
        <w:t>La Comisión también decidió transmitir el informe citado al Estado  peruano,</w:t>
        <w:br/>
        <w:t>al  cual  otorgó  el  plazo  de  un  mes  para  dar   cumplimiento   a   las</w:t>
        <w:br/>
        <w:t>recomendaciones que se han citado.</w:t>
        <w:br/>
        <w:br/>
        <w:t>8.    El 25 de noviembre  de  1997  el  Estado  rechazó  el  Informe  de  la</w:t>
        <w:br/>
        <w:t>Comisión y solicitó que se archivara definitivamente el caso.</w:t>
        <w:br/>
        <w:br/>
        <w:t>9.    El 22 de diciembre de 1997 la Comisión decidió presentar el caso  ante</w:t>
        <w:br/>
        <w:t>la Corte.</w:t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t>10.   El 17 de julio de 1997, con  anterioridad  a  la  presentación  de  la</w:t>
        <w:br/>
        <w:t>demanda, la Comisión solicitó a  la  Corte  que,  como  medida  provisional,</w:t>
        <w:br/>
        <w:t>ordenara al Estado dar cumplimiento a la sentencia dictada en el proceso  de</w:t>
        <w:br/>
        <w:t>hábeas corpus por la Sala Especializada  de  Derecho  Público  de  la  Corte</w:t>
        <w:br/>
        <w:t>Superior de Justicia de Lima,  sin  perjuicio  de  que  las  investigaciones</w:t>
        <w:br/>
        <w:t>continuaran ante el órgano judicial competente para determinar  la  eventual</w:t>
        <w:br/>
        <w:t>responsabilidad penal del señor Cesti Hurtado.</w:t>
        <w:br/>
        <w:br/>
        <w:t>11.   El 29 de julio de 1997 el Presidente solicitó al Estado  que  adoptara</w:t>
        <w:br/>
        <w:t>“sin  dilación  cuantas  medidas  [fueran]  necesarias  para   asegurar   la</w:t>
        <w:br/>
        <w:t>integridad física, psíquica y moral del señor Gustavo Cesti Hurtado”.   Esta</w:t>
        <w:br/>
        <w:t>resolución fue ratificada por la Corte el 11 de septiembre del mismo año.</w:t>
        <w:br/>
        <w:br/>
        <w:t>12.   El 9 de enero de 1998 la Comisión solicitó a la Corte que ordenara  la</w:t>
        <w:br/>
        <w:t>libertad personal de la víctima y la liberación de su patrimonio.  El 21  de</w:t>
        <w:br/>
        <w:t>los mismos mes y año,  la  Corte  requirió  al  Estado  que  mantuviera  las</w:t>
        <w:br/>
        <w:t>medidas provisionales para asegurar la integridad personal del  señor  Cesti</w:t>
        <w:br/>
        <w:t>Hurtado.</w:t>
        <w:br/>
        <w:br/>
        <w:t>13.   El 9 de enero de 1998 la Comisión también presentó la demanda,  en  la</w:t>
        <w:br/>
        <w:t>cual invocó los artículos 51  de  la  Convención  Americana  sobre  Derechos</w:t>
        <w:br/>
        <w:t>Humanos (en adelante “la Convención” o “la Convención Americana”) y  26  del</w:t>
        <w:br/>
        <w:t>Reglamento.  La Comisión sometió este caso para que la  Corte  decidiera  si</w:t>
        <w:br/>
        <w:t>hubo violación de los siguientes artículos de la Convención: 5.1, 5.2 y  5.3</w:t>
        <w:br/>
        <w:t>(Derecho a la Integridad Personal); 7.1,  7.2,  7.3  y  7.6  (Derecho  a  la</w:t>
        <w:br/>
        <w:t>Libertad Personal); 8.1 y 8.2 (Garantías Judiciales); 11 (Protección  de  la</w:t>
        <w:br/>
        <w:t>Honra y de la Dignidad); 17 (Protección a la  Familia);  21  (Derecho  a  la</w:t>
        <w:br/>
        <w:t>Propiedad Privada), 25.1, 25.2.a y 25.2.c (Protección Judicial); y  51.2  de</w:t>
        <w:br/>
        <w:t>la Convención Americana, en relación con los artículos 1 y 2  de  la  misma.</w:t>
        <w:br/>
        <w:t>Asimismo, solicitó que la Corte  ordenara  al  Perú  que  sancionara  a  los</w:t>
        <w:br/>
        <w:t>responsables de las presuntas  violaciones  cometidas  en  perjuicio  de  la</w:t>
        <w:br/>
        <w:t>víctima, pusiera a esta última en libertad y anulara el proceso  seguido  en</w:t>
        <w:br/>
        <w:t>su contra ante el fuero  militar.   La  Comisión  también  solicitó  que  el</w:t>
        <w:br/>
        <w:t>Estado</w:t>
        <w:br/>
        <w:br/>
        <w:t xml:space="preserve">      repare y pague una indemnización a la víctima por  el  tiempo  que  ha</w:t>
        <w:br/>
        <w:t xml:space="preserve">      estado detenido indebidamente y por el daño al honor personal  que  se</w:t>
        <w:br/>
        <w:t xml:space="preserve">      le la inferido al tratársele como  reo,  a  la  inmovilización  de  su</w:t>
        <w:br/>
        <w:t xml:space="preserve">      patrimonio, a las remuneraciones  dejadas  de  percibir  al  no  poder</w:t>
        <w:br/>
        <w:t xml:space="preserve">      ejercer  su  derecho  a  trabajar  mientras  permanezca   injustamente</w:t>
        <w:br/>
        <w:t xml:space="preserve">      detenido y a la angustia generada  al  obligársele  a  un  tratamiento</w:t>
        <w:br/>
        <w:t xml:space="preserve">      médico que no es de su elección.</w:t>
        <w:br/>
        <w:br/>
        <w:t>Finalmente, la Comisión solicitó que se condene al Estado  peruano  al  pago</w:t>
        <w:br/>
        <w:t>de las costas de este proceso.</w:t>
        <w:br/>
        <w:br/>
        <w:t>14.   La Comisión designó como su delegado al señor  Oscar  Luján  Fappiano;</w:t>
        <w:br/>
        <w:t>como sus asesores al señor Jorge E.  Taiana  y  a  la  señora  Christina  M.</w:t>
        <w:br/>
        <w:t>Cerna, y como su asistente al señor Alberto Borea Odría.</w:t>
        <w:br/>
        <w:br/>
        <w:t>15.   El 22 de enero de 1998 la Secretaría de  la  Corte  (en  adelante  “la</w:t>
        <w:br/>
        <w:t>Secretaría”), previo examen  preliminar  de  la  demanda  realizado  por  su</w:t>
        <w:br/>
        <w:t>Presidente (en adelante “el Presidente”), la notificó  al  Estado,  al  cual</w:t>
        <w:br/>
        <w:t>informó sobre los plazos para contestarla, oponer  excepciones  preliminares</w:t>
        <w:br/>
        <w:t>y nombrar su representación.  Asimismo, se invitó al Estado a designar  Juez</w:t>
        <w:br/>
        <w:t>ad hoc.</w:t>
        <w:br/>
        <w:br/>
        <w:t>16.   El 20 de febrero de 1998 el Perú designó al señor David Pezúa  Vivanco</w:t>
        <w:br/>
        <w:t>como Juez ad hoc.</w:t>
        <w:br/>
        <w:br/>
        <w:t>17.   El 20 de marzo de 1998 el Estado designó al señor  Jorge  Hawie  Soret</w:t>
        <w:br/>
        <w:t>como agente.</w:t>
        <w:br/>
        <w:br/>
        <w:t>18.    El  mismo  día,  el  Estado  interpuso  las  siguientes   excepciones</w:t>
        <w:br/>
        <w:t>preliminares (en mayúsculas en el original):</w:t>
        <w:br/>
        <w:br/>
        <w:t xml:space="preserve">      (1)   falta de agotamiento de la jurisdicción interna al  momento  que</w:t>
        <w:br/>
        <w:t xml:space="preserve">           la  [Comisión]  admitió  a  trámite  la  petición  del  supuesto</w:t>
        <w:br/>
        <w:t xml:space="preserve">           agraviado; y de acción legal inidónea [;]</w:t>
        <w:br/>
        <w:t xml:space="preserve">      (2)   de incompetencia y jurisdicción[;]</w:t>
        <w:br/>
        <w:t xml:space="preserve">      (3)   de cosa juzgada[; y]</w:t>
        <w:br/>
        <w:t xml:space="preserve">      (4)   falta de reclamación previa ante la Comisión [;]</w:t>
        <w:br/>
        <w:br/>
        <w:br/>
        <w:t>y solicitó que la Corte dispusiera el archivo de la demanda.</w:t>
        <w:br/>
        <w:br/>
        <w:t>19.   El 20 de abril de 1998 la Comisión presentó sus observaciones, en  las</w:t>
        <w:br/>
        <w:t>cuales  solicitó  que  la  Corte  rechazara  “en  todas  sus   partes”   las</w:t>
        <w:br/>
        <w:t>excepciones preliminares interpuestas.</w:t>
        <w:br/>
        <w:br/>
        <w:t>20.   El 22 de mayo de  1998  el  Estado  presentó  la  contestación  de  la</w:t>
        <w:br/>
        <w:t>demanda.</w:t>
        <w:br/>
        <w:br/>
        <w:t>21.   El 14 de septiembre de 1998 el Presidente convocó al  Estado  y  a  la</w:t>
        <w:br/>
        <w:t>Comisión a una audiencia pública, que se celebraría el 24  de  noviembre  de</w:t>
        <w:br/>
        <w:t>1998 en la sede de la Corte, para conocer sus  puntos  de  vista  sobre  las</w:t>
        <w:br/>
        <w:t>excepciones  preliminares  interpuestas  por  el  primero.    Asimismo,   el</w:t>
        <w:br/>
        <w:t>Presidente citó a dicha audiencia a los señores Valentín  Paniagua  Corazao,</w:t>
        <w:br/>
        <w:t>Julio B. Maier y Néstor Sagües, peritos ofrecidos por la Comisión, para  que</w:t>
        <w:br/>
        <w:t>rindieran sus dictámenes en el curso de la audiencia mencionada.</w:t>
        <w:br/>
        <w:br/>
        <w:t>22.   El 21 de octubre  de  1998  la   Comisión  solicitó  a  la  Corte  que</w:t>
        <w:br/>
        <w:t>aceptase la sustitución del perito Julio B. Maier por el señor  Samuel  Abad</w:t>
        <w:br/>
        <w:t>Yupanqui, en razón del nombramiento del primero como magistrado de la  Corte</w:t>
        <w:br/>
        <w:t>de Apelaciones de la Ciudad Autónoma de Buenos Aires.  El 23 de  los  mismos</w:t>
        <w:br/>
        <w:t>mes y año, el Presidente designó al señor Abad Yupanqui  como  perito  y  le</w:t>
        <w:br/>
        <w:t>citó a la audiencia pública sobre excepciones preliminares.</w:t>
        <w:br/>
        <w:br/>
        <w:t>23.   El 20 de noviembre de 1998 el señor Pezúa Vivanco informó a  la  Corte</w:t>
        <w:br/>
        <w:t>que le resultaba “materialmente imposible” viajar a su sede durante su  XLII</w:t>
        <w:br/>
        <w:t>Período de Sesiones, con el objeto de rendir juramento ante el Presidente  y</w:t>
        <w:br/>
        <w:t>concurrir  al  Tribunal  durante  la  audiencia  pública  sobre  excepciones</w:t>
        <w:br/>
        <w:t>preliminares.</w:t>
        <w:br/>
        <w:br/>
        <w:t>24.   La audiencia pública sobre excepciones preliminares fue  celebrada  en</w:t>
        <w:br/>
        <w:t>la sede de la Corte el 24 de noviembre de 1998.</w:t>
        <w:br/>
        <w:br/>
        <w:t>Comparecieron</w:t>
        <w:br/>
        <w:br/>
        <w:t>por la República del Perú:</w:t>
        <w:br/>
        <w:br/>
        <w:t xml:space="preserve">      Jorge Hawie Soret, agente;</w:t>
        <w:br/>
        <w:t xml:space="preserve">      Sergio Tapia Tapia, asesor;</w:t>
        <w:br/>
        <w:t xml:space="preserve">      Alberto Cortez, asesor;</w:t>
        <w:br/>
        <w:t xml:space="preserve">      Walter Palomino Cabezas, asesor; y</w:t>
        <w:br/>
        <w:t xml:space="preserve">      Mario Cavagnaro Basile, asesor;</w:t>
        <w:br/>
        <w:br/>
        <w:t>por la Comisión Interamericana de Derechos Humanos:</w:t>
        <w:br/>
        <w:br/>
        <w:t xml:space="preserve">      Oscar Luján Fappiano, delegado;</w:t>
        <w:br/>
        <w:t xml:space="preserve">      Verónica Gómez, asistente; y</w:t>
        <w:br/>
        <w:t xml:space="preserve">      Alberto Borea, asistente;</w:t>
        <w:br/>
        <w:br/>
        <w:t>peritos propuestos por la Comisión Interamericana:</w:t>
        <w:br/>
        <w:br/>
        <w:t xml:space="preserve">      Samuel Abad Yupanqui; y</w:t>
        <w:br/>
        <w:t xml:space="preserve">      Valentín Paniagua Corazao.</w:t>
        <w:br/>
        <w:br/>
        <w:t>Los peritos mencionados rindieron  sus  informes,  que  serán  oportunamente</w:t>
        <w:br/>
        <w:t>agregados al acervo probatorio del presente caso.   Por  su  parte,  pese  a</w:t>
        <w:br/>
        <w:t>haber sido debidamente convocado, el señor Néstor Sagües,  perito  propuesto</w:t>
        <w:br/>
        <w:t>por la Comisión, no compareció ante la Corte.</w:t>
        <w:br/>
        <w:br/>
        <w:t>25.   El 10 de diciembre de 1998 el señor Pezúa Vivanco presentó a la  Corte</w:t>
        <w:br/>
        <w:t>su renuncia al nombramiento como Juez  ad  hoc  en  el  presente  caso,  por</w:t>
        <w:br/>
        <w:t>razones de incompatibilidad con su  cargo  de  Secretario  Ejecutivo  de  la</w:t>
        <w:br/>
        <w:t>Comisión Ejecutiva del Poder Judicial del Perú.</w:t>
        <w:br/>
        <w:br/>
        <w:t>26.   El 19 de enero de 1999 la Corte dictó una resolución mediante la  cual</w:t>
        <w:br/>
        <w:t>dispuso</w:t>
        <w:br/>
        <w:br/>
        <w:t xml:space="preserve">      1.    Tomar conocimiento de la renuncia del señor David Pezúa  Vivanco</w:t>
        <w:br/>
        <w:t xml:space="preserve">      a la designación como Juez ad hoc en el presente caso.</w:t>
        <w:br/>
        <w:br/>
        <w:br/>
        <w:t xml:space="preserve">      2.    Continuar con  el  conocimiento  del  caso  con  su  composición</w:t>
        <w:br/>
        <w:t xml:space="preserve">      actual.</w:t>
        <w:br/>
        <w:br/>
        <w:br/>
        <w:t xml:space="preserve">                                      V</w:t>
        <w:br/>
        <w:t xml:space="preserve">                                 Competencia</w:t>
        <w:br/>
        <w:br/>
        <w:t>27.   El Perú es Estado Parte en la Convención  Americana  desde  el  28  de</w:t>
        <w:br/>
        <w:t>julio de 1978 y aceptó la competencia contenciosa  de  la  Corte  el  21  de</w:t>
        <w:br/>
        <w:t>enero de 1981.  Por lo tanto, la Corte es competente, en  los  términos  del</w:t>
        <w:br/>
        <w:t>artículo 62.3 de la Convención, para conocer  las  excepciones  preliminares</w:t>
        <w:br/>
        <w:t>interpuestas en el presente caso.</w:t>
        <w:br/>
        <w:br/>
        <w:br/>
        <w:br/>
        <w:t xml:space="preserve">                                     VI</w:t>
        <w:br/>
        <w:br/>
        <w:t xml:space="preserve">                        Consideraciones Preliminares</w:t>
        <w:br/>
        <w:br/>
        <w:t>28.   Es necesario dilucidar en  este  momento  un  asunto  relacionado,  en</w:t>
        <w:br/>
        <w:t>forma  genérica,  con  las  observaciones  de  la  Comisión  al  escrito  de</w:t>
        <w:br/>
        <w:t>excepciones preliminares presentado por el Estado.   La  Comisión  manifestó</w:t>
        <w:br/>
        <w:t>en las observaciones citadas que</w:t>
        <w:br/>
        <w:br/>
        <w:t xml:space="preserve">      no es la primera ocasión que el  Ilustrado  Gobierno  del  Perú  opone</w:t>
        <w:br/>
        <w:t xml:space="preserve">      [las] excepciones [que se han interpuesto en  este  caso]  porque,  en</w:t>
        <w:br/>
        <w:t xml:space="preserve">      efecto, cuestiones de similar tenor a las que ahora respondo han  sido</w:t>
        <w:br/>
        <w:t xml:space="preserve">      propuestas ya en el caso Castillo Petruzzi y otros.  Es por ello  que,</w:t>
        <w:br/>
        <w:t xml:space="preserve">      en homenaje a la brevedad, me  remito,  en  lo  pertinente,  a  cuanto</w:t>
        <w:br/>
        <w:t xml:space="preserve">      expuso la Comisión en tal caso en su escrito  de  respuesta  como  así</w:t>
        <w:br/>
        <w:t xml:space="preserve">      también  a  las  correspondientes  consideraciones  que  la   Comisión</w:t>
        <w:br/>
        <w:t xml:space="preserve">      consignó en la demanda presentada en este caso Cesti Hurtado, las  que</w:t>
        <w:br/>
        <w:t xml:space="preserve">      solicito se tengan reproducidas en esta respuesta.</w:t>
        <w:br/>
        <w:br/>
        <w:t>29.   La petición de la Comisión en el sentido de  que  la  Corte  considere</w:t>
        <w:br/>
        <w:t>“en lo pertinente”  argumentos  que  fueron  planteados  en  otro  caso,  no</w:t>
        <w:br/>
        <w:t>contribuye  a  la  marcha  del  proceso.   Cuando   la   Comisión   presenta</w:t>
        <w:br/>
        <w:t>observaciones  sobre  las  excepciones  preliminares  interpuestas  por   el</w:t>
        <w:br/>
        <w:t>Estado, debe relacionarlas con  las  circunstancias  particulares  del  caso</w:t>
        <w:br/>
        <w:t>respectivo.  Por lo tanto, para los efectos de esta sentencia, la  Corte  ha</w:t>
        <w:br/>
        <w:t>examinado las observaciones hechas por  la  Comisión  en  relación  con  las</w:t>
        <w:br/>
        <w:t>excepciones presentadas por el Estado en el marco de este proceso  y  en  la</w:t>
        <w:br/>
        <w:t>presente etapa, sin remitirse a las planteadas en  el  desarrollo  de  otros</w:t>
        <w:br/>
        <w:t>casos.</w:t>
        <w:br/>
        <w:br/>
        <w:br/>
        <w:br/>
        <w:t xml:space="preserve">                                     VII</w:t>
        <w:br/>
        <w:br/>
        <w:br/>
        <w:t xml:space="preserve">                             Primera excepción:</w:t>
        <w:br/>
        <w:br/>
        <w:br/>
        <w:br/>
        <w:t xml:space="preserve">                    Agotamiento de los recursos internos</w:t>
        <w:br/>
        <w:br/>
        <w:br/>
        <w:t>30.   La primera excepción  interpuesta  por  el  Estado  se  refiere  a  la</w:t>
        <w:br/>
        <w:t>supuesta falta de agotamiento de la jurisdicción interna al momento  en  que</w:t>
        <w:br/>
        <w:t>la Comisión admitió a trámite la petición a favor del supuesto agraviado,  y</w:t>
        <w:br/>
        <w:t>de acción legal inidónea.</w:t>
        <w:br/>
        <w:br/>
        <w:t>31.   Para fundamentar dicha excepción, el Estado presentó un resumen de  su</w:t>
        <w:br/>
        <w:t>interpretación sobre los hechos del caso y, además, los  argumentos  que  la</w:t>
        <w:br/>
        <w:t>Corte sintetiza a continuación:</w:t>
        <w:br/>
        <w:br/>
        <w:br/>
        <w:t xml:space="preserve">      a)    que cuando la Comisión recibió y admitió la denuncia interpuesta</w:t>
        <w:br/>
        <w:t xml:space="preserve">      por la señora Carmen Judith Cardó Guarderas de Cesti el 4 de marzo  de</w:t>
        <w:br/>
        <w:t xml:space="preserve">      1997, no se había agotado aún la jurisdicción interna, porque el punto</w:t>
        <w:br/>
        <w:t xml:space="preserve">      central en discusión, que es el de la competencia del  fuero  militar,</w:t>
        <w:br/>
        <w:t xml:space="preserve">      no puede dirimirse a través de una acción de  hábeas  corpus,  ni  por</w:t>
        <w:br/>
        <w:t xml:space="preserve">      parte de la Corte Superior de Lima, sino mediante la aplicación de los</w:t>
        <w:br/>
        <w:t xml:space="preserve">      procedimientos previstos en el Código de Justicia  Militar  y  la  Ley</w:t>
        <w:br/>
        <w:t xml:space="preserve">      Orgánica del Poder Judicial, y  por  parte  de  la  Corte  Suprema  de</w:t>
        <w:br/>
        <w:t xml:space="preserve">      Justicia;</w:t>
        <w:br/>
        <w:br/>
        <w:br/>
        <w:t xml:space="preserve">      b)    que no existía prisión arbitraria contra el señor Cesti Hurtado,</w:t>
        <w:br/>
        <w:t xml:space="preserve">      pues la orden de detención reunía los  requisitos  de  una  resolución</w:t>
        <w:br/>
        <w:t xml:space="preserve">      judicial emanada de un procedimiento regular,  resolución  consistente</w:t>
        <w:br/>
        <w:t xml:space="preserve">      en  mandamiento  escrito  y  motivado   emitido   por   un   organismo</w:t>
        <w:br/>
        <w:t xml:space="preserve">      jurisdiccional, constitucionalmente autónomo y exclusivo; y</w:t>
        <w:br/>
        <w:br/>
        <w:br/>
        <w:t xml:space="preserve">      c)    que el 2 de mayo de 1997, dos meses después de la  interposición</w:t>
        <w:br/>
        <w:t xml:space="preserve">      de la petición originaria ante la Comisión, el fuero privativo militar</w:t>
        <w:br/>
        <w:t xml:space="preserve">      condenó al señor Cesti Hurtado a cuatro  años  de  pena  privativa  de</w:t>
        <w:br/>
        <w:t xml:space="preserve">      libertad, lo cual, en opinión del Estado, demuestra que  los  recursos</w:t>
        <w:br/>
        <w:t xml:space="preserve">      internos no se habían agotado cuando la denuncia fue interpuesta  ante</w:t>
        <w:br/>
        <w:t xml:space="preserve">      la Comisión.</w:t>
        <w:br/>
        <w:br/>
        <w:br/>
        <w:t>32.   La Corte sintetiza a continuación los argumentos de la Comisión  sobre</w:t>
        <w:br/>
        <w:t>la primera excepción interpuesta por el Estado:</w:t>
        <w:br/>
        <w:br/>
        <w:t xml:space="preserve">      a)    que, en su escrito de demanda, se había referido  a  este  tema,</w:t>
        <w:br/>
        <w:t xml:space="preserve">      por lo que remitió, “entre otros”, a los párrafos 56, 57, 65 a 70,  75</w:t>
        <w:br/>
        <w:t xml:space="preserve">      y 78 del mismo;</w:t>
        <w:br/>
        <w:t xml:space="preserve">      b)    que la acción de hábeas corpus procede por mandato de ley en  el</w:t>
        <w:br/>
        <w:t xml:space="preserve">      supuesto de “falta o ausencia  de  [...]  debido  proceso”;  que  este</w:t>
        <w:br/>
        <w:t xml:space="preserve">      último concepto comprende la competencia del juzgador y  que,  por  lo</w:t>
        <w:br/>
        <w:t xml:space="preserve">      tanto, la acción de hábeas corpus era el recurso idóneo en el caso del</w:t>
        <w:br/>
        <w:t xml:space="preserve">      señor Cesti;</w:t>
        <w:br/>
        <w:br/>
        <w:br/>
        <w:t xml:space="preserve">      c)    que la Convención Americana “queda violada con la sola promoción</w:t>
        <w:br/>
        <w:t xml:space="preserve">      del proceso ante un juez o tribunal incompetente”;</w:t>
        <w:br/>
        <w:br/>
        <w:br/>
        <w:t xml:space="preserve">      d)    que la emisión de una  orden  de  detención  por  parte  de  una</w:t>
        <w:br/>
        <w:t xml:space="preserve">      autoridad o funcionario que no es competente es un hecho  que  amenaza</w:t>
        <w:br/>
        <w:t xml:space="preserve">      la libertad, situación que, de acuerdo con  la  Constitución  peruana,</w:t>
        <w:br/>
        <w:t xml:space="preserve">      puede impugnarse a través del recurso de hábeas corpus; y</w:t>
        <w:br/>
        <w:br/>
        <w:br/>
        <w:t xml:space="preserve">      e)    que “la Convención queda violada por la amenaza  que  se  cierne</w:t>
        <w:br/>
        <w:t xml:space="preserve">      sobre la libertad de una persona, de la que se deducen luego los demás</w:t>
        <w:br/>
        <w:t xml:space="preserve">      derechos  conexos,  según  lo  establece  el  artículo   200   de   la</w:t>
        <w:br/>
        <w:t xml:space="preserve">      Constitución peruana”.</w:t>
        <w:br/>
        <w:br/>
        <w:t xml:space="preserve"> 33.  El artículo 46.1.a  de  la  Convención  establece  que  para  que  una</w:t>
        <w:br/>
        <w:t xml:space="preserve"> petición o comunicación presentada a la Comisión Interamericana de  acuerdo</w:t>
        <w:br/>
        <w:t xml:space="preserve"> con los artículos 44 ó 45 de la Convención resulte admisible, es  necesario</w:t>
        <w:br/>
        <w:t xml:space="preserve"> que se hayan interpuesto y agotado los recursos de la jurisdicción interna,</w:t>
        <w:br/>
        <w:t xml:space="preserve"> según los principios del derecho  internacional  generalmente  reconocidos.</w:t>
        <w:br/>
        <w:t xml:space="preserve"> El tema del agotamiento fue planteado ante la Comisión, y ésta  estimó,  en</w:t>
        <w:br/>
        <w:t xml:space="preserve"> su Informe No. 45/97 de 16 de octubre de 1997, que los recursos internos se</w:t>
        <w:br/>
        <w:t xml:space="preserve"> habían agotado con la decisión sobre la acción de hábeas corpus  en  última</w:t>
        <w:br/>
        <w:t xml:space="preserve"> instancia.  Lo que la Corte debe resolver ahora es si el encarcelamiento  y</w:t>
        <w:br/>
        <w:t xml:space="preserve"> multa impuestos al  señor Cesti  Hurtado  fueron  resultado  de  un  debido</w:t>
        <w:br/>
        <w:t xml:space="preserve"> proceso legal. Esta es una cuestión esencialmente sustantiva, mientras  que</w:t>
        <w:br/>
        <w:t xml:space="preserve"> la objeción del no agotamiento de los recursos internos, a su  vez,  es  de</w:t>
        <w:br/>
        <w:t xml:space="preserve"> carácter procesal y de pura admisibilidad.  Como los argumentos del  Estado</w:t>
        <w:br/>
        <w:t xml:space="preserve"> se refieren al fondo, la Corte los considerará en el examen del  fondo  del</w:t>
        <w:br/>
        <w:t xml:space="preserve"> caso.  Por lo tanto, la Corte rechaza la primera excepción  preliminar  por</w:t>
        <w:br/>
        <w:t xml:space="preserve"> improcedente.</w:t>
        <w:br/>
        <w:br/>
        <w:br/>
        <w:br/>
        <w:t xml:space="preserve">                                    VIII</w:t>
        <w:br/>
        <w:br/>
        <w:t xml:space="preserve">                       Segunda y tercera excepciones:</w:t>
        <w:br/>
        <w:br/>
        <w:br/>
        <w:t xml:space="preserve">                INCOMPETENCIA Y JURISDICCIÓN, Y COSA JUZGADA</w:t>
        <w:br/>
        <w:br/>
        <w:br/>
        <w:t>34.   La segunda excepción  interpuesta  por  el  Estado  se  refiere  a  la</w:t>
        <w:br/>
        <w:t>jurisdicción y competencia.</w:t>
        <w:br/>
        <w:br/>
        <w:t>35.   Al respecto, el Estado alegó:</w:t>
        <w:br/>
        <w:br/>
        <w:t xml:space="preserve">      a)    que, a través de su demanda, la Comisión  “pretende  enervar  la</w:t>
        <w:br/>
        <w:t xml:space="preserve">      institución de la cosa juzgada” al solicitar que se declare la nulidad</w:t>
        <w:br/>
        <w:t xml:space="preserve">      del proceso ante el Fuero Privativo Militar que condenó al señor Cesti</w:t>
        <w:br/>
        <w:t xml:space="preserve">      Hurtado por el delito de fraude en agravio del Estado;</w:t>
        <w:br/>
        <w:br/>
        <w:br/>
        <w:t xml:space="preserve">      b)    que, de acuerdo con lo dispuesto en los artículos 138 y 139.1 de</w:t>
        <w:br/>
        <w:t xml:space="preserve">      la Constitución Política del Perú, la potestad de administrar justicia</w:t>
        <w:br/>
        <w:t xml:space="preserve">      es una atribución privativa del Estado que emana del pueblo;</w:t>
        <w:br/>
        <w:br/>
        <w:br/>
        <w:t xml:space="preserve">      c)    que si la Corte aceptase lo propuesto en la  demanda,  enervaría</w:t>
        <w:br/>
        <w:t xml:space="preserve">      el orden jurídico del Estado peruano y “desestabilizaría instituciones</w:t>
        <w:br/>
        <w:t xml:space="preserve">      constitucionalmente vigentes como el  Fuero  Privativo  Militar  y  el</w:t>
        <w:br/>
        <w:t xml:space="preserve">      Fuero Común cuyas diferencias se resuelven conforme  a  procedimientos</w:t>
        <w:br/>
        <w:t xml:space="preserve">      previstos en la Ley peruana”; y que estaría transgrediendo la Carta de</w:t>
        <w:br/>
        <w:t xml:space="preserve">      la   Organización   de   los   Estados   Americanos   al   comprometer</w:t>
        <w:br/>
        <w:t xml:space="preserve">      indirectamente a otros Estados de los cuales proceden sus miembros  en</w:t>
        <w:br/>
        <w:t xml:space="preserve">      asuntos peruanos;</w:t>
        <w:br/>
        <w:br/>
        <w:br/>
        <w:t xml:space="preserve">      d)    que un organismo integrado por personas  ajenas  a  la  sociedad</w:t>
        <w:br/>
        <w:t xml:space="preserve">      peruana no puede cuestionar su orden jurídico, reestructurado a partir</w:t>
        <w:br/>
        <w:t xml:space="preserve">      de 1992; y</w:t>
        <w:br/>
        <w:br/>
        <w:br/>
        <w:t xml:space="preserve">      e)    que en la redacción de su informe  en  este  caso,  la  Comisión</w:t>
        <w:br/>
        <w:t xml:space="preserve">      infringió conceptos jurídicos elementales que garantizan la  soberanía</w:t>
        <w:br/>
        <w:t xml:space="preserve">      de los Estados y, particularmente, la potestad sancionatoria.</w:t>
        <w:br/>
        <w:br/>
        <w:br/>
        <w:t>Por último, el Estado realizó algunas  consideraciones  con  respecto  a  la</w:t>
        <w:br/>
        <w:t>filiación política de los defensores del señor  Cesti  Hurtado  y  manifestó</w:t>
        <w:br/>
        <w:t>que  la  oposición  radical   de   éstos   “al   gobierno   del   Presidente</w:t>
        <w:br/>
        <w:t>Constitucional de la República es absolutamente conocida”.</w:t>
        <w:br/>
        <w:br/>
        <w:t>36.   Por su parte, la Comisión argumentó:</w:t>
        <w:br/>
        <w:br/>
        <w:t xml:space="preserve">     a)    que esta excepción es una “reedición” de las opuestas como sexta</w:t>
        <w:br/>
        <w:t xml:space="preserve">     y décima en el caso Castillo Petruzzi y otros, por lo que se remitió a</w:t>
        <w:br/>
        <w:t xml:space="preserve">     las consideraciones dadas por ella en dicho caso, “en  lo  pertinente”</w:t>
        <w:br/>
        <w:t xml:space="preserve">     (supra 29);</w:t>
        <w:br/>
        <w:br/>
        <w:br/>
        <w:t xml:space="preserve">     b)    que la excepción de cosa juzgada es contradictoria con la de  no</w:t>
        <w:br/>
        <w:t xml:space="preserve">     agotamiento de los recursos internos;</w:t>
        <w:br/>
        <w:br/>
        <w:br/>
        <w:t xml:space="preserve">     c)    que la única sentencia que tiene carácter  de  cosa  juzgada  en</w:t>
        <w:br/>
        <w:t xml:space="preserve">     este caso es la emitida en el proceso de hábeas corpus incoado por  el</w:t>
        <w:br/>
        <w:t xml:space="preserve">     señor Cesti Hurtado; y</w:t>
        <w:br/>
        <w:br/>
        <w:br/>
        <w:t xml:space="preserve">      d)    que la exigencia del requisito  de  previo  agotamiento  de  los</w:t>
        <w:br/>
        <w:t xml:space="preserve">      recursos internos en la Convención  Americana,  demuestra  que  no  se</w:t>
        <w:br/>
        <w:t xml:space="preserve">      puede alegar la excepción de cosa juzgada en el proceso ante la Corte.</w:t>
        <w:br/>
        <w:t xml:space="preserve">        Que  además,  de  conformidad  con  los   principios   del   derecho</w:t>
        <w:br/>
        <w:t xml:space="preserve">      internacional,  “las  sentencias  judiciales  pueden  ser   causa   de</w:t>
        <w:br/>
        <w:t xml:space="preserve">      responsabilidad internacional del Estado y, por ende, ‘objeto’  de  un</w:t>
        <w:br/>
        <w:t xml:space="preserve">      proceso judicial internacional”.</w:t>
        <w:br/>
        <w:br/>
        <w:br/>
        <w:t>Con respecto a los alegatos del Estado sobre la filiación  política  de  los</w:t>
        <w:br/>
        <w:t>defensores del  señor  Cesti  Hurtado,  la  Comisión  argumentó  que  dichas</w:t>
        <w:br/>
        <w:t>afirmaciones “constituyen una clara afectación al principio de igualdad,  no</w:t>
        <w:br/>
        <w:t>discriminación y libertad de  expresión”  y  “arroja[n]  luz  acerca  de  la</w:t>
        <w:br/>
        <w:t>verdadera causa de prisión del señor Cesti Hurtado”.</w:t>
        <w:br/>
        <w:br/>
        <w:t>37.   En lo que concierne a  los  alegatos  del  Estado  sobre  la  supuesta</w:t>
        <w:br/>
        <w:t>incompetencia de “un organismo constituido de personas ajenas a la  sociedad</w:t>
        <w:br/>
        <w:t>peruana [para] cuestionar [el] orden jurídico” de ese Estado (supra   35.d),</w:t>
        <w:br/>
        <w:t>la Corte se limitará a dejar constancia de  que  estas  expresiones  no  son</w:t>
        <w:br/>
        <w:t>congruentes con las obligaciones contraídas por el Estado de acuerdo con  la</w:t>
        <w:br/>
        <w:t>Convención.</w:t>
        <w:br/>
        <w:br/>
        <w:t>38.   La Corte  no  examinará  los  argumentos  referentes  a  la  filiación</w:t>
        <w:br/>
        <w:t>política de la representación del señor Cesti Hurtado.  La  presentación  de</w:t>
        <w:br/>
        <w:t>argumentos como los descritos ante este Tribunal es impertinente.</w:t>
        <w:br/>
        <w:br/>
        <w:t>39.   Los otros aspectos de la segunda excepción preliminar interpuesta  por</w:t>
        <w:br/>
        <w:t>el Estado están estrechamente vinculados con la excepción  preliminar  sobre</w:t>
        <w:br/>
        <w:t>la cosa juzgada (res judicata).  Por lo tanto, es conveniente que  la  Corte</w:t>
        <w:br/>
        <w:t>los considere cuando trate la tercera excepción preliminar (infra 46).</w:t>
        <w:br/>
        <w:br/>
        <w:t>40.   La tercera excepción  interpuesta  por  el  Estado  se  refiere  a  la</w:t>
        <w:br/>
        <w:t>autoridad de cosa juzgada de la cual goza, en su opinión, la  sentencia  que</w:t>
        <w:br/>
        <w:t>condena al señor Cesti Hurtado a la pena privativa de libertad.</w:t>
        <w:br/>
        <w:br/>
        <w:t>41.   Para fundamentar dicha excepción, el Estado presentó un resumen de  su</w:t>
        <w:br/>
        <w:t>interpretación de los hechos del presente caso  y,  además,  los  argumentos</w:t>
        <w:br/>
        <w:t>que la Corte resume a continuación:</w:t>
        <w:br/>
        <w:br/>
        <w:t xml:space="preserve">     a)    que la acción de hábeas corpus fue promovida contra  un  mandato</w:t>
        <w:br/>
        <w:t xml:space="preserve">     provisorio de detención dispuesto en un proceso  penal,  y  que  dicho</w:t>
        <w:br/>
        <w:t xml:space="preserve">     mandato solamente subsistió hasta el momento en que se dictó sentencia</w:t>
        <w:br/>
        <w:t xml:space="preserve">     condenatoria; y</w:t>
        <w:br/>
        <w:br/>
        <w:br/>
        <w:t xml:space="preserve">     b)    que la pena privativa de libertad a  que  ha  sido  sometido  el</w:t>
        <w:br/>
        <w:t xml:space="preserve">     señor Cesti Hurtado se deriva de una sentencia definitiva, emitida  en</w:t>
        <w:br/>
        <w:t xml:space="preserve">     última instancia por el fuero militar, que goza  de  la  autoridad  de</w:t>
        <w:br/>
        <w:t xml:space="preserve">     cosa juzgada y, por lo tanto, es “inamovible [e] irrevisable”.  Por lo</w:t>
        <w:br/>
        <w:t xml:space="preserve">     tanto, el Estado solicita que “se haga respetar dicho fallo”.</w:t>
        <w:br/>
        <w:t>42.   Por su parte, la Comisión argumentó:</w:t>
        <w:br/>
        <w:br/>
        <w:t xml:space="preserve">     a)    que si bien es cierto  que  el  proceso  de  hábeas  corpus  fue</w:t>
        <w:br/>
        <w:t xml:space="preserve">     interpuesto para cuestionar la legalidad de un  mandato  de  detención</w:t>
        <w:br/>
        <w:t xml:space="preserve">     que tenía carácter provisional, la prisión preventiva  es  una  medida</w:t>
        <w:br/>
        <w:t xml:space="preserve">     cautelar que debe ser dictada por juez competente;  que  la  sentencia</w:t>
        <w:br/>
        <w:t xml:space="preserve">     emitida en el proceso  de  hábeas  corpus  “está  fundada  en  que  el</w:t>
        <w:br/>
        <w:t xml:space="preserve">     tribunal militar no era el competente [para restringir la libertad del</w:t>
        <w:br/>
        <w:t xml:space="preserve">     señor Cesti] y,  en  consecuencia,  no  podía  válidamente  dictar  la</w:t>
        <w:br/>
        <w:t xml:space="preserve">     detención preventiva ni, mucho menos, juzgar en definitiva”;</w:t>
        <w:br/>
        <w:br/>
        <w:br/>
        <w:t xml:space="preserve">     b)    que, por lo tanto, la sentencia condenatoria pronunciada por  el</w:t>
        <w:br/>
        <w:t xml:space="preserve">     tribunal militar  sería  la  consecuencia  jurídica  de  la  falta  de</w:t>
        <w:br/>
        <w:t xml:space="preserve">     competencia señalada por el juez que resolvió  el  recurso  de  hábeas</w:t>
        <w:br/>
        <w:t xml:space="preserve">     corpus; y</w:t>
        <w:br/>
        <w:br/>
        <w:br/>
        <w:t xml:space="preserve">     c)    que no puede exigirse la interposición de una acción  de  hábeas</w:t>
        <w:br/>
        <w:t xml:space="preserve">     corpus por cada uno de los actos procesales emitidos en el  curso  del</w:t>
        <w:br/>
        <w:t xml:space="preserve">     proceso, “so pena de quedar saneados o compurgados los que no han sido</w:t>
        <w:br/>
        <w:t xml:space="preserve">     objeto de [dicha acción]”; y que tal tesis no puede considerarse  como</w:t>
        <w:br/>
        <w:t xml:space="preserve">     válida ya que “la nulidad de un acto procesal acarrea  la  nulidad  de</w:t>
        <w:br/>
        <w:t xml:space="preserve">     todos aquellos actos procesales consecutivos”.</w:t>
        <w:br/>
        <w:br/>
        <w:t>43.   La segunda excepción preliminar está basada en  un  error  fundamental</w:t>
        <w:br/>
        <w:t>sobre el papel de los órganos -la  Comisión  y  la  Corte-  creados  por  la</w:t>
        <w:br/>
        <w:t>Convención de la cual el Estado es Parte.  El artículo 33 de  la  Convención</w:t>
        <w:br/>
        <w:t>establece que</w:t>
        <w:br/>
        <w:br/>
        <w:t xml:space="preserve">      [s]on competentes para conocer de  los  asuntos  relacionados  con  el</w:t>
        <w:br/>
        <w:t xml:space="preserve">      cumplimiento de los compromisos contraídos por los Estados  partes  en</w:t>
        <w:br/>
        <w:t xml:space="preserve">      esta Convención:</w:t>
        <w:br/>
        <w:br/>
        <w:br/>
        <w:t xml:space="preserve">      A.    LA COMISIÓN INTERAMERICANA DE DERECHOS HUMANOS</w:t>
        <w:br/>
        <w:br/>
        <w:br/>
        <w:t xml:space="preserve">      [ … Y]</w:t>
        <w:br/>
        <w:br/>
        <w:br/>
        <w:t xml:space="preserve">      B.    LA CORTE INTERAMERICANA DE DERECHOS HUMANOS […].</w:t>
        <w:br/>
        <w:br/>
        <w:br/>
        <w:t>44.   El artículo 62.3 de la Convención dispone, en lo conducente, que</w:t>
        <w:br/>
        <w:br/>
        <w:t xml:space="preserve">      [l]a Corte tiene competencia para conocer de cualquier caso relativo a</w:t>
        <w:br/>
        <w:t xml:space="preserve">      la interpretación y aplicación de las disposiciones de esta Convención</w:t>
        <w:br/>
        <w:t xml:space="preserve">      que le sea sometido, siempre que los Estados partes en el  caso  hayan</w:t>
        <w:br/>
        <w:t xml:space="preserve">      reconocido  o  reconozcan  dicha  competencia,  ora  por   declaración</w:t>
        <w:br/>
        <w:t xml:space="preserve">      especial […], ora por convención especial.</w:t>
        <w:br/>
        <w:br/>
        <w:t>45.   EL ESTADO PRESENTÓ, EN LA  SEGUNDA  EXCEPCIÓN  PRELIMINAR,  ARGUMENTOS</w:t>
        <w:br/>
        <w:t>RELACIONADOS  CON  EL  “DEBILITAMIENTO”  O  LA  “DESESTABILIZACIÓN”  DE  LAS</w:t>
        <w:br/>
        <w:t>INSTITUCIONES NACIONALES (SUPRA 35.C).  EN  RELACIÓN  CON  OBSERVACIONES  DE</w:t>
        <w:br/>
        <w:t>ESTA NATURALEZA, LA CORTE YA HA DICHO QUE</w:t>
        <w:br/>
        <w:br/>
        <w:t xml:space="preserve">      […]EL PERÚ SUSCRIBIÓ Y RATIFICÓ LA CONVENCIÓN AMERICANA SOBRE DERECHOS</w:t>
        <w:br/>
        <w:t xml:space="preserve">      HUMANOS.  EN  CONSECUENCIA,  ACEPTÓ  LAS  OBLIGACIONES  CONVENCIONALES</w:t>
        <w:br/>
        <w:t xml:space="preserve">      CONSAGRADAS EN ÉSTA  EN  RELACIÓN  CON  TODAS  LAS  PERSONAS  BAJO  SU</w:t>
        <w:br/>
        <w:t xml:space="preserve">      JURISDICCIÓN, SIN DISCRIMINACIÓN ALGUNA.  NO SOBRA DECIR QUE EL  PERÚ,</w:t>
        <w:br/>
        <w:t xml:space="preserve">      AL IGUAL QUE LOS DEMÁS ESTADOS PARTE EN  LA  CONVENCIÓN,  ACEPTÓ  ÉSTA</w:t>
        <w:br/>
        <w:t xml:space="preserve">      PRECISAMENTE EN EL EJERCICIO DE SU SOBERANÍA.</w:t>
        <w:br/>
        <w:br/>
        <w:t xml:space="preserve">      […]  Al constituirse como Estado  Parte  de  la  Convención,  el  Perú</w:t>
        <w:br/>
        <w:t xml:space="preserve">      admitió la competencia de los órganos del  sistema  interamericano  de</w:t>
        <w:br/>
        <w:t xml:space="preserve">      protección de los derechos humanos, y por ende se obligó,  también  en</w:t>
        <w:br/>
        <w:t xml:space="preserve">      ejercicio de su soberanía, a participar en los procedimientos ante  la</w:t>
        <w:br/>
        <w:t xml:space="preserve">      Comisión y la Corte y asumir las obligaciones que derivan de éstos  y,</w:t>
        <w:br/>
        <w:t xml:space="preserve">      en general, de la aplicación de la Convención (Caso Castillo  Petruzzi</w:t>
        <w:br/>
        <w:t xml:space="preserve">      y otros, Excepciones Preliminares, Sentencia de  4  de  septiembre  de</w:t>
        <w:br/>
        <w:t xml:space="preserve">      1998.  Serie C No. 41, párrs. 101 y 102).</w:t>
        <w:br/>
        <w:br/>
        <w:t>46.   En las dos excepciones preliminares de que se ocupa la Corte  en  este</w:t>
        <w:br/>
        <w:t>momento, el Estado ha hecho referencia al principio  de  cosa  juzgada  (res</w:t>
        <w:br/>
        <w:t>judicata).  El Estado argumenta que la pena privativa de  libertad  impuesta</w:t>
        <w:br/>
        <w:t>al señor Cesti Hurtado “es en  mérito  de  una  sentencia  que  goza  de  la</w:t>
        <w:br/>
        <w:t>autoridad de cosa juzgada por cuanto ha sido revisada  en  última  instancia</w:t>
        <w:br/>
        <w:t>del fuero militar.   Dicha  sentencia  es  inamovible,  irrevisable”  (supra</w:t>
        <w:br/>
        <w:t>41.b).  De este alegato derivaría, como consecuencia necesaria,  que  no  es</w:t>
        <w:br/>
        <w:t>posible que la Corte  admita  y  tramite  la  demanda  que  la  Comisión  ha</w:t>
        <w:br/>
        <w:t>presentado en favor de la supuesta víctima.</w:t>
        <w:br/>
        <w:br/>
        <w:t>47.   La Corte  recuerda  que  el  Derecho  Internacional  de  los  Derechos</w:t>
        <w:br/>
        <w:t>Humanos tiene por fin proporcionar al individuo medios de protección de  los</w:t>
        <w:br/>
        <w:t>derechos  humanos  reconocidos  internacionalmente  frente  al  Estado  (sus</w:t>
        <w:br/>
        <w:t>órganos, sus agentes, y todos aquellos que actúan  en  su  nombre).   En  la</w:t>
        <w:br/>
        <w:t>jurisdicción internacional las partes y la materia de la  controversia  son,</w:t>
        <w:br/>
        <w:t>por definición,  distintas  de  las  de  la  jurisdicción  interna.   En  el</w:t>
        <w:br/>
        <w:t>presente caso, el aspecto sustancial de la controversia ante la Corte no  es</w:t>
        <w:br/>
        <w:t>si la supuesta víctima violó la Ley peruana (ya sea ésta la ordinaria  o  la</w:t>
        <w:br/>
        <w:t>militar), sino si el Perú ha violado las  obligaciones  internacionales  que</w:t>
        <w:br/>
        <w:t>contrajo al constituirse en Estado Parte en la Convención Americana.</w:t>
        <w:br/>
        <w:br/>
        <w:t>48.   Por estas razones, la Corte rechaza, in toto, por  improcedentes,  las</w:t>
        <w:br/>
        <w:t>segunda y tercera excepciones preliminares (supra 34 y 40) interpuestas  por</w:t>
        <w:br/>
        <w:t>el Estado.</w:t>
        <w:br/>
        <w:br/>
        <w:br/>
        <w:t xml:space="preserve">                                     IX</w:t>
        <w:br/>
        <w:t xml:space="preserve">                              Cuarta excepción:</w:t>
        <w:br/>
        <w:br/>
        <w:t xml:space="preserve">                         Falta de reclamación previa</w:t>
        <w:br/>
        <w:br/>
        <w:t>49.   La cuarta excepción interpuesta por el Estado se refiere  a  la  falta</w:t>
        <w:br/>
        <w:t>de  consideración,  en  las  conclusiones  del  Informe  45/97,  de  ciertas</w:t>
        <w:br/>
        <w:t>pretensiones incluidas en la demanda, y a que dichas pretensiones no  fueron</w:t>
        <w:br/>
        <w:t>objeto de las recomendaciones hechas al Estado peruano por  la  Comisión  en</w:t>
        <w:br/>
        <w:t>el Informe citado.</w:t>
        <w:br/>
        <w:br/>
        <w:t>50.   La Corte resume los  argumentos  del  Estado  para  fundamentar  dicha</w:t>
        <w:br/>
        <w:t>excepción de la siguiente manera:</w:t>
        <w:br/>
        <w:br/>
        <w:t xml:space="preserve">      a)    que la pretensión de la  Comisión  de  que  se  sancione  a  los</w:t>
        <w:br/>
        <w:t xml:space="preserve">      responsables de los actos que habrían sido perpetrados en contra de la</w:t>
        <w:br/>
        <w:t xml:space="preserve">      víctima no puede ser atendida por la Corte, ya que no fue  considerada</w:t>
        <w:br/>
        <w:t xml:space="preserve">      en las recomendaciones propuestas por la  Comisión  al  Estado  en  su</w:t>
        <w:br/>
        <w:t xml:space="preserve">      Informe; y</w:t>
        <w:br/>
        <w:br/>
        <w:br/>
        <w:t xml:space="preserve">      b)    que en el texto de la demanda,  la  Comisión  argumentó  que  el</w:t>
        <w:br/>
        <w:t xml:space="preserve">      Estado habría violado la Convención  de  Lucha  contra  la  Tortura  y</w:t>
        <w:br/>
        <w:t xml:space="preserve">      Tratos Crueles (sic), lo cual no ha sido materia de pronunciamiento en</w:t>
        <w:br/>
        <w:t xml:space="preserve">      las conclusiones de su Informe.</w:t>
        <w:br/>
        <w:br/>
        <w:t>51.    La  Corte  sintetiza  los  argumentos  de  la  Comisión  sobre  dicha</w:t>
        <w:br/>
        <w:t>excepción de la siguiente manera:</w:t>
        <w:br/>
        <w:br/>
        <w:br/>
        <w:t xml:space="preserve">      a)    que la excepción propuesta por el Estado es  una  “reedición  de</w:t>
        <w:br/>
        <w:t xml:space="preserve">      las tercera, cuarta y octava excepciones opuestas en el caso  Castillo</w:t>
        <w:br/>
        <w:t xml:space="preserve">      Petruzzi y otros”, por lo que se  remitió,  en  lo  pertinente,  a  la</w:t>
        <w:br/>
        <w:t xml:space="preserve">      respuesta dada en dicho caso (supra 29); y</w:t>
        <w:br/>
        <w:br/>
        <w:br/>
        <w:t xml:space="preserve">      b)    que “el deber de investigar y sancionar a  los  responsables  de</w:t>
        <w:br/>
        <w:t xml:space="preserve">      las violaciones de los derechos humanos consagrados en la  Convención,</w:t>
        <w:br/>
        <w:t xml:space="preserve">      emana de  la  obligación  genérica  de  garantizar  su  pleno  goce  y</w:t>
        <w:br/>
        <w:t xml:space="preserve">      ejercicio que su artículo 1.1. impone a los Estados Partes, por lo que</w:t>
        <w:br/>
        <w:t xml:space="preserve">      no precisa de ninguna solicitud particular, y que la inclusión  de  la</w:t>
        <w:br/>
        <w:t xml:space="preserve">      Convención contra la tortura  y  otros  tratos  crueles,  inhumanos  y</w:t>
        <w:br/>
        <w:t xml:space="preserve">      degradantes, se impone  como  una  lógica  consecuencia  de  no  haber</w:t>
        <w:br/>
        <w:t xml:space="preserve">      cumplido el  Estado  con  las  recomendaciones  que  le  formulara  la</w:t>
        <w:br/>
        <w:t xml:space="preserve">      Comisión en su informe”.</w:t>
        <w:br/>
        <w:br/>
        <w:t>52.   En su jurisprudencia constante, la Corte  ha  afirmado  el  deber  del</w:t>
        <w:br/>
        <w:t>Estado de prevenir,  investigar  y  sancionar  a  los  responsables  de  las</w:t>
        <w:br/>
        <w:t>violaciones de los derechos humanos consagrados en la Convención.   Por  tal</w:t>
        <w:br/>
        <w:t>razón, no es  indispensable  que  la  Comisión  incluya  en  su  informe  lo</w:t>
        <w:br/>
        <w:t>referente a la investigación y castigo de las  correspondientes  violaciones</w:t>
        <w:br/>
        <w:t>de los derechos humanos, para que pueda plantearlo en  la  demanda  ante  la</w:t>
        <w:br/>
        <w:t>Corte.  Más aún, esta última puede examinar esas cuestiones y decidir  sobre</w:t>
        <w:br/>
        <w:t>ellas en su sentencia, independientemente de si han sido propuestas o no  en</w:t>
        <w:br/>
        <w:t>la demanda de la Comisión.</w:t>
        <w:br/>
        <w:br/>
        <w:t xml:space="preserve">                                      *</w:t>
        <w:br/>
        <w:t xml:space="preserve">                                  *       *</w:t>
        <w:br/>
        <w:br/>
        <w:t>53.   El Estado alegó,  además,  que  la  “Convención  de  Lucha  contra  la</w:t>
        <w:br/>
        <w:t>Tortura y Tratos Crueles  (sic)”  no  fue  incluida  en  el  Informe  de  la</w:t>
        <w:br/>
        <w:t>Comisión.  Al respecto, esta  última  manifestó  que  “la  inclusión  de  la</w:t>
        <w:br/>
        <w:t>Convención  contra  la  tortura  y  otros  tratos   crueles,   inhumanos   y</w:t>
        <w:br/>
        <w:t>degradantes, se impone como una lógica consecuencia de no haber cumplido  el</w:t>
        <w:br/>
        <w:t>Estado con las recomendaciones que le formulara la Comisión en su informe”.</w:t>
        <w:br/>
        <w:br/>
        <w:t>54.   LA CORTE HA ESTUDIADO LA DEMANDA INTERPUESTA  POR  LA  COMISIÓN  Y  HA</w:t>
        <w:br/>
        <w:t>CONSTATADO QUE EN  UNA  SECCIÓN  DE  ÉSTA  HAY  UNA  REFERENCIA,  SIN  MAYOR</w:t>
        <w:br/>
        <w:t>IDENTIFICACIÓN, A “LA CONVENCIÓN DE VIENA (SIC), QUE PROHÍBE  LA  TORTURA  Y</w:t>
        <w:br/>
        <w:t>OTROS TRATOS CRUELES, INHUMANOS Y DEGRADANTES”  (CFR.  ESCRITO  DE  DEMANDA,</w:t>
        <w:br/>
        <w:t>FOLIO 24).  EN EL TEXTO RESPECTIVO, LA  COMISIÓN  ARGUMENTÓ  QUE  EL  ESTADO</w:t>
        <w:br/>
        <w:t>PERUANO ESTARÍA VIOLANDO DICHO INSTRUMENTO “[A]L MANTENER A  LA  VÍCTIMA  EN</w:t>
        <w:br/>
        <w:t>UNA SITUACIÓN DE DETENCIÓN ARBITRARIA”.   SIN  EMBARGO,  NO  SOLICITÓ  A  LA</w:t>
        <w:br/>
        <w:t>CORTE QUE DECLARARA DICHA VIOLACIÓN, COMO SE CONSTATA DE LA LECTURA  DE  LAS</w:t>
        <w:br/>
        <w:t>CONCLUSIONES DE LA SECCIÓN RESPECTIVA (CFR. ESCRITO DE DEMANDA, FOLIO 24  IN</w:t>
        <w:br/>
        <w:t>FINE), DEL OBJETO DE LA DEMANDA (CFR. ESCRITO DE DEMANDA, FOLIO 1) Y  DE  SU</w:t>
        <w:br/>
        <w:t>PETITORIO (CFR. ESCRITO DE DEMANDA, FOLIO 36).</w:t>
        <w:br/>
        <w:br/>
        <w:t>55.   POR LOS INDICADOS  MOTIVOS,  LA  CORTE  ESTIMA  QUE  NO  ES  NECESARIO</w:t>
        <w:br/>
        <w:t>EXAMINAR LA CUARTA EXCEPCIÓN PRELIMINAR INTERPUESTA POR  EL  ESTADO,  EN  LO</w:t>
        <w:br/>
        <w:t>REFERENTE A LA SUPUESTA “FALTA  DE  RECLAMACIÓN  PREVIA  ANTE  LA  COMISIÓN”</w:t>
        <w:br/>
        <w:t>SOBRE LA VIOLACIÓN DE LA “CONVENCIÓN DE LUCHA  CONTRA  LA  TORTURA  Y  OTROS</w:t>
        <w:br/>
        <w:t>TRATOS CRUELES (SIC)”.</w:t>
        <w:br/>
        <w:br/>
        <w:t>56.   POR  LAS  RAZONES  CITADAS,  LA  CORTE  RECHAZA  LA  CUARTA  EXCEPCIÓN</w:t>
        <w:br/>
        <w:t>INTERPUESTA POR EL ESTADO POR IMPROCEDENTE.</w:t>
        <w:br/>
        <w:br/>
        <w:t xml:space="preserve">                                      X</w:t>
        <w:br/>
        <w:t xml:space="preserve">                             Puntos Resolutivos</w:t>
        <w:br/>
        <w:br/>
        <w:t>57.   Por tanto,</w:t>
        <w:br/>
        <w:br/>
        <w:t>La Corte</w:t>
        <w:br/>
        <w:br/>
        <w:t>resuelve</w:t>
        <w:br/>
        <w:br/>
        <w:t>por unanimidad,</w:t>
        <w:br/>
        <w:br/>
        <w:t>1.      Rechazar,   por   improcedentes,   las   excepciones    preliminares</w:t>
        <w:br/>
        <w:t>interpuestas por el Estado del Perú.</w:t>
        <w:br/>
        <w:br/>
        <w:t>por unanimidad,</w:t>
        <w:br/>
        <w:br/>
        <w:t xml:space="preserve">   2. Continuar con el conocimiento del presente caso.</w:t>
        <w:br/>
        <w:br/>
        <w:t>Redactada en español y en inglés, haciendo fe el texto en  español,  en  San</w:t>
        <w:br/>
        <w:t>José, Costa Rica, el día 26 de enero de 1999.</w:t>
        <w:br/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t>Antônio A. Cançado Trindade Máximo Pacheco Gómez</w:t>
        <w:br/>
        <w:br/>
        <w:br/>
        <w:br/>
        <w:t>Oliver Jackman   Alirio Abreu Burelli</w:t>
        <w:br/>
        <w:br/>
        <w:br/>
        <w:br/>
        <w:t>Sergio García Ramírez  Carlos Vicente de Roux Rengifo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