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Caso Durand y Ugarte Vs. Perú</w:t>
        <w:br/>
        <w:br/>
        <w:br/>
        <w:t xml:space="preserve">                       Sentencia de 28 de mayo de 1999</w:t>
        <w:br/>
        <w:t xml:space="preserve">                         (Excepciones Preliminares)</w:t>
        <w:br/>
        <w:br/>
        <w:br/>
        <w:br/>
        <w:br/>
        <w:t>En el caso Durand y Ugarte,</w:t>
        <w:br/>
        <w:br/>
        <w:t>la Corte Interamericana de Derechos Humanos (en adelante “la Corte” o “la</w:t>
        <w:br/>
        <w:t>Corte Interamericana”) integrada por los siguientes jueces: (*)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 y</w:t>
        <w:br/>
        <w:t xml:space="preserve">      Fernando Vidal Ramírez, Juez ad hoc;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adjunto,</w:t>
        <w:br/>
        <w:br/>
        <w:t>de acuerdo con el artículo 36.6 del Reglamento de  la  Corte  Interamericana</w:t>
        <w:br/>
        <w:t>de Derechos Humanos  (en  adelante  “el  Reglamento”),  dicta  la  siguiente</w:t>
        <w:br/>
        <w:t>sentencia sobre las excepciones preliminares interpuestas por el Estado  del</w:t>
        <w:br/>
        <w:t>Perú (en adelante “el Estado” o “el Perú”).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Este caso fue sometido a la Corte por la  Comisión  Interamericana  de</w:t>
        <w:br/>
        <w:t>Derechos Humanos (en adelante “la Comisión” o “la Comisión  Interamericana”)</w:t>
        <w:br/>
        <w:t>el 8 de agosto de 1996.  Se originó en la denuncia número  10.009,  recibida</w:t>
        <w:br/>
        <w:t>en la Secretaría de la Comisión el 27 de abril de 1987.</w:t>
        <w:br/>
        <w:br/>
        <w:br/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La Corte resume los hechos  del  presente  caso,  de  acuerdo  con  la</w:t>
        <w:br/>
        <w:t>demanda, como sigue:</w:t>
        <w:br/>
        <w:br/>
        <w:t xml:space="preserve">      a)    la Comisión presentó la demanda contra el Estado peruano por  la</w:t>
        <w:br/>
        <w:t xml:space="preserve">      privación ilegítima de la libertad personal y  posterior  desaparición</w:t>
        <w:br/>
        <w:t xml:space="preserve">      forzada de los señores Nolberto Durand Ugarte y Gabriel  Pablo  Ugarte</w:t>
        <w:br/>
        <w:t xml:space="preserve">      Rivera;</w:t>
        <w:br/>
        <w:br/>
        <w:br/>
        <w:t xml:space="preserve">      b)    según la demanda, los señores Nolberto Durand Ugarte  y  Gabriel</w:t>
        <w:br/>
        <w:t xml:space="preserve">      Pablo Ugarte Rivera fueron detenidos el 14 y el 15 de febrero de 1986,</w:t>
        <w:br/>
        <w:t xml:space="preserve">      respectivamente, por efectivos de la Dirección  contra  el  Terrorismo</w:t>
        <w:br/>
        <w:t xml:space="preserve">      (en adelante “DIRCOTE”) por haber cometido, supuestamente,  el  delito</w:t>
        <w:br/>
        <w:t xml:space="preserve">      de terrorismo.  Luego de la investigación policial  fueron  puestos  a</w:t>
        <w:br/>
        <w:t xml:space="preserve">      disposición del Trigésimo Noveno Juzgado de Instrucción de  Lima,  que</w:t>
        <w:br/>
        <w:t xml:space="preserve">      inició el correspondiente proceso penal.  Por orden  judicial  se  les</w:t>
        <w:br/>
        <w:t xml:space="preserve">      trasladó posteriormente al Centro de Rehabilitación Social -CRAS-  San</w:t>
        <w:br/>
        <w:t xml:space="preserve">      Juan Bautista de la Isla Penal El Frontón (en adelante “El  Frontón”),</w:t>
        <w:br/>
        <w:t xml:space="preserve">      donde quedaron internados. Cuando fueron detenidos, la señora Virginia</w:t>
        <w:br/>
        <w:t xml:space="preserve">      Ugarte Rivera, madre de Nolberto y hermana de Gabriel Pablo, interpuso</w:t>
        <w:br/>
        <w:t xml:space="preserve">      ante el Cuadragésimo Sexto Juzgado de Instrucción de Lima dos recursos</w:t>
        <w:br/>
        <w:t xml:space="preserve">      de hábeas corpus en favor de su hijo y de su hermano, respectivamente,</w:t>
        <w:br/>
        <w:t xml:space="preserve">      pero el trámite quedó interrumpido cuando  se  produjeron  motines  en</w:t>
        <w:br/>
        <w:t xml:space="preserve">      distintos  centros  penitenciarios  peruanos.   Dichos   recursos   se</w:t>
        <w:br/>
        <w:t xml:space="preserve">      plantearon los días 25 y 26 de febrero de 1986.  El  17  de  julio  de</w:t>
        <w:br/>
        <w:t xml:space="preserve">      1987 el Sexto Tribunal Correccional de Lima, que estaba conociendo  de</w:t>
        <w:br/>
        <w:t xml:space="preserve">      los procesos instruidos por el delito de terrorismo contra los señores</w:t>
        <w:br/>
        <w:t xml:space="preserve">      Durand Ugarte y  Ugarte  Rivera,  declaró  la  “inocencia”  de  dichas</w:t>
        <w:br/>
        <w:t xml:space="preserve">      personas, ordenó ponerlas en libertad y archivar el proceso.</w:t>
        <w:br/>
        <w:br/>
        <w:br/>
        <w:t xml:space="preserve">      c)    el 18 de junio de 1986 se produjo en el penal  El  Frontón,  así</w:t>
        <w:br/>
        <w:t xml:space="preserve">      como en otros centros penitenciarios del país, un amotinamiento de los</w:t>
        <w:br/>
        <w:t xml:space="preserve">      detenidos por el delito de terrorismo, y el 19 de  junio  de  1986  se</w:t>
        <w:br/>
        <w:t xml:space="preserve">      inició  una  operación  encomendada  a  la  Marina  peruana  para   el</w:t>
        <w:br/>
        <w:t xml:space="preserve">      debelamiento del mismo, en el cual numerosos reclusos fueron heridos o</w:t>
        <w:br/>
        <w:t xml:space="preserve">      muertos.  En dicho establecimiento penitenciario estaban detenidos los</w:t>
        <w:br/>
        <w:t xml:space="preserve">      señores Durand Ugarte y Ugarte Rivera.  Ese día el  Presidente  de  la</w:t>
        <w:br/>
        <w:t xml:space="preserve">      República dictó el Decreto Supremo No.  006-86-JUS,  publicado  en  El</w:t>
        <w:br/>
        <w:t xml:space="preserve">      Peruano el 20 de junio de 1986, que declaró los penales “zona  militar</w:t>
        <w:br/>
        <w:t xml:space="preserve">      restringida” y los colocó formalmente bajo la jurisdicción del Comando</w:t>
        <w:br/>
        <w:t xml:space="preserve">      de las Fuerzas Armadas;</w:t>
        <w:br/>
        <w:br/>
        <w:br/>
        <w:t xml:space="preserve">      d)    la señora Virginia Ugarte Rivera se enteró de que  había  varios</w:t>
        <w:br/>
        <w:t xml:space="preserve">      sobrevivientes de los  sucesos  mencionados  en  el  inciso  anterior,</w:t>
        <w:br/>
        <w:t xml:space="preserve">      detenidos por la Marina, en razón de lo cual interpuso una  acción  de</w:t>
        <w:br/>
        <w:t xml:space="preserve">      hábeas  corpus  el  26  de  junio  de  1986  contra  el  Director   de</w:t>
        <w:br/>
        <w:t xml:space="preserve">      Establecimientos Penales y el Director de El Frontón, a favor  de  los</w:t>
        <w:br/>
        <w:t xml:space="preserve">      señores Durand Ugarte y Ugarte Rivera.  Ese mismo día se dictó el auto</w:t>
        <w:br/>
        <w:t xml:space="preserve">      apertorio correspondiente.  El 27 de junio de 1986, el Primer  Juzgado</w:t>
        <w:br/>
        <w:t xml:space="preserve">      de Instrucción del Callao declaró improcedente  la  acción  de  hábeas</w:t>
        <w:br/>
        <w:t xml:space="preserve">      corpus interpuesta.  El 15  de  julio  siguiente  el  Primer  Tribunal</w:t>
        <w:br/>
        <w:t xml:space="preserve">      Correccional del Callao confirmó la resolución de 27 de junio, y el 13</w:t>
        <w:br/>
        <w:t xml:space="preserve">      de agosto de 1986 la  Primera  Sala  Penal  de  la  Corte  Suprema  de</w:t>
        <w:br/>
        <w:t xml:space="preserve">      Justicia declaró no haber nulidad de la resolución dictada  el  15  de</w:t>
        <w:br/>
        <w:t xml:space="preserve">      julio.  El  Tribunal  de  Garantías  Constitucionales  conoció  de  un</w:t>
        <w:br/>
        <w:t xml:space="preserve">      recurso de casación interpuesto por la señora Virginia  Ugarte  Rivera</w:t>
        <w:br/>
        <w:t xml:space="preserve">      contra la resolución dictada por la Primera Sala  Penal  y  el  28  de</w:t>
        <w:br/>
        <w:t xml:space="preserve">      octubre de 1986 declaró que “permanecía inalterable dicha resolución y</w:t>
        <w:br/>
        <w:t xml:space="preserve">      subsistía el derecho del demandante de replantear la acción”; y</w:t>
        <w:br/>
        <w:br/>
        <w:br/>
        <w:t xml:space="preserve">      e)    el 24 de junio de 1986 el Consejo de Guerra Permanente de Marina</w:t>
        <w:br/>
        <w:t xml:space="preserve">      ordenó un proceso para determinar la posible responsabilidad penal  de</w:t>
        <w:br/>
        <w:t xml:space="preserve">      los miembros de la Marina que debelaron el motín, y el Segundo Juzgado</w:t>
        <w:br/>
        <w:t xml:space="preserve">      de Instrucción Permanente de Marina se avocó al conocimiento y trámite</w:t>
        <w:br/>
        <w:t xml:space="preserve">      de la causa.  El 6 de julio de 1987 ese Juzgado sobreseyó la causa por</w:t>
        <w:br/>
        <w:t xml:space="preserve">      no haber responsabilidad  de  los  encausados  y  dicha  decisión  fue</w:t>
        <w:br/>
        <w:t xml:space="preserve">      confirmada por el Consejo de Guerra Permanente de Marina el 16 de  los</w:t>
        <w:br/>
        <w:t xml:space="preserve">      mismos mes y año. El 20 de julio de 1989 la Sala Revisora del  Consejo</w:t>
        <w:br/>
        <w:t xml:space="preserve">      Supremo de Justicia Militar confirmó una  resolución  de  la  Sala  de</w:t>
        <w:br/>
        <w:t xml:space="preserve">      Guerra del Supremo Tribunal de 30 de enero de 1989  que  sobreseyó  la</w:t>
        <w:br/>
        <w:t xml:space="preserve">      causa contra los inculpados por los delitos contra la vida, el cuerpo,</w:t>
        <w:br/>
        <w:t xml:space="preserve">      la salud y abuso de autoridad en agravio de los internos fallecidos en</w:t>
        <w:br/>
        <w:t xml:space="preserve">      El Frontón.</w:t>
        <w:br/>
        <w:br/>
        <w:br/>
        <w:br/>
        <w:br/>
        <w:t xml:space="preserve">                                     III</w:t>
        <w:br/>
        <w:t xml:space="preserve">                       PROCEDIMIENTO ANTE LA COMISION</w:t>
        <w:br/>
        <w:br/>
        <w:t>3.    El 27 de abril de 1987 la Comisión recibió una denuncia por  supuestas</w:t>
        <w:br/>
        <w:t>violaciones de derechos humanos en agravio de los señores  Durand  Ugarte  y</w:t>
        <w:br/>
        <w:t>Ugarte Rivera.  El 19 de mayo del mismo año remitió  al  Estado  las  partes</w:t>
        <w:br/>
        <w:t>pertinentes de la denuncia, de acuerdo con el artículo 34 del Reglamento  de</w:t>
        <w:br/>
        <w:t>la Comisión, y le  solicitó  información  relativa  al  agotamiento  de  los</w:t>
        <w:br/>
        <w:t>recursos internos.</w:t>
        <w:br/>
        <w:t>4.    El 19 de enero de 1988 la Comisión reiteró al Estado la  solicitud  de</w:t>
        <w:br/>
        <w:t>que presentara la información  correspondiente  al  caso.   El  8  de  junio</w:t>
        <w:br/>
        <w:t>siguiente insistió en la solicitud, indicando que, de no recibir  respuesta,</w:t>
        <w:br/>
        <w:t>consideraría la aplicación del artículo 42  de  su  Reglamento.   El  23  de</w:t>
        <w:br/>
        <w:t>febrero de 1989 la Comisión requirió la información una vez más.  El  31  de</w:t>
        <w:br/>
        <w:t>mayo siguiente, los peticionarios pidieron que se tuvieran por  ciertos  los</w:t>
        <w:br/>
        <w:t>hechos denunciados.</w:t>
        <w:br/>
        <w:br/>
        <w:t>5.    El Estado presentó un escrito fechado el 29 de septiembre de 1989,  en</w:t>
        <w:br/>
        <w:t>el cual manifestó que</w:t>
        <w:br/>
        <w:br/>
        <w:t xml:space="preserve">      en lo que respecta a los casos 10.009 y 10.078, los que,  como  es  de</w:t>
        <w:br/>
        <w:t xml:space="preserve">      dominio público, se encuentran  en  proceso  judicial  ante  el  Fuero</w:t>
        <w:br/>
        <w:t xml:space="preserve">      Privativo Militar del Perú de conformidad con las leyes  vigentes,  se</w:t>
        <w:br/>
        <w:t xml:space="preserve">      debe señalar que no se ha agotado la jurisdicción interna del  Estado,</w:t>
        <w:br/>
        <w:t xml:space="preserve">      por lo que sería conveniente que la CIDH aguarde la culminación de  la</w:t>
        <w:br/>
        <w:t xml:space="preserve">      misma antes de pronunciarse de manera definitiva sobre los mencionados</w:t>
        <w:br/>
        <w:t xml:space="preserve">      casos.</w:t>
        <w:br/>
        <w:br/>
        <w:t>6.    El 7 de junio de 1990  la  Comisión  solicitó  al  Estado  información</w:t>
        <w:br/>
        <w:t>sobre el agotamiento de los recursos internos, el proceso  en  trámite  ante</w:t>
        <w:br/>
        <w:t>el fuero militar y la determinación  del  paradero  de  los  señores  Durand</w:t>
        <w:br/>
        <w:t>Ugarte y Ugarte Rivera.  El Estado no respondió a este requerimiento.</w:t>
        <w:br/>
        <w:br/>
        <w:t>7.    El 5 de marzo de 1996 la Comisión aprobó el Informe  No.  15/96  y  lo</w:t>
        <w:br/>
        <w:t>transmitió al Estado el 8 de mayo del mismo año.  En  la  parte  dispositiva</w:t>
        <w:br/>
        <w:t>de dicho Informe, la Comisión resolvió:</w:t>
        <w:br/>
        <w:br/>
        <w:t xml:space="preserve">            1.   DECLARAR que el  Estado  del  Perú  es  responsable  de  la</w:t>
        <w:br/>
        <w:t xml:space="preserve">      violación en perjuicio de Gabriel Pablo Ugarte Rivera y de  [Nolberto]</w:t>
        <w:br/>
        <w:t xml:space="preserve">      Durand Ugarte, del derecho a la libertad personal, a la vida y  a  una</w:t>
        <w:br/>
        <w:t xml:space="preserve">      efectiva protección judicial, así como de las garantías judiciales del</w:t>
        <w:br/>
        <w:t xml:space="preserve">      debido proceso legal que reconocen, respectivamente, los artículos  7,</w:t>
        <w:br/>
        <w:t xml:space="preserve">      4, 25 y 8 de la Convención Americana y que, asimismo, en  el  presente</w:t>
        <w:br/>
        <w:t xml:space="preserve">      caso el Estado peruano no ha cumplido con la  obligación  de  respetar</w:t>
        <w:br/>
        <w:t xml:space="preserve">      los  derechos  y  garantías  que  establece  el  artículo  1.1  de  la</w:t>
        <w:br/>
        <w:t xml:space="preserve">      Convención Americana.</w:t>
        <w:br/>
        <w:br/>
        <w:br/>
        <w:t xml:space="preserve">            2.   RECOMENDAR al Estado  del  Perú  que  pague  una  adecuada,</w:t>
        <w:br/>
        <w:t xml:space="preserve">      pronta y efectiva indemnización compensatoria a los familiares de  las</w:t>
        <w:br/>
        <w:t xml:space="preserve">      víctimas por el daño moral y material causado como consecuencia de los</w:t>
        <w:br/>
        <w:t xml:space="preserve">      hechos denunciados y comprobados  por  la  Comisión  y  por  la  Corte</w:t>
        <w:br/>
        <w:t xml:space="preserve">      Interamericana de Derechos Humanos.</w:t>
        <w:br/>
        <w:br/>
        <w:br/>
        <w:t xml:space="preserve">            3.   SOLICITAR al Gobierno del Perú que en el plazo de 60 días a</w:t>
        <w:br/>
        <w:t xml:space="preserve">      partir de  la  notificación  del  presente  Informe,  comunique  a  la</w:t>
        <w:br/>
        <w:t xml:space="preserve">      Comisión Interamericana de Derechos Humanos, las medidas  que  hubiera</w:t>
        <w:br/>
        <w:t xml:space="preserve">      adoptado en el presente caso, de conformidad con  las  recomendaciones</w:t>
        <w:br/>
        <w:t xml:space="preserve">      contenidas en el párrafo anterior.</w:t>
        <w:br/>
        <w:br/>
        <w:br/>
        <w:t xml:space="preserve">            4.   TRANSMITIR el presente Informe de acuerdo con  el  artículo</w:t>
        <w:br/>
        <w:t xml:space="preserve">      50 de la Convención Americana y comunicar al Gobierno del Perú que  no</w:t>
        <w:br/>
        <w:t xml:space="preserve">      está autorizado a publicarlo.</w:t>
        <w:br/>
        <w:br/>
        <w:br/>
        <w:t xml:space="preserve">            5.   SOMETER el  presente  caso  a  consideración  de  la  Corte</w:t>
        <w:br/>
        <w:t xml:space="preserve">      Interamericana de Derechos Humanos si, en un plazo de sesenta días, el</w:t>
        <w:br/>
        <w:t xml:space="preserve">      Estado peruano no diese cumplimiento  a  la  recomendación  a  que  se</w:t>
        <w:br/>
        <w:t xml:space="preserve">      refiere el párrafo 2.</w:t>
        <w:br/>
        <w:br/>
        <w:br/>
        <w:t>8.    El 5 de julio de 1996 el Estado remitió a la Comisión  una  copia  del</w:t>
        <w:br/>
        <w:t>informe preparado por un equipo de trabajo  constituido  por  representantes</w:t>
        <w:br/>
        <w:t>de diversas dependencias del Estado.  De ese informe se desprende, según  la</w:t>
        <w:br/>
        <w:t>Comisión, que el Estado no había dado  cumplimiento  a  las  recomendaciones</w:t>
        <w:br/>
        <w:t>formuladas por ésta.</w:t>
        <w:br/>
        <w:br/>
        <w:t>9.    El 8 de agosto de 1996 la Comisión presentó  el  caso  ante  la  Corte</w:t>
        <w:br/>
        <w:t>(supra, párr. 1).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10.   Al presentar  la  demanda  ante  la  Corte,  la  Comisión  invocó  los</w:t>
        <w:br/>
        <w:t>artículos 50 y 51 de la Convención  Americana  sobre  Derechos  Humanos  (en</w:t>
        <w:br/>
        <w:t>adelante “la Convención” o “la Convención Americana”) y 26 y siguientes  del</w:t>
        <w:br/>
        <w:t>Reglamento entonces vigente[1].  La Comisión planteó este caso para  que  la</w:t>
        <w:br/>
        <w:t>Corte decidiera  si  hubo  violación  de  los  siguientes  artículos  de  la</w:t>
        <w:br/>
        <w:t>Convención: 1.1 (Obligación de Respetar los Derechos), 2 (Deber  de  Adoptar</w:t>
        <w:br/>
        <w:t>Disposiciones de Derecho Interno), 4 (Derecho a la Vida), 7.6 (Derecho a  la</w:t>
        <w:br/>
        <w:t>Libertad Personal), 8 (Garantías Judiciales),  25  (Protección  Judicial)  y</w:t>
        <w:br/>
        <w:t>27.2 (Suspensión de Garantías).  La propia Comisión solicitó  que  la  Corte</w:t>
        <w:br/>
        <w:t>ordenara al Estado peruano llevar  a  cabo  las  investigaciones  necesarias</w:t>
        <w:br/>
        <w:t>para identificar, juzgar y sancionar a  los  culpables  de  las  violaciones</w:t>
        <w:br/>
        <w:t>cometidas; informar sobre el paradero de los restos mortales de los  señores</w:t>
        <w:br/>
        <w:t>Durand Ugarte y Ugarte Rivera, y entregar éstos  a  los  familiares  de  los</w:t>
        <w:br/>
        <w:t>fallecidos.  Finalmente la Comisión pidió que la Corte  ordenase  al  Estado</w:t>
        <w:br/>
        <w:t>que</w:t>
        <w:br/>
        <w:br/>
        <w:t xml:space="preserve">      repare en forma  adecuada,  tanto  material  como  moralmente,  a  los</w:t>
        <w:br/>
        <w:t xml:space="preserve">      familiares de Nolberto Durand Ugarte y Gabriel  Pablo  Ugarte  por  el</w:t>
        <w:br/>
        <w:t xml:space="preserve">      grave daño sufrido como consecuencia de las  múltiples  violaciones  a</w:t>
        <w:br/>
        <w:t xml:space="preserve">      los derechos consagrados en la Convención [y que] pague los gastos  en</w:t>
        <w:br/>
        <w:t xml:space="preserve">      que han incurrido los familiares  y  representantes  de  las  víctimas</w:t>
        <w:br/>
        <w:t xml:space="preserve">      tanto en su desempeño ante la Comisión como en la tramitación del caso</w:t>
        <w:br/>
        <w:t xml:space="preserve">      ante la Corte.</w:t>
        <w:br/>
        <w:br/>
        <w:t>11.   La Comisión designó delegado al  señor  John  S.  Donaldson;  delegado</w:t>
        <w:br/>
        <w:t>suplente al señor  Alvaro  Tirado  Mejía,  y  asesor  al  señor  Domingo  E.</w:t>
        <w:br/>
        <w:t>Acevedo; y nombró asistentes a los señores Ronald  Gamarra,  Katya  Salazar,</w:t>
        <w:br/>
        <w:t>José  Miguel  Vivanco,  Viviana  Krsticevic,  Ariel   Dulitzky   y   Marcela</w:t>
        <w:br/>
        <w:t>Matamoros.  El 9 de marzo de 1998,  la  Comisión  designó  delegados  a  los</w:t>
        <w:br/>
        <w:t>señores Helio Bicudo y Domingo E. Acevedo.   Por  nota  recibida  el  18  de</w:t>
        <w:br/>
        <w:t>junio de 1998 la señora Matamoros comunicó a  la  Corte  su  renuncia  a  la</w:t>
        <w:br/>
        <w:t>participación en el presente caso.</w:t>
        <w:br/>
        <w:br/>
        <w:t>12.   El 23 de agosto de 1996 la Secretaría de la  Corte  (en  adelante  “la</w:t>
        <w:br/>
        <w:t>Secretaría”), previo examen  preliminar  de  la  demanda  realizado  por  el</w:t>
        <w:br/>
        <w:t>Presidente de la Corte (en  adelante  “el  Presidente”),  notificó  ésta  al</w:t>
        <w:br/>
        <w:t>Estado y le informó sobre los plazos para  contestarla,  oponer  excepciones</w:t>
        <w:br/>
        <w:t>preliminares y designar su representación en el proceso.   Asimismo,  invitó</w:t>
        <w:br/>
        <w:t>al Estado a designar Juez ad hoc.</w:t>
        <w:br/>
        <w:br/>
        <w:t>13.   El 6  de  septiembre  de  1996  el  Estado  comunicó  a  la  Corte  la</w:t>
        <w:br/>
        <w:t>designación del señor Jorge Hawie Soret como agente.</w:t>
        <w:br/>
        <w:br/>
        <w:t>14.   El 19 de septiembre de 1996 el Presidente,  a  solicitud  del  Estado,</w:t>
        <w:br/>
        <w:t>amplió el plazo para la designación del juez ad hoc, hasta el 8  de  octubre</w:t>
        <w:br/>
        <w:t>de 1996.  El 4 de los mismos mes y año, el Estado designó  Juez  ad  hoc  al</w:t>
        <w:br/>
        <w:t>señor Fernando Vidal Ramírez.</w:t>
        <w:br/>
        <w:br/>
        <w:t>15.   El 20 de septiembre de 1996 el Estado presentó un escrito en  el  cual</w:t>
        <w:br/>
        <w:t>hizo  valer  excepciones  preliminares,  denominadas  como   se   indica   a</w:t>
        <w:br/>
        <w:t>continuación:</w:t>
        <w:br/>
        <w:br/>
        <w:t>Primera:</w:t>
        <w:br/>
        <w:br/>
        <w:t xml:space="preserve">      falta de agotamiento de la vía jurisdiccional interna o nacional;</w:t>
        <w:br/>
        <w:br/>
        <w:t>Segunda:</w:t>
        <w:br/>
        <w:br/>
        <w:t xml:space="preserve">      cosa decidida por la Comisión;</w:t>
        <w:br/>
        <w:br/>
        <w:t>Tercera:</w:t>
        <w:br/>
        <w:br/>
        <w:t xml:space="preserve">      cosa juzgada;</w:t>
        <w:br/>
        <w:br/>
        <w:t>Cuarta:</w:t>
        <w:br/>
        <w:br/>
        <w:t xml:space="preserve">      caducidad del petitorio;</w:t>
        <w:br/>
        <w:br/>
        <w:t>Quinta:</w:t>
        <w:br/>
        <w:br/>
        <w:t xml:space="preserve">      incompetencia de la Corte Interamericana de Derechos Humanos;</w:t>
        <w:br/>
        <w:br/>
        <w:br/>
        <w:t>Sexta:</w:t>
        <w:br/>
        <w:br/>
        <w:t>defecto legal, falta  de  legitimidad  para  obrar  y  falta  de  personería</w:t>
        <w:br/>
        <w:t>(nulidad  de  actuados  que  se  llev[aron]  adelante   ante   la   Comisión</w:t>
        <w:br/>
        <w:t>Interamericana   de   Derechos   Humanos   por   las   [...]   omisiones   e</w:t>
        <w:br/>
        <w:t>irregularidades incurridas); y</w:t>
        <w:br/>
        <w:br/>
        <w:t>Séptima:</w:t>
        <w:br/>
        <w:br/>
        <w:t xml:space="preserve">      falta de personería de la Comisión;</w:t>
        <w:br/>
        <w:br/>
        <w:t>y solicitó que la Corte dispusiera el archivo de la demanda, de acuerdo  con</w:t>
        <w:br/>
        <w:t>las excepciones deducidas.</w:t>
        <w:br/>
        <w:br/>
        <w:t>16.   El 29 de octubre de 1996 la Comisión presentó la  contestación  a  las</w:t>
        <w:br/>
        <w:t>excepciones preliminares y solicitó a la Corte que  las  desestimara  en  su</w:t>
        <w:br/>
        <w:t>totalidad.</w:t>
        <w:br/>
        <w:br/>
        <w:t>17.   El 26 de noviembre de 1996 el Estado  entregó  su  contestación  a  la</w:t>
        <w:br/>
        <w:t>demanda.</w:t>
        <w:br/>
        <w:br/>
        <w:t>18.    Mediante  dos  escritos  de  6  de  enero  y  30  de  mayo  de  1997,</w:t>
        <w:br/>
        <w:t>respectivamente,  el  Estado  solicitó  a  la  Corte  que   resolviera   las</w:t>
        <w:br/>
        <w:t>excepciones preliminares planteadas antes de  pronunciarse  sobre  el  fondo</w:t>
        <w:br/>
        <w:t>del asunto.  El 2 de junio de 1997  la  Secretaría  informó  al  Estado  que</w:t>
        <w:br/>
        <w:t>dicha solicitud sería puesta en conocimiento de la  Corte  en  su  siguiente</w:t>
        <w:br/>
        <w:t>período de sesiones.  El 25 de septiembre siguiente  la  Corte  comunicó  al</w:t>
        <w:br/>
        <w:t>Estado que “la decisión sobre el fondo  del  asunto  […],  en  ningún  caso,</w:t>
        <w:br/>
        <w:t>puede emitirse antes de resolver las excepciones  preliminares  interpuestas</w:t>
        <w:br/>
        <w:t>por el Estado”.</w:t>
        <w:br/>
        <w:br/>
        <w:t>19.    El  9  de  marzo  de  1998  el  Presidente  convocó  a  la   Comisión</w:t>
        <w:br/>
        <w:t>Interamericana  y  al  Estado  peruano  a  una  audiencia  pública  que   se</w:t>
        <w:br/>
        <w:t>celebraría en la sede de la Corte el 8 de junio siguiente, para conocer  sus</w:t>
        <w:br/>
        <w:t>puntos de vista sobre las excepciones preliminares interpuestas.</w:t>
        <w:br/>
        <w:br/>
        <w:t>20.   La audiencia pública tuvo lugar en la sede de la Corte el 8  de  junio</w:t>
        <w:br/>
        <w:t>de 1998.</w:t>
        <w:br/>
        <w:br/>
        <w:t>Comparecieron:</w:t>
        <w:br/>
        <w:br/>
        <w:t>por el Estado del Perú:</w:t>
        <w:br/>
        <w:br/>
        <w:t xml:space="preserve">      Jorge Hawie Soret, agente;</w:t>
        <w:br/>
        <w:br/>
        <w:t>por la Comisión Interamericana de Derechos Humanos:</w:t>
        <w:br/>
        <w:br/>
        <w:t xml:space="preserve">      Domingo E. Acevedo, delegado;</w:t>
        <w:br/>
        <w:t xml:space="preserve">      Ariel Dulitzky, asistente; y</w:t>
        <w:br/>
        <w:t xml:space="preserve">      Ronald Gamarra, asistente.</w:t>
        <w:br/>
        <w:br/>
        <w:br/>
        <w:t>21.   El 9 de noviembre de 1998  el  Presidente  solicitó  al  Estado,  como</w:t>
        <w:br/>
        <w:t>prueba para mejor resolver, toda la documentación relativa  a  los  recursos</w:t>
        <w:br/>
        <w:t>de hábeas corpus interpuestos el 26 de febrero y el 26 de junio de 1986 y  a</w:t>
        <w:br/>
        <w:t>cualquier otro recurso de hábeas corpus tramitado a  favor  de  los  señores</w:t>
        <w:br/>
        <w:t>Durand Ugarte y Ugarte  Rivera,  así  como  el  expediente  iniciado  contra</w:t>
        <w:br/>
        <w:t>dichos señores por el delito de terrorismo.</w:t>
        <w:br/>
        <w:br/>
        <w:t>22.   El 27 de noviembre de 1998, mediante  resolución  del  Presidente,  se</w:t>
        <w:br/>
        <w:t>requirió a la  Comisión,  de  acuerdo  con  su  solicitud  contenida  en  la</w:t>
        <w:br/>
        <w:t>demanda, comunicar a la Corte qué elementos del acervo probatorio  del  caso</w:t>
        <w:br/>
        <w:t>Neira Alegría y otros eran pertinentes  para  la  tramitación  del  presente</w:t>
        <w:br/>
        <w:t>caso.</w:t>
        <w:br/>
        <w:br/>
        <w:t>23.   El 14 de diciembre de 1998 la Comisión pidió a la Corte que  incluyera</w:t>
        <w:br/>
        <w:t>como parte  del  acervo  probatorio  en  el  presente  caso  los  siguientes</w:t>
        <w:br/>
        <w:t>elementos del acervo producido en el caso Neira Alegría  y  otros:  Dictamen</w:t>
        <w:br/>
        <w:t>de Minoría de la Comisión Investigadora del  Congreso  del  Perú  sobre  los</w:t>
        <w:br/>
        <w:t>sucesos acaecidos  el  18  y  19  de  junio  de  1986,  en  los  Penales  de</w:t>
        <w:br/>
        <w:t>Lurigancho, El Frontón y  Santa  Bárbara;  artículos  de  prensa  sobre  los</w:t>
        <w:br/>
        <w:t>hechos ocurridos en los mencionados penales;  informe  sobre  las  autopsias</w:t>
        <w:br/>
        <w:t>realizadas a los cadáveres de los internos de El  Frontón  por  los  médicos</w:t>
        <w:br/>
        <w:t>Augusto Yamada, Juan Hever Kruger y  José  Raez  González;  expedientes  del</w:t>
        <w:br/>
        <w:t>fuero privativo militar relativos a El Frontón  y  la  trascripción  de  las</w:t>
        <w:br/>
        <w:t>declaraciones rendidas por los testigos que comparecieron ante la  Corte  en</w:t>
        <w:br/>
        <w:t>la audiencia pública celebrada los días 6 y 10 de julio de 1993.</w:t>
        <w:br/>
        <w:br/>
        <w:t>24.    El  22  de  enero  de  1999  el   Estado   presentó   únicamente   el</w:t>
        <w:br/>
        <w:t>pronunciamiento  de  28  de  octubre  de  1986  del  Tribunal  de  Garantías</w:t>
        <w:br/>
        <w:t>Constitucionales, respecto  del  recurso  de  casación  interpuesto  por  la</w:t>
        <w:br/>
        <w:t>señora Virginia Ugarte Rivera contra la resolución de la Primera Sala  Penal</w:t>
        <w:br/>
        <w:t>de la Corte Suprema de Justicia,  documentación  referente  a  las  diversas</w:t>
        <w:br/>
        <w:t>gestiones realizadas  y  dificultades  que  ha  tenido  para  localizar  los</w:t>
        <w:br/>
        <w:t>actuados referidos a los recursos  de  hábeas  corpus  y  el  proceso  sobre</w:t>
        <w:br/>
        <w:t>terrorismo, y documentación proporcionada  por  la  Sala  Penal  Corporativa</w:t>
        <w:br/>
        <w:t>Nacional para casos de Terrorismo.</w:t>
        <w:br/>
        <w:br/>
        <w:t>25.   El 3 de marzo de 1999 se reiteró al Estado la solicitud  de  presentar</w:t>
        <w:br/>
        <w:t>documentación referente a los recursos de hábeas  corpus  interpuestos,  así</w:t>
        <w:br/>
        <w:t>como el expediente del proceso por terrorismo, solicitados como prueba  para</w:t>
        <w:br/>
        <w:t>mejor resolver.  A la fecha el Estado no los ha presentado.</w:t>
        <w:br/>
        <w:br/>
        <w:t>26.   El 7 de abril de 1999 la Secretaría solicitó a la  Secretaría  General</w:t>
        <w:br/>
        <w:t>de la Organización de los Estados Americanos información  de  si  el  Estado</w:t>
        <w:br/>
        <w:t>peruano  realizó  alguna  notificación  sobre  estados   de   emergencia   o</w:t>
        <w:br/>
        <w:t>suspensión de garantías entre el 1 de junio de 1986 y  el  20  de  julio  de</w:t>
        <w:br/>
        <w:t>1987 de conformidad con el artículo 27.3 de la Convención.  El  19  de  mayo</w:t>
        <w:br/>
        <w:t>de 1999 el Departamento de Derecho Internacional de la  indicada  Secretaría</w:t>
        <w:br/>
        <w:t>informó que ninguna notificación al respecto fue recibida o registrada.</w:t>
        <w:br/>
        <w:br/>
        <w:t>27.   El 7 de abril del presente año la Secretaría solicitó al  Estado  como</w:t>
        <w:br/>
        <w:t>prueba para mejor resolver copia del Decreto Supremo No. 012-86 IN de  2  de</w:t>
        <w:br/>
        <w:t>junio de 1986.  El 5 de mayo de 1999 el Estado remitió el decreto citado.</w:t>
        <w:br/>
        <w:br/>
        <w:br/>
        <w:t xml:space="preserve">                                      V</w:t>
        <w:br/>
        <w:t xml:space="preserve">                                 COMPETENCIA</w:t>
        <w:br/>
        <w:br/>
        <w:t>28.   El Perú es Estado Parte en la Convención  Americana  desde  el  28  de</w:t>
        <w:br/>
        <w:t>julio de 1978 y aceptó la competencia contenciosa  de  la  Corte  el  21  de</w:t>
        <w:br/>
        <w:t>enero de 1981.  Por lo tanto, la Corte es competente, en  los  términos  del</w:t>
        <w:br/>
        <w:t>artículo 62.3 de la Convención, para conocer  las  excepciones  preliminares</w:t>
        <w:br/>
        <w:t>presentadas por el Estado.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>29.   Las excepciones preliminares planteadas por el  Estado  se  presentan,</w:t>
        <w:br/>
        <w:t>reúnen y analizan bajo  los  siguientes  conceptos  procesales,  tomando  en</w:t>
        <w:br/>
        <w:t>cuenta su naturaleza y afinidades: a) agotamiento de los  recursos  internos</w:t>
        <w:br/>
        <w:t>(cfr. primera excepción), b) cosa decidida, cosa juzgada e incompetencia  de</w:t>
        <w:br/>
        <w:t>la Corte (cfr. segunda, tercera y quinta excepciones), c)  caducidad  de  la</w:t>
        <w:br/>
        <w:t>petición (cfr. cuarta excepción), y d) defecto legal, falta  de  legitimidad</w:t>
        <w:br/>
        <w:t>para obrar y falta de personería  de  la  Comisión  (cfr.  sexta  y  séptima</w:t>
        <w:br/>
        <w:t>excepciones).</w:t>
        <w:br/>
        <w:br/>
        <w:br/>
        <w:t xml:space="preserve">                                     VII</w:t>
        <w:br/>
        <w:t xml:space="preserve">                    AGOTAMIENTO DE LOS RECURSOS INTERNOS</w:t>
        <w:br/>
        <w:t xml:space="preserve">                              Primera excepción</w:t>
        <w:br/>
        <w:br/>
        <w:br/>
        <w:t>30.   La primera excepción interpuesta por el Estado se refiere a la  “falta</w:t>
        <w:br/>
        <w:t>de agotamiento de la vía jurisdiccional interna o nacional”.</w:t>
        <w:br/>
        <w:br/>
        <w:t>31.   La Corte resume de la siguiente manera los argumentos del Estado:</w:t>
        <w:br/>
        <w:br/>
        <w:t xml:space="preserve">      a)    de conformidad con los artículos 46 de la Convención Americana y</w:t>
        <w:br/>
        <w:t xml:space="preserve">      44 y 45 del Reglamento de  la  Comisión,  para  admitir  una  denuncia</w:t>
        <w:br/>
        <w:t xml:space="preserve">      presentada ante esta última es preciso  que  se  hayan  interpuesto  y</w:t>
        <w:br/>
        <w:t xml:space="preserve">      agotado los recursos de la jurisdicción interna  de  acuerdo  con  los</w:t>
        <w:br/>
        <w:t xml:space="preserve">      principios del derecho internacional generalmente reconocidos, excepto</w:t>
        <w:br/>
        <w:t xml:space="preserve">      cuando la legislación interna no  establezca  tales  recursos,  no  se</w:t>
        <w:br/>
        <w:t xml:space="preserve">      permita al afectado el acceso a ellos o se le impida agotarlos, o haya</w:t>
        <w:br/>
        <w:t xml:space="preserve">      retardo injustificado en la decisión correspondiente;</w:t>
        <w:br/>
        <w:br/>
        <w:br/>
        <w:t xml:space="preserve">      b)    el ordenamiento peruano regula  los  derechos  invocados  en  la</w:t>
        <w:br/>
        <w:t xml:space="preserve">      demanda  y  cuenta  con  órganos  jurisdiccionales  e  instancias  que</w:t>
        <w:br/>
        <w:t xml:space="preserve">      garantizan el ejercicio de  los  mismos,  como  el  proceso  civil  de</w:t>
        <w:br/>
        <w:t xml:space="preserve">      declaración de ausencia y/o muerte presunta  y  la  acción  de  hábeas</w:t>
        <w:br/>
        <w:t xml:space="preserve">      corpus.  Sin embargo, los peticionarios no acudieron al  fuero  común,</w:t>
        <w:br/>
        <w:t xml:space="preserve">      ignoraron  los  derechos  contemplados  en  el  Código  Civil   y   no</w:t>
        <w:br/>
        <w:t xml:space="preserve">      solicitaron la declaración de muerte  presunta  o  fallecimiento  para</w:t>
        <w:br/>
        <w:t xml:space="preserve">      abrir las correspondientes sucesiones.  Si los peticionarios  hubiesen</w:t>
        <w:br/>
        <w:t xml:space="preserve">      hecho uso de dichos medios, habrían contado con una vía expedita  para</w:t>
        <w:br/>
        <w:t xml:space="preserve">      la  tramitación  de  sus  intereses  en  materia   sucesoria.    Estas</w:t>
        <w:br/>
        <w:t xml:space="preserve">      observaciones se reiteraron durante la audiencia pública;</w:t>
        <w:br/>
        <w:br/>
        <w:br/>
        <w:t xml:space="preserve">      c)    refiriéndose a la acción de hábeas corpus, el Estado indicó  que</w:t>
        <w:br/>
        <w:t xml:space="preserve">      “si no estuvo prohibido su ejercicio mal puede concluir [la  Comisión]</w:t>
        <w:br/>
        <w:t xml:space="preserve">      que, [… la aplicación de los] decretos [No. 012-86 IN y No. 006-86 JUS</w:t>
        <w:br/>
        <w:t xml:space="preserve">      de 2 y 6 de junio de 1986, respectivamente], implicó su suspensión  y,</w:t>
        <w:br/>
        <w:t xml:space="preserve">      lo que es más, su ineficacia”; y</w:t>
        <w:br/>
        <w:br/>
        <w:br/>
        <w:t xml:space="preserve">      d)    la Ley de Hábeas Corpus y Amparo (Ley No. 23506) establece en el</w:t>
        <w:br/>
        <w:t xml:space="preserve">      artículo 8 que la “resolución final constituye cosa juzgada únicamente</w:t>
        <w:br/>
        <w:t xml:space="preserve">      si  es  favorable  al  recurrente”.   La  sentencia  que  originó   la</w:t>
        <w:br/>
        <w:t xml:space="preserve">      presentación de esta demanda  se  dictó  de  acuerdo  con  las  normas</w:t>
        <w:br/>
        <w:t xml:space="preserve">      vigentes, como se establece en el artículo 6.2 de la citada  Ley,  que</w:t>
        <w:br/>
        <w:t xml:space="preserve">      expresa:  “...[n]o  proceden  las  Acciones  de  Garantía  contra  una</w:t>
        <w:br/>
        <w:t xml:space="preserve">      resolución  emanada  de  un  procedimiento  regular”.   Hubo  un   mal</w:t>
        <w:br/>
        <w:t xml:space="preserve">      planteamiento de los intereses de los familiares de los señores Durand</w:t>
        <w:br/>
        <w:t xml:space="preserve">      Ugarte y Ugarte Rivera, que no  permitió  una  calificación  sobre  el</w:t>
        <w:br/>
        <w:t xml:space="preserve">      fondo del asunto.</w:t>
        <w:br/>
        <w:br/>
        <w:br/>
        <w:t>32.   La Corte sintetiza los  argumentos  de  la  Comisión  como  se  indica</w:t>
        <w:br/>
        <w:t>enseguida:</w:t>
        <w:br/>
        <w:br/>
        <w:t xml:space="preserve">      a)     los  recursos  de  jurisdicción  interna   fueron   debidamente</w:t>
        <w:br/>
        <w:t xml:space="preserve">      interpuestos y agotados de acuerdo  con  el  artículo  46.1.a)  de  la</w:t>
        <w:br/>
        <w:t xml:space="preserve">      Convención Americana;</w:t>
        <w:br/>
        <w:br/>
        <w:br/>
        <w:t xml:space="preserve">      b)    el Estado tuvo amplia oportunidad de plantear esta excepción  en</w:t>
        <w:br/>
        <w:t xml:space="preserve">      el procedimiento ante la Comisión, pero no lo hizo.   La  denuncia  se</w:t>
        <w:br/>
        <w:t xml:space="preserve">      notificó al Estado el 19 de mayo de 1987, y sólo el 29  de  septiembre</w:t>
        <w:br/>
        <w:t xml:space="preserve">      de 1989, después de reiteradas solicitudes, el Estado  señaló  que  se</w:t>
        <w:br/>
        <w:t xml:space="preserve">      seguía un proceso  judicial  ante  el  fuero  privativo  militar.   Se</w:t>
        <w:br/>
        <w:t xml:space="preserve">      comprobó posteriormente que el proceso había concluido el 20 de  julio</w:t>
        <w:br/>
        <w:t xml:space="preserve">      de 1989; y</w:t>
        <w:br/>
        <w:br/>
        <w:br/>
        <w:t xml:space="preserve">      c)    los peticionarios no tenían obligación de acudir al fuero  civil</w:t>
        <w:br/>
        <w:t xml:space="preserve">      ni de invocar los derechos regulados en el Código de esta materia para</w:t>
        <w:br/>
        <w:t xml:space="preserve">      que se declarara presuntamente muertos a los señores Durand  Ugarte  y</w:t>
        <w:br/>
        <w:t xml:space="preserve">      Ugarte Rivera, como pretende el Estado.   Al  respecto,  la  Corte  ha</w:t>
        <w:br/>
        <w:t xml:space="preserve">      dicho que los recursos  de  la  jurisdicción  interna  que  deben  ser</w:t>
        <w:br/>
        <w:t xml:space="preserve">      agotados  son  sólo  aquellos  que  resultan  adecuados  y  efectivos;</w:t>
        <w:br/>
        <w:t xml:space="preserve">      tratándose de desaparición forzada de personas el recurso aplicable es</w:t>
        <w:br/>
        <w:t xml:space="preserve">      el de exhibición personal  o  hábeas  corpus;  y  la  interposición  y</w:t>
        <w:br/>
        <w:t xml:space="preserve">      resolución de este recurso  con  resultados  negativos  satisface  los</w:t>
        <w:br/>
        <w:t xml:space="preserve">      requisitos establecidos en el artículo 46.1.a) de la Convención.</w:t>
        <w:br/>
        <w:br/>
        <w:t>33.   La Corte se ha pronunciado en otras oportunidades sobre el  objeto  de</w:t>
        <w:br/>
        <w:t>esta excepción y ha señalado que  el  no  agotamiento  de  recursos  es  una</w:t>
        <w:br/>
        <w:t>cuestión de pura admisibilidad y que el Estado que la alega está obligado  a</w:t>
        <w:br/>
        <w:t>indicar los recursos internos que deben agotarse, así como a probar que  los</w:t>
        <w:br/>
        <w:t>mismos son efectivos[2].</w:t>
        <w:br/>
        <w:br/>
        <w:t>34.   Asimismo, la Corte ha sostenido, reiteradamente,  al  referirse  a  la</w:t>
        <w:br/>
        <w:t>desaparición forzada de  personas,  que  la  exhibición  personal  o  hábeas</w:t>
        <w:br/>
        <w:t>corpus “sería normalmente el recurso adecuado  para  hallar  a  una  persona</w:t>
        <w:br/>
        <w:t>presuntamente detenida por las autoridades, averiguar si lo está  legalmente</w:t>
        <w:br/>
        <w:t>y, llegado el caso,  lograr  su  libertad”[3].   Este  Tribunal  también  ha</w:t>
        <w:br/>
        <w:t>señalado que el  recurso de hábeas corpus debe ser eficaz, es  decir,  capaz</w:t>
        <w:br/>
        <w:t>de producir el resultado para el que ha sido concebido[4].</w:t>
        <w:br/>
        <w:br/>
        <w:t>35.    La  Corte  considera  que  estos  criterios  son  aplicables   a   la</w:t>
        <w:br/>
        <w:t>desaparición de los señores Durand Ugarte y  Ugarte  Rivera,  y  manifiesta,</w:t>
        <w:br/>
        <w:t>además, que los procedimientos mencionados por  el  Estado  (declaración  de</w:t>
        <w:br/>
        <w:t>ausencia  y/o  muerte  presunta)  están  destinados   a   satisfacer   otros</w:t>
        <w:br/>
        <w:t>propósitos, relacionados con el régimen sucesorio, y no  al  esclarecimiento</w:t>
        <w:br/>
        <w:t>de una desaparición violatoria de los derechos humanos, y por  lo  tanto  no</w:t>
        <w:br/>
        <w:t>son idóneos para alcanzar el resultado que ahora se pretende[5].</w:t>
        <w:br/>
        <w:br/>
        <w:t>36.   Mediante el estudio de los hechos que concurren en el  presente  caso,</w:t>
        <w:br/>
        <w:t>la Corte ha constatado que la acción de hábeas  corpus  fue  interpuesta  en</w:t>
        <w:br/>
        <w:t>dos oportunidades:</w:t>
        <w:br/>
        <w:t xml:space="preserve">      a)    el 25 y el 26 de febrero  de  1986  la  señora  Virginia  Ugarte</w:t>
        <w:br/>
        <w:t xml:space="preserve">      Rivera interpuso recursos de hábeas corpus ante el Cuadragésimo  Sexto</w:t>
        <w:br/>
        <w:t xml:space="preserve">      Juzgado de Instrucción de Lima, en favor de Nolberto Durand  Ugarte  y</w:t>
        <w:br/>
        <w:t xml:space="preserve">      de Gabriel Pablo Ugarte Rivera, quienes fueron detenidos por efectivos</w:t>
        <w:br/>
        <w:t xml:space="preserve">      de la DIRCOTE el 14 y el 15 de febrero, respectivamente, inculpados de</w:t>
        <w:br/>
        <w:t xml:space="preserve">      terrorismo.  Según la Comisión, el trámite de  dichos  recursos  quedó</w:t>
        <w:br/>
        <w:t xml:space="preserve">      interrumpido por los motines que se produjeron el 18 de junio de  1986</w:t>
        <w:br/>
        <w:t xml:space="preserve">      en diversos centros penitenciarios peruanos; y</w:t>
        <w:br/>
        <w:br/>
        <w:br/>
        <w:t xml:space="preserve">      b)    el 26 de junio de 1986, luego del motín  que ocurrió  el  18  de</w:t>
        <w:br/>
        <w:t xml:space="preserve">      los mismos mes y año, la señora Virginia Ugarte Rivera interpuso  otra</w:t>
        <w:br/>
        <w:t xml:space="preserve">      acción de hábeas corpus ante el  Primer  Juzgado  de  Instrucción  del</w:t>
        <w:br/>
        <w:t xml:space="preserve">      Callao en favor de los señores Durand Ugarte y Ugarte Rivera.   El  27</w:t>
        <w:br/>
        <w:t xml:space="preserve">      de junio de 1986 ese Juzgado declaró improcedente dicha acción.  El 15</w:t>
        <w:br/>
        <w:t xml:space="preserve">      de julio de 1986 el Primer Tribunal Correccional del  Callao  confirmó</w:t>
        <w:br/>
        <w:t xml:space="preserve">      esta resolución.  El 13 de agosto de 1986 la Primera Sala Penal de  la</w:t>
        <w:br/>
        <w:t xml:space="preserve">      Corte Suprema de Justicia declaró no haber nulidad de la resolución de</w:t>
        <w:br/>
        <w:t xml:space="preserve">      15 de julio de 1986.   El  28  de  octubre  de  1986  el  Tribunal  de</w:t>
        <w:br/>
        <w:t xml:space="preserve">      Garantías Constitucionales  decidió  que  permanecía  “inalterable  la</w:t>
        <w:br/>
        <w:t xml:space="preserve">      resolución de la Primera Sala Penal de la Corte Suprema de Justicia  y</w:t>
        <w:br/>
        <w:t xml:space="preserve">      subsistía el derecho del demandante a replantear  la  acción”  (supra,</w:t>
        <w:br/>
        <w:t xml:space="preserve">      párr. 2.d).</w:t>
        <w:br/>
        <w:br/>
        <w:br/>
        <w:t>37.    Este  Tribunal  observa  que  las  primeras  acciones   de   garantía</w:t>
        <w:br/>
        <w:t>interpuestas estaban referidas a la privación de la libertad de los  señores</w:t>
        <w:br/>
        <w:t>Durand Ugarte y Ugarte Rivera cuando fueron detenidos por  efectivos  de  la</w:t>
        <w:br/>
        <w:t>DIRCOTE, mientras que la segunda está relacionada con su desaparición  luego</w:t>
        <w:br/>
        <w:t>de los hechos del 18 de junio de 1986.  En razón de lo  anterior,  la  Corte</w:t>
        <w:br/>
        <w:t>estima que la acción de hábeas corpus interpuesta el 26  de  junio  de  1986</w:t>
        <w:br/>
        <w:t>constituye el recurso por tener en cuenta para determinar  si  se  agotó  la</w:t>
        <w:br/>
        <w:t>jurisdicción interna, ya que dicha acción  fue  denegada,  luego  de  varias</w:t>
        <w:br/>
        <w:t>instancias, por el Tribunal  de  Garantías  Constitucionales  (supra,  párr.</w:t>
        <w:br/>
        <w:t>2.d).  En consecuencia, quedó demostrado que  en  este  caso  se  utilizó  y</w:t>
        <w:br/>
        <w:t>agotó el recurso interno correspondiente.</w:t>
        <w:br/>
        <w:br/>
        <w:t>38.   Además, la Corte advierte que la Comisión pidió información al  Estado</w:t>
        <w:br/>
        <w:t>sobre el agotamiento de los recursos internos el  19  de  mayo  de  1987,  y</w:t>
        <w:br/>
        <w:t>solamente el 29 de septiembre de 1989 el Estado informó a la Comisión  sobre</w:t>
        <w:br/>
        <w:t>la tramitación del caso en  el  fuero  militar.   Por  ello,  el  Estado  no</w:t>
        <w:br/>
        <w:t>planteó  la  cuestión  del  agotamiento  ante  la  Comisión  como  excepción</w:t>
        <w:br/>
        <w:t>preliminar, por lo que está  impedido  (estoppel)  para  hacerla  prevalecer</w:t>
        <w:br/>
        <w:t>ante este Tribunal.</w:t>
        <w:br/>
        <w:br/>
        <w:t>39.   Por lo expuesto, la Corte desestima la primera excepción preliminar.</w:t>
        <w:br/>
        <w:br/>
        <w:br/>
        <w:br/>
        <w:t xml:space="preserve">                                    VIII</w:t>
        <w:br/>
        <w:t xml:space="preserve">                        COSA DECIDIDA, COSA JUZGADA E</w:t>
        <w:br/>
        <w:t xml:space="preserve">                          INCOMPETENCIA DE LA CORTE</w:t>
        <w:br/>
        <w:t xml:space="preserve">                              Segunda Excepción</w:t>
        <w:br/>
        <w:br/>
        <w:t>40.   La segunda excepción presentada por el Estado se refiere  a  la  “cosa</w:t>
        <w:br/>
        <w:t>decidida por la Comisión”.</w:t>
        <w:br/>
        <w:br/>
        <w:t>41.   El Estado alegó que aun cuando  la  Comisión  ha  reconocido  que  los</w:t>
        <w:br/>
        <w:t>hechos que motivaron el presente caso y los correspondientes al  caso  Neira</w:t>
        <w:br/>
        <w:t>Alegría  y  otros  son  exactamente  los  mismos,  aquella  no  resolvió  la</w:t>
        <w:br/>
        <w:t>acumulación  formal  que  previene  el  artículo  40.2  de  su   Reglamento.</w:t>
        <w:br/>
        <w:t>Asimismo, señaló que existe identidad del Estado  como  parte  demandada  en</w:t>
        <w:br/>
        <w:t>ambos casos.</w:t>
        <w:br/>
        <w:br/>
        <w:t>42.   A su vez,  la  Comisión  argumentó  que,  aun  cuando  algunos  hechos</w:t>
        <w:br/>
        <w:t>señalados en el presente caso son los mismos que  fueron  examinados  en  el</w:t>
        <w:br/>
        <w:t>caso Neira Alegría y otros, se trata de  distintas  personas  en  cada  uno.</w:t>
        <w:br/>
        <w:t>Señaló, además, que en el caso que nos ocupa no  se  presenta  la  hipótesis</w:t>
        <w:br/>
        <w:t>del artículo 40.2 de su  Reglamento,  el  cual  establece  que  “cuando  dos</w:t>
        <w:br/>
        <w:t>peticiones versen sobre los mismos  hechos  y  personas,  serán  reunidas  y</w:t>
        <w:br/>
        <w:t>tramitadas en un mismo expediente”. Por otra parte, adujo que si  el  Estado</w:t>
        <w:br/>
        <w:t>tenía interés en la acumulación  de  los  casos  Durand  y  Ugarte  y  Neira</w:t>
        <w:br/>
        <w:t>Alegría  y  otros,  pudo  solicitarlo  durante  el  procedimiento  ante   la</w:t>
        <w:br/>
        <w:t>Comisión.  Al no  hacerlo,  el  Estado  quedó  procesalmente  impedido  para</w:t>
        <w:br/>
        <w:t>cuestionar la no acumulación.</w:t>
        <w:br/>
        <w:br/>
        <w:t>43.   La Corte señala que en este caso  no  se  presenta  la  situación  que</w:t>
        <w:br/>
        <w:t>prevé el citado artículo 40.2 del Reglamento de la Comisión.  Este  artículo</w:t>
        <w:br/>
        <w:t>alude a una doble identidad: a) de hechos, y b) de  personas.   Se  entiende</w:t>
        <w:br/>
        <w:t>que el concepto de “hechos” corresponde  a  la  conducta  o  el  suceso  que</w:t>
        <w:br/>
        <w:t>implicaron violación de un  derecho  humano.   A  su  vez,  el  concepto  de</w:t>
        <w:br/>
        <w:t>“personas” tiene que ver con los sujetos activos y pasivos de la  violación,</w:t>
        <w:br/>
        <w:t>y principalmente con estos últimos,  es  decir,  las  víctimas.   Los  casos</w:t>
        <w:br/>
        <w:t>Neira Alegría y otros, por una parte, y Durand y Ugarte,  por  la  otra,  se</w:t>
        <w:br/>
        <w:t>relacionan con los mismos hechos: los sucesos acaecidos en El Frontón;  pero</w:t>
        <w:br/>
        <w:t>difieren,  evidentemente,  en  cuanto  a  las  personas  que  figuran   como</w:t>
        <w:br/>
        <w:t>supuestas víctimas.</w:t>
        <w:br/>
        <w:br/>
        <w:t>44.   En virtud de lo expuesto, la  Corte  desestima  la  segunda  excepción</w:t>
        <w:br/>
        <w:t>preliminar.</w:t>
        <w:br/>
        <w:br/>
        <w:br/>
        <w:t xml:space="preserve">                              Tercera Excepción</w:t>
        <w:br/>
        <w:br/>
        <w:t>45.   La tercera excepción interpuesta por el Estado se refiere a  la  “cosa</w:t>
        <w:br/>
        <w:t xml:space="preserve">      juzgada”.</w:t>
        <w:br/>
        <w:br/>
        <w:t>46.   Para fundamentar dicha excepción, el Estado alegó que el 19  de  enero</w:t>
        <w:br/>
        <w:t>de 1995 la Corte dictó sentencia en el  caso  Neira  Alegría  y  otros  (No.</w:t>
        <w:br/>
        <w:t>10.078) y condenó al Estado por los mismos hechos y materia considerados  en</w:t>
        <w:br/>
        <w:t>este caso y  que  en  aplicación  del  principio  non  bis  in  idem  ningún</w:t>
        <w:br/>
        <w:t>organismo internacional tiene competencia para conocer del presente caso.</w:t>
        <w:br/>
        <w:br/>
        <w:t>47.   Por su  parte,  la  Comisión  señaló  que  esta  excepción  carece  de</w:t>
        <w:br/>
        <w:t>fundamento y es absolutamente inaplicable, porque la sentencia  dictada  por</w:t>
        <w:br/>
        <w:t>la Corte en el caso  Neira  Alegría  y  otros  no  constituye  cosa  juzgada</w:t>
        <w:br/>
        <w:t>respecto de los peticionarios del caso Durand y Ugarte.  Agregó  que  cuando</w:t>
        <w:br/>
        <w:t>se invoca la violación del  principio  non  bis  in  idem,  deben  cumplirse</w:t>
        <w:br/>
        <w:t>varios supuestos, uno de los cuales es la identidad de sujetos,  lo  que  no</w:t>
        <w:br/>
        <w:t>ocurre en este caso.  La sentencia dictada en el caso Neira Alegría y  otros</w:t>
        <w:br/>
        <w:t>no tiene efecto “ultra partes”.</w:t>
        <w:br/>
        <w:br/>
        <w:t>48.   La Corte observa que la titularidad de los derechos humanos reside  en</w:t>
        <w:br/>
        <w:t>cada individuo, y que por  ello  la  violación  de  los  derechos  debe  ser</w:t>
        <w:br/>
        <w:t>analizada de manera asimismo individual.  El juicio que  se  formula  acerca</w:t>
        <w:br/>
        <w:t>de un caso no prejuzga sobre otros, cuando son diferentes los  titulares  de</w:t>
        <w:br/>
        <w:t>los derechos, aunque los hechos violatorios sean comunes.  El presente  caso</w:t>
        <w:br/>
        <w:t>recoge hechos considerados en  el  caso  Neira  Alegría  y  otros,  pero  se</w:t>
        <w:br/>
        <w:t>refiere a violaciones en agravio de personas diferentes, como  se  hizo  ver</w:t>
        <w:br/>
        <w:t>en el examen de la excepción anterior  (supra,  párr.  43),  ya  que  en  la</w:t>
        <w:br/>
        <w:t>especie las supuestas víctimas  son  los  señores  Durand  Ugarte  y  Ugarte</w:t>
        <w:br/>
        <w:t>Rivera, quienes fueron ajenos a la demanda relativa al caso Neira Alegría  y</w:t>
        <w:br/>
        <w:t>otros.</w:t>
        <w:br/>
        <w:br/>
        <w:t>49.   Por lo tanto, se desestima la tercera excepción preliminar.</w:t>
        <w:br/>
        <w:br/>
        <w:t xml:space="preserve">                              Quinta Excepción</w:t>
        <w:br/>
        <w:br/>
        <w:t>50.   La quinta  excepción  interpuesta  por  el  Estado  se  refiere  a  la</w:t>
        <w:br/>
        <w:t>“incompetencia” de la Corte Interamericana.</w:t>
        <w:br/>
        <w:br/>
        <w:t>51.   La Corte resume de la siguiente manera los argumentos del Estado  para</w:t>
        <w:br/>
        <w:t>fundamentar dicha excepción:</w:t>
        <w:br/>
        <w:br/>
        <w:t xml:space="preserve">      a)    indicó que se “han desnaturalizado los fines, competencia  y  la</w:t>
        <w:br/>
        <w:t xml:space="preserve">      jurisdicción de la Corte [...] a la  que  se  pretende  recurrir  para</w:t>
        <w:br/>
        <w:t xml:space="preserve">      resolver asuntos de índole indemnizatorio, sin un proceso [en el  que]</w:t>
        <w:br/>
        <w:t xml:space="preserve">      específicamente se pronuncie sobre la responsabilidad de  cumplimiento</w:t>
        <w:br/>
        <w:t xml:space="preserve">      de compromisos en materia de derechos humanos sobre hechos distintos a</w:t>
        <w:br/>
        <w:t xml:space="preserve">      los ya conocidos y resueltos”;</w:t>
        <w:br/>
        <w:br/>
        <w:br/>
        <w:t xml:space="preserve">      b)    agregó que “existe un pre-juzgamiento de los mismos  hechos  que</w:t>
        <w:br/>
        <w:t xml:space="preserve">      motivan el presente caso por parte de  la  Corte  Interamericana;  por</w:t>
        <w:br/>
        <w:t xml:space="preserve">      consiguiente esta Instancia Supra-Nacional, en este asunto, carece  de</w:t>
        <w:br/>
        <w:t xml:space="preserve">      objetividad y discrecionalidad por tener que ceñirse a su calificación</w:t>
        <w:br/>
        <w:t xml:space="preserve">      precedente”; y</w:t>
        <w:br/>
        <w:br/>
        <w:br/>
        <w:t xml:space="preserve">      c)    alegó durante la audiencia pública que la  vía  nacional  estaba</w:t>
        <w:br/>
        <w:t xml:space="preserve">      expedita para recibir los reclamos de los supuestos  agraviados,  pero</w:t>
        <w:br/>
        <w:t xml:space="preserve">      éstos no la han utilizado.</w:t>
        <w:br/>
        <w:br/>
        <w:t>52.   Con respecto a esta excepción, la Comisión señaló que la  presentación</w:t>
        <w:br/>
        <w:t>de  un  caso  no  puede  desnaturalizar  los  fines,  la  competencia  y  la</w:t>
        <w:br/>
        <w:t>jurisdicción de la Corte.  Se remitió a lo expresado sobre este punto en  la</w:t>
        <w:br/>
        <w:t>excepción de falta  de  agotamiento  de  los  recursos  internos.   Sostuvo,</w:t>
        <w:br/>
        <w:t>además, que no es verdad  que  exista  un  prejuzgamiento  de  la  Corte  en</w:t>
        <w:br/>
        <w:t>relación con los mismos hechos que motivaron la demanda, porque si  bien  la</w:t>
        <w:br/>
        <w:t>Corte ha “establecido un precedente en un caso  similar  pero  distinto  del</w:t>
        <w:br/>
        <w:t>caso 10.009”, el  que  nos  ocupa  “configura  una  situación  completamente</w:t>
        <w:br/>
        <w:t>diferente” de la planteada por el Estado.  La consideración de un  caso  con</w:t>
        <w:br/>
        <w:t>base en hechos similares a los de otro  ya  decidido  no  puede  alterar  la</w:t>
        <w:br/>
        <w:t>objetividad o discrecionalidad de la Corte.</w:t>
        <w:br/>
        <w:br/>
        <w:t>53.   La Corte ha señalado ya  (supra,  párr.  43)  que  la  demanda  en  el</w:t>
        <w:br/>
        <w:t>presente caso se refiere a personas diferentes de  las  consideradas  en  el</w:t>
        <w:br/>
        <w:t>caso Neira Alegría y otros.</w:t>
        <w:br/>
        <w:br/>
        <w:t>54.   Por lo expuesto anteriormente, la Corte resuelve desestimar la  quinta</w:t>
        <w:br/>
        <w:t>excepción preliminar.</w:t>
        <w:br/>
        <w:br/>
        <w:br/>
        <w:t xml:space="preserve">                                     IX</w:t>
        <w:br/>
        <w:t xml:space="preserve">                                  CADUCIDAD</w:t>
        <w:br/>
        <w:t xml:space="preserve">                              Cuarta Excepción</w:t>
        <w:br/>
        <w:br/>
        <w:t>55.   La cuarta excepción opuesta por el Estado se refiere a  la  “caducidad</w:t>
        <w:br/>
        <w:t>del petitorio”.</w:t>
        <w:br/>
        <w:br/>
        <w:t>56.   La Corte resume de la siguiente manera los argumentos del Estado:</w:t>
        <w:br/>
        <w:br/>
        <w:t xml:space="preserve">      a)    en la denuncia no se indicaron los recursos interpuestos  en  el</w:t>
        <w:br/>
        <w:t xml:space="preserve">      derecho interno, y sólo después de tres años,  el  14  de  febrero  de</w:t>
        <w:br/>
        <w:t xml:space="preserve">      1990, los peticionarios mencionaron haber  interpuesto  la  acción  de</w:t>
        <w:br/>
        <w:t xml:space="preserve">      hábeas corpus; y</w:t>
        <w:br/>
        <w:br/>
        <w:br/>
        <w:t xml:space="preserve">      b)    la denuncia fue presentada extemporáneamente.  Al  respecto,  el</w:t>
        <w:br/>
        <w:t xml:space="preserve">      Estado hace referencia a dos fechas:  la primera, los días 18 ó 19  de</w:t>
        <w:br/>
        <w:t xml:space="preserve">      junio de 1986, cuando ocurrieron los hechos en El Frontón, y la  otra,</w:t>
        <w:br/>
        <w:t xml:space="preserve">      el 7 de junio de 1990, en que la Comisión requirió por última  vez  al</w:t>
        <w:br/>
        <w:t xml:space="preserve">      Estado información sobre el agotamiento de los recursos internos.   Al</w:t>
        <w:br/>
        <w:t xml:space="preserve">      respecto, “si se toma los días 18 ó 19 de junio de 1986, como fecha de</w:t>
        <w:br/>
        <w:t xml:space="preserve">      inicio del plazo, teniendo en cuenta que  la  denuncia  no  señala  la</w:t>
        <w:br/>
        <w:t xml:space="preserve">      situación excepcional de imposibilidad o impedimento para hacer uso de</w:t>
        <w:br/>
        <w:t xml:space="preserve">      recursos internos, la petición  resulta  extemporánea  por  cuanto  la</w:t>
        <w:br/>
        <w:t xml:space="preserve">      Comisión Interamericana recibió la denuncia recién el 27 de  abril  de</w:t>
        <w:br/>
        <w:t xml:space="preserve">      1987”.  En la audiencia pública el Estado reiteró que la denuncia  fue</w:t>
        <w:br/>
        <w:t xml:space="preserve">      formulada cuando ya había transcurrido  el  plazo  establecido  en  el</w:t>
        <w:br/>
        <w:t xml:space="preserve">      artículo 38 del Reglamento de la Comisión.</w:t>
        <w:br/>
        <w:br/>
        <w:br/>
        <w:t xml:space="preserve">      Asimismo, indicó que “si se toma el 7 de junio de 1990 como  fecha  de</w:t>
        <w:br/>
        <w:t xml:space="preserve">      inicio del plazo, ya que la Comisión Interamericana no tenía  definida</w:t>
        <w:br/>
        <w:t xml:space="preserve">      hasta esa oportunidad el cumplimiento del requisito de agotamiento  de</w:t>
        <w:br/>
        <w:t xml:space="preserve">      los recursos de Jurisdicción interna, la denuncia  -con  mayor  razón-</w:t>
        <w:br/>
        <w:t xml:space="preserve">      resulta extemporánea”.</w:t>
        <w:br/>
        <w:br/>
        <w:t>57.   La Corte sintetiza los  argumentos  de  la  Comisión  como  se  indica</w:t>
        <w:br/>
        <w:t>enseguida:</w:t>
        <w:br/>
        <w:br/>
        <w:t xml:space="preserve">      a)    después de nueve años de iniciada la tramitación  del  caso,  el</w:t>
        <w:br/>
        <w:t xml:space="preserve">      Estado no puede alegar que los peticionarios no señalaron los recursos</w:t>
        <w:br/>
        <w:t xml:space="preserve">      que habían promovido en la jurisdicción interna.  El recurso de hábeas</w:t>
        <w:br/>
        <w:t xml:space="preserve">      corpus fue interpuesto por la  señora  Virginia  Ugarte  Rivera  y  se</w:t>
        <w:br/>
        <w:t xml:space="preserve">      tramitó ante el Primer Juzgado de Instrucción del Callao, y el  Estado</w:t>
        <w:br/>
        <w:t xml:space="preserve">      conocía la existencia y la tramitación del mismo.  En consecuencia, el</w:t>
        <w:br/>
        <w:t xml:space="preserve">      Estado estaba debidamente  informado  de  que  los  peticionarios,  al</w:t>
        <w:br/>
        <w:t xml:space="preserve">      presentar la denuncia, habían interpuesto y agotado los recursos de la</w:t>
        <w:br/>
        <w:t xml:space="preserve">      jurisdicción interna, según  el  artículo  46.1.a)  de  la  Convención</w:t>
        <w:br/>
        <w:t xml:space="preserve">      Americana;</w:t>
        <w:br/>
        <w:br/>
        <w:br/>
        <w:t xml:space="preserve">      b)    el  Estado  formuló  diversas  apreciaciones  derivadas  de  una</w:t>
        <w:br/>
        <w:t xml:space="preserve">      aparente confusión conceptual sobre la forma en que deben contarse los</w:t>
        <w:br/>
        <w:t xml:space="preserve">      plazos e incurrió en una contradicción al  aludir  a  la  presentación</w:t>
        <w:br/>
        <w:t xml:space="preserve">      extemporánea de la denuncia.   El  26  de  junio  de  1986  la  señora</w:t>
        <w:br/>
        <w:t xml:space="preserve">      Virginia Ugarte Rivera interpuso un recurso de hábeas corpus  ante  el</w:t>
        <w:br/>
        <w:t xml:space="preserve">      Primer Juzgado de Instrucción del  Callao  en  favor  de  los  señores</w:t>
        <w:br/>
        <w:t xml:space="preserve">      Durand Ugarte y Ugarte Rivera con motivo de la falta de noticias sobre</w:t>
        <w:br/>
        <w:t xml:space="preserve">      el paradero de ambas personas, recurso que fue declarado  improcedente</w:t>
        <w:br/>
        <w:t xml:space="preserve">      el 27 de junio de 1986.  Luego de otras instancias, el 28  de  octubre</w:t>
        <w:br/>
        <w:t xml:space="preserve">      de  1986  el  Tribunal  de  Garantías  Constitucionales  declaró   que</w:t>
        <w:br/>
        <w:t xml:space="preserve">      permanecía inalterable la decisión  adversa  al  hábeas  corpus.   Por</w:t>
        <w:br/>
        <w:t xml:space="preserve">      ende, se abrió la posibilidad de que los peticionarios acudiesen a  la</w:t>
        <w:br/>
        <w:t xml:space="preserve">      Comisión Interamericana.  Fue así que éstos presentaron la denuncia el</w:t>
        <w:br/>
        <w:t xml:space="preserve">      27 de abril de 1987, dentro  del  plazo  establecido  en  el  artículo</w:t>
        <w:br/>
        <w:t xml:space="preserve">      46.1.b) de la Convención.  El 19 de mayo del  mismo  año  la  Comisión</w:t>
        <w:br/>
        <w:t xml:space="preserve">      remitió al Estado las partes pertinentes de dicha denuncia.</w:t>
        <w:br/>
        <w:br/>
        <w:br/>
        <w:t xml:space="preserve">      c)     aun  cuando  se  solicitó  al  Estado,  en  varias   ocasiones,</w:t>
        <w:br/>
        <w:t xml:space="preserve">      información sobre los casos Durand y Ugarte y Neira Alegría  y  otros,</w:t>
        <w:br/>
        <w:t xml:space="preserve">      aquél se abstuvo de responder hasta el 29  de  septiembre  de  1989  e</w:t>
        <w:br/>
        <w:t xml:space="preserve">      indicó que los hechos relativos a esos casos se encontraban sujetos  a</w:t>
        <w:br/>
        <w:t xml:space="preserve">      proceso judicial ante el fuero privativo militar y que, por  ende,  no</w:t>
        <w:br/>
        <w:t xml:space="preserve">      se había agotado la  jurisdicción  interna.   El  Juzgado  Segundo  de</w:t>
        <w:br/>
        <w:t xml:space="preserve">      Instrucción Permanente de Marina inició un proceso para determinar  la</w:t>
        <w:br/>
        <w:t xml:space="preserve">      posible responsabilidad del personal de Marina  que  participó  en  la</w:t>
        <w:br/>
        <w:t xml:space="preserve">      debelación.  El 6 de  julio  de  1987  se  sobreseyó  la  causa  y  se</w:t>
        <w:br/>
        <w:t xml:space="preserve">      determinó que no existía responsabilidad de los  encausados,  decisión</w:t>
        <w:br/>
        <w:t xml:space="preserve">      que fue confirmada el 16 de los mismos mes y año.  Dicho  proceso  fue</w:t>
        <w:br/>
        <w:t xml:space="preserve">      reabierto y concluyó definitivamente el 20 de julio de  1989.   De  lo</w:t>
        <w:br/>
        <w:t xml:space="preserve">      anterior se desprende que cuando el Estado presentó información  a  la</w:t>
        <w:br/>
        <w:t xml:space="preserve">      Comisión,  en  septiembre  de  1989,  ya  no  existía  proceso  alguno</w:t>
        <w:br/>
        <w:t xml:space="preserve">      destinado a identificar a las personas desaparecidas o a determinar la</w:t>
        <w:br/>
        <w:t xml:space="preserve">      responsabilidad por las violaciones cometidas durante el  develamiento</w:t>
        <w:br/>
        <w:t xml:space="preserve">      del motín; y</w:t>
        <w:br/>
        <w:br/>
        <w:br/>
        <w:t xml:space="preserve">      d)    el Estado está impedido para plantear la presente excepción,  no</w:t>
        <w:br/>
        <w:t xml:space="preserve">      sólo por haber  transcurrido  en  exceso  el  “plazo  razonable”  para</w:t>
        <w:br/>
        <w:t xml:space="preserve">      oponerla, sino también porque quebrantó el principio de  buena  fe  al</w:t>
        <w:br/>
        <w:t xml:space="preserve">      cambiar frente  a  la  Corte  la  posición   que  mantuvo  durante  el</w:t>
        <w:br/>
        <w:t xml:space="preserve">      procedimiento  ante  la   Comisión.    Cuando   el   Estado   presentó</w:t>
        <w:br/>
        <w:t xml:space="preserve">      informaciones  a  ésta,  señaló  la   existencia   de   procedimientos</w:t>
        <w:br/>
        <w:t xml:space="preserve">      pendientes y no se refirió a los hechos denunciados ni a  la  supuesta</w:t>
        <w:br/>
        <w:t xml:space="preserve">      inadmisibilidad de la denuncia, por lo que ahora no  puede  aducir  la</w:t>
        <w:br/>
        <w:t xml:space="preserve">      inobservancia  del  plazo  fijado  en  el  artículo  46.1.b)   de   la</w:t>
        <w:br/>
        <w:t xml:space="preserve">      Convención.</w:t>
        <w:br/>
        <w:br/>
        <w:br/>
        <w:t xml:space="preserve">      Durante la audiencia pública la Comisión indicó que  el  Estado  había</w:t>
        <w:br/>
        <w:t xml:space="preserve">      formulado excepciones contradictorias, ya que por un lado alegó que no</w:t>
        <w:br/>
        <w:t xml:space="preserve">      se agotaron los recursos de la jurisdicción interna y por  otro  adujo</w:t>
        <w:br/>
        <w:t xml:space="preserve">      la caducidad de la acción.</w:t>
        <w:br/>
        <w:br/>
        <w:t>58.   En cuanto a la caducidad que sostiene el Estado, la Corte observa  que</w:t>
        <w:br/>
        <w:t>este alegato contradice lo expresado acerca del agotamiento de los  recursos</w:t>
        <w:br/>
        <w:t>internos; como lo ha señalado en otras oportunidades, estas  contradicciones</w:t>
        <w:br/>
        <w:t>en los  alegatos  ante  el  Tribunal  en  nada  contribuyen  a  la  economía</w:t>
        <w:br/>
        <w:t>procesal[6] y a la buena fe que debe regir  el  procedimiento[7].   En  todo</w:t>
        <w:br/>
        <w:t>caso, la  Corte  considera  que  el  Estado  debió  plantear  la  caducidad,</w:t>
        <w:br/>
        <w:t>expresamente, en la primera etapa del  procedimiento,  para  oponerse  a  la</w:t>
        <w:br/>
        <w:t>denuncia formulada ante la Comisión Interamericana el 27 de abril de 1987.</w:t>
        <w:br/>
        <w:br/>
        <w:t>59.   Asimismo, la Corte considera  que  los  recursos  de  derecho  interno</w:t>
        <w:br/>
        <w:t>fueron agotados el 28 de octubre de 1986 cuando  el  Tribunal  de  Garantías</w:t>
        <w:br/>
        <w:t>Constitucionales resolvió en última instancia la  acción  de  hábeas  corpus</w:t>
        <w:br/>
        <w:t>interpuesta a favor de los señores Durand Ugarte  y  Ugarte  Rivera  (supra,</w:t>
        <w:br/>
        <w:t>párr. 2.d).  No existe la supuesta caducidad, por cuanto  la  denuncia  ante</w:t>
        <w:br/>
        <w:t>la Comisión fue interpuesta el 27 de abril de 1987,  es  decir,  dentro  del</w:t>
        <w:br/>
        <w:t>plazo de seis meses  previsto  en  el  artículo  46.1.b)  de  la  Convención</w:t>
        <w:br/>
        <w:t>Americana.</w:t>
        <w:br/>
        <w:br/>
        <w:t>60.   Por ello, la Corte desestima la cuarta excepción preliminar.</w:t>
        <w:br/>
        <w:br/>
        <w:br/>
        <w:t xml:space="preserve">                                      X</w:t>
        <w:br/>
        <w:t xml:space="preserve">              DEFECTO LEGAL, FALTA DE LEGITIMIDAD PARA OBRAR Y</w:t>
        <w:br/>
        <w:t xml:space="preserve">                             FALTA DE PERSONERÍA</w:t>
        <w:br/>
        <w:t xml:space="preserve">                               Sexta Excepción</w:t>
        <w:br/>
        <w:br/>
        <w:t>61.   La sexta excepción presentada por el Estado  se  refiere  al  “defecto</w:t>
        <w:br/>
        <w:t>legal, falta de legitimidad para obrar y falta  de  personería  (nulidad  de</w:t>
        <w:br/>
        <w:t>actuados que se llevó adelante ante la Comisión Interamericana  de  Derechos</w:t>
        <w:br/>
        <w:t>Humanos por las [...] omisiones e irregularidades incurridas)”.</w:t>
        <w:br/>
        <w:br/>
        <w:t>62.   La Corte resume como sigue los argumentos del Estado para  fundamentar</w:t>
        <w:br/>
        <w:t>dicha excepción:</w:t>
        <w:br/>
        <w:br/>
        <w:t xml:space="preserve">      a)    la Comisión omitió el trámite de arreglo amistoso, ya  que  éste</w:t>
        <w:br/>
        <w:t xml:space="preserve">      debe ser planteado en el mismo caso  de  que  se  trata  y  no  en  un</w:t>
        <w:br/>
        <w:t xml:space="preserve">      procedimiento distinto, como lo era el referente al caso Neira Alegría</w:t>
        <w:br/>
        <w:t xml:space="preserve">      y otros.</w:t>
        <w:br/>
        <w:br/>
        <w:br/>
        <w:t xml:space="preserve">      b)    de acuerdo con el artículo 47  de  la  Convención,  la  Comisión</w:t>
        <w:br/>
        <w:t xml:space="preserve">      debió haber declarado inadmisible toda petición que no  cumpliera  los</w:t>
        <w:br/>
        <w:t xml:space="preserve">      requisitos señalados en el artículo 46.a) de aquella;</w:t>
        <w:br/>
        <w:br/>
        <w:br/>
        <w:t xml:space="preserve">      c)    el Informe No. 15/96,  aprobado  por  la  Comisión,  es  nulo  e</w:t>
        <w:br/>
        <w:t xml:space="preserve">      insubsistente de acuerdo con el artículo 19.2  del  Reglamento  de  la</w:t>
        <w:br/>
        <w:t xml:space="preserve">      propia Comisión.  Los miembros de ésta  no  pueden  participar  en  la</w:t>
        <w:br/>
        <w:t xml:space="preserve">      “discusión, investigación,  deliberación  o  decisión  de  un  asunto”</w:t>
        <w:br/>
        <w:t xml:space="preserve">      cuando “previamente hubiesen participado a cualquier título en  alguna</w:t>
        <w:br/>
        <w:t xml:space="preserve">      decisión sobre los mismos hechos en que  se  funda  el  asunto  o  han</w:t>
        <w:br/>
        <w:t xml:space="preserve">      actuado como consejeros o representantes  de  algunas  de  las  partes</w:t>
        <w:br/>
        <w:t xml:space="preserve">      interesadas en la decisión”; y</w:t>
        <w:br/>
        <w:br/>
        <w:br/>
        <w:t xml:space="preserve">      d)    de acuerdo con el artículo 39 del  Reglamento  de  la  Comisión,</w:t>
        <w:br/>
        <w:t xml:space="preserve">      ésta no puede considerar una petición cuando la materia  de  la  misma</w:t>
        <w:br/>
        <w:t xml:space="preserve">      “sea sustancialmente la reproducción de una petición  pendiente  o  ya</w:t>
        <w:br/>
        <w:t xml:space="preserve">      examinada y resuelta por la Comisión u  otro  Organismo  Internacional</w:t>
        <w:br/>
        <w:t xml:space="preserve">      Gubernamental [en] que sea parte el Estado aludido”.  En este caso  la</w:t>
        <w:br/>
        <w:t xml:space="preserve">      Comisión “ha dejado de ser una instancia deliberante, una instancia de</w:t>
        <w:br/>
        <w:t xml:space="preserve">      investigación,  una  instancia  de  discusión  y  una   instancia   de</w:t>
        <w:br/>
        <w:t xml:space="preserve">      decisión”, ya que carece de facultades para ello  de  acuerdo  con  la</w:t>
        <w:br/>
        <w:t xml:space="preserve">      disposición  mencionada.   Agregó  que  la  Comisión  interrumpió   la</w:t>
        <w:br/>
        <w:t xml:space="preserve">      tramitación del presente caso en 1990, con el  objeto  de  esperar  la</w:t>
        <w:br/>
        <w:t xml:space="preserve">      decisión final de la Corte en el caso Neira Alegría y otros, sin tomar</w:t>
        <w:br/>
        <w:t xml:space="preserve">      en cuenta los principios de celeridad y economía procesal.</w:t>
        <w:br/>
        <w:br/>
        <w:t>63.   La Corte sintetiza, como a continuación se indica, los  argumentos  de</w:t>
        <w:br/>
        <w:t>la Comisión sobre la excepción que aquí se analiza:</w:t>
        <w:br/>
        <w:br/>
        <w:t xml:space="preserve">      a)    el Estado  opuso  varias  excepciones  relativas  a  los  mismos</w:t>
        <w:br/>
        <w:t xml:space="preserve">      puntos.  El Estado mencionó el incumplimiento por parte de la Comisión</w:t>
        <w:br/>
        <w:t xml:space="preserve">      de los trámites de arreglo amistoso en el caso Neira Alegría y  otros,</w:t>
        <w:br/>
        <w:t xml:space="preserve">      y no en el presente caso,  como  correspondía  hacerlo.   Teniendo  en</w:t>
        <w:br/>
        <w:t xml:space="preserve">      cuenta la identidad de los hechos en los casos Neira Alegría y otros y</w:t>
        <w:br/>
        <w:t xml:space="preserve">      Durand y Ugarte, la Comisión propuso  al  Estado  peruano,  el  14  de</w:t>
        <w:br/>
        <w:t xml:space="preserve">      febrero de  1995,  iniciar  el  procedimiento  de  solución  amistosa,</w:t>
        <w:br/>
        <w:t xml:space="preserve">      mediante el pago de una indemnización compensatoria a  los  familiares</w:t>
        <w:br/>
        <w:t xml:space="preserve">      de los señores Durand Ugarte y Ugarte Rivera.  Sin embargo, el  Estado</w:t>
        <w:br/>
        <w:t xml:space="preserve">      no respondió a este planteamiento.  Si el Estado estaba interesado  en</w:t>
        <w:br/>
        <w:t xml:space="preserve">      una solución amistosa, pudo haberla solicitado, de conformidad con  el</w:t>
        <w:br/>
        <w:t xml:space="preserve">      artículo 45.1 del Reglamento de la Comisión; y</w:t>
        <w:br/>
        <w:br/>
        <w:br/>
        <w:t xml:space="preserve">      b)    la excepción de duplicidad de  procedimientos  es  improcedente.</w:t>
        <w:br/>
        <w:t xml:space="preserve">      El presente caso no se encuentra pendiente de otro  arreglo  ante  una</w:t>
        <w:br/>
        <w:t xml:space="preserve">      “organización internacional gubernamental” de  la  que  sea  parte  el</w:t>
        <w:br/>
        <w:t xml:space="preserve">      Estado, ni constituye la reproducción de una denuncia pendiente  o  ya</w:t>
        <w:br/>
        <w:t xml:space="preserve">      resuelta por la Comisión o por otro organismo  internacional  del  que</w:t>
        <w:br/>
        <w:t xml:space="preserve">      sea parte el Estado peruano.</w:t>
        <w:br/>
        <w:br/>
        <w:t>64.   En lo que se refiere a la solución amistosa,  este  Tribunal  recuerda</w:t>
        <w:br/>
        <w:t>lo señalado en otras ocasiones, en el  sentido  de  que  la  Comisión  tiene</w:t>
        <w:br/>
        <w:t>facultades  discrecionales,  aunque  de  ninguna  manera  arbitrarias,  para</w:t>
        <w:br/>
        <w:t>promover  la  solución  amistosa  de  un  asunto,   valorando   si   resulta</w:t>
        <w:br/>
        <w:t>conveniente o adecuado dicho procedimiento en beneficio del  respeto  a  los</w:t>
        <w:br/>
        <w:t>derechos  humanos[8].   En  el  presente  caso,  la  Comisión  acreditó  que</w:t>
        <w:br/>
        <w:t>mediante nota del 14 de febrero de  1995  promovió  el  arreglo  amistoso  a</w:t>
        <w:br/>
        <w:t>través de un pago indemnizatorio a favor de los familiares  de  los  señores</w:t>
        <w:br/>
        <w:t>Durand Ugarte y Ugarte Rivera, pero no recibió respuesta alguna del Estado.</w:t>
        <w:br/>
        <w:br/>
        <w:t>65.   En cuanto al cumplimiento de los requisitos del  artículo  46.1.a)  de</w:t>
        <w:br/>
        <w:t>la Convención, este Tribunal se remite a lo señalado al resolver la  primera</w:t>
        <w:br/>
        <w:t>excepción  (supra,  párrs.  37  y  38),  y  considera  que  no  se  presentó</w:t>
        <w:br/>
        <w:t>duplicidad de procedimientos.</w:t>
        <w:br/>
        <w:br/>
        <w:t>66.   Por ello, la Corte desestima la sexta excepción preliminar.</w:t>
        <w:br/>
        <w:br/>
        <w:br/>
        <w:t xml:space="preserve">                              Séptima Excepción</w:t>
        <w:br/>
        <w:br/>
        <w:t>67.   La séptima excepción interpuesta por el Estado se refiere a la  “falta</w:t>
        <w:br/>
        <w:t>de personería de la Comisión”.</w:t>
        <w:br/>
        <w:br/>
        <w:t>68.   El Estado alegó que la Comisión no podía emitir un  informe  sobre  un</w:t>
        <w:br/>
        <w:t>asunto en el que anteriormente  había  actuado  como  parte  ante  la  Corte</w:t>
        <w:br/>
        <w:t>Interamericana.  Tampoco podía formular pronunciamientos sobre  un  caso  ya</w:t>
        <w:br/>
        <w:t>resuelto por un organismo internacional, como es la Corte.</w:t>
        <w:br/>
        <w:br/>
        <w:t>69.   La Comisión argumentó que el  Estado  reiteró  en  esta  excepción  lo</w:t>
        <w:br/>
        <w:t>manifestado en la sexta excepción, y se remitió a lo expresado con  respecto</w:t>
        <w:br/>
        <w:t>a este tema en el escrito de observaciones a las excepciones preliminares.</w:t>
        <w:br/>
        <w:br/>
        <w:t>70.   La Corte, al analizar la segunda, la tercera y  la  sexta  excepciones</w:t>
        <w:br/>
        <w:t>interpuestas por el Estado, se refirió  a  lo  alegado  con  respecto  a  la</w:t>
        <w:br/>
        <w:t>excepción en consideración, por  lo  que  estima  innecesario  reiterar  las</w:t>
        <w:br/>
        <w:t>consideraciones previamente formuladas.</w:t>
        <w:br/>
        <w:br/>
        <w:t>71.    En consecuencia, la Corte resuelve desestimar  la  séptima  excepción</w:t>
        <w:br/>
        <w:t>preliminar.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br/>
        <w:t>72.   Por tanto,</w:t>
        <w:br/>
        <w:br/>
        <w:t>LA CORTE,</w:t>
        <w:br/>
        <w:br/>
        <w:t>DECIDE:</w:t>
        <w:br/>
        <w:br/>
        <w:t>por seis votos contra uno,</w:t>
        <w:br/>
        <w:br/>
        <w:t>1.    Desestimar la primera excepción preliminar opuesta por el  Estado  del</w:t>
        <w:br/>
        <w:t>Perú.</w:t>
        <w:br/>
        <w:br/>
        <w:t>Disiente el Juez Vidal Ramírez.</w:t>
        <w:br/>
        <w:br/>
        <w:t>por unanimidad,</w:t>
        <w:br/>
        <w:br/>
        <w:t>2.    Desestimar las  excepciones  preliminares  segunda,  tercera,  cuarta,</w:t>
        <w:br/>
        <w:t>quinta, sexta y séptima opuestas por el Estado del Perú.</w:t>
        <w:br/>
        <w:br/>
        <w:t>por seis votos contra uno,</w:t>
        <w:br/>
        <w:br/>
        <w:t>3.    Continuar con la tramitación del fondo del caso.</w:t>
        <w:br/>
        <w:br/>
        <w:t>El Juez Vidal Ramírez hizo conocer a la Corte su Voto Disidente.</w:t>
        <w:br/>
        <w:br/>
        <w:t>Redactada en español y en inglés, haciendo fe el texto en  español,  en  San</w:t>
        <w:br/>
        <w:t>José, Costa Rica, el día 28 de mayo de 1999.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Máximo Pacheco Gómez</w:t>
        <w:br/>
        <w:br/>
        <w:br/>
        <w:br/>
        <w:t>Alirio Abreu Burelli   Sergio García Ramírez</w:t>
        <w:br/>
        <w:br/>
        <w:br/>
        <w:t>Carlos Vicente de Roux Rengifo    Fernando Vidal Ramírez</w:t>
        <w:br/>
        <w:t xml:space="preserve">      Juez ad hoc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 xml:space="preserve">                    VOTO DISIDENTE DEL JUEZ VIDAL RAMIREZ</w:t>
        <w:br/>
        <w:br/>
        <w:br/>
        <w:br/>
        <w:t>Disiento de la decisión adoptada en la  sentencia  en  cuanto  desestima  la</w:t>
        <w:br/>
        <w:t>excepción preliminar de falta de agotamiento  de  la  jurisdicción  interna,</w:t>
        <w:br/>
        <w:t>por los siguientes fundamentos:</w:t>
        <w:br/>
        <w:br/>
        <w:t>1.    La  demanda  se  ha  presentado  el  8  de  agosto  de  1996,  o  sea,</w:t>
        <w:br/>
        <w:t>transcurridos más de diez años de la desaparición de Nolberto Durand  Ugarte</w:t>
        <w:br/>
        <w:t>y Gabriel Pablo Ugarte Rivera como consecuencia del develamiento  del  motín</w:t>
        <w:br/>
        <w:t>ocurrido el 18 de junio de 1986 en el Penal El Frontón.</w:t>
        <w:br/>
        <w:br/>
        <w:t>La demanda fue planteada para que la Corte decida si hubo  violación  a  las</w:t>
        <w:br/>
        <w:t>acotadas normas de la Convención y para que se ordene al Estado peruano  que</w:t>
        <w:br/>
        <w:t>indemnice, tanto material como moralmente a los familiares.</w:t>
        <w:br/>
        <w:br/>
        <w:t>2.    Las circunstancias en que se ha producido la desaparición de  Nolberto</w:t>
        <w:br/>
        <w:t>Durand Ugarte y Gabriel Pablo Ugarte Rivera y el tiempo  transcurrido  hacen</w:t>
        <w:br/>
        <w:t>presumible, con fundamento, que se haya producido su fallecimiento.</w:t>
        <w:br/>
        <w:br/>
        <w:t>La Legislación peruana, en las normas de su Código Civil, tiene previsto  el</w:t>
        <w:br/>
        <w:t>procedimiento  para   la   declaración   judicial   del   fallecimiento   en</w:t>
        <w:br/>
        <w:t>circunstancias como las que produjeron la desaparición de  Durand  Ugarte  y</w:t>
        <w:br/>
        <w:t>de Ugarte Rivera.</w:t>
        <w:br/>
        <w:br/>
        <w:t>Las  mismas  disposiciones  del  Código  Civil  establecen  que,   ante   la</w:t>
        <w:br/>
        <w:t>declaración judicial de muerte,  debe,  en  consecuencia,  procederse  a  la</w:t>
        <w:br/>
        <w:t>declaración judicial de los herederos.</w:t>
        <w:br/>
        <w:br/>
        <w:t>3.    Que si bien doña Virginia Ugarte  Rivera,  madre  de  Nolberto  Durand</w:t>
        <w:br/>
        <w:t>Ugarte y hermana de Gabriel Pablo Ugarte Rivera  promovió  las  acciones  de</w:t>
        <w:br/>
        <w:t>hábeas corpus y la denuncia ante  la  Comisión,  su  manifiesto  y  legítimo</w:t>
        <w:br/>
        <w:t>interés por establecer la situación de  su  hijo  y  de  su  hermano  no  es</w:t>
        <w:br/>
        <w:t>excluyente  del  derecho  de  otros  causahabientes  para  participar   como</w:t>
        <w:br/>
        <w:t>herederos legales en la indemnización demandada, según el régimen  sucesorio</w:t>
        <w:br/>
        <w:t>vigente en el Perú.</w:t>
        <w:br/>
        <w:br/>
        <w:t>4.    Que al promoverse esta  excepción  preliminar  el  agente  del  Estado</w:t>
        <w:br/>
        <w:t>peruano ha indicado los procedimientos previstos en el Código Civil  peruano</w:t>
        <w:br/>
        <w:t>para la declaración judicial  de  la  muerte  presunta  de  Nolberto  Durand</w:t>
        <w:br/>
        <w:t>Ugarte y de Gabriel Pablo Ugarte Rivera.</w:t>
        <w:br/>
        <w:br/>
        <w:t>5.    Que, por último, estando lo que  resolvió  el  Tribunal  de  Garantías</w:t>
        <w:br/>
        <w:t>Constitucionales con fecha 28  de  octubre  de  1986,  la  denunciante  doña</w:t>
        <w:br/>
        <w:t>Virginia Ugarte Rivera ha  tenido  también  expedita  la  acción  de  hábeas</w:t>
        <w:br/>
        <w:t>corpus para dejar establecida la presunta violación del derecho  a  la  vida</w:t>
        <w:br/>
        <w:t>de su hijo  y  hermano  agotando,  de  manera  definitiva,  la  jurisdicción</w:t>
        <w:br/>
        <w:t>interna.</w:t>
        <w:br/>
        <w:br/>
        <w:br/>
        <w:t xml:space="preserve">      Fernando Vidal Ramírez</w:t>
        <w:br/>
        <w:t xml:space="preserve">      Juez ad hoc</w:t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El Juez Oliver  Jackman  se  abstuvo  de  conocer  este  caso  por  haber</w:t>
        <w:br/>
        <w:t>participado en varias etapas del mismo durante su trámite ante  la  Comisión</w:t>
        <w:br/>
        <w:t>Interamericana de Derechos Humanos, cuando era miembro de ésta.</w:t>
        <w:br/>
        <w:br/>
        <w:t>[1]  Reglamento aprobado por la Corte  en  su  XXIII  Período  Ordinario  de</w:t>
        <w:br/>
        <w:t>Sesiones, celebrado del 9 al 18 de enero de 1991; reformado los días  25  de</w:t>
        <w:br/>
        <w:t>enero y 16 de julio de 1993, y 2 de diciembre de 1995.</w:t>
        <w:br/>
        <w:t>[2]  Caso Velásquez Rodríguez, Excepciones Preliminares, Sentencia de 26  de</w:t>
        <w:br/>
        <w:t>junio de 1987. Serie C No. 1, párr. 88; Caso Fairén Garbi y Solís  Corrales,</w:t>
        <w:br/>
        <w:t>Excepciones Preliminares, Sentencia de 26 de junio de 1987. Serie C  No.  2,</w:t>
        <w:br/>
        <w:t>párr. 87; Caso Godínez Cruz, Excepciones Preliminares, Sentencia  de  26  de</w:t>
        <w:br/>
        <w:t>junio de 1987. Serie C No. 3, párr. 90; Caso  Gangaram  Panday,  Excepciones</w:t>
        <w:br/>
        <w:t>Preliminares, Sentencia de 4 de diciembre de 1991. Serie  C  No.  12,  párr.</w:t>
        <w:br/>
        <w:t>38; Caso Neira Alegría y otros, Excepciones Preliminares,  Sentencia  de  11</w:t>
        <w:br/>
        <w:t>de diciembre de 1991.  Serie  C  No.  13,  párr.  30;  Caso  Castillo  Páez,</w:t>
        <w:br/>
        <w:t>Excepciones Preliminares, Sentencia de 30 de enero de 1996. Serie C No.  24,</w:t>
        <w:br/>
        <w:t>párr. 40; Caso Loayza Tamayo, Excepciones Preliminares, Sentencia de  31  de</w:t>
        <w:br/>
        <w:t>enero de 1996.  Serie  C  No.  25,  párr.  40  y  Caso  Cantoral  Benavides,</w:t>
        <w:br/>
        <w:t>Excepciones Preliminares, Sentencia de 3 de septiembre de 1998. Serie C  No.</w:t>
        <w:br/>
        <w:t>40, párr. 31.</w:t>
        <w:br/>
        <w:t>[3]  Caso Velásquez Rodríguez, Sentencia de 29 de julio  de  1988.  Serie  C</w:t>
        <w:br/>
        <w:t>No. 4, párr. 65; Caso Godínez Cruz, Sentencia de 20 de enero de 1989.  Serie</w:t>
        <w:br/>
        <w:t>C No. 5, párr. 68; Caso Fairén Garbi y Solís Corrales. Sentencia  de  15  de</w:t>
        <w:br/>
        <w:t>marzo de 1989. Serie C No. 6, párr. 90; Caso Caballero  Delgado  y  Santana,</w:t>
        <w:br/>
        <w:t>Excepciones Preliminares, Sentencia de 21 de enero de 1994. Serie C No.  17,</w:t>
        <w:br/>
        <w:t>párr. 64 y El hábeas corpus bajo suspensión de garantías (arts.  27.2,  25.1</w:t>
        <w:br/>
        <w:t>y 7.6 Convención Americana sobre Derechos Humanos), Opinión  Consultiva  OC-</w:t>
        <w:br/>
        <w:t>8/87 de 30 de enero de 1987. Serie A No. 8, párr. 35.</w:t>
        <w:br/>
        <w:br/>
        <w:t>[4]  Caso Castillo Páez, Excepciones Preliminares, supra 33, párr. 40;  Caso</w:t>
        <w:br/>
        <w:t>Loayza Tamayo, Excepciones Preliminares, supra 33, párr. 40 y Caso  Castillo</w:t>
        <w:br/>
        <w:t>Petruzzi y otros, Excepciones Preliminares, Sentencia de 4 de septiembre  de</w:t>
        <w:br/>
        <w:t>1998. Serie C No. 41, párr. 63.</w:t>
        <w:br/>
        <w:br/>
        <w:t>[5]  Caso Velásquez Rodríguez, supra 34, párr. 66; Caso Godínez Cruz,  supra</w:t>
        <w:br/>
        <w:t>34, párr. 69 y Caso Fairén Garbi y Solís Corrales, supra 34, párr. 91.</w:t>
        <w:br/>
        <w:t>[6]   Caso Cantoral Benavides, Excepciones  Preliminares,  supra  33,  párr.</w:t>
        <w:br/>
        <w:t>38.</w:t>
        <w:br/>
        <w:br/>
        <w:t>[7]  Caso Neira Alegría y otros, Excepciones Preliminares, supra  33,  párr.</w:t>
        <w:br/>
        <w:t>35.</w:t>
        <w:br/>
        <w:t>[8]  Caso Velázquez Rodríguez, Excepciones  Preliminares,  supra  33,  párr.</w:t>
        <w:br/>
        <w:t>45; Caso Fairén Garbi y Solís, Excepciones  Preliminares,  supra  33,  párr.</w:t>
        <w:br/>
        <w:t>50; Caso Godínez Cruz, Excepciones Preliminares, supra 33, párr. 48  y  Caso</w:t>
        <w:br/>
        <w:t>Caballero Delgado y Santana, Excepciones Preliminares, supra 34, párr. 26.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