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br/>
        <w:t xml:space="preserve">                         OPINIÓN CONSULTIVA OC-2/82</w:t>
        <w:br/>
        <w:t xml:space="preserve">                         DEL 24 DE SETIEMBRE DE 1982</w:t>
        <w:br/>
        <w:br/>
        <w:br/>
        <w:br/>
        <w:t xml:space="preserve">                 EL EFECTO DE LAS RESERVAS SOBRE LA ENTRADA</w:t>
        <w:br/>
        <w:t xml:space="preserve">                   EN VIGENCIA DE LA CONVENCIÓN AMERICANA</w:t>
        <w:br/>
        <w:t xml:space="preserve">                           SOBRE DERECHOS HUMANOS</w:t>
        <w:br/>
        <w:t xml:space="preserve">                               (ARTS. 74 Y 75)</w:t>
        <w:br/>
        <w:br/>
        <w:t xml:space="preserve">                              SOLICITADA POR LA</w:t>
        <w:br/>
        <w:t xml:space="preserve">                 COMISIÓN INTERAMERICANA DE DERECHOS HUMANOS</w:t>
        <w:br/>
        <w:br/>
        <w:br/>
        <w:br/>
        <w:t>Estuvieron presentes:</w:t>
        <w:br/>
        <w:br/>
        <w:t xml:space="preserve">      Carlos Roberto Reina, Presidente</w:t>
        <w:br/>
        <w:t xml:space="preserve">      Pedro Nikken, Vicepresidente</w:t>
        <w:br/>
        <w:t xml:space="preserve">      Huntley Eugene Munroe, Juez</w:t>
        <w:br/>
        <w:t xml:space="preserve">      Máximo Cisneros, Juez</w:t>
        <w:br/>
        <w:t xml:space="preserve">      Rodolfo E. Piza E., Juez</w:t>
        <w:br/>
        <w:t xml:space="preserve">      Thomas Buergenthal, Juez</w:t>
        <w:br/>
        <w:br/>
        <w:t>Estuvieron, además, presentes:</w:t>
        <w:br/>
        <w:br/>
        <w:t xml:space="preserve">      Charles Moyer, Secretario, y</w:t>
        <w:br/>
        <w:t xml:space="preserve">      Manuel Ventura, Secretario Adjunto</w:t>
        <w:br/>
        <w:br/>
        <w:br/>
        <w:t>LA CORTE,</w:t>
        <w:br/>
        <w:br/>
        <w:t>integrada en la forma antes mencionada,</w:t>
        <w:br/>
        <w:br/>
        <w:t>emite la siguiente opinión consultiva:</w:t>
        <w:br/>
        <w:br/>
        <w:t>1.    La Comisión  Interamericana  de  Derechos  Humanos  (en  adelante  "la</w:t>
        <w:br/>
        <w:t>Comisión"), mediante un cable fechado el 28 de junio de  1982,  solicitó  la</w:t>
        <w:br/>
        <w:t>presente opinión consultiva de la Corte Interamericana de Derechos Humanos.</w:t>
        <w:br/>
        <w:br/>
        <w:t>2.    Mediante notas de fecha 2 de julio de  1982,  en  cumplimiento  de  lo</w:t>
        <w:br/>
        <w:t>resuelto por la Corte en relación con el artículo 52 de  su  Reglamento,  el</w:t>
        <w:br/>
        <w:t>Secretario solicitó sus observaciones a todos los  Estados  Miembros  de  la</w:t>
        <w:br/>
        <w:t>Organización de los Estados Americanos, así como, a  través  del  Secretario</w:t>
        <w:br/>
        <w:t>General de ésta, a todos los órganos a que se refiere el Capítulo  X  de  la</w:t>
        <w:br/>
        <w:t>Carta de la OEA.</w:t>
        <w:br/>
        <w:br/>
        <w:t>3.    El Presidente de la Corte fijó el 23 de agosto  de  1982,  como  fecha</w:t>
        <w:br/>
        <w:t>límite para remitir observaciones escritas u otros documentos relevantes.</w:t>
        <w:br/>
        <w:br/>
        <w:t>4.    La comunicación del  Secretario  fue  respondida  por  los  siguientes</w:t>
        <w:br/>
        <w:t>Estados: Costa Rica, Estados Unidos de América, México y San Vicente  y  las</w:t>
        <w:br/>
        <w:t>Granadinas.  Se recibieron también respuestas de los siguientes  órganos  de</w:t>
        <w:br/>
        <w:t>la OEA: el Consejo  Permanente,  el  Comité  Jurídico  Interamericano  y  la</w:t>
        <w:br/>
        <w:t>Secretaría   General.    La   mayoría   de   dichas   respuestas   contienen</w:t>
        <w:br/>
        <w:t>observaciones concretas sobre la materia de la consulta.</w:t>
        <w:br/>
        <w:br/>
        <w:t>5.    Asimismo, las  siguientes  organizaciones  ofrecieron  sus  puntos  de</w:t>
        <w:br/>
        <w:t>vista sobre la consulta como amici curiae:  el  International  Human  Rights</w:t>
        <w:br/>
        <w:t>Law Group y el Urban Morgan Institute for Human Rights of the University  of</w:t>
        <w:br/>
        <w:t>Cincinnati College of Law.</w:t>
        <w:br/>
        <w:br/>
        <w:t>6.    La Corte, reunida en su Sexto Período Ordinario de Sesiones, fijó  una</w:t>
        <w:br/>
        <w:t>audiencia pública para el lunes 20 de setiembre  de  1982,  con  el  fin  de</w:t>
        <w:br/>
        <w:t>escuchar las opiniones de los Estados Miembros y de los órganos  de  la  OEA</w:t>
        <w:br/>
        <w:t>sobre la petición de opinión consultiva.</w:t>
        <w:br/>
        <w:br/>
        <w:t>7.    En la audiencia pública  fueron  hechas  a  la  Corte  manifestaciones</w:t>
        <w:br/>
        <w:t>orales por los siguientes representantes:</w:t>
        <w:br/>
        <w:br/>
        <w:t>Por la Comisión Interamericana de Derechos Humanos:</w:t>
        <w:br/>
        <w:br/>
        <w:t xml:space="preserve">      Don Marco Gerardo Monroy Cabra, Delegado y Presidente</w:t>
        <w:br/>
        <w:br/>
        <w:t>Por Costa Rica:</w:t>
        <w:br/>
        <w:br/>
        <w:t xml:space="preserve">      Don Manuel Freer Jiménez, Consejero y Procurador de la República.</w:t>
        <w:br/>
        <w:br/>
        <w:t xml:space="preserve">                                      I</w:t>
        <w:br/>
        <w:br/>
        <w:t xml:space="preserve">                         PLANTEAMIENTO DEL PROBLEMA</w:t>
        <w:br/>
        <w:br/>
        <w:br/>
        <w:t>8.    La Comisión hizo la siguiente consulta a la Corte:</w:t>
        <w:br/>
        <w:br/>
        <w:t xml:space="preserve">        ¿desde qué momento  se  entiende  que  un  Estado  es  parte  de  la</w:t>
        <w:br/>
        <w:t xml:space="preserve">        Convención Americana sobre Derechos Humanos cuando ha  ratificado  o</w:t>
        <w:br/>
        <w:t xml:space="preserve">        se ha adherido a dicha Convención con una o más reservas?, ¿desde la</w:t>
        <w:br/>
        <w:t xml:space="preserve">        fecha del depósito del instrumento de ratificación o adhesión  o  al</w:t>
        <w:br/>
        <w:t xml:space="preserve">        cumplirse el término previsto en el artículo 20 de la Convención  de</w:t>
        <w:br/>
        <w:t xml:space="preserve">        Viena sobre el Derecho de los Tratados?</w:t>
        <w:br/>
        <w:br/>
        <w:t>9.    La Comisión señala que la petición suscita la  interpretación  de  los</w:t>
        <w:br/>
        <w:t>artículos 74 y 75 de la Convención  Americana  sobre  Derechos  Humanos  (en</w:t>
        <w:br/>
        <w:t>adelante "la Convención").  En aquella se deduce que la cuestión sometida  a</w:t>
        <w:br/>
        <w:t>la Corte cae dentro de la esfera de la competencia de  la  Comisión,  tal  y</w:t>
        <w:br/>
        <w:t>como se usa esa frase en el artículo 64 de la Convención.  En  justificación</w:t>
        <w:br/>
        <w:t>de esta tesis, la Comisión indica la facultad que le ha  sido  otorgada  por</w:t>
        <w:br/>
        <w:t>los artículos 33, 41 (f) y  44  a  51  de  la  Convención,  además  por  los</w:t>
        <w:br/>
        <w:t>artículos 1, 19 y 20 del Estatuto de la Comisión.  La Comisión subraya  que,</w:t>
        <w:br/>
        <w:t>para el ejercicio de sus funciones, es preciso distinguir entre los  Estados</w:t>
        <w:br/>
        <w:t>que son Partes de la Convención y aquellos que no lo son.</w:t>
        <w:br/>
        <w:br/>
        <w:t>10.   Los artículos 74 y 75 de la Convención disponen:</w:t>
        <w:br/>
        <w:br/>
        <w:t xml:space="preserve">                                 Artículo 74</w:t>
        <w:br/>
        <w:br/>
        <w:br/>
        <w:t xml:space="preserve">      1.    Esta Convención queda abierta a la firma y a la  ratificación  o</w:t>
        <w:br/>
        <w:t xml:space="preserve">           adhesión de todo  Estado  Miembro  de  la  Organización  de  los</w:t>
        <w:br/>
        <w:t xml:space="preserve">           Estados Americanos.</w:t>
        <w:br/>
        <w:br/>
        <w:br/>
        <w:t xml:space="preserve">      2.    La ratificación de esta Convención o la adhesión a la  misma  se</w:t>
        <w:br/>
        <w:t xml:space="preserve">           efectuará mediante el depósito de un instrumento de ratificación</w:t>
        <w:br/>
        <w:t xml:space="preserve">           o de adhesión en la Secretaría General de la Organización de los</w:t>
        <w:br/>
        <w:t xml:space="preserve">           Estados  Americanos.   Tan  pronto  como  once   Estados   hayan</w:t>
        <w:br/>
        <w:t xml:space="preserve">           depositado sus respectivos instrumentos  de  ratificación  o  de</w:t>
        <w:br/>
        <w:t xml:space="preserve">           adhesión, la Convención entrará en vigor.  Respecto a todo  otro</w:t>
        <w:br/>
        <w:t xml:space="preserve">           Estado que la ratifique  o  adhiera  a  ella  ulteriormente,  la</w:t>
        <w:br/>
        <w:t xml:space="preserve">           Convención entrará en vigor en  la  fecha  del  depósito  de  su</w:t>
        <w:br/>
        <w:t xml:space="preserve">           instrumento de ratificación o de adhesión.</w:t>
        <w:br/>
        <w:br/>
        <w:br/>
        <w:t xml:space="preserve">      3.    El Secretario General informará a todos los Estados Miembros  de</w:t>
        <w:br/>
        <w:t xml:space="preserve">           la Organización de la entrada en vigor de la Convención.</w:t>
        <w:br/>
        <w:br/>
        <w:br/>
        <w:br/>
        <w:br/>
        <w:t xml:space="preserve">                                 Artículo 75</w:t>
        <w:br/>
        <w:br/>
        <w:br/>
        <w:t xml:space="preserve">      Esta Convención sólo puede ser  objeto  de  reservas  conforme  a  las</w:t>
        <w:br/>
        <w:t xml:space="preserve">      disposiciones de la Convención de Viena sobre Derecho de los Tratados,</w:t>
        <w:br/>
        <w:t xml:space="preserve">      suscrita el 23 de mayo de 1969.</w:t>
        <w:br/>
        <w:br/>
        <w:br/>
        <w:br/>
        <w:br/>
        <w:t xml:space="preserve">                                     II</w:t>
        <w:br/>
        <w:br/>
        <w:t xml:space="preserve">                           COMPETENCIA DE LA CORTE</w:t>
        <w:br/>
        <w:br/>
        <w:t>11.   Al considerar la solicitud de la  Comisión,  la  Corte  debe  resolver</w:t>
        <w:br/>
        <w:t>ciertas cuestiones preliminares relacionadas con la misma.  Una de éstas  se</w:t>
        <w:br/>
        <w:t>refiere a la competencia de la Corte para conocer de esta petición, dado  no</w:t>
        <w:br/>
        <w:t>sólo que el Secretario General de la OEA ha sido designado como  depositario</w:t>
        <w:br/>
        <w:t>de esta Convención (ver artículos 74, 76, 78, 79 y  81),  sino  que  también</w:t>
        <w:br/>
        <w:t>éste, de acuerdo con la práctica tradicional de la  OEA,  realiza  consultas</w:t>
        <w:br/>
        <w:t>con los Estados Miembros cuando se  suscitan  disputas  concernientes  a  la</w:t>
        <w:br/>
        <w:t>ratificación, entrada  en  vigor,  reservas  de  los  tratados,  etc.   (Ver</w:t>
        <w:br/>
        <w:t>"Normas sobre  Reservas  a  los  Tratados  Multilaterales  Interamericanos",</w:t>
        <w:br/>
        <w:t>OEA/AG/RES.  102 (III-0/73); además, Monroy  Cabra,  M.G.,  Derecho  de  los</w:t>
        <w:br/>
        <w:t>Tratados, Bogotá, Colombia, 1978, págs. 58-72; Ruda, J.M., "Reservations  to</w:t>
        <w:br/>
        <w:t>Treatries", Recueil des Cours, 1973, vol. 146, págs. 95 ss., esp. 128).</w:t>
        <w:br/>
        <w:br/>
        <w:t>12.   La Corte no alberga duda  alguna  en  cuanto  a  su  competencia  para</w:t>
        <w:br/>
        <w:t>emitir la opinión consultiva solicitada por la Comisión.  El artículo 64  de</w:t>
        <w:br/>
        <w:t>la Convención es  claro  y  explícito  al  facultar  a  la  Corte  a  emitir</w:t>
        <w:br/>
        <w:t>opiniones consultivas "acerca de la interpretación de esta  Convención",  lo</w:t>
        <w:br/>
        <w:t>cual es precisamente lo que solicita la Comisión.  Además, el  artículo  2.2</w:t>
        <w:br/>
        <w:t>del Estatuto de la Corte, aprobado por la Asamblea General de la OEA  en  su</w:t>
        <w:br/>
        <w:t>Noveno Período Ordinario de Sesiones, en octubre de 1979,  dispone  que  "su</w:t>
        <w:br/>
        <w:t>función consultiva se rige por las  disposiciones  del  artículo  64  de  la</w:t>
        <w:br/>
        <w:t>Convención".</w:t>
        <w:br/>
        <w:br/>
        <w:t xml:space="preserve">    13. También cabe resaltar que al contrario de  otros  tratados  de  los</w:t>
        <w:br/>
        <w:t xml:space="preserve">        cuales  el  Secretario  General  de  la  OEA  es  depositario,   la</w:t>
        <w:br/>
        <w:t xml:space="preserve">        Convención  establece   un   procedimiento   formal   judicial   de</w:t>
        <w:br/>
        <w:t xml:space="preserve">        supervisión diseñado para la resolución de las disputas que  surjan</w:t>
        <w:br/>
        <w:t xml:space="preserve">        de este instrumento y para su interpretación.  A este respecto, los</w:t>
        <w:br/>
        <w:t xml:space="preserve">        artículos 62, 63, 64, 67 u  68,  así  como  el  33  (b),  fijan  la</w:t>
        <w:br/>
        <w:t xml:space="preserve">        competencia de la Corte al disponer que la tiene "para  conocer  de</w:t>
        <w:br/>
        <w:t xml:space="preserve">        los asuntos relacionados con el  cumplimiento  de  los  compromisos</w:t>
        <w:br/>
        <w:t xml:space="preserve">        contraídos por los Estados Partes en esta  Convención".   De  igual</w:t>
        <w:br/>
        <w:t xml:space="preserve">        forma, el artículo primero del Estatuto de  la  Corte  dispone  que</w:t>
        <w:br/>
        <w:t xml:space="preserve">        ésta es "una institución judicial  autónoma  cuyo  objetivo  es  la</w:t>
        <w:br/>
        <w:t xml:space="preserve">        aplicación  e  interpretación  de  la  Convención  Americano  sobre</w:t>
        <w:br/>
        <w:t xml:space="preserve">        Derechos Humanos".  Es evidente que la Corte tiene competencia para</w:t>
        <w:br/>
        <w:t xml:space="preserve">        emitir  con  plena  autoridad  interpretaciones  sobre  todas   las</w:t>
        <w:br/>
        <w:t xml:space="preserve">        disposiciones de la Convención, incluso  aquellas  relativas  a  su</w:t>
        <w:br/>
        <w:t xml:space="preserve">        entrada en vigencia, y es el organismo más apropiado para hacerlo.</w:t>
        <w:br/>
        <w:br/>
        <w:br/>
        <w:br/>
        <w:br/>
        <w:t xml:space="preserve">                                     III</w:t>
        <w:br/>
        <w:br/>
        <w:t xml:space="preserve">                 LEGITIMACIÓN DE LA COMISIÓN PARA SOLICITAR</w:t>
        <w:br/>
        <w:t xml:space="preserve">                           ESTA OPINIÓN CONSULTIVA</w:t>
        <w:br/>
        <w:br/>
        <w:br/>
        <w:t>14.   Lo que sigue por determinar es si la  Comisión  está  legitimada  para</w:t>
        <w:br/>
        <w:t>solicitar de la Corte esta  opinión  consultiva  en  particular.   La  Corte</w:t>
        <w:br/>
        <w:t>señala, al respecto, que la Convención, al conferir el derecho de  solicitar</w:t>
        <w:br/>
        <w:t>opiniones consultivas, distingue entre los Estados Miembros de la OEA y  los</w:t>
        <w:br/>
        <w:t>órganos de ésta.  De acuerdo con el artículo 64, todos los Estados  Miembros</w:t>
        <w:br/>
        <w:t>de la OEA, hayan o  no  ratificado  la  Convención,  tienen  el  derecho  de</w:t>
        <w:br/>
        <w:t>solicitar una opinión  consultiva  "acerca  de  la  interpretación  de  esta</w:t>
        <w:br/>
        <w:t>Convención o  de  otros  tratados  concernientes  a  la  protección  de  los</w:t>
        <w:br/>
        <w:t>derechos humanos en los Estados Americanos".  Asimismo, los  órganos  de  la</w:t>
        <w:br/>
        <w:t>OEA disfrutan de ese mismo derecho, pero solamente en lo  que  les  compete.</w:t>
        <w:br/>
        <w:t>Así que, mientras los Estados Miembros de la OEA tienen un derecho  absoluto</w:t>
        <w:br/>
        <w:t>a pedir opiniones consultivas, sus órganos sólo  pueden  hacerlo  dentro  de</w:t>
        <w:br/>
        <w:t>los límites de su  competencia.   El  derecho  de  éstos  últimos  de  pedir</w:t>
        <w:br/>
        <w:t>opiniones consultivas está restringido, consecuentemente, a  asuntos  en  lo</w:t>
        <w:br/>
        <w:t>que tales órganos tengan un legítimo interés institucional.   Mientras  cada</w:t>
        <w:br/>
        <w:t>órgano decide inicialmente si  la  petición  cae  dentro  de  su  esfera  de</w:t>
        <w:br/>
        <w:t>competencia, la pregunta, en última instancia, debe ser  respondida  por  la</w:t>
        <w:br/>
        <w:t>Corte mediante referencia a la Carta de la OEA, así como a los  instrumentos</w:t>
        <w:br/>
        <w:t>constitutivos y a la práctica legal del órgano correspondiente.</w:t>
        <w:br/>
        <w:br/>
        <w:t>15.   Con referencia a este caso en particular, la Corte señala, ante  todo,</w:t>
        <w:br/>
        <w:t>que la Comisión es uno de los órganos enumerados en  el  Capítulo  X  de  la</w:t>
        <w:br/>
        <w:t>Carta de la OEA (artículo 51 (e); además, que los poderes  conferidos  a  la</w:t>
        <w:br/>
        <w:t>Comisión como órgano de la misma, están determinados en el artículo  112  de</w:t>
        <w:br/>
        <w:t>la Carta, que dice:</w:t>
        <w:br/>
        <w:br/>
        <w:t xml:space="preserve">      Habrá una Comisión Interamericana de Derechos Humanos que tendrá, como</w:t>
        <w:br/>
        <w:t xml:space="preserve">      función principal, la de promover la observancia y la defensa  de  los</w:t>
        <w:br/>
        <w:t xml:space="preserve">      derechos humanos y de servir como órgano consultivo de la Organización</w:t>
        <w:br/>
        <w:t xml:space="preserve">      en esta materia.</w:t>
        <w:br/>
        <w:br/>
        <w:br/>
        <w:t xml:space="preserve">      Una convención interamericana sobre derechos  humanos  determinará  la</w:t>
        <w:br/>
        <w:t xml:space="preserve">      estructura, competencia y procedimiento de dicha  Comisión,  así  como</w:t>
        <w:br/>
        <w:t xml:space="preserve">      los de los otros órganos encargados de esta materia;</w:t>
        <w:br/>
        <w:br/>
        <w:t>Y finalmente, que los artículos 33, 41 y 44 a 51 de la Convención, y  1,  19</w:t>
        <w:br/>
        <w:t>y 20 del Estatuto de la Comisión, le confieren a ésta amplios  poderes.   la</w:t>
        <w:br/>
        <w:t>competencia de la Comisión para ejercer esas facultades depende,  en  parte,</w:t>
        <w:br/>
        <w:t>de una previa determinación sobre  si  se  relaciona  con  Estados  que  han</w:t>
        <w:br/>
        <w:t>ratificado o no la Convención.  El artículo 112 de la Carta de la  OEA,  así</w:t>
        <w:br/>
        <w:t>como el 41 de la Convención y los 1, 18 y 20 de su Estatuto, facultan  a  la</w:t>
        <w:br/>
        <w:t>Comisión para  "promover  la  observancia  y  la  defensa  de  los  derechos</w:t>
        <w:br/>
        <w:t>humanos" y "servir  como  órgano  consultivo  de  la  Organización  en  esta</w:t>
        <w:br/>
        <w:t>materia".  La Comisión realiza estas funciones  con  relación  a  todos  los</w:t>
        <w:br/>
        <w:t>Estados Miembros de la OEA sin distinguir entre aquellos que han  o  que  no</w:t>
        <w:br/>
        <w:t>han ratificado la Convención, y tiene funciones más  amplias  y  específicas</w:t>
        <w:br/>
        <w:t>con respecto a los  Estados  Partes  de  la  Convención  (véase  Convención,</w:t>
        <w:br/>
        <w:t>artículos 33, 41 (f), y 44 a 51; Estatuto de la Comisión, artículo 19).</w:t>
        <w:br/>
        <w:br/>
        <w:t>16.   Es evidente, por lo tanto, que la Comisión tiene un  legítimo  interés</w:t>
        <w:br/>
        <w:t>institucional en una consulta como la  que  presentó,  que  trata  sobre  la</w:t>
        <w:br/>
        <w:t>entrada en vigencia de la Convención.  Por  consiguiente,  la  Corte  estima</w:t>
        <w:br/>
        <w:t>que la opinión consultiva solicitada cae dentro de la esfera de  competencia</w:t>
        <w:br/>
        <w:t>de la Comisión.  Más aún, dados los amplios poderes que el artículo  112  de</w:t>
        <w:br/>
        <w:t>la Carta de la OEA le confiere a la Comisión, en relación con  la  promoción</w:t>
        <w:br/>
        <w:t>y observancia de los derechos humanos, la Corte observa  que,  al  contrario</w:t>
        <w:br/>
        <w:t>de otros órganos de la OEA, la Comisión posee un derecho  absoluto  a  pedir</w:t>
        <w:br/>
        <w:t>opiniones consultivas dentro del marco del artículo 64.1 de la Convención.</w:t>
        <w:br/>
        <w:br/>
        <w:br/>
        <w:br/>
        <w:br/>
        <w:t xml:space="preserve">                                     IV</w:t>
        <w:br/>
        <w:br/>
        <w:t xml:space="preserve">                    ENTRADA EN VIGENCIA DE LA CONVENCIÓN</w:t>
        <w:br/>
        <w:br/>
        <w:br/>
        <w:t>17.   Una vez resueltas las anteriores  cuestiones  preliminares,  la  Corte</w:t>
        <w:br/>
        <w:t>está ahora en posición de contestar la pregunta específica sometida  a  ella</w:t>
        <w:br/>
        <w:t>por la Comisión, que busca determinar cuándo se considera que la  Convención</w:t>
        <w:br/>
        <w:t>entra en vigor con respecto a un Estado que la ratifica o se adhiere a  ella</w:t>
        <w:br/>
        <w:t>con reservas.</w:t>
        <w:br/>
        <w:br/>
        <w:t>18.    Para  responder  a  esta  pregunta,  la  Corte  hace  notar  que  dos</w:t>
        <w:br/>
        <w:t>disposiciones de la Convención  establecen  un  punto  de  partida  para  su</w:t>
        <w:br/>
        <w:t>examen.  El primero es el artículo 74.2, el cual reza:</w:t>
        <w:br/>
        <w:br/>
        <w:t xml:space="preserve">      La ratificación de esta  Convención  o  la  adhesión  a  la  misma  se</w:t>
        <w:br/>
        <w:t xml:space="preserve">      efectuará mediante el depósito de un instrumento de ratificación o  de</w:t>
        <w:br/>
        <w:t xml:space="preserve">      adhesión en la Secretaría General de la Organización  de  los  Estados</w:t>
        <w:br/>
        <w:t xml:space="preserve">      Americanos.   Tan  pronto  como  once  Estados  hayan  depositado  sus</w:t>
        <w:br/>
        <w:t xml:space="preserve">      respectivos instrumentos de ratificación o de adhesión, la  Convención</w:t>
        <w:br/>
        <w:t xml:space="preserve">      entrará en vigor.  Respecto a todo otro  Estado  que  la  ratifique  o</w:t>
        <w:br/>
        <w:t xml:space="preserve">      adhiera a ella ulteriormente, la Convención entrará  en  vigor  en  la</w:t>
        <w:br/>
        <w:t xml:space="preserve">      fecha del depósito de su instrumento de ratificación o de adhesión.</w:t>
        <w:br/>
        <w:br/>
        <w:br/>
        <w:t>El segundo es el artículo 75, que declara:</w:t>
        <w:br/>
        <w:br/>
        <w:t xml:space="preserve">      Esta Convención sólo puede ser  objeto  de  reservas  conforme  a  las</w:t>
        <w:br/>
        <w:t xml:space="preserve">      disposiciones de la Convención de Viena sobre Derecho de los Tratados,</w:t>
        <w:br/>
        <w:t xml:space="preserve">      suscrita el 23 de mayo de 1969.</w:t>
        <w:br/>
        <w:br/>
        <w:t>19.   El artículo 74.2 guarda silencio sobre si es aplicable  exclusivamente</w:t>
        <w:br/>
        <w:t>a ratificaciones y adhesiones que no  contengan  reservas  o  si  además  se</w:t>
        <w:br/>
        <w:t>aplica a los que las contengan.  Más aún, hasta qué punto puede el  artículo</w:t>
        <w:br/>
        <w:t>75 ayudar a resolver  la  pregunta  presentada  a  la  Corte,  es  algo  que</w:t>
        <w:br/>
        <w:t>solamente es posible contestar después de un análisis  de  esa  disposición,</w:t>
        <w:br/>
        <w:t>así como de otras pertinentes de la Convención, en  su  contexto,  así  como</w:t>
        <w:br/>
        <w:t>del objeto y fin de la misma (ver Convención de Viena, artículo  31)  y,  en</w:t>
        <w:br/>
        <w:t>su caso, por referencia a los trabajos preparatorios (Convención  de  Viena,</w:t>
        <w:br/>
        <w:t>artículo 32).  Además, dada la remisión  hecha  por  el  artículo  75  a  la</w:t>
        <w:br/>
        <w:t>Convención de Viena,  la  Corte  debe  también  examinar  las  disposiciones</w:t>
        <w:br/>
        <w:t>pertinentes de este instrumento.</w:t>
        <w:br/>
        <w:br/>
        <w:t>20.   La remisión hecha en el artículo 75 a la Convención de  Viena  suscita</w:t>
        <w:br/>
        <w:t>casi tantas preguntas como respuestas.  Las normas de la misma referentes  a</w:t>
        <w:br/>
        <w:t>reservas  disponen  la  aplicación  de  diferentes   reglas   a   diferentes</w:t>
        <w:br/>
        <w:t>categorías de tratados.  Debe determinarse, por  lo  tanto,  cómo  deba  ser</w:t>
        <w:br/>
        <w:t>considerada  la  Convención  Americana  para  efecto  de  las  disposiciones</w:t>
        <w:br/>
        <w:t>pertinentes de la de Viena, teniendo en mente el texto del artículo 75 y  el</w:t>
        <w:br/>
        <w:t>propósito que está destinado a servir.</w:t>
        <w:br/>
        <w:br/>
        <w:t>21.   Las disposiciones de la Convención de  Viena  que  se  refieren  a  la</w:t>
        <w:br/>
        <w:t>cuestión presentada por la Comisión, son las siguientes:</w:t>
        <w:br/>
        <w:br/>
        <w:br/>
        <w:t xml:space="preserve">                                 Artículo 19</w:t>
        <w:br/>
        <w:t xml:space="preserve">                           Formulación de Reservas</w:t>
        <w:br/>
        <w:br/>
        <w:br/>
        <w:t xml:space="preserve">      Un Estado  podrá  formular  una  reserva  en  el  momento  de  firmar,</w:t>
        <w:br/>
        <w:t xml:space="preserve">      ratificar, aceptar o aprobar un tratado o de  adherirse  al  mismo,  a</w:t>
        <w:br/>
        <w:t xml:space="preserve">      menos:</w:t>
        <w:br/>
        <w:br/>
        <w:br/>
        <w:t xml:space="preserve">      a)    que la reserva esté prohibida por el tratado;</w:t>
        <w:br/>
        <w:br/>
        <w:br/>
        <w:t xml:space="preserve">      b)     que  el  tratado  disponga  que   únicamente   pueden   hacerse</w:t>
        <w:br/>
        <w:t xml:space="preserve">           determinadas reservas, entre las cuales no figure la reserva  de</w:t>
        <w:br/>
        <w:t xml:space="preserve">           que se trate; o</w:t>
        <w:br/>
        <w:br/>
        <w:br/>
        <w:t xml:space="preserve">      c)    que, en los casos no previstos en los  apartados  a)  y  b),  la</w:t>
        <w:br/>
        <w:t xml:space="preserve">           reserva sea incompatible con el objeto y el fin del tratado.</w:t>
        <w:br/>
        <w:br/>
        <w:br/>
        <w:br/>
        <w:br/>
        <w:t xml:space="preserve">                                 Artículo 20</w:t>
        <w:br/>
        <w:t xml:space="preserve">                        Aceptación de las Reservas y</w:t>
        <w:br/>
        <w:t xml:space="preserve">                           Objeción a las Reservas</w:t>
        <w:br/>
        <w:br/>
        <w:br/>
        <w:t xml:space="preserve">      1.    Una reserva expresamente autorizada por el tratado no exigirá la</w:t>
        <w:br/>
        <w:t xml:space="preserve">      aceptación ulterior de los demás Estados contratantes, a menos que  el</w:t>
        <w:br/>
        <w:t xml:space="preserve">      tratado así lo disponga.</w:t>
        <w:br/>
        <w:br/>
        <w:br/>
        <w:t xml:space="preserve">      2.    Cuando del número reducido de Estados negociadores y del  objeto</w:t>
        <w:br/>
        <w:t xml:space="preserve">      y del fin del tratado se desprenda que la aplicación del tratado en su</w:t>
        <w:br/>
        <w:t xml:space="preserve">      integridad  entre  todas  las  partes  es   condición   esencial   del</w:t>
        <w:br/>
        <w:t xml:space="preserve">      consentimiento de cada una de ellas en obligarse por el  tratado,  una</w:t>
        <w:br/>
        <w:t xml:space="preserve">      reserva exigirá la aceptación de todas las partes.</w:t>
        <w:br/>
        <w:br/>
        <w:br/>
        <w:t xml:space="preserve">      3.    Cuando  el  tratado  sea  un  instrumento  constitutivo  de  una</w:t>
        <w:br/>
        <w:t xml:space="preserve">      organización internacional y a menos que en él se disponga otra  cosa,</w:t>
        <w:br/>
        <w:t xml:space="preserve">      una reserva  exigirá  la  aceptación  del  órgano  competente  de  esa</w:t>
        <w:br/>
        <w:t xml:space="preserve">      organización.</w:t>
        <w:br/>
        <w:br/>
        <w:br/>
        <w:t xml:space="preserve">      4.    En los casos no previstos en los párrafos precedentes y a  menos</w:t>
        <w:br/>
        <w:t xml:space="preserve">      que el tratado disponga otra cosa:</w:t>
        <w:br/>
        <w:br/>
        <w:br/>
        <w:t xml:space="preserve">           a)    la aceptación de una reserva por otro  Estado  contratante</w:t>
        <w:br/>
        <w:t xml:space="preserve">                 constituirá al Estado autor de la reserva en  parte  en  el</w:t>
        <w:br/>
        <w:t xml:space="preserve">                 tratado en relación con ese Estado si el tratado ya está en</w:t>
        <w:br/>
        <w:t xml:space="preserve">                 vigor o cuando entre en vigor para esos Estados;</w:t>
        <w:br/>
        <w:br/>
        <w:br/>
        <w:t xml:space="preserve">           b)    la objeción  hecha  por  otro  Estado  contratante  a  una</w:t>
        <w:br/>
        <w:t xml:space="preserve">                 reserva no impedirá la entrada en vigor del  tratado  entre</w:t>
        <w:br/>
        <w:t xml:space="preserve">                 el Estado que haya hecho la objeción y el Estado  autor  de</w:t>
        <w:br/>
        <w:t xml:space="preserve">                 la reserva, a menos que el  Estado  autor  de  la  objeción</w:t>
        <w:br/>
        <w:t xml:space="preserve">                 manifieste inequívocamente la intención contraria;</w:t>
        <w:br/>
        <w:br/>
        <w:br/>
        <w:t xml:space="preserve">           c)    un acto por el que un Estado manifieste su  consentimiento</w:t>
        <w:br/>
        <w:t xml:space="preserve">                 en obligarse por un tratado  y  que  contenga  una  reserva</w:t>
        <w:br/>
        <w:t xml:space="preserve">                 surtirá efecto en cuanto acepte la reserva  al  menos  otro</w:t>
        <w:br/>
        <w:t xml:space="preserve">                 Estado contratante.</w:t>
        <w:br/>
        <w:br/>
        <w:br/>
        <w:t xml:space="preserve">      5.    Para los efectos de los párrafos 2 y 4, y a menos que el tratado</w:t>
        <w:br/>
        <w:t xml:space="preserve">      disponga otra cosa, se considerará que una reserva  ha  sido  aceptada</w:t>
        <w:br/>
        <w:t xml:space="preserve">      por un Estado cuando éste  no  ha  formulado  ninguna  objeción  a  la</w:t>
        <w:br/>
        <w:t xml:space="preserve">      reserva dentro de los doce meses siguientes a la  fecha  en  que  haya</w:t>
        <w:br/>
        <w:t xml:space="preserve">      recibido la notificación de la reserva o  en  la  fecha  en  que  haya</w:t>
        <w:br/>
        <w:t xml:space="preserve">      manifestado su consentimiento en obligarse por  el  tratado,  si  esta</w:t>
        <w:br/>
        <w:t xml:space="preserve">      última es posterior.</w:t>
        <w:br/>
        <w:br/>
        <w:t>22.   Ante todo, respecto  del  artículo  19,  la  Corte  considera  que  la</w:t>
        <w:br/>
        <w:t>referencia del artículo 75 de la Convención Americana  a  la  de  Viena,  se</w:t>
        <w:br/>
        <w:t>hizo con el propósito de remitirse al inciso c)  del  artículo  19  de  esta</w:t>
        <w:br/>
        <w:t>última.  Es evidente que los incisos a) y b) del mismo  no  son  aplicables,</w:t>
        <w:br/>
        <w:t>ya que la primera ni prohibe reservas, ni tampoco  especifica  las  que  son</w:t>
        <w:br/>
        <w:t>permitidas.  Se deduce de allí que el artículo 75 permite  que  los  Estados</w:t>
        <w:br/>
        <w:t>ratifiquen o se adhieran a la Convención con  cualquier  reserva  que  ellos</w:t>
        <w:br/>
        <w:t>quieran hacer, siempre y cuando ésta no sea "incompatible con  el  objeto  y</w:t>
        <w:br/>
        <w:t>fin" de la misma.</w:t>
        <w:br/>
        <w:br/>
        <w:t>23.   La anterior interpretación del artículo 75  está  confirmada  por  los</w:t>
        <w:br/>
        <w:t>trabajos preparatorios de la  Convención,  los  cuales  demuestran  que  sus</w:t>
        <w:br/>
        <w:t>redactores deseaban adoptar  un  sistema  flexible  de  reservas.   Es  bien</w:t>
        <w:br/>
        <w:t>conocido que la Convención fue  adoptada  en  la  Conferencia  Especializada</w:t>
        <w:br/>
        <w:t>Interamericana sobre Derechos Humanos, la cual se celebró del  7  al  22  de</w:t>
        <w:br/>
        <w:t>noviembre de 1969 en San José, Costa Rica.  (Las actas y documentos de  esta</w:t>
        <w:br/>
        <w:t>conferencia están contenidas  en  Conferencia  Especializada  Interamericana</w:t>
        <w:br/>
        <w:t>sobre Derechos Humanos, San José, Costa Rica, 7-22  de  noviembre  de  1969,</w:t>
        <w:br/>
        <w:t>Actas y Documentos, OEA/Ser.K/XVI/1.2, Washington, D.C.  1973  (en  adelante</w:t>
        <w:br/>
        <w:t>"Actas y Documentos") ).  La conferencia de San  José  tuvo  ante  sí,  como</w:t>
        <w:br/>
        <w:t>documento básico de trabajo, el Proyecto de la Convención preparado  por  la</w:t>
        <w:br/>
        <w:t>Comisión Interamericana de Derechos Humanos.  (Texto en español  reproducido</w:t>
        <w:br/>
        <w:t>en Actas y Documentos, cit. pág. 13, el texto en  inglés  puede  encontrarse</w:t>
        <w:br/>
        <w:t>en 1968 Inter-American Yearbook on Human Rights, ed. 1973,  pág.  389).   En</w:t>
        <w:br/>
        <w:t>el tema de las reservas, el artículo 67 de ese texto disponía:</w:t>
        <w:br/>
        <w:br/>
        <w:t xml:space="preserve">      1.    El Estado  Parte  podrá,  en  el  momento  del  depósito  de  su</w:t>
        <w:br/>
        <w:t xml:space="preserve">           instrumento de  ratificación  o  adhesión  de  esta  Convención,</w:t>
        <w:br/>
        <w:t xml:space="preserve">           formular reserva si  una  norma  constitucional  vigente  en  su</w:t>
        <w:br/>
        <w:t xml:space="preserve">           territorio estuviere en contradicción con alguna disposición  de</w:t>
        <w:br/>
        <w:t xml:space="preserve">           la Convención.  La reserva debe ir acompañada del  texto  de  la</w:t>
        <w:br/>
        <w:t xml:space="preserve">           norma a que se refiere.</w:t>
        <w:br/>
        <w:br/>
        <w:br/>
        <w:t xml:space="preserve">      2.    La disposición de que haya sido objeto de alguna reserva  no  se</w:t>
        <w:br/>
        <w:t xml:space="preserve">           aplicará entre el Estado reservante y los demás Estados  Partes.</w:t>
        <w:br/>
        <w:t xml:space="preserve">           Para que la reserva surta este  efecto,  no  será  necesaria  la</w:t>
        <w:br/>
        <w:t xml:space="preserve">           aceptación de los demás Estados Partes.</w:t>
        <w:br/>
        <w:br/>
        <w:t>24.   Cabe señalar que algunos gobiernos expresaron, en sus  comentarios  al</w:t>
        <w:br/>
        <w:t>Proyecto de Convención, que el artículo 67 resultaba  ser  muy  restrictivo.</w:t>
        <w:br/>
        <w:t>la explicación más clara de este parecer puede encontrarse en  la  siguiente</w:t>
        <w:br/>
        <w:t>observación presentada por el Gobierno de Argentina:</w:t>
        <w:br/>
        <w:br/>
        <w:t xml:space="preserve">      Artículo 67, párrafo 1:  El sistema de reservas, establecido  en  este</w:t>
        <w:br/>
        <w:t xml:space="preserve">      artículo  está  basado  exclusivamente  en  la  existencia  de  normas</w:t>
        <w:br/>
        <w:t xml:space="preserve">      contradictorias contenidas en la constitución del Estado reservante, y</w:t>
        <w:br/>
        <w:t xml:space="preserve">      es inaceptable, ya que restringe la facultad soberana de  los  estados</w:t>
        <w:br/>
        <w:t xml:space="preserve">      de efectuar reservas.</w:t>
        <w:br/>
        <w:br/>
        <w:br/>
        <w:t xml:space="preserve">            Se sugiere pues,  como  más  conveniente,  una  fórmula  de  más</w:t>
        <w:br/>
        <w:t xml:space="preserve">      amplitud, similar a la contenida en el artículo 86  del  Proyecto  del</w:t>
        <w:br/>
        <w:t xml:space="preserve">      Comité Interamericano de Jurisconsultos, que hace extensivo el derecho</w:t>
        <w:br/>
        <w:t xml:space="preserve">      de reserva a los casos de contradicción con una norma constitucional o</w:t>
        <w:br/>
        <w:t xml:space="preserve">      legal vigente en el territorio del Estado reservante.</w:t>
        <w:br/>
        <w:br/>
        <w:br/>
        <w:t xml:space="preserve">      Artículo 67, párrafo 2:  Se sugiere su eliminación, pues se aparta del</w:t>
        <w:br/>
        <w:t xml:space="preserve">      sistema previsto por el Proyecto de Convención sobre el Derecho de los</w:t>
        <w:br/>
        <w:t xml:space="preserve">      Tratados de reciente elaboración de Viena (Conferencia de las Naciones</w:t>
        <w:br/>
        <w:t xml:space="preserve">      Unidas sobre el Derecho de los Tratados, 22 de abril a 24 de  mayo  de</w:t>
        <w:br/>
        <w:t xml:space="preserve">      1968).  En el proyectado artículo 67 se elimina "la  aceptación"  como</w:t>
        <w:br/>
        <w:t xml:space="preserve">      elemento del sistema,  proponiendo  que  la  reserva  opere  entre  el</w:t>
        <w:br/>
        <w:t xml:space="preserve">      "Estado  reservante  y  los  demás  Estados  Partes"  desde  su  misma</w:t>
        <w:br/>
        <w:t xml:space="preserve">      formulación.</w:t>
        <w:br/>
        <w:br/>
        <w:br/>
        <w:t xml:space="preserve">            No parece conveniente innovar en esta  difícil  materia,  cuando</w:t>
        <w:br/>
        <w:t xml:space="preserve">      una conferencia de ámbito mundial ha elaborado un régimen distinto  y,</w:t>
        <w:br/>
        <w:t xml:space="preserve">      además, más ajustado a la práctica  y  jurisprudencia  internacionales</w:t>
        <w:br/>
        <w:t xml:space="preserve">      (Actas y Documentos, págs. 45 ss., esp. 48).</w:t>
        <w:br/>
        <w:br/>
        <w:t>25.   Otros gobiernos expresaron  criterios  parecidos  en  sus  comentarios</w:t>
        <w:br/>
        <w:t>oficiales o en la  Conferencia.   Al  igual  que  Argentina,  otros  Estados</w:t>
        <w:br/>
        <w:t>también buscaron reformar el proyectado artículo  67  añadiendo  la  palabra</w:t>
        <w:br/>
        <w:t>"legal"  después  de   "constitucional".    Este   esfuerzo,   que   hubiera</w:t>
        <w:br/>
        <w:t>liberalizado de manera notable el  derecho  de  hacer  reservas,  obtuvo  la</w:t>
        <w:br/>
        <w:t>aprobación del grupo de trabajo de la Comisión II de la Conferencia  de  San</w:t>
        <w:br/>
        <w:t>José, pero fue  derrotado  a  la  postre  en  la  propia  Comisión  II,  por</w:t>
        <w:br/>
        <w:t>considerarse que podía ser conflictivo con el artículo 1.2 del  Proyecto  de</w:t>
        <w:br/>
        <w:t>Convención, ahora artículo 2 de la Convención  (Actas  y  Documentos,  págs.</w:t>
        <w:br/>
        <w:t>365-366 y 379). El intento  de  la  delegación  de  los  Estados  Unidos  de</w:t>
        <w:br/>
        <w:t>sustituir la referencia a la Convención de Viena por  las  disposiciones  en</w:t>
        <w:br/>
        <w:t>conflicto fracasó en el grupo de trabajo (Actas  y  Documentos,  pág.  379),</w:t>
        <w:br/>
        <w:t>pero triunfó en la tercera sesión  plenaria  de  la  Conferencia,  donde  el</w:t>
        <w:br/>
        <w:t>presente texto del artículo 75 fue aprobado por moción de Uruguay  (Actas  y</w:t>
        <w:br/>
        <w:t>Documentos, pág. 459).  Es imposible leer los trabajos preparatorios  de  la</w:t>
        <w:br/>
        <w:t>Convención sin reconocer que el propósito primordial de la referencia  a  la</w:t>
        <w:br/>
        <w:t>Convención de Viena en el artículo 75, fue el  de  permitir  a  los  Estados</w:t>
        <w:br/>
        <w:t>adherirse a la Convención con un sistema de reservas muy liberal.</w:t>
        <w:br/>
        <w:br/>
        <w:t>26.   Habiendo concluido que los Estados que ratifiquen o se adhieran  a  la</w:t>
        <w:br/>
        <w:t>Convención  pueden  hacerlo  con   cualesquiera   reservas   que   no   sean</w:t>
        <w:br/>
        <w:t>incompatibles con su objeto y fin, la Corte  debe  ahora  determinar  cuáles</w:t>
        <w:br/>
        <w:t>disposiciones del artículo 20 de la Convención de Viena  se  aplican  a  las</w:t>
        <w:br/>
        <w:t>reservas hechas a la Convención  Americana.   Esta  investigación  conducirá</w:t>
        <w:br/>
        <w:t>también a contestar la consulta de la Comisión.  Esto  es  así,  porque  si,</w:t>
        <w:br/>
        <w:t>conforme a la Convención de Viena,  se  considera  que  las  reservas  a  la</w:t>
        <w:br/>
        <w:t>Americana no requieren aceptación de los otros Estados Partes,  entonces  el</w:t>
        <w:br/>
        <w:t>artículo 74 de la última,  para  los  efectos  que  interesan  aquí,  es  el</w:t>
        <w:br/>
        <w:t>aplicable, de manera que un Estado que la ratifique o  se  adhiera  a  ella,</w:t>
        <w:br/>
        <w:t>con o sin reservas, es tenido como Estado Parte desde el  día  del  depósito</w:t>
        <w:br/>
        <w:t>de su instrumento de ratificación o adhesión (Convención de Viena,  artículo</w:t>
        <w:br/>
        <w:t>20.1).  Por otra parte, si la aceptación de la reserva  fuera  necesaria  de</w:t>
        <w:br/>
        <w:t>acuerdo con la Convención de Viena, un Estado reservante podría  ser  tenido</w:t>
        <w:br/>
        <w:t>como Parte solamente en la fecha en que por lo menos otro Estado Parte  haya</w:t>
        <w:br/>
        <w:t>aceptado la reserva, expresa o tácticamente (Convención de Viena,  artículos</w:t>
        <w:br/>
        <w:t>20.4.c) y 20.5).</w:t>
        <w:br/>
        <w:br/>
        <w:t>27.   En opinión de la Corte, únicamente el párrafo 1 ó 4  del  artículo  20</w:t>
        <w:br/>
        <w:t>de la Convención de Viena pueden ser  considerados  pertinentes  al  aplicar</w:t>
        <w:br/>
        <w:t>los artículos 74 y 75 de la Convención.  El párrafo 2  del  artículo  20  es</w:t>
        <w:br/>
        <w:t>inaplicable, entre otras razones, porque el objeto y fin  de  la  Convención</w:t>
        <w:br/>
        <w:t>no son el intercambio recíproco de derechos  entre  un  número  limitado  de</w:t>
        <w:br/>
        <w:t>Estados, sino la protección de los derechos de todos los  seres  humanos  en</w:t>
        <w:br/>
        <w:t>América, independientemente de su nacionalidad.  Además,  la  Convención  no</w:t>
        <w:br/>
        <w:t>es el instrumento constitutivo de una  organización  internacional;  por  lo</w:t>
        <w:br/>
        <w:t>tanto, el artículo 20.3 es inaplicable.</w:t>
        <w:br/>
        <w:br/>
        <w:t>28.   Al considerar si la Convención contempla la aplicación del  párrafo  1</w:t>
        <w:br/>
        <w:t>ó 4 del artículo 20 de la Convención de Viena,  la  Corte  observa  que  los</w:t>
        <w:br/>
        <w:t>principios enunciados en el artículo 20.4 reflejan las  necesidades  de  los</w:t>
        <w:br/>
        <w:t>tradicionales  convenios  multilaterales  internacionales,  que  tienen  por</w:t>
        <w:br/>
        <w:t>objeto  un  intercambio  recíproco  de  derechos  y  obligaciones,  para  el</w:t>
        <w:br/>
        <w:t>beneficio mútuo de los Estados Partes.  En este contexto,  y  dado  el  gran</w:t>
        <w:br/>
        <w:t>incremento de los Estados que forman la comunidad internacional hoy en  día,</w:t>
        <w:br/>
        <w:t>el sistema establecido por el artículo 20.4 tiene gran sentido, porque,  por</w:t>
        <w:br/>
        <w:t>una parte, permite a los Estados ratificar  muchos  tratados  multilaterales</w:t>
        <w:br/>
        <w:t>con las reservas que estimen necesarias; por la otra, capacita a  los  otros</w:t>
        <w:br/>
        <w:t>Estados contratantes para aceptar o rechazar  las  reservas  y  resolver  si</w:t>
        <w:br/>
        <w:t>desean entrar  en  una  relación  convencional  con  el  Estado  reservante,</w:t>
        <w:br/>
        <w:t>disponiendo que,  tan  pronto  como  otro  Estado  Parte  haya  aceptado  la</w:t>
        <w:br/>
        <w:t>reserva, el tratado entra en vigencia con respecto al Estado reservante.</w:t>
        <w:br/>
        <w:br/>
        <w:t>29.   La Corte debe enfatizar, sin embargo, que los tratados modernos  sobre</w:t>
        <w:br/>
        <w:t>derechos humanos, en general, y, en particular, la Convención Americana,  no</w:t>
        <w:br/>
        <w:t>son tratados multilaterales de tipo tradicional, concluidos  en  función  de</w:t>
        <w:br/>
        <w:t>un intercambio recíproco  de  derechos,  para  el  beneficio  mútuo  de  los</w:t>
        <w:br/>
        <w:t>Estados contratantes.  Su objeto y fin son la  protección  de  los  derechos</w:t>
        <w:br/>
        <w:t>fundamentales de los seres humanos, independientemente de  su  nacionalidad,</w:t>
        <w:br/>
        <w:t>tanto  frente  a  su  propio  Estado  como  frente  a  los   otros   Estados</w:t>
        <w:br/>
        <w:t>contratantes.   Al  aprobar  estos  tratados  sobre  derechos  humanos,  los</w:t>
        <w:br/>
        <w:t>Estados se someten a un orden legal dentro  del  cual  ellos,  por  el  bien</w:t>
        <w:br/>
        <w:t>común, asumen varias obligaciones, no en relación con  otros  Estados,  sino</w:t>
        <w:br/>
        <w:t>hacia los individuos bajo su jurisdicción.  El carácter  especial  de  estos</w:t>
        <w:br/>
        <w:t>tratados ha sido  reconocido,  entre  otros,  por  la  Comisión  Europea  de</w:t>
        <w:br/>
        <w:t>Derechos Humanos cuando declaró</w:t>
        <w:br/>
        <w:br/>
        <w:t xml:space="preserve">      que las obligaciones asumidas por las Altas Partes Contratantes en  la</w:t>
        <w:br/>
        <w:t xml:space="preserve">      Convención (Europea) son esencialmente de carácter objetivo, diseñadas</w:t>
        <w:br/>
        <w:t xml:space="preserve">      para proteger los derechos  fundamentales  de  los  seres  humanos  de</w:t>
        <w:br/>
        <w:t xml:space="preserve">      violaciones de parte de las Altas Partes Contratantes en vez de  crear</w:t>
        <w:br/>
        <w:t xml:space="preserve">      derechos subjetivos y recíprocos entre las Altas  Partes  Contratantes</w:t>
        <w:br/>
        <w:t xml:space="preserve">      ("Austria vs. Italy", Application No.  788/60,  European  Yearbook  of</w:t>
        <w:br/>
        <w:t xml:space="preserve">      Human Rights, (1961), vol. 4, pág. 140).</w:t>
        <w:br/>
        <w:br/>
        <w:t>La Comisión Europea, basándose en el Preámbulo  de  la  Convención  Europea,</w:t>
        <w:br/>
        <w:t>enfatizó, además,</w:t>
        <w:br/>
        <w:br/>
        <w:t xml:space="preserve">      que el propósito de  las  Altas  Partes  Contratantes  al  aprobar  la</w:t>
        <w:br/>
        <w:t xml:space="preserve">      Convención no fue concederse derechos y obligaciones recíprocas con el</w:t>
        <w:br/>
        <w:t xml:space="preserve">      fin de satisfacer sus intereses nacionales sino realizar los  fines  e</w:t>
        <w:br/>
        <w:t xml:space="preserve">      ideales del Consejo de Europa... y establecer un orden  público  común</w:t>
        <w:br/>
        <w:t xml:space="preserve">      de las democracias libres de Europa con el objetivo de salvaguardar su</w:t>
        <w:br/>
        <w:t xml:space="preserve">      herencia común de tradiciones políticas, ideas y  régimen  de  derecho</w:t>
        <w:br/>
        <w:t xml:space="preserve">      (Ibid., pág. 138).</w:t>
        <w:br/>
        <w:br/>
        <w:t>30.   Ideas similares acerca de la naturaleza de los  tratados  humanitarios</w:t>
        <w:br/>
        <w:t>modernos han sido sustentados por la Corte Internacional de Justicia  en  su</w:t>
        <w:br/>
        <w:t>Advisory Opinion on Reservations to the Convention  on  the  Prevention  and</w:t>
        <w:br/>
        <w:t>Punishment of  the  Crime  of  Genocide  (1951  I.C.J.  15);  también  están</w:t>
        <w:br/>
        <w:t>contenidas en la propia Convención de Viena, particularmente en el  artículo</w:t>
        <w:br/>
        <w:t>60.5.  (Ver en general E. Schwelb, "The Law of Treaties and  Human  Rights",</w:t>
        <w:br/>
        <w:t>16 Archiv des Volkerrechts (1973),  pág.  1,  reproducido  en  Toward  World</w:t>
        <w:br/>
        <w:t>Order and Human Dignity (W.M. Reisman &amp; B. Weston, eds. 1976, pág. 262) ).</w:t>
        <w:br/>
        <w:br/>
        <w:t>31.    Tales  pareceres  acerca  del  carácter  especial  de  los   tratados</w:t>
        <w:br/>
        <w:t>humanitarios y las consecuencias que de ellos se  derivan,  se  aplican  aun</w:t>
        <w:br/>
        <w:t>con mayor razón a la  Convención  Americana,  cuyo  Preámbulo,  en  sus  dos</w:t>
        <w:br/>
        <w:t>primeros párrafos, establece:</w:t>
        <w:br/>
        <w:br/>
        <w:t xml:space="preserve">      Reafirmando su propósito de consolidar en este Continente, dentro  del</w:t>
        <w:br/>
        <w:t xml:space="preserve">      cuadro de las  instituciones  democráticas,  un  régimen  de  libertad</w:t>
        <w:br/>
        <w:t xml:space="preserve">      personal y de justicia social, fundado en el respeto de  los  derechos</w:t>
        <w:br/>
        <w:t xml:space="preserve">      esenciales del hombre;</w:t>
        <w:br/>
        <w:br/>
        <w:br/>
        <w:t xml:space="preserve">      Reconociendo que los derechos esenciales del hombre no nacen del hecho</w:t>
        <w:br/>
        <w:t xml:space="preserve">      de ser nacional de determinado Estado, sino que tienen como fundamento</w:t>
        <w:br/>
        <w:t xml:space="preserve">      los atributos de la persona humana, razón por la cual  justifican  una</w:t>
        <w:br/>
        <w:t xml:space="preserve">      protección internacional, de  naturaleza  convencional  coadyuvante  o</w:t>
        <w:br/>
        <w:t xml:space="preserve">      complementaria de la que ofrece el  derecho  interno  de  los  Estados</w:t>
        <w:br/>
        <w:t xml:space="preserve">      americanos.</w:t>
        <w:br/>
        <w:br/>
        <w:br/>
        <w:t>32.   Debe destacarse, además, que  la  Convención  al  contrario  de  otros</w:t>
        <w:br/>
        <w:t>tratados internacionales sobre derechos  humanos,  inclusive  la  Convención</w:t>
        <w:br/>
        <w:t>Europea, confiere a los individuos el  derecho  de  presentar  una  petición</w:t>
        <w:br/>
        <w:t>contra cualquier Estado tan pronto como éste haya ratificado  la  Convención</w:t>
        <w:br/>
        <w:t>(artículo 44).  En  contraste,  para  que  un  Estado  pueda  presentar  una</w:t>
        <w:br/>
        <w:t>denuncia contra otro Estado  cada  uno  de  ellos  debe  haber  aceptado  la</w:t>
        <w:br/>
        <w:t>competencia de la Comisión para tramitar denuncias entre  Estados  (artículo</w:t>
        <w:br/>
        <w:t>45).  Esto indica la gran importancia  que  la  Convención  atribuye  a  las</w:t>
        <w:br/>
        <w:t>obligaciones de los Estados Partes  frente  a  los  individuos,  las  cuales</w:t>
        <w:br/>
        <w:t>pueden ser exigidas de una vez, sin la mediación de otro Estado.</w:t>
        <w:br/>
        <w:br/>
        <w:t>33.   Desde este punto de  vista,  y  considerando  que  fue  diseñada  para</w:t>
        <w:br/>
        <w:t>proteger los derechos fundamentales  del  hombre  independientemente  de  su</w:t>
        <w:br/>
        <w:t>nacionalidad, frente a su propio Estado o a cualquier  otro,  la  Convención</w:t>
        <w:br/>
        <w:t>no puede ser vista sino como lo que ella es en realidad:  un  instrumento  o</w:t>
        <w:br/>
        <w:t>marco jurídico multilateral que capacita a los Estados  para  comprometerse,</w:t>
        <w:br/>
        <w:t>unilateralmente, a no violar los derechos humanos de los individuos bajo  su</w:t>
        <w:br/>
        <w:t>jurisdicción.</w:t>
        <w:br/>
        <w:br/>
        <w:t>34.   En este contexto sería manifiestamente  irrazonable  concluir  que  la</w:t>
        <w:br/>
        <w:t>referencia del artículo 75 a la Convención de Viena, obliga a la  aplicación</w:t>
        <w:br/>
        <w:t>del régimen legal establecido por el artículo 20.4 de la  última,  según  el</w:t>
        <w:br/>
        <w:t>cual la entrada en vigor de una ratificación  con  reserva,  depende  de  su</w:t>
        <w:br/>
        <w:t>aceptación por otro  Estado.   Un  tratado  que  da  tal  importancia  a  la</w:t>
        <w:br/>
        <w:t>protección del individuo, que abre el derecho de petición  individual  desde</w:t>
        <w:br/>
        <w:t>el momento de la ratificación,  difícilmente  puede  decirse  que  tienda  a</w:t>
        <w:br/>
        <w:t>retrasar la entrada en vigencia del tratado hasta  que  por  lo  menos  otro</w:t>
        <w:br/>
        <w:t>Estado esté dispuesto a aceptar al Estado reservante como  Parte.   Dado  el</w:t>
        <w:br/>
        <w:t>marco institucional y normativo de la Convención, tal  atraso  no  cumpliría</w:t>
        <w:br/>
        <w:t>ningún propósito útil.</w:t>
        <w:br/>
        <w:br/>
        <w:t>35.   Para los fines del presente análisis, la referencia del artículo 75  a</w:t>
        <w:br/>
        <w:t>la  Convención  de  Viena  sólo  tiene  sentido  si  se  entiende  como  una</w:t>
        <w:br/>
        <w:t>autorización  expresa  destinada  a  permitir  a  los  Estados  cualesquiera</w:t>
        <w:br/>
        <w:t>reservas  que  consideren  apropiadas,  siempre  y  cuando  éstas  no   sean</w:t>
        <w:br/>
        <w:t>incompatibles con el objeto y fin del tratado.  Como tales, se  puede  decir</w:t>
        <w:br/>
        <w:t>que ellas se rigen por el  artículo  20.1  de  la  Convención  de  Viena  y,</w:t>
        <w:br/>
        <w:t>consecuentemente, no están sujetas a la aceptación  de  ningún  otro  Estado</w:t>
        <w:br/>
        <w:t>Parte.</w:t>
        <w:br/>
        <w:br/>
        <w:t>36.   Al respecto, la Corte hace ver que dicho artículo 20.1, al  hablar  de</w:t>
        <w:br/>
        <w:t>"una reserva expresamente autorizada por el tratado", no se  está  limitando</w:t>
        <w:br/>
        <w:t>por su propio texto, a reservas específicas.  Un tratado puede  expresamente</w:t>
        <w:br/>
        <w:t>autorizar una o más reservas  específicas,  o  reservas  en  general.   Esto</w:t>
        <w:br/>
        <w:t>último, que  es  lo  que  la  Corte  estima  que  ocurre  en  la  Convención</w:t>
        <w:br/>
        <w:t>Americana, significa que  las  reservas,  así  expresamente  autorizadas  en</w:t>
        <w:br/>
        <w:t>general, no  requieren  un  tratamiento  diferente  al  de  las  específicas</w:t>
        <w:br/>
        <w:t>igualmente autorizadas.  En este sentido, la Corte desea enfatizar  que,  al</w:t>
        <w:br/>
        <w:t>contrario del artículo 19(b) de la Convención de Viena, que sí se refiere  a</w:t>
        <w:br/>
        <w:t>"determinadas reservas", el artículo 20.1 no  contiene  tal  restricción  y,</w:t>
        <w:br/>
        <w:t>por lo tanto, permite la interpretación del artículo  75  de  la  Convención</w:t>
        <w:br/>
        <w:t>Americana en la forma indicada en la presente opinión.</w:t>
        <w:br/>
        <w:br/>
        <w:t>37.   Habiendo concluido que las reservas expresamente  autorizadas  por  el</w:t>
        <w:br/>
        <w:t>artículo 75, esto es, todas las compatibles  con  el  objeto  y  fin  de  la</w:t>
        <w:br/>
        <w:t>Convención, no requieren aceptación de los Estados Partes,  la  Corte  opina</w:t>
        <w:br/>
        <w:t>que los instrumentos de ratificación o adhesión que las contienen entran  en</w:t>
        <w:br/>
        <w:t>vigor, de acuerdo con el artículo 74, desde el momento de su depósito.</w:t>
        <w:br/>
        <w:br/>
        <w:t>38.   Desde luego, los Estados Partes tienen un legítimo interés en  excluir</w:t>
        <w:br/>
        <w:t>reservas incompatibles con el objeto y fin de la Convención,  y  son  libres</w:t>
        <w:br/>
        <w:t>de  afirmar  ese  su  interés  mediante   los   mecanismos   consultivos   y</w:t>
        <w:br/>
        <w:t>jurisdiccionales  establecidos  por  aquélla;  pero  no  tienen  interés  en</w:t>
        <w:br/>
        <w:t>retrasar la entrada en vigor de la misma ni, por  ende,  la  protección  que</w:t>
        <w:br/>
        <w:t>ésta ofrece a los individuos en relación con los Estados que  la  ratifiquen</w:t>
        <w:br/>
        <w:t>o se adhieran a ella con reservas.</w:t>
        <w:br/>
        <w:br/>
        <w:t>39.   Puesto  que  el  presente  caso  se  refiere  solamente  a  cuestiones</w:t>
        <w:br/>
        <w:t>relacionadas con  la  entrada  en  vigor  de  la  Convención,  la  Corte  no</w:t>
        <w:br/>
        <w:t>considera necesario pronunciarse sobre otros problemas  que  podrían  surgir</w:t>
        <w:br/>
        <w:t>en un futuro en relación con la interpretación y aplicación del artículo  75</w:t>
        <w:br/>
        <w:t>de la Convención y que, a su vez, podrían requerir que la Corte examine  las</w:t>
        <w:br/>
        <w:t>disposiciones  de  la  Convención  de  Viena  aplicables   a   reservas   no</w:t>
        <w:br/>
        <w:t>consideradas en esta Opinión.</w:t>
        <w:br/>
        <w:br/>
        <w:t>40.   Por las razones expuestas, en interpretación de los artículos 74 y  75</w:t>
        <w:br/>
        <w:t>de la Convención Americana sobre Derechos Humanos, sobre la  fecha  efectiva</w:t>
        <w:br/>
        <w:t>de entrada en vigencia de ésta respecto de un Estado que la ratifique  o  se</w:t>
        <w:br/>
        <w:t>adhiera a ella con una o más reservas,</w:t>
        <w:br/>
        <w:br/>
        <w:br/>
        <w:t>LA CORTE ES DE OPINIÓN,</w:t>
        <w:br/>
        <w:br/>
        <w:t xml:space="preserve">      por unanimidad</w:t>
        <w:br/>
        <w:br/>
        <w:t>que la Convención entra en vigencia para un Estado que  la  ratifique  o  se</w:t>
        <w:br/>
        <w:t>adhiera a ella  con  o  sin  reservas,  en  la  fecha  del  depósito  de  su</w:t>
        <w:br/>
        <w:t>instrumento de ratificación o adhesión.</w:t>
        <w:br/>
        <w:br/>
        <w:t>Redactada en inglés y español, haciendo fe el texto en inglés,  en  la  sede</w:t>
        <w:br/>
        <w:t>de la Corte en San José, Costa Rica, el día 24 de setiembre de 1982.</w:t>
        <w:br/>
        <w:br/>
        <w:br/>
        <w:br/>
        <w:br/>
        <w:t xml:space="preserve">                            Carlos Roberto Reina</w:t>
        <w:br/>
        <w:t xml:space="preserve">                                 Presidente</w:t>
        <w:br/>
        <w:br/>
        <w:t>Pedro    Nikken                                                      Huntley</w:t>
        <w:br/>
        <w:t>Eugene-Munroe</w:t>
        <w:br/>
        <w:br/>
        <w:t>Máximo Cisneros                                          Rodolfo E. Piza E.</w:t>
        <w:br/>
        <w:br/>
        <w:t xml:space="preserve">                             Thomas Buergenthal</w:t>
        <w:br/>
        <w:br/>
        <w:t xml:space="preserve">                                Charles Moyer</w:t>
        <w:br/>
        <w:t xml:space="preserve">                                 Secretario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