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br/>
        <w:br/>
        <w:br/>
        <w:t xml:space="preserve">                         OPINIÓN CONSULTIVA OC-13/93</w:t>
        <w:br/>
        <w:br/>
        <w:t xml:space="preserve">                           DEL 16 DE JULIO DE 1993</w:t>
        <w:br/>
        <w:br/>
        <w:br/>
        <w:br/>
        <w:br/>
        <w:br/>
        <w:br/>
        <w:t xml:space="preserve">                     CIERTAS ATRIBUCIONES DE LA COMISIÓN</w:t>
        <w:br/>
        <w:t xml:space="preserve">                     INTERAMERICANA DE DERECHOS HUMANOS</w:t>
        <w:br/>
        <w:t xml:space="preserve">                  (ARTS. 41, 42, 44, 46, 47, 50 y 51 DE LA</w:t>
        <w:br/>
        <w:t xml:space="preserve">                CONVENCIÓN AMERICANA SOBRE DERECHOS HUMANOS)</w:t>
        <w:br/>
        <w:br/>
        <w:br/>
        <w:br/>
        <w:br/>
        <w:br/>
        <w:t xml:space="preserve">                       SOLICITADA POR LOS GOBIERNOS DE</w:t>
        <w:br/>
        <w:t xml:space="preserve">                       LA REPÚBLICA ARGENTINA Y DE LA</w:t>
        <w:br/>
        <w:t xml:space="preserve">                       REPÚBLICA ORIENTAL DEL URUGUAY</w:t>
        <w:br/>
        <w:br/>
        <w:br/>
        <w:br/>
        <w:br/>
        <w:t>Estuvieron presentes:</w:t>
        <w:br/>
        <w:br/>
        <w:br/>
        <w:br/>
        <w:t xml:space="preserve">      Rafael Nieto Navia, Presidente</w:t>
        <w:br/>
        <w:t xml:space="preserve">      Sonia Picado Sotela, Vicepresidente</w:t>
        <w:br/>
        <w:t xml:space="preserve">      Héctor Fix-Zamudio, Juez</w:t>
        <w:br/>
        <w:t xml:space="preserve">      Alejandro Montiel Argüello, Juez</w:t>
        <w:br/>
        <w:t xml:space="preserve">      Hernán Salgado Pesantes, Juez</w:t>
        <w:br/>
        <w:t xml:space="preserve">      Asdrúbal Aguiar-Aranguren, Juez</w:t>
        <w:br/>
        <w:br/>
        <w:br/>
        <w:br/>
        <w:t>Estuvieron, además, presentes:</w:t>
        <w:br/>
        <w:br/>
        <w:br/>
        <w:t xml:space="preserve">      Manuel E. Ventura Robles, Secretario y</w:t>
        <w:br/>
        <w:t xml:space="preserve">      Ana María Reina, Secretaria adjunta</w:t>
        <w:br/>
        <w:br/>
        <w:br/>
        <w:br/>
        <w:t>LA CORTE</w:t>
        <w:br/>
        <w:br/>
        <w:br/>
        <w:t>integrada en la forma antes mencionada,</w:t>
        <w:br/>
        <w:br/>
        <w:br/>
        <w:t>emite la siguiente opinión consultiva:</w:t>
        <w:br/>
        <w:br/>
        <w:br/>
        <w:t>1.    Los gobiernos de la República Argentina (en adelante  “la  Argentina”)</w:t>
        <w:br/>
        <w:t>y de la República Oriental del Uruguay (en adelante “el Uruguay”),  mediante</w:t>
        <w:br/>
        <w:t>escrito de 17 de diciembre de 1991 recibido en la  Secretaría  (en  adelante</w:t>
        <w:br/>
        <w:t>“la  Secretaría”)  de  la  Corte  Interamericana  de  Derechos  Humanos  (en</w:t>
        <w:br/>
        <w:t>adelante “la Corte”) el 7 de mayo de 1992, sometieron a ésta  una  solicitud</w:t>
        <w:br/>
        <w:t>de opinión consultiva dirigida a obtener la interpretación de los  artículos</w:t>
        <w:br/>
        <w:t>41, 42, 44, 46, 47, 50 y  51  de  la  Convención  Americana  sobre  Derechos</w:t>
        <w:br/>
        <w:t>Humanos (en adelante  “la  Convención”  o  “la  Convención  Americana”)  “en</w:t>
        <w:br/>
        <w:t>relación con la situación y las circunstancias concretas” que señalan.</w:t>
        <w:br/>
        <w:br/>
        <w:t>2.    La Argentina y  el  Uruguay  solicitaron  la  opinión  consultiva  con</w:t>
        <w:br/>
        <w:t>fundamento en  el  artículo  64.1  de  la  Convención  Americana  y  en  los</w:t>
        <w:br/>
        <w:t>artículos 49 y 51 del anterior Reglamento  de  la  Corte  que,  con  algunas</w:t>
        <w:br/>
        <w:t>modificaciones, corresponden a los artículos 51 y 53 del  Reglamento  actual</w:t>
        <w:br/>
        <w:t>de la Corte (en adelante “el Reglamento”), que es el  aplicable  por  cuanto</w:t>
        <w:br/>
        <w:t>la solicitud se presentó con posterioridad al 1 de agosto de 1991.</w:t>
        <w:br/>
        <w:br/>
        <w:br/>
        <w:t>3.    La solicitud de opinión consultiva plantea las siguientes preguntas:</w:t>
        <w:br/>
        <w:br/>
        <w:t xml:space="preserve">            1)    Con respecto a los artículos 41 y 42, se pide a  la  Corte</w:t>
        <w:br/>
        <w:t xml:space="preserve">      que dé su opinión respecto  a  la  competencia  de  la  Comisión  para</w:t>
        <w:br/>
        <w:t xml:space="preserve">      calificar y dar su criterio, como fundamento de su intervención, en el</w:t>
        <w:br/>
        <w:t xml:space="preserve">      caso de  comunicaciones  que  alegan  una  violación  a  los  derechos</w:t>
        <w:br/>
        <w:t xml:space="preserve">      protegidos por los artículos 23, 24 y 25 de la  Convención,  sobre  la</w:t>
        <w:br/>
        <w:t xml:space="preserve">      regularidad jurídica de leyes internas, adoptadas de  acuerdo  con  lo</w:t>
        <w:br/>
        <w:t xml:space="preserve">      dispuesto  por  la  Constitución,  en  cuanto  a  su  “razonabilidad”,</w:t>
        <w:br/>
        <w:t xml:space="preserve">      “conveniencia” o “autenticidad”.</w:t>
        <w:br/>
        <w:br/>
        <w:br/>
        <w:t xml:space="preserve">            2)    Con respecto a los artículos 46 y 47 de la Convención,  se</w:t>
        <w:br/>
        <w:t xml:space="preserve">      pide a la Corte que dé su opinión en  cuanto  a  si,  en  el  caso  de</w:t>
        <w:br/>
        <w:t xml:space="preserve">      comunicaciones presentadas al amparo de lo dispuesto en el artículo 44</w:t>
        <w:br/>
        <w:t xml:space="preserve">      de la Convención que deben tramitarse en el marco  del  Pacto  de  San</w:t>
        <w:br/>
        <w:t xml:space="preserve">      José, es jurídicamente aceptable que la  Comisión,  después  de  haber</w:t>
        <w:br/>
        <w:t xml:space="preserve">      declarado inadmisible la solicitud, se pronuncie, en el mismo informe,</w:t>
        <w:br/>
        <w:t xml:space="preserve">      sobre el fondo.</w:t>
        <w:br/>
        <w:br/>
        <w:br/>
        <w:t xml:space="preserve">            3)    Con respecto a los artículos 50 y 51 de la Convención,  se</w:t>
        <w:br/>
        <w:t xml:space="preserve">      pide a la Corte dé su opinión respecto a si es posible subsumir en  un</w:t>
        <w:br/>
        <w:t xml:space="preserve">      solo informe los dos que determinan los artículos 50  y  51  y  si  la</w:t>
        <w:br/>
        <w:t xml:space="preserve">      Comisión puede ordenar la publicación del informe a que se refiere  el</w:t>
        <w:br/>
        <w:t xml:space="preserve">      artículo 50 antes de que transcurra el plazo que  indica  el  artículo</w:t>
        <w:br/>
        <w:t xml:space="preserve">      51.</w:t>
        <w:br/>
        <w:br/>
        <w:br/>
        <w:t>4.    En las consideraciones que originan la consulta,  la  Argentina  y  el</w:t>
        <w:br/>
        <w:t>Uruguay manifestaron lo siguiente:</w:t>
        <w:br/>
        <w:br/>
        <w:t xml:space="preserve">            4)    Ninguno de los criterios interpretativos sobre los que  se</w:t>
        <w:br/>
        <w:t xml:space="preserve">      solicita opinión  consultiva  de  la  Corte  son  asuntos  abstractos,</w:t>
        <w:br/>
        <w:t xml:space="preserve">      eventualidades teóricas que pueden eventualmente surgir en el  proceso</w:t>
        <w:br/>
        <w:t xml:space="preserve">      de aplicación de la Convención.  Son asuntos específicos, que han sido</w:t>
        <w:br/>
        <w:t xml:space="preserve">      objeto de aplicación concreta por parte de la Comisión (por ejemplo en</w:t>
        <w:br/>
        <w:t xml:space="preserve">      los casos 9.768, 9.780, 9.828, 9.850, 9.893).</w:t>
        <w:br/>
        <w:br/>
        <w:br/>
        <w:t xml:space="preserve">             5)     Los  Gobiernos  solicitantes  estiman  que  la   opinión</w:t>
        <w:br/>
        <w:t xml:space="preserve">      consultiva que se solicita reviste gran interés e importancia para  la</w:t>
        <w:br/>
        <w:t xml:space="preserve">      adecuada aplicación de la Convención Americana sobre Derechos  Humanos</w:t>
        <w:br/>
        <w:t xml:space="preserve">      y para el correcto funcionamiento del Sistema  Regional  Americano  de</w:t>
        <w:br/>
        <w:t xml:space="preserve">      Protección de los Derechos Humanos, en función de los nobles  y  altos</w:t>
        <w:br/>
        <w:t xml:space="preserve">      fines y objetivos que la defensa  de  la  persona  humana  debe  tener</w:t>
        <w:br/>
        <w:t xml:space="preserve">      siempre presente.</w:t>
        <w:br/>
        <w:br/>
        <w:t>5.    La Argentina y el Uruguay designaron como agentes  a  sus  Embajadoras</w:t>
        <w:br/>
        <w:t>en  Costa  Rica  Alicia  Martínez  Ríos  y   Raquel   Macedo   de   Shepard,</w:t>
        <w:br/>
        <w:t>respectivamente.</w:t>
        <w:br/>
        <w:br/>
        <w:t>6.    Mediante nota de 26 de mayo de 1992  la  Secretaría,  en  cumplimiento</w:t>
        <w:br/>
        <w:t>del  artículo  54.1  del  Reglamento,  solicitó  observaciones  escritas   y</w:t>
        <w:br/>
        <w:t>documentos relevantes tanto a los Estados Miembros  de  la  Organización  de</w:t>
        <w:br/>
        <w:t>los Estados Americanos (en adelante  “la  OEA”)  como,  por  intermedio  del</w:t>
        <w:br/>
        <w:t>Secretario General de ésta,  a  todos  los  órganos  a  que  se  refiere  el</w:t>
        <w:br/>
        <w:t>Capítulo VIII de la Carta de la OEA.</w:t>
        <w:br/>
        <w:br/>
        <w:t>7.    El Presidente de la Corte (en adelante “el  Presidente”)  dispuso  que</w:t>
        <w:br/>
        <w:t>las observaciones escritas y los documentos  relevantes  fueran  presentados</w:t>
        <w:br/>
        <w:t>en la Secretaría antes del 16 de noviembre de 1992.</w:t>
        <w:br/>
        <w:br/>
        <w:t>8.    La comunicación de la Secretaría fue respondida por los  gobiernos  de</w:t>
        <w:br/>
        <w:t>Chile, Jamaica, Santa Lucía, México, Panamá y Costa Rica y por  la  Comisión</w:t>
        <w:br/>
        <w:t>Interamericana  de  Derechos  Humanos  (en  adelante  “la  Comisión”  o  “la</w:t>
        <w:br/>
        <w:t>Comisión Interamericana”).</w:t>
        <w:br/>
        <w:br/>
        <w:t>9.    Las  siguientes  organizaciones  no  gubernamentales  presentaron  sus</w:t>
        <w:br/>
        <w:t>puntos  de  vista  sobre  la  consulta  como   amici   curiae:    Federación</w:t>
        <w:br/>
        <w:t>latinoamericana de asociaciones de  familiares  de  detenidos  desaparecidos</w:t>
        <w:br/>
        <w:t>(FEDEFAM); Familiares, madres y abuelas de detenidos  desaparecidos  de  Mar</w:t>
        <w:br/>
        <w:t>del Plata; Centro por  la  justicia  y  el  derecho  internacional  (CEJIL);</w:t>
        <w:br/>
        <w:t>Americas Watch; International Human Rights Law  Group;  Centro  de  estudios</w:t>
        <w:br/>
        <w:t>legales y sociales (CELS); Centro por los  derechos  humanos  y  el  derecho</w:t>
        <w:br/>
        <w:t>humanitario de American  University;  Programa  venezolano  de  educación  y</w:t>
        <w:br/>
        <w:t>acción en derechos humanos (PROVEA); Centro por la acción legal en  derechos</w:t>
        <w:br/>
        <w:t>humanos y Washington Office on Latin America.  También presentó  un  escrito</w:t>
        <w:br/>
        <w:t>como amicus curiae la  señora  María  Elba  Martínez,  en  su  condición  de</w:t>
        <w:br/>
        <w:t>abogada de la Fundación paz y  justicia-Argentina  y  apoderada  de  algunos</w:t>
        <w:br/>
        <w:t>particulares ante la Comisión.</w:t>
        <w:br/>
        <w:br/>
        <w:t>10.   Siguiendo instrucciones del Presidente  y  mediante  notas  del  7  de</w:t>
        <w:br/>
        <w:t>octubre de 1992, la Secretaría convocó  a  los  Estados  Miembros  y  a  los</w:t>
        <w:br/>
        <w:t>órganos de la OEA a una audiencia pública,  la  cual  se  celebró  el  1  de</w:t>
        <w:br/>
        <w:t>febrero de 1993 a las 15:00 horas.</w:t>
        <w:br/>
        <w:br/>
        <w:t>11.   Previa consulta con la Comisión Permanente de la Corte, el  Presidente</w:t>
        <w:br/>
        <w:t>autorizó a participar en dicha audiencia  a  los  siguientes  organismos  no</w:t>
        <w:br/>
        <w:t>gubernamentales de carácter internacional:  Americas Watch,  Centro  por  la</w:t>
        <w:br/>
        <w:t>justicia y el derecho internacional (CEJIL)  e  International  Human  Rights</w:t>
        <w:br/>
        <w:t>Law Group.</w:t>
        <w:br/>
        <w:br/>
        <w:t>12.   Comparecieron a esta audiencia pública:</w:t>
        <w:br/>
        <w:br/>
        <w:t>Por el Gobierno de Costa Rica:</w:t>
        <w:br/>
        <w:br/>
        <w:t xml:space="preserve">      Elizabeth Odio Benito, Ministra de Justicia y Gracia</w:t>
        <w:br/>
        <w:br/>
        <w:t>Por el Gobierno de los Estados Unidos Mexicanos:</w:t>
        <w:br/>
        <w:br/>
        <w:t xml:space="preserve">      Miguel Ángel González Félix, Coordinador de Derechos           Humanos</w:t>
        <w:br/>
        <w:t>y Narcotráfico de la Secretaría de Relaciones Exteriores</w:t>
        <w:br/>
        <w:br/>
        <w:t xml:space="preserve">      Mario I.  Álvarez  Ledesma,  Director  de  Estudios  Sociopolíticos  y</w:t>
        <w:br/>
        <w:t>Derechos Humanos de la Secretaría de Gobernación</w:t>
        <w:br/>
        <w:br/>
        <w:t>Por la Comisión Interamericana de Derechos Humanos:</w:t>
        <w:br/>
        <w:br/>
        <w:t xml:space="preserve">      Marco Tulio Bruni Celli, Presidente</w:t>
        <w:br/>
        <w:br/>
        <w:t xml:space="preserve">      David J. Padilla, Secretario Ejecutivo Adjunto</w:t>
        <w:br/>
        <w:br/>
        <w:t>Por Americas Watch:</w:t>
        <w:br/>
        <w:br/>
        <w:t xml:space="preserve">      Juan E. Méndez</w:t>
        <w:br/>
        <w:br/>
        <w:t>Por el Centro por la justicia y el derecho internacional (CEJIL):</w:t>
        <w:br/>
        <w:br/>
        <w:t xml:space="preserve">      José Miguel Vivanco</w:t>
        <w:br/>
        <w:br/>
        <w:t>Por el International Human Rights Law Group:</w:t>
        <w:br/>
        <w:br/>
        <w:t xml:space="preserve">      Reed Brody</w:t>
        <w:br/>
        <w:br/>
        <w:t xml:space="preserve">      Felipe González.</w:t>
        <w:br/>
        <w:br/>
        <w:br/>
        <w:t xml:space="preserve">                                      I</w:t>
        <w:br/>
        <w:br/>
        <w:br/>
        <w:t>13.   Esta consulta ha sido sometida a la Corte  por  los  gobiernos  de  la</w:t>
        <w:br/>
        <w:t>Argentina y del Uruguay de  acuerdo  con  la  potestad  que  les  otorga  el</w:t>
        <w:br/>
        <w:t>artículo 64.1 de la Convención.  Ambos son Estados Miembros  de  la  OEA  y,</w:t>
        <w:br/>
        <w:t>por tanto, tienen el derecho de solicitar a la Corte  opiniones  consultivas</w:t>
        <w:br/>
        <w:t>acerca de la interpretación de la Convención.</w:t>
        <w:br/>
        <w:br/>
        <w:br/>
        <w:br/>
        <w:br/>
        <w:t>14.   La Corte estima que la solicitud cumple formalmente las exigencias  de</w:t>
        <w:br/>
        <w:t>lo dispuesto en el artículo 51 del Reglamento, según el cual  para  que  una</w:t>
        <w:br/>
        <w:t>solicitud sea considerada por la Corte las preguntas  deben  ser  formuladas</w:t>
        <w:br/>
        <w:t>con precisión y especificar las disposiciones que deben  ser  interpretadas,</w:t>
        <w:br/>
        <w:t>indicar las consideraciones  que  originan  la  consulta  y  suministrar  el</w:t>
        <w:br/>
        <w:t>nombre y dirección del agente.</w:t>
        <w:br/>
        <w:br/>
        <w:t>15.   El hecho de que una solicitud reúna los requisitos del artículo 51  no</w:t>
        <w:br/>
        <w:t>necesariamente  significa que la Corte esté obligada a evacuarla.  La  Corte</w:t>
        <w:br/>
        <w:t>ha reiterado que su competencia consultiva es  “de  naturaleza  permisiva  y</w:t>
        <w:br/>
        <w:t>que comporta el poder de apreciar si las circunstancias en que  se  basa  la</w:t>
        <w:br/>
        <w:t>petición son tales que la lleven a no dar una respuesta”  [“Otros  tratados”</w:t>
        <w:br/>
        <w:t>objeto de la función consultiva de la Corte (art.  64  Convención  Americana</w:t>
        <w:br/>
        <w:t>sobre Derechos Humanos), Opinión Consultiva OC-1/82 del 24 de  setiembre  de</w:t>
        <w:br/>
        <w:t>1982.  Serie A No. 1, párr. 28].</w:t>
        <w:br/>
        <w:br/>
        <w:t>En esa misma opinión, la Corte advirtió que</w:t>
        <w:br/>
        <w:br/>
        <w:t xml:space="preserve">      [l]a función consultiva de la Corte  no  puede  desvincularse  de  los</w:t>
        <w:br/>
        <w:t xml:space="preserve">      propósitos de  la  Convención.   Dicha  función  tiene  por  finalidad</w:t>
        <w:br/>
        <w:t xml:space="preserve">      coadyuvar al cumplimiento de las obligaciones internacionales  de  los</w:t>
        <w:br/>
        <w:t xml:space="preserve">      Estados americanos en lo que concierne a la protección de los derechos</w:t>
        <w:br/>
        <w:t xml:space="preserve">      humanos [...]  Es obvio que toda solicitud de opinión  consultiva  que</w:t>
        <w:br/>
        <w:t xml:space="preserve">      se aparte de ese  fin  debilitaría  el  sistema  de  la  Convención  y</w:t>
        <w:br/>
        <w:t xml:space="preserve">      desnaturalizaría la competencia consultiva de la Corte  (Ibid.,  párr.</w:t>
        <w:br/>
        <w:t xml:space="preserve">      25).</w:t>
        <w:br/>
        <w:br/>
        <w:t>Y sería inadmisible toda solicitud que</w:t>
        <w:br/>
        <w:br/>
        <w:t xml:space="preserve">      conduzca a desvirtuar la jurisdicción contenciosa de la  Corte,  o  en</w:t>
        <w:br/>
        <w:t xml:space="preserve">      general, a debilitar o alterar el sistema previsto por la  Convención,</w:t>
        <w:br/>
        <w:t xml:space="preserve">      de manera que puedan verse menoscabados los derechos de  las  víctimas</w:t>
        <w:br/>
        <w:t xml:space="preserve">      de eventuales violaciones de los derechos humanos (Ibid., párr. 31).</w:t>
        <w:br/>
        <w:br/>
        <w:br/>
        <w:t>En cada caso hay que  considerar  las  circunstancias  para  determinar  si</w:t>
        <w:br/>
        <w:t>existen elementos que conduzcan a no emitir una opinión consultiva.</w:t>
        <w:br/>
        <w:br/>
        <w:br/>
        <w:t>16.   En la solicitud de opinión consultiva en examen los gobiernos</w:t>
        <w:br/>
        <w:t>manifiestan que</w:t>
        <w:br/>
        <w:br/>
        <w:t xml:space="preserve">      [n]inguno de los criterios interpretativos sobre los que  se  solicita</w:t>
        <w:br/>
        <w:t xml:space="preserve">      opinión consultiva de la Corte son asuntos abstractos,  eventualidades</w:t>
        <w:br/>
        <w:t xml:space="preserve">      teóricas  que  pueden  eventualmente   surgir   en  el   proceso    de</w:t>
        <w:br/>
        <w:t xml:space="preserve">      aplicación  de  la  Convención.  Son   asuntos  específicos,  que  han</w:t>
        <w:br/>
        <w:t xml:space="preserve">      sido objeto de aplicación concreta por parte de la Comisión.</w:t>
        <w:br/>
        <w:br/>
        <w:t>En apoyo de ese argumento citan cinco casos tramitados ante ella.</w:t>
        <w:br/>
        <w:br/>
        <w:t>17.   El hecho de que en la solicitud de opinión consultiva se  citen  casos</w:t>
        <w:br/>
        <w:t>específicos  en  que  la  Comisión  ha  hecho  aplicación  concreta  de  los</w:t>
        <w:br/>
        <w:t>criterios sobre los que se pide respuesta, puede ser un argumento  en  favor</w:t>
        <w:br/>
        <w:t>de que la Corte ejerza su competencia consultiva  ya  que  no  se  trata  de</w:t>
        <w:br/>
        <w:t>“especulaciones puramente académicas, sin una</w:t>
        <w:br/>
        <w:t>previsible aplicación a situaciones concretas que justifiquen el interés  de</w:t>
        <w:br/>
        <w:t>que se emita una opinión consultiva” [Garantías  judiciales  en  estados  de</w:t>
        <w:br/>
        <w:t>emergencia  (arts.  27.2,  25  y  8  Convención  Americana  sobre   Derechos</w:t>
        <w:br/>
        <w:t>Humanos), Opinión Consultiva OC-9/87 del 6 de octubre de 1987.  Serie A  No.</w:t>
        <w:br/>
        <w:t>9, párr. 16].  Naturalmente, la Corte  no  está  facultada  para  entrar  al</w:t>
        <w:br/>
        <w:t>examen de esos casos, ya que no han sido sometidos a su conocimiento por  la</w:t>
        <w:br/>
        <w:t>Comisión o por los Estados interesados.</w:t>
        <w:br/>
        <w:br/>
        <w:t>18.   En una oportunidad anterior en que la Comisión tuvo bajo su</w:t>
        <w:br/>
        <w:t>consideración varios casos contra el Estado solicitante de una opinión</w:t>
        <w:br/>
        <w:t>consultiva, la Corte entendió</w:t>
        <w:br/>
        <w:br/>
        <w:t xml:space="preserve">      que una respuesta a las preguntas, [.  .  .]  que  podría  traer  como</w:t>
        <w:br/>
        <w:t xml:space="preserve">      resultado una solución de manera encubierta, por la vía de la  opinión</w:t>
        <w:br/>
        <w:t xml:space="preserve">      consultiva, de asuntos litigiosos aún no sometidos a consideración  de</w:t>
        <w:br/>
        <w:t xml:space="preserve">      la Corte, sin que las  víctimas  tengan  oportunidad  en  el  proceso,</w:t>
        <w:br/>
        <w:t xml:space="preserve">      distorsionaría el sistema  de  la  Convención  (Compatibilidad  de  un</w:t>
        <w:br/>
        <w:t xml:space="preserve">      proyecto de ley con el artículo  8.2.h.  de  la  Convención  Americana</w:t>
        <w:br/>
        <w:t xml:space="preserve">      sobre Derechos Humanos, Opinión Consultiva OC-12/91 del 6 de diciembre</w:t>
        <w:br/>
        <w:t xml:space="preserve">      de 1991. Serie A No. 12, párr. 28)</w:t>
        <w:br/>
        <w:br/>
        <w:t>y, por tanto, decidió no responder la consulta.</w:t>
        <w:br/>
        <w:br/>
        <w:t>19.   Lo anterior no quiere decir que la Corte no pueda emitir  una  opinión</w:t>
        <w:br/>
        <w:t>consultiva a solicitud de la Comisión cuando un asunto está  pendiente  ante</w:t>
        <w:br/>
        <w:t>ésta ya que</w:t>
        <w:br/>
        <w:br/>
        <w:t xml:space="preserve">      si se le impidiera a la  Comisión  solicitar  una  opinión  consultiva</w:t>
        <w:br/>
        <w:t xml:space="preserve">      simplemente porque uno o más gobiernos se encuentran  involucrados  en</w:t>
        <w:br/>
        <w:t xml:space="preserve">      una disputa con la Comisión sobre la interpretación de una disposición</w:t>
        <w:br/>
        <w:t xml:space="preserve">      [de la Convención], muy rara vez podría ésta valerse de la competencia</w:t>
        <w:br/>
        <w:t xml:space="preserve">      consultiva de la Corte [Restricciones a la pena de muerte (arts. 4.2 y</w:t>
        <w:br/>
        <w:t xml:space="preserve">      4.4 Convención Americana sobre Derechos Humanos),  Opinión  Consultiva</w:t>
        <w:br/>
        <w:t xml:space="preserve">      OC-3/83 del 8 de setiembre de 1983. Serie A No. 3, párr. 38].</w:t>
        <w:br/>
        <w:br/>
        <w:t>Como antes se dijo, lo importante es  que  no  se  trate  de  desvirtuar  el</w:t>
        <w:br/>
        <w:t>sistema de la  Convención,  buscando  una  solución  encubierta  de  asuntos</w:t>
        <w:br/>
        <w:t>litigiosos en perjuicio de las víctimas.</w:t>
        <w:br/>
        <w:br/>
        <w:t>20.    La  Corte  no  encuentra  en  la  solicitud  presente  que   se   den</w:t>
        <w:br/>
        <w:t>presupuestos para abstenerse de resolverla, por lo cual la admite y  pasa  a</w:t>
        <w:br/>
        <w:t>responderla.</w:t>
        <w:br/>
        <w:br/>
        <w:br/>
        <w:t xml:space="preserve">                                     II</w:t>
        <w:br/>
        <w:br/>
        <w:br/>
        <w:t>21.   La primera pregunta planteada por los gobiernos “con  respecto  a  los</w:t>
        <w:br/>
        <w:t>artículos 41 y 42” de la Convención, se refiere  a  “la  competencia  de  la</w:t>
        <w:br/>
        <w:t>Comisión  para  calificar  y  dar  su  criterio  [.  .  .]  en  el  caso  de</w:t>
        <w:br/>
        <w:t>comunicaciones que alegan una violación” de ciertos derechos protegidos  por</w:t>
        <w:br/>
        <w:t>la Convención (los de los artículos 23, 24  y  25),  “sobre  la  regularidad</w:t>
        <w:br/>
        <w:t>jurídica de leyes  internas, adoptadas de acuerdo con lo  dispuesto  por  la</w:t>
        <w:br/>
        <w:t>Constitución [de un Estado cualquiera],  en  cuanto  a  su  ‘razonabilidad’,</w:t>
        <w:br/>
        <w:t>‘conveniencia’ o ‘autenticidad’”.</w:t>
        <w:br/>
        <w:br/>
        <w:t>22.   La Corte no encuentra razón  alguna  ni  la  solicitud  la  trae  para</w:t>
        <w:br/>
        <w:t>distinguir  los  derechos  señalados  (arts.  23  —derechos  políticos—,  24</w:t>
        <w:br/>
        <w:t>—igualdad ante  la  ley—  y  25  —protección  judicial—)  de  los  restantes</w:t>
        <w:br/>
        <w:t>enumerados en la  Convención.   Esta  no  establece  una  jerarquía  de  los</w:t>
        <w:br/>
        <w:t>derechos protegidos por ella.   Las  distinciones  en  materia  de  derechos</w:t>
        <w:br/>
        <w:t>humanos en el sistema interamericano son, principalmente, las que tocan  con</w:t>
        <w:br/>
        <w:t>los derechos a cuya protección se obligan, bien los  Estados  Partes  en  la</w:t>
        <w:br/>
        <w:t>Convención o bien los Estados Miembros de  la  OEA  pero  no  Partes  en  la</w:t>
        <w:br/>
        <w:t>Convención; en este último  caso  sólo  los  contenidos  en  la  Declaración</w:t>
        <w:br/>
        <w:t>Americana de los Derechos  y  Deberes  del  Hombre  y,  en  particular,  los</w:t>
        <w:br/>
        <w:t>mencionados  en  el  artículo  20  del  Estatuto   de   la   Comisión   (ver</w:t>
        <w:br/>
        <w:t>Interpretación de la Declaración Americana de los  Derechos  y  Deberes  del</w:t>
        <w:br/>
        <w:t>Hombre en el  marco  del  artículo  64  de  la  Convención  Americana  sobre</w:t>
        <w:br/>
        <w:t>Derechos Humanos, Opinión Consultiva OC-10/89  del  14  de  julio  de  1989.</w:t>
        <w:br/>
        <w:t>Serie A No. 10, párr. 45); y las que se  hacen  en  el  artículo  27  de  la</w:t>
        <w:br/>
        <w:t>Convención sobre los derechos que no pueden  ser  suspendidos  en  “caso  de</w:t>
        <w:br/>
        <w:t>guerra,  de  peligro  público  o  de  otra   emergencia   que   amenace   la</w:t>
        <w:br/>
        <w:t>independencia o seguridad del Estado”.  En  el  inciso  2  de  ese  artículo</w:t>
        <w:br/>
        <w:t>aparece mencionado el artículo  23  como  uno  de  los  que  no  pueden  ser</w:t>
        <w:br/>
        <w:t>suspendidos, pero no el 24 ni el 25.  No obstante, en su opinión  consultiva</w:t>
        <w:br/>
        <w:t>sobre “Garantías  Judiciales...”  (supra  17,  párrs.  22  a  24)  la  Corte</w:t>
        <w:br/>
        <w:t>interpretó que el artículo 25.1 contiene algunas de aquellas  garantías  que</w:t>
        <w:br/>
        <w:t>no pueden ser suspendidas.  No existiendo, sin embargo,  razón  alguna  para</w:t>
        <w:br/>
        <w:t>que la opinión de la  Corte  se  refiera  solamente  a  los  tres  artículos</w:t>
        <w:br/>
        <w:t>mencionados en la solicitud, ésta omitirá la distinción en su respuesta.</w:t>
        <w:br/>
        <w:br/>
        <w:t>23.   Varios de los artículos  de  la  Convención,  en  particular  los  que</w:t>
        <w:br/>
        <w:t>aparecen en la sección 2 del capítulo VII bajo el  acápite  Funciones  y  el</w:t>
        <w:br/>
        <w:t>artículo 44 que forma parte de la sección 3 Competencia, se refieren  a  las</w:t>
        <w:br/>
        <w:t>atribuciones de la Comisión.   Desde  el  comienzo,  las  disposiciones  del</w:t>
        <w:br/>
        <w:t>sistema interamericano le han encomendado a la Comisión la  “promo[ción]  de</w:t>
        <w:br/>
        <w:t>los derechos humanos” (Resolución VIII, V Reunión de Consulta  de  Ministros</w:t>
        <w:br/>
        <w:t>de Relaciones Exteriores, Santiago, 1959, Documentos Oficiales,  OEA,  Serie</w:t>
        <w:br/>
        <w:t>C.II. 5, 4-6) o “promover la  observancia  y  la  defensa  de  los  derechos</w:t>
        <w:br/>
        <w:t>humanos” (art. 111 de la Carta de la  OEA  reformada  por  el  Protocolo  de</w:t>
        <w:br/>
        <w:t>Cartagena), como lo recoge textualmente el artículo  41  de  la  Convención.</w:t>
        <w:br/>
        <w:t>Es esa la función principal de la Comisión y  la  que  condiciona  y  regula</w:t>
        <w:br/>
        <w:t>todas las demás que ella  tiene,  en  particular  las  que  le  atribuye  el</w:t>
        <w:br/>
        <w:t>artículo 41 y cualquier interpretación que  de  ellas  se  haga  tendrá  que</w:t>
        <w:br/>
        <w:t>estar sujeta a ese criterio.</w:t>
        <w:br/>
        <w:br/>
        <w:t>24.   Entiende la  Corte  que  la  solicitud  no  busca  una  interpretación</w:t>
        <w:br/>
        <w:t>integral de los artículos 41 y 42, sino una opinión sobre si,  con  base  en</w:t>
        <w:br/>
        <w:t>esos artículos, la Comisión podría, en el caso de comunicaciones en  trámite</w:t>
        <w:br/>
        <w:t>(probablemente aquellas a que se refieren los artículos 41.f, 44 y 45) o  al</w:t>
        <w:br/>
        <w:t>referirse a las copias de los informes y estudios que le envíen los  Estados</w:t>
        <w:br/>
        <w:t>en aplicación del artículo 42, pronunciarse sobre la  “regularidad  jurídica</w:t>
        <w:br/>
        <w:t>de  leyes  internas,  adoptadas  de  acuerdo  con  lo   dispuesto   por   la</w:t>
        <w:br/>
        <w:t>Constitución,   en   cuanto   a   su   ‘razonabilidad’,   ‘conveniencia’   o</w:t>
        <w:br/>
        <w:t>‘autenticidad’”.</w:t>
        <w:br/>
        <w:br/>
        <w:t>25.   En una opinión consultiva la Corte tuvo oportunidad  de  referirse  in</w:t>
        <w:br/>
        <w:t>extenso al sentido de la  palabra  “leyes”  en   el   artículo  30   de   la</w:t>
        <w:br/>
        <w:t>Convención,  es   decir,   aquellas   mediante   las   cuales   se   adoptan</w:t>
        <w:br/>
        <w:t>restricciones a los derechos y libertades reconocidos en ella.   En  aquella</w:t>
        <w:br/>
        <w:t>oportunidad definió la ley como “norma jurídica de carácter general,  ceñida</w:t>
        <w:br/>
        <w:t>al bien común,  emanada  de  los  órganos  legislativos  constitucionalmente</w:t>
        <w:br/>
        <w:t>previstos y democráticamente elegidos, y elaborada  según  el  procedimiento</w:t>
        <w:br/>
        <w:t>establecido por las constituciones de los Estados Partes para  la  formación</w:t>
        <w:br/>
        <w:t>de las leyes” (La expresión “leyes” en  el  artículo  30  de  la  Convención</w:t>
        <w:br/>
        <w:t>Americana sobre Derechos Humanos, Opinión Consultiva OC-6/86 del 9  de  mayo</w:t>
        <w:br/>
        <w:t>de 1986. Serie A No. 6, párr. 38), definición a la que llegó con base en  el</w:t>
        <w:br/>
        <w:t>análisis de los principios de “legalidad”  y  “legitimidad”  y  del  régimen</w:t>
        <w:br/>
        <w:t>democrático dentro del cual hay que entender el  sistema  interamericano  de</w:t>
        <w:br/>
        <w:t>derechos humanos (párrs. 23 y 32).  Estas interpretaciones de  la  Corte  se</w:t>
        <w:br/>
        <w:t>refirieron exclusivamente al sentido de la palabra “ley” en el  artículo  30</w:t>
        <w:br/>
        <w:t>y nada autoriza para extenderlas  a  otros  supuestos  en   los  cuales   la</w:t>
        <w:br/>
        <w:t>Convención se refiera a la “ley” o, en cualquier otro contexto, se hable  de</w:t>
        <w:br/>
        <w:t>“ley”.  Habría que entender, entonces, que la  expresión,  utilizada  en  la</w:t>
        <w:br/>
        <w:t>consulta, “leyes internas, adoptadas de acuerdo  con  lo  dispuesto  por  la</w:t>
        <w:br/>
        <w:t>Constitución” se refiere a cualquier disposición de carácter  general  y  no</w:t>
        <w:br/>
        <w:t>exclusivamente a la ley en sentido estricto.</w:t>
        <w:br/>
        <w:br/>
        <w:t>La Corte entiende la expresión  “regularidad  jurídica  de  leyes  internas,</w:t>
        <w:br/>
        <w:t>adoptadas de acuerdo  con  la  Constitución”,  como  referida,  en  términos</w:t>
        <w:br/>
        <w:t>generales, a la conformidad de  las  mismas  con  el  ordenamiento  jurídico</w:t>
        <w:br/>
        <w:t>interno e internacional.</w:t>
        <w:br/>
        <w:br/>
        <w:t>26.   Son muchas  las  maneras  como  un  Estado  puede  violar  un  tratado</w:t>
        <w:br/>
        <w:t>internacional y, específicamente,  la  Convención.   En  este  último  caso,</w:t>
        <w:br/>
        <w:t>puede hacerlo, por ejemplo, omitiendo dictar las normas a que está  obligado</w:t>
        <w:br/>
        <w:t>por el artículo 2.  También, por supuesto,  dictando  disposiciones  que  no</w:t>
        <w:br/>
        <w:t>estén en conformidad con lo que de él exigen sus obligaciones dentro  de  la</w:t>
        <w:br/>
        <w:t>Convención.  Si esas normas se han adoptado de acuerdo con  el  ordenamiento</w:t>
        <w:br/>
        <w:t>jurídico interno o contra él, es indife-rente para estos efectos.</w:t>
        <w:br/>
        <w:br/>
        <w:t>27.   En estas circunstancias, no  debe  existir  ninguna  duda  de  que  la</w:t>
        <w:br/>
        <w:t>Comisión tiene a ese respecto las mismas facultades  que  tendría  frente  a</w:t>
        <w:br/>
        <w:t>cualquier  otro  tipo  de  violación  y  podría  expresarse  en  las  mismas</w:t>
        <w:br/>
        <w:t>oportunidades en que puede hacerlo en los demás casos.  Dicho de otro  modo,</w:t>
        <w:br/>
        <w:t>el hecho de que se trate de “leyes internas”  y  de  que  estas  hayan  sido</w:t>
        <w:br/>
        <w:t>“adoptadas de acuerdo con lo dispuesto por la Constitución”, nada  significa</w:t>
        <w:br/>
        <w:t>si mediante ellas se  violan  cualesquiera  de  los  derechos  o  libertades</w:t>
        <w:br/>
        <w:t>protegidos.  Las atribuciones de la Comisión en este  sentido  no  están  de</w:t>
        <w:br/>
        <w:t>manera alguna restringidas por la forma como la Convención es violada.</w:t>
        <w:br/>
        <w:br/>
        <w:t>28.   Podrían mencionarse  situaciones  históricas  en  las  cuales  algunos</w:t>
        <w:br/>
        <w:t>Estados han promulgado leyes de conformidad con su estructura jurídica  pero</w:t>
        <w:br/>
        <w:t>que no ofrecieron garantías adecuadas para  el  ejercicio  de  los  derechos</w:t>
        <w:br/>
        <w:t>humanos,  impusieron  restricciones   inaceptables   o,   simplemente,   los</w:t>
        <w:br/>
        <w:t>desconocieron.  Tal como lo ha manifestado la Corte, el cumplimiento  de  un</w:t>
        <w:br/>
        <w:t>procedimiento constitucional “no impide en  todos  los  casos  que  una  ley</w:t>
        <w:br/>
        <w:t>aprobada por el Parlamento llegue a ser violatoria de los derechos  humanos”</w:t>
        <w:br/>
        <w:t xml:space="preserve"> (La expresión “leyes” en el artículo 30 de la  Convención  Americana  sobre</w:t>
        <w:br/>
        <w:t>Derechos Humanos, supra 25, párr. 22).</w:t>
        <w:br/>
        <w:br/>
        <w:t>29.    Esto  no  significa  que  la   Comisión   tenga   atribuciones   para</w:t>
        <w:br/>
        <w:t>pronunciarse sobre la forma como se adopta una norma jurídica  en  el  orden</w:t>
        <w:br/>
        <w:t>interno.  Esa es función de los órganos competentes del Estado.  Lo  que  la</w:t>
        <w:br/>
        <w:t>Comisión debe verificar, en un caso concreto, es  si  lo  dispuesto  por  la</w:t>
        <w:br/>
        <w:t>norma contradice la Convención y no si contradice el  ordenamiento  jurídico</w:t>
        <w:br/>
        <w:t>interno del Estado.  La atribución otorgada a  la  Comisión  para  “formular</w:t>
        <w:br/>
        <w:t>recomendaciones [. . .] a los gobiernos de los  Estados  Miembros  para  que</w:t>
        <w:br/>
        <w:t>adopten medidas progresivas en favor de  los  derechos  humanos  dentro  del</w:t>
        <w:br/>
        <w:t>marco de sus leyes internas y sus preceptos  constitucionales”  (art.  41.b)</w:t>
        <w:br/>
        <w:t>(destacado de la Corte) o el  compromiso  de  los  Estados  de  adoptar  las</w:t>
        <w:br/>
        <w:t>medidas  legislativas  necesarias  para  hacer  efectivos  los  derechos   y</w:t>
        <w:br/>
        <w:t>libertades garantizados por la Convención “con arreglo a sus  procedimientos</w:t>
        <w:br/>
        <w:t>constitucionales” (art. 2) (destacado de la Corte), no le dan a la  Comisión</w:t>
        <w:br/>
        <w:t>facultad para calificar el cumplimiento  por  el  Estado  de  los  preceptos</w:t>
        <w:br/>
        <w:t>constitucionales en la elaboración de las normas internas.</w:t>
        <w:br/>
        <w:br/>
        <w:t>30.   En el ámbito internacional lo que interesa determinar es  si  una  ley</w:t>
        <w:br/>
        <w:t>resulta violatoria de  las  obligaciones  internacionales  asumidas  por  un</w:t>
        <w:br/>
        <w:t>Estado en virtud de un tratado.  Esto puede y debe hacerlo la Comisión a  la</w:t>
        <w:br/>
        <w:t>hora  de  analizar  las  comunicaciones  y   peticiones   sometidas   a   su</w:t>
        <w:br/>
        <w:t>conocimiento sobre violaciones de derechos humanos y  libertades  protegidos</w:t>
        <w:br/>
        <w:t>por la Convención.</w:t>
        <w:br/>
        <w:br/>
        <w:t>31.   Esta delimitación de las atribuciones de la Comisión de manera  alguna</w:t>
        <w:br/>
        <w:t>afecta el vínculo entre el estado de derecho y la Convención.   Como  ya  lo</w:t>
        <w:br/>
        <w:t>ha dicho la Corte “[e]l concepto de derechos y libertades y, por ende el  de</w:t>
        <w:br/>
        <w:t>sus garantías, [según el Pacto de San José]  es  [.  .  .]  inseparable  del</w:t>
        <w:br/>
        <w:t>sistema de valores y principios que  lo  inspira”  [El  hábeas  corpus  bajo</w:t>
        <w:br/>
        <w:t>suspensión de garantías (arts. 27.2, 25.1 y 7.6 Convención  Americana  sobre</w:t>
        <w:br/>
        <w:t>Derechos Humanos), Opinión Consultiva OC-8/87  del  30  de  enero  de  1987.</w:t>
        <w:br/>
        <w:t>Serie A No. 8, párr. 26].  Dentro de tales valores y principios aparece  que</w:t>
        <w:br/>
        <w:t>“la democracia representativa es determinante en todo el sistema del que  la</w:t>
        <w:br/>
        <w:t>Convención forma parte” (La expresión  “leyes”  en  el  artículo  30  de  la</w:t>
        <w:br/>
        <w:t>Convención Americana sobre  Derechos  Humanos,  supra  25,  párr.  34).   Ha</w:t>
        <w:br/>
        <w:t>señalado también la Corte que</w:t>
        <w:br/>
        <w:br/>
        <w:t xml:space="preserve">      el principio de la legalidad,  las  instituciones  democráticas  y  el</w:t>
        <w:br/>
        <w:t xml:space="preserve">      Estado  de  Derecho  son  inseparables  [y  que]  [e]n  una   sociedad</w:t>
        <w:br/>
        <w:t xml:space="preserve">      democrática los derechos y libertades inherentes  a  la  persona,  sus</w:t>
        <w:br/>
        <w:t xml:space="preserve">      garantías y el Estado de Derecho constituyen una tríada, cada  uno  de</w:t>
        <w:br/>
        <w:t xml:space="preserve">      cuyos componentes se define, completa y adquiere sentido en función de</w:t>
        <w:br/>
        <w:t xml:space="preserve">      los otros (El hábeas corpus bajo suspensión de garantías, párrs. 24  y</w:t>
        <w:br/>
        <w:t xml:space="preserve">      26).</w:t>
        <w:br/>
        <w:br/>
        <w:t>32.     Conviene,   ahora,   considerar   el   asunto   de   los    términos</w:t>
        <w:br/>
        <w:t>“razonabilidad”,  “conveniencia”  y  “autenticidad”,  mencionados  por   los</w:t>
        <w:br/>
        <w:t>gobiernos solicitantes en la primera pregunta.  Se solicita  de  esta  Corte</w:t>
        <w:br/>
        <w:t>una  opinión  sobre  si  la  Comisión  puede  aplicar  estos  vocablos  para</w:t>
        <w:br/>
        <w:t>“calificar y dar su criterio” sobre leyes internas discutidas  en  el  marco</w:t>
        <w:br/>
        <w:t>de los artículos 41 y 42 de la Convención.</w:t>
        <w:br/>
        <w:br/>
        <w:t>33.   La “razonabilidad” implica un juicio de valor y, aplicada a  una  ley,</w:t>
        <w:br/>
        <w:t>una  conformidad  con  los  principios  del  sentido  común.   Se   utiliza,</w:t>
        <w:br/>
        <w:t>igualmente, referida a parámetros de interpretación de los tratados  y,  por</w:t>
        <w:br/>
        <w:t>consiguiente,  de  la   Convención.    Siendo   razonable   lo   justo,   lo</w:t>
        <w:br/>
        <w:t>proporcionado y lo  equitativo,  por  oposición  a  lo  injusto,  absurdo  y</w:t>
        <w:br/>
        <w:t>arbitrario, es un calificativo que tiene contenido  axiológico  que  implica</w:t>
        <w:br/>
        <w:t>opinión pero, de alguna  manera,  puede  emplearse  jurídicamente  como,  de</w:t>
        <w:br/>
        <w:t>hecho, lo hacen con frecuencia los tribunales, pues toda  actividad  estatal</w:t>
        <w:br/>
        <w:t>debe no solamente ser válida sino razonable.  En cuanto a la  “conveniencia”</w:t>
        <w:br/>
        <w:t>de una ley  la  cuestión  se  puede  prestar  a  apreciaciones  de  carácter</w:t>
        <w:br/>
        <w:t>subjetivo, salvo que la expresión se utilice en el  sentido  poco  usual  de</w:t>
        <w:br/>
        <w:t>“correlación” o “conformidad” entre las normas internas y  las  provenientes</w:t>
        <w:br/>
        <w:t>de la Convención.  Respecto de la expresión “autenticidad” de una  ley,  que</w:t>
        <w:br/>
        <w:t>podría poseer el significado jurídico de lo verdadero, cierto  o  legalizado</w:t>
        <w:br/>
        <w:t>de modo que haga fe  pública,  parece  no  tenerlo  en  el  contexto  de  la</w:t>
        <w:br/>
        <w:t>consulta.</w:t>
        <w:br/>
        <w:br/>
        <w:t>34.   En el trámite de las comunicaciones individuales es indispensable  que</w:t>
        <w:br/>
        <w:t>se alegue que ha habido una violación de  la  Convención  por  parte  de  un</w:t>
        <w:br/>
        <w:t>Estado.  Es este un presupuesto  de  admisibilidad  (artículo  47.b)  y  las</w:t>
        <w:br/>
        <w:t>facultades de la Comisión están dadas  para  determinar  que  esa  violación</w:t>
        <w:br/>
        <w:t>efectivamente existe.  En ese orden de ideas y respecto de  normas  legales,</w:t>
        <w:br/>
        <w:t>le corresponde dictaminar si violan la Convención.  En efecto, frente a  los</w:t>
        <w:br/>
        <w:t>órganos internacionales de aplicación de la Convención,  una  norma  interna</w:t>
        <w:br/>
        <w:t>no puede tener tratamiento distinto al de mero hecho.   En  esto  no  existe</w:t>
        <w:br/>
        <w:t>diferencia entre la responsabilidad de un Estado derivada de  violaciones  a</w:t>
        <w:br/>
        <w:t>la Convención a través de un precepto interno y el  tratamiento  que  en  el</w:t>
        <w:br/>
        <w:t>derecho   internacional   general   reciben   las   disposiciones   internas</w:t>
        <w:br/>
        <w:t>violatorias de otras obligaciones internacionales.</w:t>
        <w:br/>
        <w:br/>
        <w:t>35.   Una norma interna puede resultar violatoria de la Convención  por  ser</w:t>
        <w:br/>
        <w:t>irrazonable o porque no resulte “conforme” con ella  y,  por  supuesto,  una</w:t>
        <w:br/>
        <w:t>ley contraria a las obligaciones de un Estado derivadas de la Convención  no</w:t>
        <w:br/>
        <w:t>puede  ser  estimada  “razonable”  ni  “conveniente”.  La  Comisión  estaría</w:t>
        <w:br/>
        <w:t>facultada para emplear esos calificativos en este contexto.  Ciertamente  lo</w:t>
        <w:br/>
        <w:t>está  para  usarlos  en  las  consideraciones  globales  de  los  casos.  No</w:t>
        <w:br/>
        <w:t>obstante, debiendo las funciones de la Comisión estar ajustadas  a  derecho,</w:t>
        <w:br/>
        <w:t>la terminología que utilice debe ser cuidadosamente  seleccionada  y  evitar</w:t>
        <w:br/>
        <w:t>conceptos que pudieren resultar ambiguos, subjetivos o confusos.</w:t>
        <w:br/>
        <w:br/>
        <w:t>36.   Las aseveraciones anteriores valen, igualmente,  para  el  trámite  de</w:t>
        <w:br/>
        <w:t>copias de informes y estudios a que se refiere el artículo 42.</w:t>
        <w:br/>
        <w:br/>
        <w:t>37.   La respuesta de la Corte tendrá, entonces, que basarse en  la  función</w:t>
        <w:br/>
        <w:t>principal de la Comisión de promoción de la observancia  y  defensa  de  los</w:t>
        <w:br/>
        <w:t>derechos humanos, de la cual deriva su  facultad  para  dictaminar  que  una</w:t>
        <w:br/>
        <w:t>norma de derecho interno, como cualquier otro hecho,  puede  ser  violatoria</w:t>
        <w:br/>
        <w:t>de la Convención pero  no  para  considerarla  violatoria  del  ordenamiento</w:t>
        <w:br/>
        <w:t>jurídico de un Estado.</w:t>
        <w:br/>
        <w:br/>
        <w:t xml:space="preserve">                                     III</w:t>
        <w:br/>
        <w:br/>
        <w:t>38.   En el segundo punto de la solicitud  de  opinión  consultiva,  que  se</w:t>
        <w:br/>
        <w:t>relaciona con las peticiones presentadas de acuerdo con el  artículo  44  de</w:t>
        <w:br/>
        <w:t>la Convención, se pregunta si la Comisión después  de  declarar  inadmisible</w:t>
        <w:br/>
        <w:t>la petición de conformidad con lo dispuesto en los artículos 46 y 47,  puede</w:t>
        <w:br/>
        <w:t>pronunciarse “en el mismo informe, sobre el fondo”.</w:t>
        <w:br/>
        <w:br/>
        <w:t>39.   Al respecto se debe precisar que si bien la Convención no  utiliza  el</w:t>
        <w:br/>
        <w:t>vocablo  “pronunciamiento”  éste  puede  ser  considerado  como  el  término</w:t>
        <w:br/>
        <w:t>genérico de otras expresiones:   opiniones,  conclusiones,  recomendaciones,</w:t>
        <w:br/>
        <w:t>que la Comisión puede emitir en uso de sus facultades de conformidad con  el</w:t>
        <w:br/>
        <w:t>artículo  41.   Asimismo  no  es  exacto  hablar  de  un  “informe”  sin  el</w:t>
        <w:br/>
        <w:t>presupuesto de la admisibilidad, pues si la Comisión declara inadmisible  un</w:t>
        <w:br/>
        <w:t>asunto no debe producirse, en  los  términos  de  los  artículos  50  y  51,</w:t>
        <w:br/>
        <w:t>informe alguno (infra, párr. 48).  La Corte entiende que la pregunta  objeto</w:t>
        <w:br/>
        <w:t>de  este  análisis,  se  refiere  al  evento  de  que  la  Comisión  formule</w:t>
        <w:br/>
        <w:t>opiniones, conclusiones o  recomendaciones  sobre  el  fondo  en  peticiones</w:t>
        <w:br/>
        <w:t>individuales, después de declararlas inadmisibles.</w:t>
        <w:br/>
        <w:br/>
        <w:t>40.   La Convención determina cuáles son los requisitos que debe reunir  una</w:t>
        <w:br/>
        <w:t>petición o comunicación para ser admitida por  la  Comisión  (artículo  46);</w:t>
        <w:br/>
        <w:t>igualmente determina los casos de  inadmisibilidad  (artículo  47)  la  que,</w:t>
        <w:br/>
        <w:t>incluso, puede declararse después de iniciado el trámite (artículo  48.1.c).</w:t>
        <w:br/>
        <w:t xml:space="preserve"> En cuanto a la forma en que la Comisión debe declarar  la  inadmisibilidad,</w:t>
        <w:br/>
        <w:t>la Corte ya señaló que ésta exige un acto expreso, lo cual no  es  necesario</w:t>
        <w:br/>
        <w:t>para  la  admisión  (Caso  Velásquez  Rodríguez,  Excepciones  Preliminares,</w:t>
        <w:br/>
        <w:t>Sentencia de 26 de junio de 1987.  Serie C No.  1,  párr.  40;  Caso  Fairén</w:t>
        <w:br/>
        <w:t>Garbi y Solís Corrales, Excepciones Preliminares, Sentencia de 26  de  junio</w:t>
        <w:br/>
        <w:t>de 1987.  Serie  C  No.  2,  párr.  45  y  Caso  Godínez  Cruz,  Excepciones</w:t>
        <w:br/>
        <w:t>Preliminares, Sentencia de 26 de junio de 1987.  Serie C No. 3, párr. 43).</w:t>
        <w:br/>
        <w:br/>
        <w:t>41.   Los requisitos de admisibilidad tienen que  ver,  obviamente,  con  la</w:t>
        <w:br/>
        <w:t>certeza jurídica tanto en el orden interno como en  el  internacional.   Sin</w:t>
        <w:br/>
        <w:t>caer en un formalismo rígido que desvirtúe el propósito y el  objeto  de  la</w:t>
        <w:br/>
        <w:t>Convención, es  necesario  para  los  Estados  y  para  los  órganos  de  la</w:t>
        <w:br/>
        <w:t>Convención cumplir con las disposiciones que regulan el procedimiento,  pues</w:t>
        <w:br/>
        <w:t>en ellas  descansa  la  seguridad  jurídica  de  las  partes  (Caso  Cayara,</w:t>
        <w:br/>
        <w:t>Excepciones Preliminares,  Sentencia de 3 de febrero de 1993.  Serie  C  No.</w:t>
        <w:br/>
        <w:t>14, párrs. 42 y 63).  Ante la Comisión, un Estado denunciado  de  violar  la</w:t>
        <w:br/>
        <w:t>Convención puede en ejercicio de su derecho de defensa  argüir  cualesquiera</w:t>
        <w:br/>
        <w:t>de las disposiciones de los artículos 46  y  47  y,  de  prosperar  ante  la</w:t>
        <w:br/>
        <w:t>Comisión ese argumento, que el trámite de la denuncia no continúe y ésta  se</w:t>
        <w:br/>
        <w:t>archive.</w:t>
        <w:br/>
        <w:br/>
        <w:t>42.   La admisibilidad de una petición  o  comunicación  es  un  presupuesto</w:t>
        <w:br/>
        <w:t>indispensable para el conocimiento del fondo de un asunto.   La  declaración</w:t>
        <w:br/>
        <w:t>de  inadmisibilidad  de   una   petición   o   comunicación   impedirá,   en</w:t>
        <w:br/>
        <w:t>consecuencia, llegar a un pronunciamiento sobre él.  En el sistema  previsto</w:t>
        <w:br/>
        <w:t>por la  Convención  para  las  comunicaciones  individuales,  a  partir  del</w:t>
        <w:br/>
        <w:t>momento en que la Comisión declara inadmisible el  asunto,  ésta  carece  de</w:t>
        <w:br/>
        <w:t>competencia para resolverlo.</w:t>
        <w:br/>
        <w:br/>
        <w:t>43.   Esta Corte ha dicho que “[e]s un principio comúnmente aceptado que  el</w:t>
        <w:br/>
        <w:t>sistema procesal es un medio para realizar la justicia y que ésta  no  puede</w:t>
        <w:br/>
        <w:t>ser sacrificada en aras de meras  formalidades”  (Caso  Cayara,  Excepciones</w:t>
        <w:br/>
        <w:t>Preliminares, supra 41, párr. 42).  Mas aquí se trata  de  un  caso  que  ha</w:t>
        <w:br/>
        <w:t>quedado cerrado y decidirlo luego sería equivalente a  que  la  Comisión  se</w:t>
        <w:br/>
        <w:t>pronunciara sin haber recibido comunicación alguna.</w:t>
        <w:br/>
        <w:br/>
        <w:t>44.   La imposibilidad procesal, en las circunstancias  antedichas,  de  que</w:t>
        <w:br/>
        <w:t>la Comisión se pronuncie sobre el fondo de las peticiones de que conozca  en</w:t>
        <w:br/>
        <w:t>ejercicio de la atribución que le asigna el artículo 41.f de la  Convención,</w:t>
        <w:br/>
        <w:t>haciendo las  recomendaciones  pertinentes  al  Estado  demandado,  en  modo</w:t>
        <w:br/>
        <w:t>alguno enerva el ejercicio  por  ella  de  las  otras  atribuciones  que  le</w:t>
        <w:br/>
        <w:t>confiere in extenso ese artículo 41.  En todo caso, el  ejercicio  de  estas</w:t>
        <w:br/>
        <w:t>últimas, por ejemplo las contempladas en los literales b, c  y  g  de  dicha</w:t>
        <w:br/>
        <w:t>norma, ha de realizarse mediante acciones y  procedi-mientos  separados  del</w:t>
        <w:br/>
        <w:t>régimen a que está sometido el conocimiento de las  peticiones  o  denuncias</w:t>
        <w:br/>
        <w:t>individuales que se sustancian con apego a los artículos  44  al  51  de  la</w:t>
        <w:br/>
        <w:t>Convención y  de  ninguna  manera  puede  usarse  para  referirse  de  forma</w:t>
        <w:br/>
        <w:t>encubierta  al  fondo  de  uno  o  varios  casos   individuales   declarados</w:t>
        <w:br/>
        <w:t>inadmisibles.</w:t>
        <w:br/>
        <w:br/>
        <w:br/>
        <w:br/>
        <w:br/>
        <w:br/>
        <w:t xml:space="preserve">                                     IV</w:t>
        <w:br/>
        <w:br/>
        <w:br/>
        <w:t>45.   La tercera pregunta  se  refiere  a  los  artículos  50  y  51  de  la</w:t>
        <w:br/>
        <w:t>Convención, preceptos que, como ya lo ha dicho esta Corte, plantean  ciertas</w:t>
        <w:br/>
        <w:t>dificultades  de  interpretación  (Caso  Velásquez  Rodríguez,   Excepciones</w:t>
        <w:br/>
        <w:t>Preliminares, supra 40, párr.  63;  Caso  Fairén  Garbi  y  Solís  Corrales,</w:t>
        <w:br/>
        <w:t>Excepciones  Preliminares,  supra  40,  párr.  63  y  Caso   Godínez   Cruz,</w:t>
        <w:br/>
        <w:t>Excepciones Preliminares, supra 40, párr. 66).</w:t>
        <w:br/>
        <w:br/>
        <w:t>46.   Esas normas se inspiraron en los artículos 31 y 32  de  la  Convención</w:t>
        <w:br/>
        <w:t>Europea para  la  Protección  de  los  Derechos  Humanos  y  las  Libertades</w:t>
        <w:br/>
        <w:t>Fundamentales, de  acuerdo  con  los  cuales,  cuando  la  Comisión  Europea</w:t>
        <w:br/>
        <w:t>considera que existen violaciones  a  los  derechos  consagrados  por  dicha</w:t>
        <w:br/>
        <w:t>Convención, puede  enviar  el  informe,  que  es  uno  solo,  al  Comité  de</w:t>
        <w:br/>
        <w:t>Ministros a fin de que éste disponga las  medidas  que  el  Estado  afectado</w:t>
        <w:br/>
        <w:t>debe tomar, o someterlo en forma de demanda  al  conocimiento  de  la  Corte</w:t>
        <w:br/>
        <w:t>Europea  de  Derechos  Humanos  para  que  el  tribunal  decida,  de  manera</w:t>
        <w:br/>
        <w:t>imperativa, sobre las violaciones alegadas.</w:t>
        <w:br/>
        <w:br/>
        <w:t>47.   Como en  el  sistema  interamericano  no  fue  establecido  un  órgano</w:t>
        <w:br/>
        <w:t>similar al Comité de  Ministros,  la  Convención  Americana  atribuyó  a  la</w:t>
        <w:br/>
        <w:t>Comisión la facultad de determinar si somete el caso a la Corte  o  bien  si</w:t>
        <w:br/>
        <w:t>continúa conociendo del mismo y redacta un informe final,  que  puede  o  no</w:t>
        <w:br/>
        <w:t>publicar.</w:t>
        <w:br/>
        <w:br/>
        <w:t>48.   Supuesta la admisibilidad y sin  perjuicio  del  procedimiento  previo</w:t>
        <w:br/>
        <w:t>contemplado en los  artículos  48  y  49,  los  artículos  50  y  51  de  la</w:t>
        <w:br/>
        <w:t>Convención establecen etapas sucesivas.  En  la  primera,  regulada  por  el</w:t>
        <w:br/>
        <w:t>artículo 50, la  Comisión,  siempre  y  cuando  no  se  haya  alcanzado  una</w:t>
        <w:br/>
        <w:t>solución amistosa, puede  exponer  los  hechos  y  sus  conclusiones  en  un</w:t>
        <w:br/>
        <w:t>documento dirigido al Estado interesado y  que  tiene  carácter  preliminar.</w:t>
        <w:br/>
        <w:t>Este “informe” se transmite  con  carácter  reservado  al  Estado  para  que</w:t>
        <w:br/>
        <w:t>adopte las proposiciones y recomendaciones de la  Comisión  y  solucione  el</w:t>
        <w:br/>
        <w:t>problema.  El Estado no tiene la facultad de publicarlo.</w:t>
        <w:br/>
        <w:br/>
        <w:t>Una recta interpretación del  artículo  50,  basada  en  un  presupuesto  de</w:t>
        <w:br/>
        <w:t>igualdad de las partes, implica  que  la Comisión tampoco   puede  pu-blicar</w:t>
        <w:br/>
        <w:t>ese  informe  preliminar, el cual se transmite, en  la  terminología  de  la</w:t>
        <w:br/>
        <w:t>Convención, solamente “a los Estados interesados”.</w:t>
        <w:br/>
        <w:br/>
        <w:t>49.   El artículo 47.6 del Reglamento de la Comisión, según  el  cual  “[e]l</w:t>
        <w:br/>
        <w:t>informe se  transmitirá  a  las  partes   interesadas,  quienes  no  estarán</w:t>
        <w:br/>
        <w:t>facultadas para publicarlo” y en virtud de que  frente  a  la  Comisión  los</w:t>
        <w:br/>
        <w:t>solicitantes y  las  víctimas  pueden  tener  el  carácter  de  partes  (por</w:t>
        <w:br/>
        <w:t>ejemplo, artículo 45 del Reglamento de la Comisión), no se conforma  con  el</w:t>
        <w:br/>
        <w:t>artículo 50 de la Convención y su aplicación ha dado lugar a que  se  altere</w:t>
        <w:br/>
        <w:t>el carácter reservado del informe y la obligación de no publicarlo.</w:t>
        <w:br/>
        <w:br/>
        <w:t xml:space="preserve">    50. Una segunda etapa está regulada por el artículo 51 y, en  ella,  si</w:t>
        <w:br/>
        <w:t xml:space="preserve">        en el plazo de tres meses el asunto no ha sido solucionado  por  el</w:t>
        <w:br/>
        <w:t xml:space="preserve">        Estado al cual se ha dirigido el informe preliminar atendiendo  las</w:t>
        <w:br/>
        <w:t xml:space="preserve">        proposiciones formuladas en el mismo, la Comisión  está  facultada,</w:t>
        <w:br/>
        <w:t xml:space="preserve">        dentro de dicho período, para decidir si somete el caso a la  Corte</w:t>
        <w:br/>
        <w:t xml:space="preserve">        por medio de la demanda  respectiva  o  bien  si  continúa  con  el</w:t>
        <w:br/>
        <w:t xml:space="preserve">        conocimiento del asunto.</w:t>
        <w:br/>
        <w:br/>
        <w:br/>
        <w:t xml:space="preserve">   Esta  decisión  no  es  discrecional,  sino  que  debe  apoyarse  en   la</w:t>
        <w:br/>
        <w:t xml:space="preserve">   alternativa que  sea  más  favorable  para  la  tutela  de  los  derechos</w:t>
        <w:br/>
        <w:t xml:space="preserve">   establecidos en la Convención.</w:t>
        <w:br/>
        <w:br/>
        <w:t>51.   Los tres meses se cuentan desde la remisión del informe  del  artículo</w:t>
        <w:br/>
        <w:t>50 al Estado interesado y la Corte ha aclarado que dicho plazo,  aun  cuando</w:t>
        <w:br/>
        <w:t>no es fatal, tiene carácter preclusivo, salvo circunstancias  excepcionales,</w:t>
        <w:br/>
        <w:t>por  lo  que  respecta  al  sometimiento  del  caso  a  este  Tribunal,  con</w:t>
        <w:br/>
        <w:t>independencia  de  aquel  que  la  Comisión  señale  al   Estado   para   el</w:t>
        <w:br/>
        <w:t>cumplimiento de sus  primeras  recomendaciones  (Caso  Cayara,   Excepciones</w:t>
        <w:br/>
        <w:t>Preliminares, supra 41, párrs. 38 y 39).</w:t>
        <w:br/>
        <w:br/>
        <w:t>52.   El artículo  51  faculta  a  la  Comisión  para  elaborar  un  segundo</w:t>
        <w:br/>
        <w:t>informe, cuya preparación</w:t>
        <w:br/>
        <w:t xml:space="preserve">      está sometida a la condición de que el asunto no haya sido  elevado  a</w:t>
        <w:br/>
        <w:t xml:space="preserve">      la consideración de la Corte, dentro del plazo de tres meses dispuesto</w:t>
        <w:br/>
        <w:t xml:space="preserve">      por el mismo artículo 51.1, lo que equivale a decir que, si el caso ha</w:t>
        <w:br/>
        <w:t xml:space="preserve">      sido introducido ante la Corte, la Comisión no  está  autorizada  para</w:t>
        <w:br/>
        <w:t xml:space="preserve">      elaborar  [ese]  informe  (Caso   Velásquez   Rodríguez,   Excepciones</w:t>
        <w:br/>
        <w:t xml:space="preserve">      Preliminares, supra 40, párr. 63; Caso Fairén Garbi y Solís  Corrales,</w:t>
        <w:br/>
        <w:t xml:space="preserve">      Excepciones Preliminares, supra 40, párr.  63  y  Caso  Godínez  Cruz,</w:t>
        <w:br/>
        <w:t xml:space="preserve">      Excepciones Preliminares, supra 40, párr. 66).</w:t>
        <w:br/>
        <w:br/>
        <w:t>En caso contrario, la Comisión posee la atribución de  redactar  un  informe</w:t>
        <w:br/>
        <w:t>definitivo con las opiniones  y  conclusiones  que  considere  convenientes.</w:t>
        <w:br/>
        <w:t>Deberá además  hacer  las  recomendaciones  pertinentes,  dándole  un  plazo</w:t>
        <w:br/>
        <w:t>adicional al Estado para  que  tome  las  medidas  adecuadas  enderezadas  a</w:t>
        <w:br/>
        <w:t>cumplir sus obligaciones dentro de la Convención.</w:t>
        <w:br/>
        <w:br/>
        <w:t>53.   Se trata, entonces, de dos documentos que, de acuerdo con la  conducta</w:t>
        <w:br/>
        <w:t>asumida en el ínterin por  el  Estado  al  cual  se  dirigen,  pueden  o  no</w:t>
        <w:br/>
        <w:t>coincidir  en  sus  conclusiones  y  recomendaciones  y  a  los  cuales   la</w:t>
        <w:br/>
        <w:t>Convención ha dado el nombre  de  “informes”  y  que  tienen  carácter,  uno</w:t>
        <w:br/>
        <w:t>preliminar y el otro definitivo.</w:t>
        <w:br/>
        <w:br/>
        <w:t>54.    Puede  existir  una  tercera  etapa  con  posterioridad  al   informe</w:t>
        <w:br/>
        <w:t>definitivo.  En efecto, vencido el plazo que la Comisión ha dado  al  Estado</w:t>
        <w:br/>
        <w:t>para cumplir las recomendaciones  contenidas  en  este  último  sin  que  se</w:t>
        <w:br/>
        <w:t>acaten, la Comisión decidirá si lo publica o no, decisión ésta  que  también</w:t>
        <w:br/>
        <w:t>debe apoyarse en  la  alternativa  más  favorable  para  la  tutela  de  los</w:t>
        <w:br/>
        <w:t>derechos humanos.</w:t>
        <w:br/>
        <w:br/>
        <w:t>55.   En este orden de ideas, la pregunta debe contestarse en el sentido  de</w:t>
        <w:br/>
        <w:t>que no pueden subsumirse en uno sólo los dos informes  regulados  de  manera</w:t>
        <w:br/>
        <w:t>separada por los  artículos  50  y  51  de  la  Convención,  ya  que  dichos</w:t>
        <w:br/>
        <w:t>preceptos establecen dos etapas diversas, aun cuando el  contenido  de  esos</w:t>
        <w:br/>
        <w:t>documentos, de acuerdo con la  conducta  asumida  por  el  Estado  afectado,</w:t>
        <w:br/>
        <w:t>puede ser similar.</w:t>
        <w:br/>
        <w:br/>
        <w:t xml:space="preserve">    56. El documento preliminar y reservado del artículo 50  no  puede  ser</w:t>
        <w:br/>
        <w:t xml:space="preserve">        publicado.  El único que puede ser  objeto  de  publicación  es  el</w:t>
        <w:br/>
        <w:t xml:space="preserve">        informe definitivo previsto por el artículo 51 de la Convención,  y</w:t>
        <w:br/>
        <w:t xml:space="preserve">        esto por decisión tomada por la Comisión con posterioridad al plazo</w:t>
        <w:br/>
        <w:t xml:space="preserve">        señalado al Estado para cumplir con las recomendaciones  contenidas</w:t>
        <w:br/>
        <w:t xml:space="preserve">        en el documento definitivo.</w:t>
        <w:br/>
        <w:br/>
        <w:br/>
        <w:br/>
        <w:br/>
        <w:t>57.   Por las razones expuestas,</w:t>
        <w:br/>
        <w:br/>
        <w:t xml:space="preserve">      LA CORTE,</w:t>
        <w:br/>
        <w:br/>
        <w:t xml:space="preserve">      por unanimidad</w:t>
        <w:br/>
        <w:br/>
        <w:t xml:space="preserve">      DECIDE</w:t>
        <w:br/>
        <w:br/>
        <w:t>que es competente para rendir la presente opinión consultiva.</w:t>
        <w:br/>
        <w:br/>
        <w:t xml:space="preserve">      ES DE OPINIÓN</w:t>
        <w:br/>
        <w:br/>
        <w:t xml:space="preserve">      por unanimidad</w:t>
        <w:br/>
        <w:br/>
        <w:t>1.    Que la Comisión es competente, en los  términos  de  las  atribuciones</w:t>
        <w:br/>
        <w:t>que le confieren los artículos 41 y 42  de  la  Convención,  para  calificar</w:t>
        <w:br/>
        <w:t>cualquier norma del derecho interno de un Estado Parte  como  violatoria  de</w:t>
        <w:br/>
        <w:t>las obligaciones que éste ha asumido al ratificarla o adherir a  ella,  pero</w:t>
        <w:br/>
        <w:t>no lo es para  dictaminar  si  contradice  o  no  el  ordenamiento  jurídico</w:t>
        <w:br/>
        <w:t>interno de dicho Estado.  En cuanto a la terminología que la Comisión  puede</w:t>
        <w:br/>
        <w:t>utilizar para calificar normas internas, la Corte se remite a  lo  dicho  en</w:t>
        <w:br/>
        <w:t>el párrafo 35 de esta opinión.</w:t>
        <w:br/>
        <w:br/>
        <w:t xml:space="preserve">      por unanimidad</w:t>
        <w:br/>
        <w:br/>
        <w:t>2.    Que, sin menoscabo de las otras atribuciones que otorga a la  Comisión</w:t>
        <w:br/>
        <w:t>el artículo 41 de la  Convención,  declarada   inadmisible  una  petición  o</w:t>
        <w:br/>
        <w:t>comunicación de carácter individual  (artículo  41.f  en  relación  con  los</w:t>
        <w:br/>
        <w:t>artículos 44 y 45.1 de la Convención) no  caben  pronunciamientos  sobre  el</w:t>
        <w:br/>
        <w:t>fondo.</w:t>
        <w:br/>
        <w:br/>
        <w:t xml:space="preserve">      por unanimidad</w:t>
        <w:br/>
        <w:br/>
        <w:t>3.    Que los artículos 50 y 51 de la  Convención  contemplan  dos  informes</w:t>
        <w:br/>
        <w:t>separados, cuyo contenido puede ser similar, el primero  de  los  cuales  no</w:t>
        <w:br/>
        <w:t>puede ser publicado.  El segundo sí  puede  serlo,  previa  decisión  de  la</w:t>
        <w:br/>
        <w:t>Comisión adoptada por mayoría absoluta de votos después de  transcurrido  el</w:t>
        <w:br/>
        <w:t>plazo que haya otorgado al Estado para tomar las medidas adecuadas.</w:t>
        <w:br/>
        <w:br/>
        <w:t>Redactada en español e inglés, haciendo fe el texto en español  en  la  sede</w:t>
        <w:br/>
        <w:t>de la Corte en San José, Costa Rica, el día 16 de julio de 1993.</w:t>
        <w:br/>
        <w:br/>
        <w:br/>
        <w:br/>
        <w:br/>
        <w:t xml:space="preserve">                             Rafael Nieto Navia</w:t>
        <w:br/>
        <w:t xml:space="preserve">                                 Presidente</w:t>
        <w:br/>
        <w:br/>
        <w:t>Sonia Picado Sotela                                        Héctor Fix-</w:t>
        <w:br/>
        <w:t>Zamudio</w:t>
        <w:br/>
        <w:br/>
        <w:br/>
        <w:br/>
        <w:t>Alejandro Montiel Argüello                             Hernán Salgado</w:t>
        <w:br/>
        <w:t>Pesantes</w:t>
        <w:br/>
        <w:br/>
        <w:br/>
        <w:br/>
        <w:t>Asdrúbal Aguiar-Aranguren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