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br/>
        <w:br/>
        <w:br/>
        <w:br/>
        <w:t xml:space="preserve">                         OPINIÓN CONSULTIVA OC-14/94</w:t>
        <w:br/>
        <w:t xml:space="preserve">                         DEL 9 DE DICIEMBRE DE 1994</w:t>
        <w:br/>
        <w:br/>
        <w:br/>
        <w:br/>
        <w:br/>
        <w:br/>
        <w:br/>
        <w:t xml:space="preserve">                RESPONSABILIDAD INTERNACIONAL POR EXPEDICIÓN</w:t>
        <w:br/>
        <w:t xml:space="preserve">             Y APLICACIÓN DE LEYES VIOLATORIAS DE LA CONVENCIÓN</w:t>
        <w:br/>
        <w:t xml:space="preserve">                   (ARTS. 1 Y 2 CONVENCIÓN AMERICANA SOBRE</w:t>
        <w:br/>
        <w:t xml:space="preserve">                              DERECHOS HUMANOS)</w:t>
        <w:br/>
        <w:br/>
        <w:br/>
        <w:br/>
        <w:br/>
        <w:br/>
        <w:br/>
        <w:t xml:space="preserve">                  SOLICITADA POR LA COMISIÓN INTERAMERICANA</w:t>
        <w:br/>
        <w:t xml:space="preserve">                             DE DERECHOS HUMANOS</w:t>
        <w:br/>
        <w:br/>
        <w:br/>
        <w:br/>
        <w:br/>
        <w:br/>
        <w:br/>
        <w:br/>
        <w:t>Estuvieron presentes:</w:t>
        <w:br/>
        <w:br/>
        <w:br/>
        <w:t>Rafael Nieto Navia, Presidente</w:t>
        <w:br/>
        <w:t>Héctor Fix-Zamudio, Vicepresidente</w:t>
        <w:br/>
        <w:t>Alejandro Montiel Argüello, Juez</w:t>
        <w:br/>
        <w:t>Máximo Pacheco Gómez, Juez</w:t>
        <w:br/>
        <w:t>Hernán Salgado Pesantes, Juez.</w:t>
        <w:br/>
        <w:br/>
        <w:br/>
        <w:br/>
        <w:t>Estuvieron, además, presentes:</w:t>
        <w:br/>
        <w:br/>
        <w:br/>
        <w:br/>
        <w:t>Manuel E. Ventura Robles, Secretario y</w:t>
        <w:br/>
        <w:t>Ana María Reina, Secretaria adjunta.</w:t>
        <w:br/>
        <w:br/>
        <w:br/>
        <w:t>LA CORTE</w:t>
        <w:br/>
        <w:br/>
        <w:br/>
        <w:t>integrada en la forma antes mencionada,</w:t>
        <w:br/>
        <w:br/>
        <w:br/>
        <w:t>emite la siguiente Opinión Consultiva:</w:t>
        <w:br/>
        <w:br/>
        <w:br/>
        <w:t>1.    La Comisión  Interamericana  de  Derechos  Humanos  (en  adelante  “la</w:t>
        <w:br/>
        <w:t>Comisión”  o  “la  Comisión  Interamericana”),  mediante  escrito  de  8  de</w:t>
        <w:br/>
        <w:t>noviembre de 1993, sometió en virtud de lo que dispone el artículo  64.1  de</w:t>
        <w:br/>
        <w:t>la Convención Americana sobre Derechos Humanos (en adelante “la  Convención”</w:t>
        <w:br/>
        <w:t>o “la Convención Americana”) a la Corte Interamericana de  Derechos  Humanos</w:t>
        <w:br/>
        <w:t>(en adelante “la Corte”),  una  solicitud  de  opinión  consultiva,  en  los</w:t>
        <w:br/>
        <w:t>siguientes términos:</w:t>
        <w:br/>
        <w:br/>
        <w:t xml:space="preserve">            [1] Cuando un Estado parte  en  la  Convención  Americana  sobre</w:t>
        <w:br/>
        <w:t xml:space="preserve">      Derechos  Humanos  dicta  una  ley  que  viola   manifiestamente   las</w:t>
        <w:br/>
        <w:t xml:space="preserve">      obligaciones que el Estado ha contraído al  ratificar  la  Convención,</w:t>
        <w:br/>
        <w:t xml:space="preserve">      [¿]cuáles serían en ese caso los efectos jurídicos de esa ley en vista</w:t>
        <w:br/>
        <w:t xml:space="preserve">      de las obligaciones internacionales de ese Estado?</w:t>
        <w:br/>
        <w:br/>
        <w:br/>
        <w:t xml:space="preserve">            [. . .]</w:t>
        <w:br/>
        <w:br/>
        <w:br/>
        <w:t xml:space="preserve">            [2] Cuando un Estado parte en la Convención dicta una  ley  cuyo</w:t>
        <w:br/>
        <w:t xml:space="preserve">      cumplimiento por parte de los agentes o funcionarios de ese Estado  se</w:t>
        <w:br/>
        <w:t xml:space="preserve">      traduce en una violación manifiesta de la  Convención,  [¿]cuáles  son</w:t>
        <w:br/>
        <w:t xml:space="preserve">      las obligaciones y responsabilidades de dichos agentes o funcionarios?</w:t>
        <w:br/>
        <w:br/>
        <w:br/>
        <w:br/>
        <w:br/>
        <w:t>2.    La Comisión expresa en su petición, pero no en las preguntas,  que  la</w:t>
        <w:br/>
        <w:t>interpretación se refiere al artículo 4, párrafos 2 (in  fine)  y  3  de  la</w:t>
        <w:br/>
        <w:t>Convención  y  que  la   consulta   está   originada   en   las   siguientes</w:t>
        <w:br/>
        <w:t>consideraciones:</w:t>
        <w:br/>
        <w:br/>
        <w:t xml:space="preserve">      [L]a incorporación de una disposición, en el Artículo 140 de la  nueva</w:t>
        <w:br/>
        <w:t xml:space="preserve">      Constitución del Perú, mediante  la  cual  se  amplían  los  casos  de</w:t>
        <w:br/>
        <w:t xml:space="preserve">      aplicación de la pena de muerte a delitos exentos de la aplicación  de</w:t>
        <w:br/>
        <w:t xml:space="preserve">      esa pena en la Constitución Política vigente desde  el  año  1979,  en</w:t>
        <w:br/>
        <w:t xml:space="preserve">      contradicción con lo previsto en el Artículo 4, párrafos 2 y 3, de  la</w:t>
        <w:br/>
        <w:t xml:space="preserve">      Convención Americana.</w:t>
        <w:br/>
        <w:br/>
        <w:br/>
        <w:t xml:space="preserve">            [. . .]</w:t>
        <w:br/>
        <w:br/>
        <w:br/>
        <w:t xml:space="preserve">            De acuerdo con la Constitución Política de 1979, en el  Perú  la</w:t>
        <w:br/>
        <w:t xml:space="preserve">      pena de muerte se aplicaba exclusivamente al delito de traición  a  la</w:t>
        <w:br/>
        <w:t xml:space="preserve">      patria en caso de guerra exterior.</w:t>
        <w:br/>
        <w:br/>
        <w:br/>
        <w:t>En las consideraciones formuladas por la Comisión, se citan  las  siguientes</w:t>
        <w:br/>
        <w:t>disposiciones de la legislación peruana:</w:t>
        <w:br/>
        <w:br/>
        <w:t xml:space="preserve">      Artículo 235 de la Constitución Política de 1979:</w:t>
        <w:br/>
        <w:br/>
        <w:br/>
        <w:t xml:space="preserve">      No hay pena de muerte, sino por traición a la Patria en caso de guerra</w:t>
        <w:br/>
        <w:t xml:space="preserve">      exterior.</w:t>
        <w:br/>
        <w:br/>
        <w:br/>
        <w:t xml:space="preserve">      Artículo 140 de la nueva Constitución peruana:</w:t>
        <w:br/>
        <w:br/>
        <w:br/>
        <w:t xml:space="preserve">      La pena de muerte sólo puede aplicarse por el delito de traición a  la</w:t>
        <w:br/>
        <w:t xml:space="preserve">      Patria en caso de guerra, y el de terrorismo, conforme a las leyes y a</w:t>
        <w:br/>
        <w:t xml:space="preserve">      los tratados de los que el Perú es parte obligada.</w:t>
        <w:br/>
        <w:br/>
        <w:br/>
        <w:t>Y el siguiente artículo de la Convención:</w:t>
        <w:br/>
        <w:br/>
        <w:t xml:space="preserve">      Artículo 4, Convención Americana:</w:t>
        <w:br/>
        <w:br/>
        <w:br/>
        <w:t xml:space="preserve">      ...</w:t>
        <w:br/>
        <w:br/>
        <w:br/>
        <w:t xml:space="preserve">      2.    En los países que no han abolido la pena de  muerte,  ésta  sólo</w:t>
        <w:br/>
        <w:t xml:space="preserve">      podrá imponerse  por  los  delitos  más  graves,  en  cumplimiento  de</w:t>
        <w:br/>
        <w:t xml:space="preserve">      sentencia ejecutoriada de tribunal competente y de conformidad con una</w:t>
        <w:br/>
        <w:t xml:space="preserve">      ley que establezca tal pena, dictada con anterioridad  a  la  comisión</w:t>
        <w:br/>
        <w:t xml:space="preserve">      del delito. Tampoco se extenderá su aplicación a delitos a los  cuales</w:t>
        <w:br/>
        <w:t xml:space="preserve">      no se la aplique actualmente.</w:t>
        <w:br/>
        <w:br/>
        <w:br/>
        <w:t xml:space="preserve">      3.    No se restablecerá la pena de muerte en los Estados que  la  han</w:t>
        <w:br/>
        <w:t xml:space="preserve">      abolido.</w:t>
        <w:br/>
        <w:br/>
        <w:br/>
        <w:t>3.    Según la Comisión la petición de opinión consultiva  está  relacionada</w:t>
        <w:br/>
        <w:t>con su ámbito de competencia, en los términos de  los  artículos  33,  41  y</w:t>
        <w:br/>
        <w:t>64.1 de la Convención.</w:t>
        <w:br/>
        <w:br/>
        <w:br/>
        <w:t>4.    La Comisión designó como delegado al profesor W. Michael Reisman.</w:t>
        <w:br/>
        <w:br/>
        <w:br/>
        <w:t>5.    Mediante nota del 11 de noviembre de 1993 la Secretaría  de  la  Corte</w:t>
        <w:br/>
        <w:t>(en adelante  “la  Secretaría”),  en  cumplimiento  del  artículo  54.1  del</w:t>
        <w:br/>
        <w:t>Reglamento  de  la   Corte   (en   adelante   “el   Reglamento”),   solicitó</w:t>
        <w:br/>
        <w:t>observaciones escritas y documentos relevantes sobre el asunto objeto de  la</w:t>
        <w:br/>
        <w:t>opinión consultiva a los Estados Miembros de la Organización de los  Estados</w:t>
        <w:br/>
        <w:t>Americanos (en adelante “la OEA”) y, por intermedio del  Secretario  General</w:t>
        <w:br/>
        <w:t>de ésta, a todos los órganos a que se refiere el Capítulo VIII de  la  Carta</w:t>
        <w:br/>
        <w:t>de la OEA.</w:t>
        <w:br/>
        <w:br/>
        <w:br/>
        <w:t>6.    El Presidente de la Corte (en adelante “el  Presidente”)  dispuso  que</w:t>
        <w:br/>
        <w:t>las observaciones escritas y los documentos  relevantes  fueran  presentados</w:t>
        <w:br/>
        <w:t>en la Secretaría antes del 31 de diciembre de 1993.</w:t>
        <w:br/>
        <w:br/>
        <w:br/>
        <w:t>7.    Se recibieron observaciones de los gobiernos del Perú,  Costa  Rica  y</w:t>
        <w:br/>
        <w:t>Brasil.</w:t>
        <w:br/>
        <w:br/>
        <w:br/>
        <w:t>8.    Las  siguientes  organizaciones  no  gubernamentales  presentaron  sus</w:t>
        <w:br/>
        <w:t>puntos de vista sobre la consulta como amici curiae: Centro por la  Justicia</w:t>
        <w:br/>
        <w:t>y el Derecho Internacional (CEJIL)  y  Americas  Watch  conjuntamente  y  la</w:t>
        <w:br/>
        <w:t>Comisión Andina de Juristas. También presentaron sus puntos  de  vista  como</w:t>
        <w:br/>
        <w:t>amici  curiae  los  profesores  Antônio  Augusto  Cançado  Trindade,  de  la</w:t>
        <w:br/>
        <w:t>Universidad de Brasilia y del Instituto  Rio-Branco,  Brasil  y  Beatriz  M.</w:t>
        <w:br/>
        <w:t>Ramacciotti, de la Pontificia Universidad Católica del Perú.</w:t>
        <w:br/>
        <w:br/>
        <w:br/>
        <w:t>9.    Siguiendo instrucciones del Presidente  y  mediante  notas  del  3  de</w:t>
        <w:br/>
        <w:t>enero de 1994, la Secretaría convocó a los Estados Miembros y a los  órganos</w:t>
        <w:br/>
        <w:t>de la OEA a una audiencia pública, que se celebró el 21 de enero de  1994  a</w:t>
        <w:br/>
        <w:t>las 9:30 horas.</w:t>
        <w:br/>
        <w:br/>
        <w:br/>
        <w:t>10.   El Presidente autorizó a participar en la audiencia a  los  siguientes</w:t>
        <w:br/>
        <w:t>organismos no gubernamentales de  carácter  internacional:  Americas  Watch;</w:t>
        <w:br/>
        <w:t>Centro por la Justicia y el Derecho Internacional (CEJIL);  Comisión  Andina</w:t>
        <w:br/>
        <w:t>de Juristas y Red Latinoamericana de  Abogados  Católicos  (RLAC).  Mediante</w:t>
        <w:br/>
        <w:t>comunicación del 19 de  enero  de  1994,  la  Comisión  Andina  de  Juristas</w:t>
        <w:br/>
        <w:t>informó que, por  razones  de  fuerza  mayor,  su  representante  no  podría</w:t>
        <w:br/>
        <w:t>comparecer a la audiencia pública.</w:t>
        <w:br/>
        <w:br/>
        <w:br/>
        <w:t>11.   Comparecieron a esta audiencia pública:</w:t>
        <w:br/>
        <w:br/>
        <w:t>Por la Comisión Interamericana de Derechos Humanos:</w:t>
        <w:br/>
        <w:br/>
        <w:t>W. Michael Reisman, delegado,</w:t>
        <w:br/>
        <w:br/>
        <w:t>Domingo E. Acevedo, delegado,</w:t>
        <w:br/>
        <w:br/>
        <w:t>Janet Koven-Levitt, asesora.</w:t>
        <w:br/>
        <w:br/>
        <w:t>Por el Gobierno del Perú:</w:t>
        <w:br/>
        <w:br/>
        <w:t>Beatriz Ramacciotti, agente,</w:t>
        <w:br/>
        <w:br/>
        <w:t>Juan Garland Combe, asesor,</w:t>
        <w:br/>
        <w:br/>
        <w:t>Sergio Tapia, asesor.</w:t>
        <w:br/>
        <w:br/>
        <w:t>Por el Centro por la Justicia y el Derecho Internacional (CEJIL):</w:t>
        <w:br/>
        <w:br/>
        <w:t>José Miguel Vivanco.</w:t>
        <w:br/>
        <w:br/>
        <w:t>Por Americas Watch:</w:t>
        <w:br/>
        <w:br/>
        <w:t>Juan E. Méndez.</w:t>
        <w:br/>
        <w:br/>
        <w:t>Estuvieron presentes, además, como observadores:</w:t>
        <w:br/>
        <w:br/>
        <w:t>Por el Gobierno de la Argentina:</w:t>
        <w:br/>
        <w:br/>
        <w:t>Bernardo Juan Ochoa, Consejero de la  Embajada  de  la  República  Argentina</w:t>
        <w:br/>
        <w:t>ante el Gobierno de Costa Rica.</w:t>
        <w:br/>
        <w:br/>
        <w:t>Por el Gobierno de Brasil:</w:t>
        <w:br/>
        <w:br/>
        <w:t>Izacyl Guimarães Ferreira, Jefe  del  Sector  Cultural  de  la  Embajada  de</w:t>
        <w:br/>
        <w:t>Brasil ante el Gobierno de Costa Rica.</w:t>
        <w:br/>
        <w:br/>
        <w:t>La Red Latinoamericana de Abogados  Católicos  (RLAC)  no  compareció  a  la</w:t>
        <w:br/>
        <w:t>audiencia.</w:t>
        <w:br/>
        <w:br/>
        <w:br/>
        <w:t xml:space="preserve">                                      I</w:t>
        <w:br/>
        <w:br/>
        <w:br/>
        <w:t>12.   Mediante comunicación del 29 de diciembre  de  1993  el  Gobierno  del</w:t>
        <w:br/>
        <w:t>Perú remitió sus observaciones sobre la  solicitud  de  opinión  consultiva.</w:t>
        <w:br/>
        <w:t>Hizo un análisis jurídico de la solicitud a partir de tres factores:</w:t>
        <w:br/>
        <w:br/>
        <w:t xml:space="preserve">             a.     Capacidad  de  la  parte  para  solicitar  una   opinión</w:t>
        <w:br/>
        <w:t xml:space="preserve">      consultiva a la Corte.</w:t>
        <w:br/>
        <w:br/>
        <w:br/>
        <w:t xml:space="preserve">            [. . .]</w:t>
        <w:br/>
        <w:br/>
        <w:br/>
        <w:t xml:space="preserve">            La CIDH [Comisión Interamericana], como entidad especializada de</w:t>
        <w:br/>
        <w:t xml:space="preserve">      la Organización, invoca el procedimiento que le posibilita el  párrafo</w:t>
        <w:br/>
        <w:t xml:space="preserve">      1 del artículo 64, pero incide  en  una  materia  que  está  reservada</w:t>
        <w:br/>
        <w:t xml:space="preserve">      exclusivamente a los Estados de cuyas leyes nacionales  se  trata,  lo</w:t>
        <w:br/>
        <w:t xml:space="preserve">      que está contemplado en un dispositivo diferente, -párrafo 2 del mismo</w:t>
        <w:br/>
        <w:t xml:space="preserve">      artículo 64- que [. . .] tiene su ratio legis (sic) en  precisar,  sin</w:t>
        <w:br/>
        <w:t xml:space="preserve">      lugar a ninguna duda, que solamente compete a los  Estados,  de  cuyas</w:t>
        <w:br/>
        <w:t xml:space="preserve">      leyes internas  se  trata,  el  poder   recurrir  en  vía  de  opinión</w:t>
        <w:br/>
        <w:t xml:space="preserve">      consultiva a la Corte  cuando  exista  una  presunta  incompatibilidad</w:t>
        <w:br/>
        <w:t xml:space="preserve">      entre una norma interna de ese Estado y la Convención.</w:t>
        <w:br/>
        <w:br/>
        <w:br/>
        <w:t xml:space="preserve">      [S]e ha forzado la lógica procesal en la solicitud de  la  CIDH.  Este</w:t>
        <w:br/>
        <w:t xml:space="preserve">      órgano del  sistema  interamericano  hace  referencia  expresa  a  una</w:t>
        <w:br/>
        <w:t xml:space="preserve">      situación interna peruana, pretendiendo cuestionar indirectamente  una</w:t>
        <w:br/>
        <w:t xml:space="preserve">      ley nacional, esto es, la nueva norma contenida en el artículo 140  de</w:t>
        <w:br/>
        <w:t xml:space="preserve">      la nueva Constitución del Perú [. . .]</w:t>
        <w:br/>
        <w:t xml:space="preserve">            [. . .]</w:t>
        <w:br/>
        <w:br/>
        <w:br/>
        <w:t xml:space="preserve">      Admitir la solicitud de opinión consultiva en esas  condiciones  sería</w:t>
        <w:br/>
        <w:t xml:space="preserve">      sentar un desafortunado precedente en la medida que se propiciaría una</w:t>
        <w:br/>
        <w:t xml:space="preserve">      injerencia desproporcionada de un órgano que forma parte  del  sistema</w:t>
        <w:br/>
        <w:t xml:space="preserve">      de la  Organización  de  los  Estados  Americanos  en  los  mecanismos</w:t>
        <w:br/>
        <w:t xml:space="preserve">      legislativos internos de los Estados miembros [. . .] En consecuencia,</w:t>
        <w:br/>
        <w:t xml:space="preserve">      la solicitud de la CIDH es inadmisible por no contar  con  legitimidad</w:t>
        <w:br/>
        <w:t xml:space="preserve">      para dirigirse a la Honorable Corte, por tratarse de una  materia  que</w:t>
        <w:br/>
        <w:t xml:space="preserve">      es de exclusiva competencia de los  Estados,  conforme  lo  señala  el</w:t>
        <w:br/>
        <w:t xml:space="preserve">      párrafo 2, del artículo 64 de la Convención,  que  es  el  dispositivo</w:t>
        <w:br/>
        <w:t xml:space="preserve">      aplicable al caso.</w:t>
        <w:br/>
        <w:br/>
        <w:br/>
        <w:t xml:space="preserve">      [E]s evidente que la CIDH pretende obtener en forma indirecta  lo  que</w:t>
        <w:br/>
        <w:t xml:space="preserve">      no  puede  hacer  en  forma  directa  por  impedírselo  la  mencionada</w:t>
        <w:br/>
        <w:t xml:space="preserve">      disposición de la Convención.</w:t>
        <w:br/>
        <w:br/>
        <w:br/>
        <w:br/>
        <w:br/>
        <w:t xml:space="preserve">            b.    Requisitos formales de la solicitud de opinión</w:t>
        <w:br/>
        <w:t xml:space="preserve">                  consultiva.</w:t>
        <w:br/>
        <w:br/>
        <w:br/>
        <w:br/>
        <w:br/>
        <w:t xml:space="preserve">            [. . .]</w:t>
        <w:br/>
        <w:br/>
        <w:br/>
        <w:t xml:space="preserve">      Respecto  al  requisito   de   señalar   las   disposiciones   a   ser</w:t>
        <w:br/>
        <w:t xml:space="preserve">      interpretadas, [. . .] lo que pretende la CIDH  es  que  la  Honorable</w:t>
        <w:br/>
        <w:t xml:space="preserve">      Corte se pronuncie sobre una presunta incompatibilidad o contradicción</w:t>
        <w:br/>
        <w:t xml:space="preserve">      entre dicha disposición de la Convención [artículo 4, párrafos  2  (in</w:t>
        <w:br/>
        <w:t xml:space="preserve">      fine) y 3] y leyes internas del  Estado  peruano,  para  lo  cual  -lo</w:t>
        <w:br/>
        <w:t xml:space="preserve">      repetimos- la CIDH carece de  facultades  para  recurrir  a  la  Corte</w:t>
        <w:br/>
        <w:t xml:space="preserve">      Interamericana de Derechos Humanos.</w:t>
        <w:br/>
        <w:br/>
        <w:br/>
        <w:t xml:space="preserve">            [. . .]</w:t>
        <w:br/>
        <w:br/>
        <w:br/>
        <w:t xml:space="preserve">      En lo que concierne a las consideraciones que originan la consulta, [.</w:t>
        <w:br/>
        <w:t xml:space="preserve">      .  .]  el  asunto  es  uno  de  presunta  incompatibilidad  entre  las</w:t>
        <w:br/>
        <w:t xml:space="preserve">      obligaciones que establece la  Convención  y  los  alcances  de  leyes</w:t>
        <w:br/>
        <w:t xml:space="preserve">      internas, situación en la cual, como ha sido plenamente explicado,  la</w:t>
        <w:br/>
        <w:t xml:space="preserve">      CIDH no tiene legitimidad ni competencia funcional.</w:t>
        <w:br/>
        <w:br/>
        <w:br/>
        <w:t xml:space="preserve">            c.    Cuestiones de fondo de la solicitud de la CIDH.</w:t>
        <w:br/>
        <w:br/>
        <w:br/>
        <w:t xml:space="preserve">            [. . .]</w:t>
        <w:br/>
        <w:br/>
        <w:br/>
        <w:t xml:space="preserve">      [L]a  CIDH  al  expresar  que  una  ley  interna   peruana   está   en</w:t>
        <w:br/>
        <w:t xml:space="preserve">      contradicción con la Convención, adelanta  juicio,  prejuzga  y  asume</w:t>
        <w:br/>
        <w:t xml:space="preserve">      facultades para las cuales no está investida.</w:t>
        <w:br/>
        <w:br/>
        <w:br/>
        <w:t xml:space="preserve">            [. . .]</w:t>
        <w:br/>
        <w:br/>
        <w:br/>
        <w:t xml:space="preserve">      La solicitud de opinión  consultiva  fue  presentada  a  la  Honorable</w:t>
        <w:br/>
        <w:t xml:space="preserve">      Corte, según constancia de recepción, el día 9 de noviembre último, es</w:t>
        <w:br/>
        <w:t xml:space="preserve">      decir  cuando  no  se  conocían  aún  los  resultados  oficiales   del</w:t>
        <w:br/>
        <w:t xml:space="preserve">      referéndum nacional sobre la nueva Constitución peruana, donde  se  ha</w:t>
        <w:br/>
        <w:t xml:space="preserve">      incluido efectivamente una nueva disposición sobre  pena  capital.  Es</w:t>
        <w:br/>
        <w:t xml:space="preserve">      decir, no se sabía estrictu  sensu  (sic)  si  la  Constitución  sería</w:t>
        <w:br/>
        <w:t xml:space="preserve">      aprobada o no y la CIDH ya se había adelantado a efectuar un pedido de</w:t>
        <w:br/>
        <w:t xml:space="preserve">      opinión consultiva sobre un dispositivo contenido en un  nuevo  cuerpo</w:t>
        <w:br/>
        <w:t xml:space="preserve">      legal que no tenía vigencia alguna.</w:t>
        <w:br/>
        <w:br/>
        <w:br/>
        <w:t xml:space="preserve">      [T]odo el texto de la solicitud de la CIDH está redactado como  si  no</w:t>
        <w:br/>
        <w:t xml:space="preserve">      existiera la última parte del artículo 140 de  la  nueva  Constitución</w:t>
        <w:br/>
        <w:t xml:space="preserve">      del Perú que claramente expresa que la posibilidad de dictarse  nuevas</w:t>
        <w:br/>
        <w:t xml:space="preserve">      normas en materia de pena capital está sujeta  a  que  las  mismas  se</w:t>
        <w:br/>
        <w:t xml:space="preserve">      hagan ‘conforme a las leyes y a los tratados de los  que  el  Perú  es</w:t>
        <w:br/>
        <w:t xml:space="preserve">      parte obligada’. Indudablemente que esta disposición constitucional no</w:t>
        <w:br/>
        <w:t xml:space="preserve">      podría  excluir  de  ninguna  manera  la  Convención  Americana  sobre</w:t>
        <w:br/>
        <w:t xml:space="preserve">      Derechos Humanos [. . .] (destacado y subrayado del original)</w:t>
        <w:br/>
        <w:br/>
        <w:t>y solicitó a la Corte sobre el particular que</w:t>
        <w:br/>
        <w:br/>
        <w:t xml:space="preserve">      desestime pronunciarse sobre dicha solicitud aplicando  el  precedente</w:t>
        <w:br/>
        <w:t xml:space="preserve">      de sus propias Opiniones Consultivas; o, en su defecto, sea  declarada</w:t>
        <w:br/>
        <w:t xml:space="preserve">      inadmisible por razones de falta de legitimidad de la  CIDH,  defectos</w:t>
        <w:br/>
        <w:t xml:space="preserve">      de forma en su postulación o improcedente -de ser el caso-  en  cuanto</w:t>
        <w:br/>
        <w:t xml:space="preserve">      al fondo del asunto, por cuanto el petitorio de la CIDH constituye  un</w:t>
        <w:br/>
        <w:t xml:space="preserve">      pedido de interpretación de una norma interna del derecho peruano para</w:t>
        <w:br/>
        <w:t xml:space="preserve">      lo cual no tiene legitimidad.</w:t>
        <w:br/>
        <w:br/>
        <w:br/>
        <w:t>13.   En sus observaciones escritas el Gobierno de Costa Rica consideró</w:t>
        <w:br/>
        <w:t>que:</w:t>
        <w:br/>
        <w:br/>
        <w:t xml:space="preserve">      [L]a nueva Constitución del Perú no había entrado en vigor,  [.  .  .]</w:t>
        <w:br/>
        <w:t xml:space="preserve">      por lo tanto, dicha Constitución se tiene que tomar como el  ‘Proyecto</w:t>
        <w:br/>
        <w:t xml:space="preserve">      de Constitución’ [. . .] [L]a petición presentada por la CIDH sobre la</w:t>
        <w:br/>
        <w:t xml:space="preserve">      compatibilidad entre el  Proyecto  de  Constitución  del  Perú  y  los</w:t>
        <w:br/>
        <w:t xml:space="preserve">      mencionados artículos de la Convención Americana de Derechos  Humanos,</w:t>
        <w:br/>
        <w:t xml:space="preserve">      es perfectamente admisible.</w:t>
        <w:br/>
        <w:br/>
        <w:br/>
        <w:t xml:space="preserve">            [. . .]</w:t>
        <w:br/>
        <w:br/>
        <w:br/>
        <w:t xml:space="preserve">      [E]l problema en su fondo, sin menoscabo de las preguntas que presenta</w:t>
        <w:br/>
        <w:t xml:space="preserve">      la CIDH a la Corte, es idéntico al decidido por la Corte en la Opinión</w:t>
        <w:br/>
        <w:t xml:space="preserve">      Consultiva OC-3/83 del 8 de setiembre  de  1983,  por  lo  tanto,  las</w:t>
        <w:br/>
        <w:t xml:space="preserve">      respuestas que diera la Corte  en  dicha  instancia  son  valederas  y</w:t>
        <w:br/>
        <w:t xml:space="preserve">      aplicables en su fondo a  los  hechos  de  los  cuales  se  deriva  la</w:t>
        <w:br/>
        <w:t xml:space="preserve">      petición actual.</w:t>
        <w:br/>
        <w:br/>
        <w:br/>
        <w:t>14.   Mediante sus observaciones escritas el Gobierno del Brasil opinó que:</w:t>
        <w:br/>
        <w:br/>
        <w:t xml:space="preserve">            Com relação à primeira questão formulada pela Comissão, embora a</w:t>
        <w:br/>
        <w:t xml:space="preserve">      mesma tenha sido feita em tese, é de se precisar que com a mera edição</w:t>
        <w:br/>
        <w:t xml:space="preserve">      da Constituição de 1993, não houve por  parte  do  Peru  violação  das</w:t>
        <w:br/>
        <w:t xml:space="preserve">      obrigações contraídas em razão de ter ratificado a Convenção em  causa</w:t>
        <w:br/>
        <w:t xml:space="preserve">      [. . .] Primeiramente, a simples edição de lei em contrário não  seria</w:t>
        <w:br/>
        <w:t xml:space="preserve">      violadora de obrigações internacionais, pois  seria  necessário,  para</w:t>
        <w:br/>
        <w:t xml:space="preserve">      que  tal  violação  se  estabelecesse,   a   concretização   de   suas</w:t>
        <w:br/>
        <w:t xml:space="preserve">      disposições. Em segundo lugar, o  âmago  do  problema  resolvese  pela</w:t>
        <w:br/>
        <w:t xml:space="preserve">      teoria que cada Estado siga em matéria de hierarquia de leis [. . .]</w:t>
        <w:br/>
        <w:br/>
        <w:br/>
        <w:t xml:space="preserve">            A resposta à  segunda  questão  formulada  pela  Comissão  varia</w:t>
        <w:br/>
        <w:t xml:space="preserve">      segundo o prisma em que se coloca o interlocutor.  Constitucionalmente</w:t>
        <w:br/>
        <w:t xml:space="preserve">      falando, os  agentes  e  funcionários  do  Estado  estão  adstritos  à</w:t>
        <w:br/>
        <w:t xml:space="preserve">      Constituição,  não  podendo  buscar  supedâneo  mesmo  em   convenções</w:t>
        <w:br/>
        <w:t xml:space="preserve">      internacionais  em  que  o  Estado  seja  parte,  para   descumpri-la.</w:t>
        <w:br/>
        <w:t xml:space="preserve">      Examinando-se a problemática sob a ótica internacional, a visão  seria</w:t>
        <w:br/>
        <w:t xml:space="preserve">      inversa [. . .]  Contudo,  o  caso  concreto  posto  pela  Contituição</w:t>
        <w:br/>
        <w:t xml:space="preserve">      peruana vigente não se enquadra perfeitamente [.  .  .]  Quem  e  como</w:t>
        <w:br/>
        <w:t xml:space="preserve">      responderia no Peru, se esse país, sem denunciar a Convenção Americana</w:t>
        <w:br/>
        <w:t xml:space="preserve">      sobre Direitos Humanos,  viesse  a  condenar   e  executar  alguém  em</w:t>
        <w:br/>
        <w:t xml:space="preserve">      virtude de terrorismo? Os constituintes que estabeleceram o artigo 140</w:t>
        <w:br/>
        <w:t xml:space="preserve">      da Constituição vigente (lembre-se que a mesma acabou por ser aprovada</w:t>
        <w:br/>
        <w:t xml:space="preserve">      em referendo popular), os juízes que pronunciaram a sentença  ou  quem</w:t>
        <w:br/>
        <w:t xml:space="preserve">      efetivamente a executou?</w:t>
        <w:br/>
        <w:br/>
        <w:br/>
        <w:t>15.   Mediante escrito del 21 de enero de 1994 el Gobierno del Perú pidió  a</w:t>
        <w:br/>
        <w:t>la Corte que tuviera en cuenta un nuevo petitorio debido a que la  “CIDH  ha</w:t>
        <w:br/>
        <w:t>modificado su solicitud escrita, mediante  la  fundamentación  oral  que  ha</w:t>
        <w:br/>
        <w:t>formulado [en] la Audiencia Pública”. El Gobierno solicitó:</w:t>
        <w:br/>
        <w:br/>
        <w:t xml:space="preserve">      Que se declare inadmisible la solicitud escrita de la  CIDH,  en  todo</w:t>
        <w:br/>
        <w:t xml:space="preserve">      aquello  que  implique  referencias  directas  o   indirectas   a   la</w:t>
        <w:br/>
        <w:t xml:space="preserve">      legislación interna del Perú (art. 140 de la  Constitución  de  1993),</w:t>
        <w:br/>
        <w:t xml:space="preserve">      por el fundamento del art.  64.2  de  la  Convención  Americana  sobre</w:t>
        <w:br/>
        <w:t xml:space="preserve">      Derechos Humanos, así como de las normas concordantes establecidas  en</w:t>
        <w:br/>
        <w:t xml:space="preserve">      los Estatutos y Reglamentos pertinentes. (Subrayado del original)</w:t>
        <w:br/>
        <w:br/>
        <w:br/>
        <w:t xml:space="preserve">                                     II</w:t>
        <w:br/>
        <w:br/>
        <w:br/>
        <w:t>16.   Esta consulta ha sido sometida a la  Corte  por  la  Comisión  con  la</w:t>
        <w:br/>
        <w:t>potestad que le otorga el artículo 64.1 de la Convención.</w:t>
        <w:br/>
        <w:br/>
        <w:br/>
        <w:t>17.    La  solicitud  presentada  por  la  Comisión  cumple  los  requisitos</w:t>
        <w:br/>
        <w:t>formales requeridos por el Reglamento en sus artículos 51.1  y  51.2,  según</w:t>
        <w:br/>
        <w:t>los cuales las preguntas deben ser formuladas  con  precisión  y  además  se</w:t>
        <w:br/>
        <w:t>deben  especificar  las  disposiciones  a  ser  interpretadas,  indicar  las</w:t>
        <w:br/>
        <w:t>consideraciones  que  originan  la  consulta  y  suministrar  el  nombre   y</w:t>
        <w:br/>
        <w:t>dirección del delegado.</w:t>
        <w:br/>
        <w:br/>
        <w:br/>
        <w:t>18.    Los  gobiernos  del  Perú  y  de  Costa  Rica,  en  sus   respectivas</w:t>
        <w:br/>
        <w:t>observaciones y antes de pronunciarse sobre el fondo de la  consulta  de  la</w:t>
        <w:br/>
        <w:t>Comisión, abordan por vía preliminar aspectos que  tienen  que  ver  con  su</w:t>
        <w:br/>
        <w:t>admisibilidad. El Gobierno del Perú advierte sobre</w:t>
        <w:br/>
        <w:br/>
        <w:t xml:space="preserve">      una  presunta  intención  de  la  CIDH  [Comisión  Interamericana]  de</w:t>
        <w:br/>
        <w:t xml:space="preserve">      pretender que la Honorable Corte emita  un  pronunciamiento  en  forma</w:t>
        <w:br/>
        <w:t xml:space="preserve">      indirecta sobre una ley nacional peruana a través de una solicitud  de</w:t>
        <w:br/>
        <w:t xml:space="preserve">      opinión consultiva formulada por una entidad del sistema regional  -la</w:t>
        <w:br/>
        <w:t xml:space="preserve">      CIDH- que no está facultada para efectuar este tipo de consultas,  por</w:t>
        <w:br/>
        <w:t xml:space="preserve">      impedírselo el párrafo 2, del artículo 64 de la Convención.</w:t>
        <w:br/>
        <w:br/>
        <w:t>A su vez, Costa Rica considera que dado que al “momento  de  presentarse  la</w:t>
        <w:br/>
        <w:t>petición por parte de la CIDH  la  nueva  Constitución  del  Perú  no  había</w:t>
        <w:br/>
        <w:t>entrado en vigor [. . .] dicha Constitución  se  tiene  que  tomar  como  el</w:t>
        <w:br/>
        <w:t>‘Proyecto de Constitución’ ”. A renglón seguido,  este  Gobierno  transcribe</w:t>
        <w:br/>
        <w:t>parcialmente una Opinión de esta Corte, conforme a la cual “en ejercicio  de</w:t>
        <w:br/>
        <w:t>la facultad contemplada en el artículo 64.2  [de  la  Convención  Americana]</w:t>
        <w:br/>
        <w:t>puede contestar consultas sobre compatibilidad entre ‘proyectos  de  ley’  y</w:t>
        <w:br/>
        <w:t>la Convención” (Compatiblidad de un proyecto de ley con el  artículo  8.2.h.</w:t>
        <w:br/>
        <w:t>de la Convención Americana sobre Derechos Humanos,  Opinión  Consultiva  OC-</w:t>
        <w:br/>
        <w:t>12/91 de 6 de diciembre de 1991. Serie A No. 12, párr. 22).</w:t>
        <w:br/>
        <w:br/>
        <w:br/>
        <w:t>19.   La Corte observa que los gobiernos del Perú y Costa Rica coinciden  en</w:t>
        <w:br/>
        <w:t>situar la consulta presentada por la Comisión dentro de aquellas a que  hace</w:t>
        <w:br/>
        <w:t>referencia el artículo  64.2  de  la  Convención  Americana,  es  decir,  al</w:t>
        <w:br/>
        <w:t>análisis de la compatibilidad de las leyes internas de los Estados  Miembros</w:t>
        <w:br/>
        <w:t>con las normas del mencionado instrumento internacional.  La  Comisión,  sin</w:t>
        <w:br/>
        <w:t>embargo, fundamenta su solicitud en  el  artículo  64.1,  conforme  al  cual</w:t>
        <w:br/>
        <w:t>puede, en lo que le compete, pedir la interpretación de la Convención  o  de</w:t>
        <w:br/>
        <w:t>otros tratados concernientes a la protección de los derechos humanos en  los</w:t>
        <w:br/>
        <w:t>Estados americanos.</w:t>
        <w:br/>
        <w:br/>
        <w:br/>
        <w:t>20.    Antes  de  considerar,  si  procede,  el  fondo  de  las   cuestiones</w:t>
        <w:br/>
        <w:t>planteadas por la Comisión en esta instancia, debe la Corte  resolver  sobre</w:t>
        <w:br/>
        <w:t>la naturaleza de la consulta que le ha sido presentada y sobre  la  eventual</w:t>
        <w:br/>
        <w:t>legitimación activa de tal órgano del sistema interamericano en la  presente</w:t>
        <w:br/>
        <w:t>solicitud.</w:t>
        <w:br/>
        <w:br/>
        <w:br/>
        <w:t>21.   Entiende la Corte, en  primer  lugar,  que  el  artículo  64.1  de  la</w:t>
        <w:br/>
        <w:t>Convención  Americana  le  otorga  una  amplia  potestad  para  abordar   la</w:t>
        <w:br/>
        <w:t>interpretación de la Convención y de otros tratados de derechos humanos  que</w:t>
        <w:br/>
        <w:t>vinculen  a  los  Estados  americanos,  y  el  64.2  la   de   analizar   la</w:t>
        <w:br/>
        <w:t>compatibilidad de las leyes internas de los Estados con tales  instrumentos;</w:t>
        <w:br/>
        <w:t>pero el propósito de su competencia  consultiva  no  puede  desviarse  hacia</w:t>
        <w:br/>
        <w:t>fines  distintos  de  la   protección   de   los   derechos   y   libertades</w:t>
        <w:br/>
        <w:t>salvaguardados por la Convención.</w:t>
        <w:br/>
        <w:br/>
        <w:br/>
        <w:t>22.   En el primero de los supuestos anteriormente enumerados, es decir,  el</w:t>
        <w:br/>
        <w:t>relativo al artículo 64.1 de la Convención, la competencia consultiva de  la</w:t>
        <w:br/>
        <w:t>Corte puede ser iniciada tanto por un Estado Miembro de la OEA como por  los</w:t>
        <w:br/>
        <w:t>órganos enumerados en el Capítulo VIII de la Carta de la OEA  reformada  por</w:t>
        <w:br/>
        <w:t>el Protocolo de Cartagena de Indias en 1985 —entre éstos la  Comisión—  pero</w:t>
        <w:br/>
        <w:t>sólo en cuanto  les  competa.  En  el  segundo  de  los  supuestos,  por  el</w:t>
        <w:br/>
        <w:t>contrario, la mera lectura de la Convención indica que la  Corte  únicamente</w:t>
        <w:br/>
        <w:t>puede ser consultada por los Estados Miembros de la OEA y sólo en  cuanto  a</w:t>
        <w:br/>
        <w:t>sus propias leyes internas. No es facultad de la Corte en  ejercicio  de  su</w:t>
        <w:br/>
        <w:t>función consultiva interpretar o definir  los  ámbitos  de  validez  de  las</w:t>
        <w:br/>
        <w:t>leyes internas de los Estados Partes, sino  respecto  de  su  compatibilidad</w:t>
        <w:br/>
        <w:t>con la Convención u  otros  tratados  referentes  a  la  protección  de  los</w:t>
        <w:br/>
        <w:t>derechos humanos en los Estados americanos  y  siempre  y  cuando  medie  un</w:t>
        <w:br/>
        <w:t>requerimiento expreso  por  parte  de  alguno  de  esos  Estados,  según  lo</w:t>
        <w:br/>
        <w:t>establecido  en  el  artículo  64.2  de  la  Convención  Americana.  En  los</w:t>
        <w:br/>
        <w:t>supuestos o hipótesis  de  violación  de  las  obligaciones  internacionales</w:t>
        <w:br/>
        <w:t>asumidas  por  los  Estados  Partes  y  que   resulten   de   una   eventual</w:t>
        <w:br/>
        <w:t>contradicción entre sus normas de derecho interno y las  de  la  Convención,</w:t>
        <w:br/>
        <w:t>aquellas serán evaluadas por la Corte  en  los  procesos  contenciosos  como</w:t>
        <w:br/>
        <w:t>simples  hechos  o  manifestaciones  de  voluntad,   susceptibles   de   ser</w:t>
        <w:br/>
        <w:t>ponderados sólo respecto de las convenciones y tratados involucrados  y  con</w:t>
        <w:br/>
        <w:t>prescindencia de la significación o jerarquía que la  norma  nacional  tenga</w:t>
        <w:br/>
        <w:t>dentro del ordenamiento jurídico del respectivo Estado.</w:t>
        <w:br/>
        <w:br/>
        <w:br/>
        <w:t>23.   La labor interpretativa que debe cumplir la Corte en ejercicio  de  su</w:t>
        <w:br/>
        <w:t>competencia consultiva busca no sólo desentrañar  el  sentido,  propósito  y</w:t>
        <w:br/>
        <w:t>razón de las normas internacionales  sobre  derechos  humanos,  sino,  sobre</w:t>
        <w:br/>
        <w:t>todo, asesorar y ayudar a los Estados Miembros y a los  órganos  de  la  OEA</w:t>
        <w:br/>
        <w:t>para  que  cumplan   de   manera   cabal   y   efectiva   sus   obligaciones</w:t>
        <w:br/>
        <w:t>internacionales en la materia. Se trata, en efecto, de interpretaciones  que</w:t>
        <w:br/>
        <w:t>contribuyan a fortalecer el sistema de protección de los  derechos  humanos.</w:t>
        <w:br/>
        <w:t>Como lo dijo la Corte en su primera opinión,</w:t>
        <w:br/>
        <w:br/>
        <w:t xml:space="preserve">      [la] función consultiva de la Corte  no  puede  desvincularse  de  los</w:t>
        <w:br/>
        <w:t xml:space="preserve">      propósitos  de  la  Convención.  Dicha  función  tiene  por  finalidad</w:t>
        <w:br/>
        <w:t xml:space="preserve">      coadyuvar al cumplimiento de las obligaciones internacionales  de  los</w:t>
        <w:br/>
        <w:t xml:space="preserve">      Estados americanos en lo que concierne a la protección de los derechos</w:t>
        <w:br/>
        <w:t xml:space="preserve">      humanos, así como al cumplimiento de las funciones que en  ese  ámbito</w:t>
        <w:br/>
        <w:t xml:space="preserve">      tienen atribuidas los distintos órganos de la OEA. Es obvio  que  toda</w:t>
        <w:br/>
        <w:t xml:space="preserve">      solicitud de opinión consultiva que se aparte de ese  fin  debilitaría</w:t>
        <w:br/>
        <w:t xml:space="preserve">      el  sistema  de  la  Convención  y  desnaturalizaría  la   competencia</w:t>
        <w:br/>
        <w:t xml:space="preserve">      consultiva  de  la  Corte  [“Otros  tratados”  objeto  de  la  función</w:t>
        <w:br/>
        <w:t xml:space="preserve">      consultiva de la Corte (art. 64 Convención  Americana  sobre  Derechos</w:t>
        <w:br/>
        <w:t xml:space="preserve">      Humanos), Opinión Consultiva OC-1/82 del  24  de  setiembre  de  1982.</w:t>
        <w:br/>
        <w:t xml:space="preserve">      Serie A No. 1, párr. 25].</w:t>
        <w:br/>
        <w:br/>
        <w:br/>
        <w:t>24.   En el presente caso, si bien las consideraciones en que se  fundamenta</w:t>
        <w:br/>
        <w:t>la solicitud de interpretación que ha sido requerida por la Comisión  acerca</w:t>
        <w:br/>
        <w:t>del artículo 4, párrafo 2 (in fine) y párrafo 3 de la Convención  Americana,</w:t>
        <w:br/>
        <w:t>atienden a la reforma de la Constitución peruana,  conforme  a  la  cual  se</w:t>
        <w:br/>
        <w:t>ampliaron los casos de aplicación de la pena de muerte, es evidente  que  la</w:t>
        <w:br/>
        <w:t>Comisión  no  solicita  una  declaratoria  de   compatibilidad   entre   tal</w:t>
        <w:br/>
        <w:t>disposición del derecho nacional  del   Perú  y  la  indicada  norma  de  la</w:t>
        <w:br/>
        <w:t>Convención. Antes bien, las preguntas  que  plantea  la  Comisión  no  hacen</w:t>
        <w:br/>
        <w:t>referencia a esa disposición sino que tienen un carácter  general  y  versan</w:t>
        <w:br/>
        <w:t>sobre las obligaciones y responsabilidades de los Estados e  individuos  que</w:t>
        <w:br/>
        <w:t>dictan o ejecutan una ley manifiestamente  contraria  a  la  Convención.  En</w:t>
        <w:br/>
        <w:t>consecuencia, la respuesta de la Corte sería aplicable tanto al artículo  4,</w:t>
        <w:br/>
        <w:t>como a todos los otros artículos que enuncian derechos y libertades.</w:t>
        <w:br/>
        <w:br/>
        <w:br/>
        <w:t>25.    La  Corte  no  considera,  entonces,  que  la  Comisión  carezca   de</w:t>
        <w:br/>
        <w:t>legitimidad para presentar, como lo ha  hecho,  esta  solicitud  de  opinión</w:t>
        <w:br/>
        <w:t>consultiva basada en el  artículo  64.1  de  la  Convención,  visto  que  no</w:t>
        <w:br/>
        <w:t>pretende ni solicita una expresa declaratoria  de  compatibilidad  entre  la</w:t>
        <w:br/>
        <w:t>ley interna de un Estado y normas de la Convención Americana. En cambio,  en</w:t>
        <w:br/>
        <w:t>ejercicio del mandato que le encomienda la propia Convención en su  artículo</w:t>
        <w:br/>
        <w:t>41, la Comisión puede,  entre  otras  funciones  y  atribuciones,  “formular</w:t>
        <w:br/>
        <w:t>recomendaciones, cuando lo  estime  conveniente,  a  los  Gobiernos  de  los</w:t>
        <w:br/>
        <w:t>Estados miembros para que  adopten  medidas  progresivas  en  favor  de  los</w:t>
        <w:br/>
        <w:t>derechos humanos dentro del marco de sus  leyes  internas  y  sus  preceptos</w:t>
        <w:br/>
        <w:t>constitucionales”.  La  competencia  consultiva  de  la  Corte,   en   tales</w:t>
        <w:br/>
        <w:t>circunstancias puede y debe resultar valioso apoyo para  “[e]l  cumplimiento</w:t>
        <w:br/>
        <w:t>de las funciones” de la Comisión.</w:t>
        <w:br/>
        <w:br/>
        <w:br/>
        <w:t>26.   En cuanto al asunto planteado en sus observaciones por el Gobierno  de</w:t>
        <w:br/>
        <w:t>Costa Rica, relativo al carácter de “proyecto” que  acusa  el  texto  de  la</w:t>
        <w:br/>
        <w:t>Constitución  del  Perú,  citada  como  presupuesto  de  la  consulta,   las</w:t>
        <w:br/>
        <w:t>consideraciones que ha formulado  la  Corte  hasta  aquí  hacen  innecesario</w:t>
        <w:br/>
        <w:t>entrar a examinar ese argumento.</w:t>
        <w:br/>
        <w:br/>
        <w:br/>
        <w:t>27.   En armonía con lo expresado, la exigencia que contienen los  artículos</w:t>
        <w:br/>
        <w:t>51.1  y  51.2  del  Reglamento  de  que  la  solicitud  debe   indicar   las</w:t>
        <w:br/>
        <w:t>consideraciones que originan  la  consulta,  debe  ser  interpretada  en  el</w:t>
        <w:br/>
        <w:t>sentido de que no serían admisibles solicitudes  que  plantearan  cuestiones</w:t>
        <w:br/>
        <w:t>académicas que no cumplieran con la finalidad de la  función  consultiva  de</w:t>
        <w:br/>
        <w:t>la Corte según fue definida. No  significa  que  se  puedan  presentar  como</w:t>
        <w:br/>
        <w:t>solicitudes de opinión consultiva casos contenciosos encubiertos ni  que  la</w:t>
        <w:br/>
        <w:t>Corte deba analizar y resolver sobre las  consideraciones  que  originan  la</w:t>
        <w:br/>
        <w:t>consulta, sino que debe  valorar  si  la  cuestión  planteada  se  encuentra</w:t>
        <w:br/>
        <w:t>vinculada con los propósitos de la Convención, lo cual  ocurre  en  el  caso</w:t>
        <w:br/>
        <w:t>presente.</w:t>
        <w:br/>
        <w:br/>
        <w:br/>
        <w:t>28.   De otra parte, la Corte ya ha expresado que el  hecho  de  que  exista</w:t>
        <w:br/>
        <w:t>entre la Comisión y un Gobierno una controversia  sobre  el  significado  —y</w:t>
        <w:br/>
        <w:t>agrega ahora, la aplicación— de una determinada norma de la  Convención  “no</w:t>
        <w:br/>
        <w:t>es suficiente fundamento para  que  la  Corte  se  abstenga  de  ejercer  su</w:t>
        <w:br/>
        <w:t>competencia consultiva” [Restricciones a la pena de muerte (arts. 4.2 y  4.4</w:t>
        <w:br/>
        <w:t>Convención Americana sobre Derechos  Humanos),  Opinión  Consultiva  OC-3/83</w:t>
        <w:br/>
        <w:t>del 8 de setiembre de 1983. Serie A No. 3, párr. 39]. De manera que,  si  la</w:t>
        <w:br/>
        <w:t>Comisión  considera  que  la  reforma  de  la  Constitución  peruana   puede</w:t>
        <w:br/>
        <w:t>representar una violación manifiesta  de  las  obligaciones  de  ese  Estado</w:t>
        <w:br/>
        <w:t>frente a la Convención, puede utilizar esa circunstancia como fundamento  de</w:t>
        <w:br/>
        <w:t>una solicitud de opinión que tenga carácter general. Lo que no  puede  hacer</w:t>
        <w:br/>
        <w:t>es buscar que un caso contencioso bajo su consideración sea resuelto por  la</w:t>
        <w:br/>
        <w:t>Corte a través de la competencia consultiva que, por su  propia  naturaleza,</w:t>
        <w:br/>
        <w:t>no brinda las oportunidades de defensa  que  le  otorga  la  contenciosa  al</w:t>
        <w:br/>
        <w:t>Estado.</w:t>
        <w:br/>
        <w:br/>
        <w:br/>
        <w:t>29.   Planteado así el asunto, estima la Corte  que,  en  esta  oportunidad,</w:t>
        <w:br/>
        <w:t>debe limitarse a contestar las preguntas contenidas en la consulta y  no  le</w:t>
        <w:br/>
        <w:t>corresponde entrar a la interpretación del artículo 4, párrafos 2 (in  fine)</w:t>
        <w:br/>
        <w:t>y 3 de la Convención que se  indican  en  la  nota  de  remisión  y  en  las</w:t>
        <w:br/>
        <w:t>consideraciones que la originaron. Tampoco  le  corresponde  abocarse  a  la</w:t>
        <w:br/>
        <w:t>interpretación del artículo 140 de la nueva Constitución  del  Perú  que  se</w:t>
        <w:br/>
        <w:t>menciona  por  la  Comisión  y  se  señala  también  como  motivo  para   su</w:t>
        <w:br/>
        <w:t>presentación. La misma Comisión, en sus intervenciones  en  el  debate  oral</w:t>
        <w:br/>
        <w:t>ante esta Corte, sólo hizo referencia tangencial a esas disposiciones  y  se</w:t>
        <w:br/>
        <w:t>limitó a desarrollar o sustentar las dos preguntas específicas que  contiene</w:t>
        <w:br/>
        <w:t>su solicitud.</w:t>
        <w:br/>
        <w:br/>
        <w:br/>
        <w:t>30.   Resuelto lo anterior, entra la Corte a analizar la consulta.</w:t>
        <w:br/>
        <w:br/>
        <w:br/>
        <w:t xml:space="preserve">                                     III</w:t>
        <w:br/>
        <w:br/>
        <w:br/>
        <w:t>31.   La primera pregunta  planteada  por  la  Comisión  se  refiere  a  los</w:t>
        <w:br/>
        <w:t>efectos jurídicos de una ley  que  manifiestamente  viole  las  obligaciones</w:t>
        <w:br/>
        <w:t>contraídas por el  Estado  al  ratificar  la  Convención.  Al  contestar  la</w:t>
        <w:br/>
        <w:t>pregunta la Corte entenderá la palabra “ley” en su  sentido  material  y  no</w:t>
        <w:br/>
        <w:t>formal.</w:t>
        <w:br/>
        <w:br/>
        <w:br/>
        <w:t>32.   Implícitamente, esta pregunta viene a referirse  a  la  interpretación</w:t>
        <w:br/>
        <w:t>de los artículos 1 y 2 de la Convención que establecen el compromiso de  los</w:t>
        <w:br/>
        <w:t>Estados de respetar los derechos  y  libertades  reconocidos  en  ella  y  a</w:t>
        <w:br/>
        <w:t>garantizar su  libre  y  pleno  ejercicio  a  toda  persona  sometida  a  su</w:t>
        <w:br/>
        <w:t>jurisdicción y a adoptar, en su caso, las medidas  legislativas  o  de  otro</w:t>
        <w:br/>
        <w:t>carácter que  fueren  necesarias  para  hacer  efectivos  tales  derechos  y</w:t>
        <w:br/>
        <w:t>libertades.</w:t>
        <w:br/>
        <w:br/>
        <w:br/>
        <w:t>33.   Naturalmente, si se ha contraído la obligación de adoptar las  medidas</w:t>
        <w:br/>
        <w:t>aludidas, con mayor razón lo está la de no adoptar aquellas que  contradigan</w:t>
        <w:br/>
        <w:t>el objeto y fin de la Convención. Estas últimas serían las “leyes” a que  se</w:t>
        <w:br/>
        <w:t>refiere la pregunta planteada por la Comisión.</w:t>
        <w:br/>
        <w:br/>
        <w:br/>
        <w:t>34.   La pregunta se refiere únicamente a los efectos jurídicos  de  la  ley</w:t>
        <w:br/>
        <w:t>desde el punto de vista del derecho internacional, ya que no le  corresponde</w:t>
        <w:br/>
        <w:t>a la Corte pronunciarse sobre los mismos en  el  orden  interno  del  Estado</w:t>
        <w:br/>
        <w:t>interesado. Esa determinación compete de manera exclusiva a  los  tribunales</w:t>
        <w:br/>
        <w:t>nacionales y debe ser resuelta conforme a su propio derecho.</w:t>
        <w:br/>
        <w:br/>
        <w:br/>
        <w:t>35.   Una cosa diferente ocurre respecto a las obligaciones  internacionales</w:t>
        <w:br/>
        <w:t>y a las responsabilidades que se derivan  de  su  incumplimiento.  Según  el</w:t>
        <w:br/>
        <w:t>derecho internacional las obligaciones que éste impone deben  ser  cumplidas</w:t>
        <w:br/>
        <w:t>de buena fe y no puede invocarse para su incumplimiento el derecho  interno.</w:t>
        <w:br/>
        <w:t>Estas reglas pueden ser consideradas como principios generales  del  derecho</w:t>
        <w:br/>
        <w:t>y  han  sido  aplicadas,  aún  tratándose  de  disposiciones   de   carácter</w:t>
        <w:br/>
        <w:t>constitucional, por la Corte  Permanente  de  Justicia  Internacional  y  la</w:t>
        <w:br/>
        <w:t>Corte Internacional de Justicia  [Caso  de  las  Comunidades  Greco-Búlgaras</w:t>
        <w:br/>
        <w:t>(1930), Serie B, No. 17, pág. 32;  Caso  de  Nacionales  Polacos  de  Danzig</w:t>
        <w:br/>
        <w:t>(1931), Series A/B, No. 44, pág.  24;  Caso  de  las  Zonas  Libres  (1932),</w:t>
        <w:br/>
        <w:t>Series A/B, No. 46, pág. 167; Aplicabilidad  de  la  obligación  a  arbitrar</w:t>
        <w:br/>
        <w:t>bajo el Convenio de Sede de las Naciones Unidas (Caso de la Misión del  PLO)</w:t>
        <w:br/>
        <w:t>(1988), págs. 12,  a  31-2,  párr.  47].  Asimismo  estas  reglas  han  sido</w:t>
        <w:br/>
        <w:t>codificadas en los artículos 26 y 27 de la  Convención  de  Viena  sobre  el</w:t>
        <w:br/>
        <w:t>Derecho de los Tratados de 1969.</w:t>
        <w:br/>
        <w:br/>
        <w:br/>
        <w:t>36.   Es indudable que, como se dijo, la obligación de  dictar  las  medidas</w:t>
        <w:br/>
        <w:t>que fueren  necesarias  para  hacer  efectivos  los  derechos  y  libertades</w:t>
        <w:br/>
        <w:t>reconocidos en la Convención, comprende la  de  no  dictarlas  cuando  ellas</w:t>
        <w:br/>
        <w:t>conduzcan a violar esos derechos y libertades.</w:t>
        <w:br/>
        <w:br/>
        <w:br/>
        <w:t>37.   Ya en una ocasión anterior esta Corte ha dicho:</w:t>
        <w:br/>
        <w:br/>
        <w:t xml:space="preserve">      Son muchas  las  maneras  como  un  Estado  puede  violar  un  tratado</w:t>
        <w:br/>
        <w:t xml:space="preserve">      internacional y, específicamente, la Convención. En este último  caso,</w:t>
        <w:br/>
        <w:t xml:space="preserve">      puede hacerlo, por ejemplo, omitiendo dictar las  normas  a  que  está</w:t>
        <w:br/>
        <w:t xml:space="preserve">      obligado  por  el  artículo  2.  También,   por   supuesto,   dictando</w:t>
        <w:br/>
        <w:t xml:space="preserve">      disposiciones que no estén en conformidad con lo que de él exigen  sus</w:t>
        <w:br/>
        <w:t xml:space="preserve">      obligaciones dentro de  la  Convención  [Ciertas  atribuciones  de  la</w:t>
        <w:br/>
        <w:t xml:space="preserve">      Comisión Interamericana de Derechos Humanos (arts. 41, 42, 44, 46, 47,</w:t>
        <w:br/>
        <w:t xml:space="preserve">      50 y 51 de la Convención Americana sobre  Derechos  Humanos),  Opinión</w:t>
        <w:br/>
        <w:t xml:space="preserve">      Consultiva OC-13/93 del 16 de julio de 1993. Serie  A  No.  13,  párr.</w:t>
        <w:br/>
        <w:t xml:space="preserve">      26].</w:t>
        <w:br/>
        <w:br/>
        <w:br/>
        <w:t>38.   Para el caso de  que  un  Estado  emitiere  una  ley  contraria  a  la</w:t>
        <w:br/>
        <w:t>Convención, esta Corte ha dicho</w:t>
        <w:br/>
        <w:br/>
        <w:t xml:space="preserve">      [q]ue la Comisión es competente, en los términos de  las  atribuciones</w:t>
        <w:br/>
        <w:t xml:space="preserve">      que le confieren  los  artículos  41  y  42  de  la  Convención,  para</w:t>
        <w:br/>
        <w:t xml:space="preserve">      calificar cualquier norma del derecho interno de un Estado Parte  como</w:t>
        <w:br/>
        <w:t xml:space="preserve">      violatoria de las obligaciones que éste ha asumido  al  ratificarla  o</w:t>
        <w:br/>
        <w:t xml:space="preserve">      adherir  a  ella  [.  .  .]  (Ciertas  atribuciones  de  la   Comisión</w:t>
        <w:br/>
        <w:t xml:space="preserve">      Interamericana de Derechos Humanos, supra 37, parte resolutiva 1).</w:t>
        <w:br/>
        <w:br/>
        <w:br/>
        <w:t>39.   Como consecuencia de esta calificación, podrá la  Comisión  recomendar</w:t>
        <w:br/>
        <w:t>al Estado la derogación o reforma de la norma  violatoria  y  para  ello  es</w:t>
        <w:br/>
        <w:t>suficiente  que  tal  norma  haya  llegado  por   cualquier   medio   a   su</w:t>
        <w:br/>
        <w:t>conocimiento,  haya  sido  o  no  aplicada  en  un   caso   concreto.   Esta</w:t>
        <w:br/>
        <w:t>calificación y recomendación pueden ser hechas por la Comisión  directamente</w:t>
        <w:br/>
        <w:t>al Estado (art. 41.b) o en los informes a que se refieren los  artículos  49</w:t>
        <w:br/>
        <w:t>y 50 de la Convención.</w:t>
        <w:br/>
        <w:br/>
        <w:br/>
        <w:t>40.   Otro es el tratamiento que el mismo problema tendría  ante  la  Corte.</w:t>
        <w:br/>
        <w:t>En efecto, en ejercicio de su competencia consultiva  y  en  aplicación  del</w:t>
        <w:br/>
        <w:t>artículo 64.2, la Corte puede  referirse  a  la  eventual  violación  de  la</w:t>
        <w:br/>
        <w:t>Convención o  de  otros  tratados  concernientes  a  la  protección  de  los</w:t>
        <w:br/>
        <w:t>derechos humanos por una norma  interna  o  meramente  a  la  compatibilidad</w:t>
        <w:br/>
        <w:t>entre esos instrumentos. Pero, en cambio, si se  trata  de  su  jurisdicción</w:t>
        <w:br/>
        <w:t>contenciosa, el análisis hay que hacerlo de otra manera.</w:t>
        <w:br/>
        <w:br/>
        <w:br/>
        <w:t>41.   Es conveniente señalar, en primer lugar, que  una  ley  que  entra  en</w:t>
        <w:br/>
        <w:t>vigor no necesariamente afecta la esfera jurídica de personas  determinadas.</w:t>
        <w:br/>
        <w:t>Puede  suceder  que  esté  sujeta  a  actos   normativos   posteriores,   al</w:t>
        <w:br/>
        <w:t>cumplimiento de ciertas condiciones  o,  llanamente,  a  su  aplicación  por</w:t>
        <w:br/>
        <w:t>funcionarios del Estado, antes de afectar esa esfera. O puede  ser  que,  en</w:t>
        <w:br/>
        <w:t>cambio, las personas sujetas a jurisdicción de la norma se  afecten  por  la</w:t>
        <w:br/>
        <w:t>sola vigencia de la misma. A  estas  últimas  normas  y  a  falta  de  mejor</w:t>
        <w:br/>
        <w:t>denominación, la Corte las llamará “leyes de  aplicación  inmediata”  en  el</w:t>
        <w:br/>
        <w:t>curso de esta opinión.</w:t>
        <w:br/>
        <w:br/>
        <w:br/>
        <w:t>42.   En el caso de que la ley no sea de  aplicación  inmediata  y  no  haya</w:t>
        <w:br/>
        <w:t>sido aún aplicada a un caso concreto, la Comisión no puede  comparecer  ante</w:t>
        <w:br/>
        <w:t>la Corte para someter un caso contra el Estado con base en la  sola  emisión</w:t>
        <w:br/>
        <w:t>de la ley. La ley que no es de aplicación inmediata es mera facultad dada  a</w:t>
        <w:br/>
        <w:t>las autoridades para tomar medidas de acuerdo con ella. No  representa,  per</w:t>
        <w:br/>
        <w:t>se, violación de los derechos humanos.</w:t>
        <w:br/>
        <w:br/>
        <w:br/>
        <w:t>43.   En el caso de las leyes de aplicación inmediata,  tal  como  han  sido</w:t>
        <w:br/>
        <w:t>definidas anteriormente, la violación de los derechos humanos, individual  o</w:t>
        <w:br/>
        <w:t>colectiva, se produce por el solo hecho de su expedición. Así una norma  que</w:t>
        <w:br/>
        <w:t>despojara de algunos de sus derechos a una parte de la población, en  razón,</w:t>
        <w:br/>
        <w:t>por ejemplo, de su raza, automáticamente lesiona a todos los  individuos  de</w:t>
        <w:br/>
        <w:t>esa raza.</w:t>
        <w:br/>
        <w:br/>
        <w:br/>
        <w:t>44.   Cuando se trate de aquellas normas que solamente violan  los  derechos</w:t>
        <w:br/>
        <w:t>humanos cuando se aplican, para evitar que tales  violaciones  se  consumen,</w:t>
        <w:br/>
        <w:t>la Convención contempla los mecanismos de las  medidas  provisionales  (art.</w:t>
        <w:br/>
        <w:t>63.2 de la Convención, art. 29 del Reglamento de la Comisión).</w:t>
        <w:br/>
        <w:br/>
        <w:br/>
        <w:t>45.   La razón de que la Comisión no pueda  someter  a  la  Corte  casos  de</w:t>
        <w:br/>
        <w:t>leyes que  no  sean  de  aplicación  inmediata  y  que  aún  no  hayan  sido</w:t>
        <w:br/>
        <w:t>aplicadas, es que, conforme al artículo 61.2 de la Convención,  “[p]ara  que</w:t>
        <w:br/>
        <w:t>la Corte pueda conocer de cualquier caso, es  necesario  que  sean  agotados</w:t>
        <w:br/>
        <w:t>los procedimientos previstos en los artículos 48  a  50”  y  para  que  esos</w:t>
        <w:br/>
        <w:t>procedimientos puedan ser iniciados es indispensable que la Comisión  reciba</w:t>
        <w:br/>
        <w:t>una comunicación o petición  que  contenga  una  denuncia  o  queja  de  una</w:t>
        <w:br/>
        <w:t>violación concreta de derechos humanos respecto de individuos determinados.</w:t>
        <w:br/>
        <w:br/>
        <w:br/>
        <w:t>46.   La exigencia de que se trate de individuos determinados  se  desprende</w:t>
        <w:br/>
        <w:t>del  artículo  46.1.b  que  exige  que  la  petición  o  comunicación   “sea</w:t>
        <w:br/>
        <w:t>presentada dentro del plazo de seis meses, a partir de la fecha  en  que  el</w:t>
        <w:br/>
        <w:t>presunto lesionado en sus derechos  haya  sido  notificado  de  la  decisión</w:t>
        <w:br/>
        <w:t>definitiva” y del artículo 46.2.b que no  requiere  el  agotamiento  de  los</w:t>
        <w:br/>
        <w:t>recursos internos y exime de la exigencia del plazo  mencionado  cuando  “no</w:t>
        <w:br/>
        <w:t>se haya permitido al presunto lesionado en sus  derechos  el  acceso  a  los</w:t>
        <w:br/>
        <w:t>recursos de la jurisdicción interna, o haya sido impedido de agotarlos [.  .</w:t>
        <w:br/>
        <w:t>.]”.</w:t>
        <w:br/>
        <w:br/>
        <w:br/>
        <w:t>47.   Lo expresado en los párrafos anteriores ha sido también sostenido  por</w:t>
        <w:br/>
        <w:t>la Corte Europea de Derechos Humanos a partir de los casos Klass and  others</w:t>
        <w:br/>
        <w:t>(Judgment of 6 September 1978, Series A No.  28),  Marckx  (Judgment  of  13</w:t>
        <w:br/>
        <w:t>June 1979, Series A No. 31) y Adolf (Judgment of 26  March  1982,  Series  A</w:t>
        <w:br/>
        <w:t>No. 49) al interpretar la palabra “víctima”  que  usa  el  artículo  25  del</w:t>
        <w:br/>
        <w:t>Convenio (Europeo) para la Protección de los Derechos Humanos  y  Libertades</w:t>
        <w:br/>
        <w:t>Fundamentales.</w:t>
        <w:br/>
        <w:br/>
        <w:br/>
        <w:t>48.   Si el caso llegare a la Corte  después  de  seguido  el  procedimiento</w:t>
        <w:br/>
        <w:t>indicado en  los  artículos  pertinentes,  ella  tendría  que  considerar  y</w:t>
        <w:br/>
        <w:t>resolver si el acto que se imputa al Estado constituye una violación de  los</w:t>
        <w:br/>
        <w:t>derechos y libertades protegidos por la  Convención,  independientemente  de</w:t>
        <w:br/>
        <w:t>que esté o no de acuerdo con la legislación interna del Estado  y,  en  caso</w:t>
        <w:br/>
        <w:t>afirmativo, que se garantice al  lesionado  en  el  goce  de  su  derecho  o</w:t>
        <w:br/>
        <w:t>libertad conculcados y,  si  ello  fuere  procedente,  que  se  reparen  las</w:t>
        <w:br/>
        <w:t>consecuencias del acto violatorio y se pague una indemnización.</w:t>
        <w:br/>
        <w:br/>
        <w:br/>
        <w:t>49.   La jurisdicción contenciosa de la Corte se ejerce con la finalidad  de</w:t>
        <w:br/>
        <w:t>proteger los derechos y libertades de personas determinadas y no con  la  de</w:t>
        <w:br/>
        <w:t>resolver casos abstractos. No existe en  la  Convención  disposición  alguna</w:t>
        <w:br/>
        <w:t>que  permita  a  la  Corte  decidir,  en  el  ejercicio  de  su  competencia</w:t>
        <w:br/>
        <w:t>contenciosa, si una ley que no ha afectado aún  los  derechos  y  libertades</w:t>
        <w:br/>
        <w:t>protegidos de individuos determinados es contraria  a  la  Convención.  Como</w:t>
        <w:br/>
        <w:t>antes se  dijo,  la  Comisión  sí  podría  hacerlo  y  en  esa  forma  daría</w:t>
        <w:br/>
        <w:t>cumplimiento a su función principal de promover la observancia y defensa  de</w:t>
        <w:br/>
        <w:t>los derechos humanos. También podría hacerlo la Corte  en  ejercicio  de  su</w:t>
        <w:br/>
        <w:t>función consultiva en aplicación del artículo 64.2 de la Convención.</w:t>
        <w:br/>
        <w:br/>
        <w:br/>
        <w:t>50.   La Corte concluye que  la  promulgación  de  una  ley  manifiestamente</w:t>
        <w:br/>
        <w:t>contraria a las obligaciones asumidas por un Estado al ratificar  o  adherir</w:t>
        <w:br/>
        <w:t>a la Convención constituye una violación de ésta y que, en el evento de  que</w:t>
        <w:br/>
        <w:t>esa  violación  afecte  derechos  y  libertades   protegidos   respecto   de</w:t>
        <w:br/>
        <w:t>individuos  determinados,  genera  responsabilidad  internacional  para   el</w:t>
        <w:br/>
        <w:t>Estado.</w:t>
        <w:br/>
        <w:br/>
        <w:br/>
        <w:t xml:space="preserve">                                     IV</w:t>
        <w:br/>
        <w:br/>
        <w:br/>
        <w:t>51.   La segunda pregunta de la Comisión se refiere  a  las  obligaciones  y</w:t>
        <w:br/>
        <w:t>responsabilidades  de  los  agentes  o  funcionarios  del  Estado  que   den</w:t>
        <w:br/>
        <w:t>cumplimiento a una ley violatoria de la Convención.</w:t>
        <w:br/>
        <w:br/>
        <w:br/>
        <w:t>52.   El derecho internacional puede conceder derechos a los  individuos  e,</w:t>
        <w:br/>
        <w:t>inversamente,  determinar  que  hay  actos  u  omisiones  por  los  que  son</w:t>
        <w:br/>
        <w:t>criminalmente responsables desde el punto  de  vista  de  ese  derecho.  Esa</w:t>
        <w:br/>
        <w:t>responsabilidad   es   exigible   en   algunos    casos    por    tribunales</w:t>
        <w:br/>
        <w:t>internacionales.  Lo  anterior  representa  una  evolución  de  la  doctrina</w:t>
        <w:br/>
        <w:t>clásica de que el  derecho  internacional  concernía  exclusivamente  a  los</w:t>
        <w:br/>
        <w:t>Estados.</w:t>
        <w:br/>
        <w:br/>
        <w:br/>
        <w:t>53.   Sin embargo,  actualmente  la  responsabilidad  individual  puede  ser</w:t>
        <w:br/>
        <w:t>atribuida   solamente   por   violaciones    consideradas    como    delitos</w:t>
        <w:br/>
        <w:t>internacionales en instrumentos que tengan ese mismo  carácter,  tales  como</w:t>
        <w:br/>
        <w:t>los crímenes contra la paz, los crímenes de guerra y los crímenes contra  la</w:t>
        <w:br/>
        <w:t>humanidad  o  el  genocidio  que,  naturalmente,  afectan  también  derechos</w:t>
        <w:br/>
        <w:t>humanos específicos.</w:t>
        <w:br/>
        <w:br/>
        <w:br/>
        <w:t>54.   En el caso de los delitos internacionales referidos, no tiene  ninguna</w:t>
        <w:br/>
        <w:t>trascendencia el hecho de que ellos sean o no ejecutados en cumplimiento  de</w:t>
        <w:br/>
        <w:t>una ley del Estado al que pertenece el agente  o  funcionario.   El  que  el</w:t>
        <w:br/>
        <w:t>acto se ajuste al derecho interno no constituye una justificación  desde  el</w:t>
        <w:br/>
        <w:t>punto de vista del derecho internacional.</w:t>
        <w:br/>
        <w:br/>
        <w:br/>
        <w:t>55.    Lo  expuesto  en  los  párrafos  anteriores  ha  sido  consignado  en</w:t>
        <w:br/>
        <w:t>numerosos instrumentos internacionales. Basta  señalar  que  el  Consejo  de</w:t>
        <w:br/>
        <w:t>Seguridad de las Naciones Unidas estableció en su resolución Nº 764  del  13</w:t>
        <w:br/>
        <w:t>de julio de 1992 respecto del conflicto de la ex  Yugoslavia,  “que  quienes</w:t>
        <w:br/>
        <w:t>cometan u ordenen la comisión de violaciones graves  de  los  Convenios  [de</w:t>
        <w:br/>
        <w:t>Ginebra,  1949]  son  considerados  personalmente  responsables  de   dichas</w:t>
        <w:br/>
        <w:t>violaciones”.</w:t>
        <w:br/>
        <w:br/>
        <w:br/>
        <w:t>Posteriormente, el mismo Consejo de Seguridad aprobó  en  la  resolución  Nº</w:t>
        <w:br/>
        <w:t>808 del 22 de febrero de 1993 la creación del  Tribunal  Internacional  para</w:t>
        <w:br/>
        <w:t>el Enjuiciamiento de los presuntos Responsables de  Violaciones  graves  del</w:t>
        <w:br/>
        <w:t>derecho internacional humanitario  cometidas  en  el  Territorio  de  la  ex</w:t>
        <w:br/>
        <w:t>Yugoslavia a partir de 1991. El artículo 7.4 del Estatuto de dicho  Tribunal</w:t>
        <w:br/>
        <w:t>Internacional, aprobado en la resolución Nº 827 del  25  de  mayo  de  1993,</w:t>
        <w:br/>
        <w:t>dice: “El hecho de que el inculpado haya  actuado  en  cumplimiento  de  una</w:t>
        <w:br/>
        <w:t>orden impartida por  un  Gobierno  o  por  un  superior  no  le  eximirá  de</w:t>
        <w:br/>
        <w:t>responsabilidad penal, pero podrá considerarse  circunstancia  atenuante  si</w:t>
        <w:br/>
        <w:t>el Tribunal Internacional determina que  así  lo  exige  la  equidad”.  Esta</w:t>
        <w:br/>
        <w:t>disposición es similar al artículo  8  de  la  Carta  del  Tribunal  Militar</w:t>
        <w:br/>
        <w:t>Internacional o Carta de Nüremberg, anexa al Acuerdo de Londres  del  18  de</w:t>
        <w:br/>
        <w:t>agosto de 1945.</w:t>
        <w:br/>
        <w:br/>
        <w:br/>
        <w:t>56.   En  lo  que  concierne  a  los  derechos  humanos  protegidos  por  la</w:t>
        <w:br/>
        <w:t>Convención, la competencia de los órganos establecidos por ella  se  refiere</w:t>
        <w:br/>
        <w:t>exclusivamente a la responsabilidad internacional del Estado y no  a  la  de</w:t>
        <w:br/>
        <w:t>los individuos. Toda  violación  de  los  derechos  humanos  por  agentes  o</w:t>
        <w:br/>
        <w:t>funcionarios de un Estado es, como ya lo dijo la Corte,  responsabilidad  de</w:t>
        <w:br/>
        <w:t>éste (Caso Velásquez Rodríguez, Sentencia de 29 de julio de  1988.  Serie  C</w:t>
        <w:br/>
        <w:t>No. 4, párr. 170; Caso Godínez Cruz, Sentencia  de  20  de  enero  de  1989.</w:t>
        <w:br/>
        <w:t>Serie C No. 5,  párr.  179).  Si  constituyere,  adicionalmente,  un  delito</w:t>
        <w:br/>
        <w:t>internacional generará, además, responsabilidad individual.  Pero  la  Corte</w:t>
        <w:br/>
        <w:t>entiende que la Comisión no pretende que se le absuelvan  los  interrogantes</w:t>
        <w:br/>
        <w:t>que surgen de esta hipótesis.</w:t>
        <w:br/>
        <w:br/>
        <w:br/>
        <w:t>57.   La  Corte  concluye  que  el  cumplimiento  por  parte  de  agentes  o</w:t>
        <w:br/>
        <w:t>funcionarios  del  Estado  de  una  ley  manifiestamente  violatoria  de  la</w:t>
        <w:br/>
        <w:t>Convención produce responsabilidad internacional del Estado. En caso de  que</w:t>
        <w:br/>
        <w:t>el acto de cumplimiento constituya un crimen internacional,  genera  también</w:t>
        <w:br/>
        <w:t>la responsabilidad internacional  de  los  agentes  o  funcionarios  que  lo</w:t>
        <w:br/>
        <w:t>ejecutaron.</w:t>
        <w:br/>
        <w:br/>
        <w:br/>
        <w:t>58.   Por las razones expuestas,</w:t>
        <w:br/>
        <w:br/>
        <w:t>LA CORTE,</w:t>
        <w:br/>
        <w:br/>
        <w:br/>
        <w:t>por unanimidad,</w:t>
        <w:br/>
        <w:br/>
        <w:br/>
        <w:t>DECIDE</w:t>
        <w:br/>
        <w:br/>
        <w:t>que es competente para rendir la presente opinión consultiva.</w:t>
        <w:br/>
        <w:br/>
        <w:br/>
        <w:t>Y ES DE OPINIÓN</w:t>
        <w:br/>
        <w:br/>
        <w:br/>
        <w:t>por unanimidad,</w:t>
        <w:br/>
        <w:br/>
        <w:br/>
        <w:t>1.     Que  la  expedición  de  una  ley  manifiestamente  contraria  a  las</w:t>
        <w:br/>
        <w:t>obligaciones asumidas por un Estado al ratificar o adherir a la  Convención,</w:t>
        <w:br/>
        <w:t>constituye una violación de ésta y, en el caso de que esa  violación  afecte</w:t>
        <w:br/>
        <w:t>derechos  y  libertades  protegidos  respecto  de  individuos  determinados,</w:t>
        <w:br/>
        <w:t>genera la responsabilidad internacional de tal Estado.</w:t>
        <w:br/>
        <w:br/>
        <w:br/>
        <w:t>2.    Que el cumplimiento por parte de agentes o funcionarios del Estado  de</w:t>
        <w:br/>
        <w:t>una ley manifiestamente violatoria de la Convención, genera  responsabilidad</w:t>
        <w:br/>
        <w:t>internacional para tal Estado. En  caso  de  que  el  acto  de  cumplimiento</w:t>
        <w:br/>
        <w:t>constituya   per   se   un   crimen   internacional,   genera   también   la</w:t>
        <w:br/>
        <w:t>responsabilidad internacional de los agentes o funcionarios  que  ejecutaron</w:t>
        <w:br/>
        <w:t>el acto.</w:t>
        <w:br/>
        <w:br/>
        <w:br/>
        <w:t>Redactada en castellano e inglés, haciendo fe el texto en castellano, en  la</w:t>
        <w:br/>
        <w:t>sede de la Corte en San José, Costa Rica, el día 9 de diciembre de 1994.</w:t>
        <w:br/>
        <w:br/>
        <w:br/>
        <w:br/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br/>
        <w:t>Héctor Fix-Zamudio                                 Alejandro Montiel</w:t>
        <w:br/>
        <w:t>Argüello</w:t>
        <w:br/>
        <w:br/>
        <w:br/>
        <w:br/>
        <w:t>Máximo Pacheco Gómez                         Hernán Salgado Pesantes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