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           Opinión Consultiva OC-19/05</w:t>
        <w:br/>
        <w:t xml:space="preserve">                         de 28 de noviembre de 2005</w:t>
        <w:br/>
        <w:br/>
        <w:t xml:space="preserve">            Solicitada por la República Bolivariana de Venezuela</w:t>
        <w:br/>
        <w:br/>
        <w:br/>
        <w:br/>
        <w:br/>
        <w:t xml:space="preserve">          Control de legalidad en el ejercicio de las atribuciones</w:t>
        <w:br/>
        <w:t xml:space="preserve">              de la Comisión Interamericana de Derechos Humanos</w:t>
        <w:br/>
        <w:t xml:space="preserve">   (arts. 41 y 44 a 51 de la Convención Americana sobre Derechos Humanos)</w:t>
        <w:br/>
        <w:br/>
        <w:br/>
        <w:br/>
        <w:t>Estuvieron presentes: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Juez, y</w:t>
        <w:br/>
        <w:t xml:space="preserve">      Diego García-Sayán, Juez;</w:t>
        <w:br/>
        <w:br/>
        <w:br/>
        <w:t>presentes, además,</w:t>
        <w:br/>
        <w:br/>
        <w:br/>
        <w:t xml:space="preserve">      Pablo Saavedra Alessandri, Secretario, y</w:t>
        <w:br/>
        <w:t xml:space="preserve">      Emilia Segares Rodríguez, Secretaria Adjunta.</w:t>
        <w:br/>
        <w:br/>
        <w:br/>
        <w:br/>
        <w:t>La Corte,</w:t>
        <w:br/>
        <w:br/>
        <w:br/>
        <w:br/>
        <w:t>integrada en la forma antes mencionada,</w:t>
        <w:br/>
        <w:t>emite la siguiente Opinión Consultiva:</w:t>
        <w:br/>
        <w:br/>
        <w:br/>
        <w:t xml:space="preserve">                                      I</w:t>
        <w:br/>
        <w:t xml:space="preserve">          Presentación de la Consulta y Procedimiento ante la Corte</w:t>
        <w:br/>
        <w:br/>
        <w:br/>
        <w:t>El 12 de noviembre  de  2003  la  República  Bolivariana  de  Venezuela  (en</w:t>
        <w:br/>
        <w:t>adelante “Venezuela” o “el Estado”), con fundamento en el artículo  64.1  de</w:t>
        <w:br/>
        <w:t>la Convención Americana sobre Derechos Humanos (en adelante  “la  Convención</w:t>
        <w:br/>
        <w:t>Americana”  o  “la  Convención”),  sometió  a  la  Corte  Interamericana  de</w:t>
        <w:br/>
        <w:t>Derechos Humanos (en adelante “la Corte Interamericana”, “la  Corte”  o  “el</w:t>
        <w:br/>
        <w:t>Tribunal”) una solicitud de opinión consultiva (en adelante “la  solicitud”,</w:t>
        <w:br/>
        <w:t>“la consulta” o “la opinión consultiva”) sobre “[...] si  existe  un  órgano</w:t>
        <w:br/>
        <w:t>dentro [del sistema interamericano de protección de  derechos  humanos]  que</w:t>
        <w:br/>
        <w:t>disponga de las competencias  necesarias  para  ejercer  el  control  de  la</w:t>
        <w:br/>
        <w:t>legalidad de las actuaciones de la  Comisión  [...],  ante  el  cual  puedan</w:t>
        <w:br/>
        <w:t>recurrir los Estados partes  de  la  Convención  [...],  en  defensa  de  la</w:t>
        <w:br/>
        <w:t>legalidad.  En caso de  que  existiere  tal  órgano,  el  [Estado]  desearía</w:t>
        <w:br/>
        <w:t>conocer cuál es dicho órgano y cuáles [son] sus atribuciones [...]”.</w:t>
        <w:br/>
        <w:br/>
        <w:t xml:space="preserve">   2. Venezuela expuso las consideraciones  que  originaron  la  consulta  y</w:t>
        <w:br/>
        <w:t xml:space="preserve">      señaló que ésta  “radica  en  el  estado  de  indefensión  en  que  se</w:t>
        <w:br/>
        <w:t xml:space="preserve">      encuentran actualmente los Estados partes [de]  la  [...]  Convención,</w:t>
        <w:br/>
        <w:t xml:space="preserve">      frente a cualquier decisión de [la] Comisión violatoria de  su  propio</w:t>
        <w:br/>
        <w:t xml:space="preserve">      estatuto legal que pudiere lesionar los derechos de  [los  Estados]  y</w:t>
        <w:br/>
        <w:t xml:space="preserve">      poner en entredicho la recta aplicación de la propia Convención  y  de</w:t>
        <w:br/>
        <w:t xml:space="preserve">      los demás instrumentos jurídicos internacionales aplicables.”</w:t>
        <w:br/>
        <w:br/>
        <w:t>El 3 de diciembre de 2003 el pleno  de  la  Corte  solicitó  al  Estado  que</w:t>
        <w:br/>
        <w:t>subsanara la solicitud de consulta a la luz del artículo 60  del  Reglamento</w:t>
        <w:br/>
        <w:t>de la Corte(  (en  adelante  “el  Reglamento”).   Para  ello,  debería:  “a)</w:t>
        <w:br/>
        <w:t>formular con  precisión  las  preguntas  específicas  sobre  las  cuales  se</w:t>
        <w:br/>
        <w:t>pretende obtener la opinión de la  Corte;  b)  [indicar]  las  disposiciones</w:t>
        <w:br/>
        <w:t>cuya interpretación se pide; c) [informar] las consideraciones que  originan</w:t>
        <w:br/>
        <w:t>la consulta[,y] d) [indicar] el nombre [y] la dirección del Agente o de  los</w:t>
        <w:br/>
        <w:t>Delegados.”</w:t>
        <w:br/>
        <w:br/>
        <w:t>El 10 de diciembre de 2003 el Estado envió modificaciones a su  solicitud  e</w:t>
        <w:br/>
        <w:t>indicó las siguientes dos preguntas:</w:t>
        <w:br/>
        <w:br/>
        <w:t xml:space="preserve">   1. ¿Existe o no, un  órgano  dentro  del  [s]istema  [i]nteramericano  de</w:t>
        <w:br/>
        <w:t xml:space="preserve">      [d]erechos [h]umanos que disponga de las competencias necesarias  para</w:t>
        <w:br/>
        <w:t xml:space="preserve">      ejercer el control de la legalidad de las actuaciones de  la  Comisión</w:t>
        <w:br/>
        <w:t xml:space="preserve">      [...], ante el  cual  puedan  recurrir  los  Estados  parte[s]  de  la</w:t>
        <w:br/>
        <w:t xml:space="preserve">      Convención [...], en defensa de la legalidad?</w:t>
        <w:br/>
        <w:br/>
        <w:br/>
        <w:t xml:space="preserve">   2. En caso de que existiere  tal  órgano,  [Venezuela]  desearía  conocer</w:t>
        <w:br/>
        <w:t xml:space="preserve">      ¿[c]uál es dicho órgano y cuales [son] sus atribuciones?</w:t>
        <w:br/>
        <w:br/>
        <w:t>En esa misma comunicación, el Estado pidió a la Corte que conteste  las  dos</w:t>
        <w:br/>
        <w:t>preguntas a la luz de “la Convención  [...]  y  de  los  demás  instrumentos</w:t>
        <w:br/>
        <w:t>[...]  que  forman  parte  del  [s]istema  [i]nteramericano  de   [d]erechos</w:t>
        <w:br/>
        <w:t>[h]umanos”.  El Estado justificó la solicitud de la consulta en el  aparente</w:t>
        <w:br/>
        <w:t>“estado de indefensión ante cualquier actuación de la  Comisión  [...],  que</w:t>
        <w:br/>
        <w:t>no estuviere conforme al régimen jurídico internacional al  cual  ésta  debe</w:t>
        <w:br/>
        <w:t>acatamiento”.  Finalmente,  el  Estado  informó  a  la  Corte  el  nombre  y</w:t>
        <w:br/>
        <w:t>dirección de su Agente.</w:t>
        <w:br/>
        <w:br/>
        <w:t>El 19 de diciembre de 2003 el  Presidente  de  la  Corte  (en  adelante  “el</w:t>
        <w:br/>
        <w:t>Presidente”) dictó una Resolución  mediante  la  cual  resolvió  someter  al</w:t>
        <w:br/>
        <w:t>pleno del Tribunal la solicitud de opinión consultiva en la  primera  sesión</w:t>
        <w:br/>
        <w:t>ordinaria del  año  2004,  considerando  que  la  Corte  tendría  una  nueva</w:t>
        <w:br/>
        <w:t>composición a partir de ese momento.</w:t>
        <w:br/>
        <w:br/>
        <w:t>El 24  de  mayo  de  2004  la  Secretaría  de  la  Corte  (en  adelante  “la</w:t>
        <w:br/>
        <w:t>Secretaría”) informó a los  Estados  miembros  de  la  Organización  de  los</w:t>
        <w:br/>
        <w:t>Estados  Americanos  (en  adelante  “la  OEA”  o  “la   Organización”),   al</w:t>
        <w:br/>
        <w:t>Secretario General y al Presidente del Consejo Permanente de la  OEA,  a  la</w:t>
        <w:br/>
        <w:t>Comisión  y  a  las  personas,  instituciones  y  organizaciones  sobre   la</w:t>
        <w:br/>
        <w:t>solicitud de consulta hecha  por  Venezuela  y  dio  plazo  hasta  el  8  de</w:t>
        <w:br/>
        <w:t>noviembre de 2004 para recibir observaciones  escritas  u  otros  documentos</w:t>
        <w:br/>
        <w:t>acerca de la mencionada solicitud.</w:t>
        <w:br/>
        <w:br/>
        <w:t>El 5 de noviembre de 2004 y el 1 de marzo de 2005 la  Secretaría,  siguiendo</w:t>
        <w:br/>
        <w:t>instrucciones del Presidente, informó a los Estados miembros, al  Secretario</w:t>
        <w:br/>
        <w:t>General y al Presidente del Consejo Permanente de la  OEA,  así  como  a  la</w:t>
        <w:br/>
        <w:t>Comisión y a las personas, instituciones  u  organizaciones  interesadas  en</w:t>
        <w:br/>
        <w:t>presentar  observaciones  escritas,  que  el  Presidente   había   concedido</w:t>
        <w:br/>
        <w:t>prórrogas, hasta el 5 de marzo de 2005, primero, y hasta el 4  de  abril  de</w:t>
        <w:br/>
        <w:t>2005, posteriormente, para la remisión de observaciones con  respecto  a  la</w:t>
        <w:br/>
        <w:t>solicitud de opinión consultiva.</w:t>
        <w:br/>
        <w:br/>
        <w:t>El 4 y el 9 de mayo de  2005  la  Secretaría  transmitió  las  observaciones</w:t>
        <w:br/>
        <w:t>recibidas al Estado, a  la  Comisión  y  a  las  personas,  instituciones  u</w:t>
        <w:br/>
        <w:t>organizaciones que las habían remitido.</w:t>
        <w:br/>
        <w:br/>
        <w:t>Cabe señalar que,  no  obstante  las  prórrogas  concedidas,  ningún  Estado</w:t>
        <w:br/>
        <w:t>presentó observaciones.</w:t>
        <w:br/>
        <w:br/>
        <w:t>11.    Las  siguientes  organizaciones  y  personas  presentaron   escritos:</w:t>
        <w:br/>
        <w:t>directores  y  estudiantes  de  las  Clínicas  Jurídicas  del   Colegio   de</w:t>
        <w:br/>
        <w:t>Jurisprudencia de la Universidad  San  Francisco  de  Quito;  profesor  Luis</w:t>
        <w:br/>
        <w:t>Peraza Parga, de las Universidades Panamericana  de  México,  La  Sabana  de</w:t>
        <w:br/>
        <w:t>Bogotá y Privada  de  San  Pedro  de  Sula;  profesores  Bernard  Duhaime  y</w:t>
        <w:br/>
        <w:t>Alejandro Lorite Escorihuela de la  Facultad  de  Ciencias  Políticas  y  de</w:t>
        <w:br/>
        <w:t>Derecho de  la  Universidad  de  Quebec;  Clínica  Jurídica  del  Centro  de</w:t>
        <w:br/>
        <w:t>Investigación y Docencia Económicas de  la  ciudad  de  México;  Clínica  de</w:t>
        <w:br/>
        <w:t>Derechos  Humanos  del   Departamento   de   Derecho   de   la   Universidad</w:t>
        <w:br/>
        <w:t>Iberoamericana de la ciudad de México;  Red  de  Profesores  de  Derecho  en</w:t>
        <w:br/>
        <w:t>Derechos Humanos y Programa de Derechos Humanos de esta  misma  Universidad;</w:t>
        <w:br/>
        <w:t>Centro por la Justicia y el Derecho  Internacional  (CEJIL);  señor  Alfonso</w:t>
        <w:br/>
        <w:t>Jiménez Reyes de México; señor Patricio Kingston de Argentina; señor  Carlos</w:t>
        <w:br/>
        <w:t>Roberto Loría Quirós, consultor jurídico de  Costa  Rica,  y  señor  Modesto</w:t>
        <w:br/>
        <w:t>Emilio Guerrero de Argentina.</w:t>
        <w:br/>
        <w:br/>
        <w:t xml:space="preserve">  12. El 13 y el 18 de julio de 2005 la Secretaría informó al Estado,  a  la</w:t>
        <w:br/>
        <w:t xml:space="preserve">      Comisión  y  a  las  personas,  instituciones  u  organizaciones   que</w:t>
        <w:br/>
        <w:t xml:space="preserve">      presentaron observaciones escritas que, después del  análisis  de  los</w:t>
        <w:br/>
        <w:t xml:space="preserve">      escritos presentados a la Corte en relación con la opinión consultiva,</w:t>
        <w:br/>
        <w:t xml:space="preserve">      el Presidente, en consulta con los jueces de la Corte y en  aplicación</w:t>
        <w:br/>
        <w:t xml:space="preserve">      del artículo 63.4 del Reglamento, había resuelto que no se  realizaría</w:t>
        <w:br/>
        <w:t xml:space="preserve">      audiencia pública,  tomando  en  cuenta  que  ningún  Estado  presentó</w:t>
        <w:br/>
        <w:t xml:space="preserve">      observaciones.  Sin embargo, se les  solicitó  que,  si  lo  estimaban</w:t>
        <w:br/>
        <w:t xml:space="preserve">      pertinente,   presentaran   observaciones   escritas   o    documentos</w:t>
        <w:br/>
        <w:t xml:space="preserve">      adicionales a más tardar el 16 de agosto de 2005.  Dos  amici  curiae,</w:t>
        <w:br/>
        <w:t xml:space="preserve">      el profesor Luis Peraza Parga, de las  Universidades  Panamericana  de</w:t>
        <w:br/>
        <w:t xml:space="preserve">      México, La Sabana Grande de Bogotá y Privada de San Pedro de  Sula,  y</w:t>
        <w:br/>
        <w:t xml:space="preserve">      el señor Patricio  Kingston  de  Argentina,  remitieron  observaciones</w:t>
        <w:br/>
        <w:t xml:space="preserve">      adicionales.</w:t>
        <w:br/>
        <w:br/>
        <w:t>13.   El 4 de abril de 2005 la Comisión Interamericana presentó  un  escrito</w:t>
        <w:br/>
        <w:t>de observaciones, el cual la Corte resume a continuación:</w:t>
        <w:br/>
        <w:br/>
        <w:br/>
        <w:t xml:space="preserve">      La Comisión considera “que la pregunta formulada no es  obscura,  pero</w:t>
        <w:br/>
        <w:t xml:space="preserve">      si la Corte decide absolverla requeriría de algunas precisiones”,  por</w:t>
        <w:br/>
        <w:t xml:space="preserve">      lo que opina que el  Tribunal  ejerciendo  para  ello  sus  facultades</w:t>
        <w:br/>
        <w:t xml:space="preserve">      consultivas, precise la pregunta en los siguientes tres aspectos:</w:t>
        <w:br/>
        <w:t xml:space="preserve">   a) Actuaciones de la Comisión a las que se refiere la consulta</w:t>
        <w:br/>
        <w:t xml:space="preserve">      La Comisión ejerce funciones de tres categorías con el objetivo básico</w:t>
        <w:br/>
        <w:t xml:space="preserve">      de promover la observancia y  defensa  de  los  derechos  humanos:  i)</w:t>
        <w:br/>
        <w:t xml:space="preserve">      administrativas,  ii)  consultivas  y  promocionales,  y  iii)  cuasi-</w:t>
        <w:br/>
        <w:t xml:space="preserve">      jurisdiccionales, como establece la Convención en sus artículos 44  al</w:t>
        <w:br/>
        <w:t xml:space="preserve">      51.</w:t>
        <w:br/>
        <w:t xml:space="preserve">      Para los fines de  esta  solicitud  de  opinión  deben  excluirse  las</w:t>
        <w:br/>
        <w:t xml:space="preserve">      funciones administrativas y consultivas, ya que éstas no involucran un</w:t>
        <w:br/>
        <w:t xml:space="preserve">      derecho de defensa  de  los  Estados,  y  que  en  el  marco  procesal</w:t>
        <w:br/>
        <w:t xml:space="preserve">      interamericano tal derecho encuentra su expresión en la existencia  de</w:t>
        <w:br/>
        <w:t xml:space="preserve">      un procedimiento contradictorio.  De lo anterior se desprende  que  la</w:t>
        <w:br/>
        <w:t xml:space="preserve">      consulta  alude  a  las  actuaciones  cuasi-jurisdiccionales   de   la</w:t>
        <w:br/>
        <w:t xml:space="preserve">      Comisión.</w:t>
        <w:br/>
        <w:t xml:space="preserve">   b) Universo normativo sujeto a interpretación</w:t>
        <w:br/>
        <w:t xml:space="preserve">      “El régimen de legalidad al  que  deben  adherencia  los  órganos  del</w:t>
        <w:br/>
        <w:t xml:space="preserve">      sistema  interamericano”  encuentra  su  base   de   partida   en   la</w:t>
        <w:br/>
        <w:t xml:space="preserve">      proclamación de los derechos fundamentales de la persona humana en  la</w:t>
        <w:br/>
        <w:t xml:space="preserve">      Carta de la Organización y la Declaración Americana de los Derechos  y</w:t>
        <w:br/>
        <w:t xml:space="preserve">      Deberes del Hombre [(en adelante “Declaración Americana”)],  formulada</w:t>
        <w:br/>
        <w:t xml:space="preserve">      por los Estados americanos en la convicción de  que  ‘la  organización</w:t>
        <w:br/>
        <w:t xml:space="preserve">      jurídica es una condición  necesaria  para  la  seguridad  y  la  paz,</w:t>
        <w:br/>
        <w:t xml:space="preserve">      fundadas  en  el  orden  moral  y  justicia’”.   A  partir   de   esta</w:t>
        <w:br/>
        <w:t xml:space="preserve">      proclamación, y como fruto de una labor progresiva  durante  el  resto</w:t>
        <w:br/>
        <w:t xml:space="preserve">      del siglo XX, se ha creado  un  régimen  sui  generis  cuya  dimensión</w:t>
        <w:br/>
        <w:t xml:space="preserve">      sustantiva se completa con: Convención Americana; Protocolo  Adicional</w:t>
        <w:br/>
        <w:t xml:space="preserve">      a la Convención Americana en Materia de Derechos Económicos,  Sociales</w:t>
        <w:br/>
        <w:t xml:space="preserve">      y Culturales; Protocolo  a  la  Convención  Americana  sobre  Derechos</w:t>
        <w:br/>
        <w:t xml:space="preserve">      Humanos relativo a la Abolición  de  la  Pena  de  Muerte;  Convención</w:t>
        <w:br/>
        <w:t xml:space="preserve">      Interamericana  para  Prevenir  y  Sancionar  la  Tortura;  Convención</w:t>
        <w:br/>
        <w:t xml:space="preserve">      Interamericana sobre  Desaparición  Forzada  de  Personas;  Convención</w:t>
        <w:br/>
        <w:t xml:space="preserve">      Interamericana para  Prevenir,  Sancionar  y  Erradicar  la  Violencia</w:t>
        <w:br/>
        <w:t xml:space="preserve">      contra la Mujer, y Convención Interamericana para  la  Eliminación  de</w:t>
        <w:br/>
        <w:t xml:space="preserve">      Todas  la  Formas  de   Discriminación   contra   las   personas   con</w:t>
        <w:br/>
        <w:t xml:space="preserve">      Discapacidad.</w:t>
        <w:br/>
        <w:t xml:space="preserve">      Sin embargo, solamente la Carta y la Convención establecen el  régimen</w:t>
        <w:br/>
        <w:t xml:space="preserve">      de legalidad adjetiva para las actuaciones de los órganos del sistema.</w:t>
        <w:br/>
        <w:t xml:space="preserve">       Los demás instrumentos se remiten a la Convención por lo que  toca  a</w:t>
        <w:br/>
        <w:t xml:space="preserve">      los procedimientos.  También los Estatutos y  Reglamentos  proveen  el</w:t>
        <w:br/>
        <w:t xml:space="preserve">      régimen de  legalidad  de  aquéllos.   La  Comisión  entiende  que  la</w:t>
        <w:br/>
        <w:t xml:space="preserve">      interpretación de su Reglamento es una facultad exclusivamente suya.</w:t>
        <w:br/>
        <w:t xml:space="preserve">   c) Régimen de legalidad en el que se inscribe la solicitud</w:t>
        <w:br/>
        <w:t xml:space="preserve">      La Carta de  la  OEA  establece  la  autoridad  y  competencia  de  la</w:t>
        <w:br/>
        <w:t xml:space="preserve">      Comisión.  Además, en lo que respecta  a  los  Estados  Partes  de  la</w:t>
        <w:br/>
        <w:t xml:space="preserve">      Convención Americana, el régimen de legalidad al que  deben  sujetarse</w:t>
        <w:br/>
        <w:t xml:space="preserve">      las actuaciones cuasi-jurisdiccionales de la Comisión se  concreta  en</w:t>
        <w:br/>
        <w:t xml:space="preserve">      el procedimiento de petición normado por los  artículos  44  a  51  de</w:t>
        <w:br/>
        <w:t xml:space="preserve">      dicho  instrumento.   En  relación  con  los  Estado  miembros  de  la</w:t>
        <w:br/>
        <w:t xml:space="preserve">      Organización que no  son  partes  en  la  Convención,  el  régimen  de</w:t>
        <w:br/>
        <w:t xml:space="preserve">      legalidad refiere al manejo de peticiones y comunicaciones respecto  a</w:t>
        <w:br/>
        <w:t xml:space="preserve">      los artículos I, II, III, IV, XVIII, XXV  y  XXVI  de  la  Declaración</w:t>
        <w:br/>
        <w:t xml:space="preserve">      Americana, con base en lo dispuesto por el artículo 24 del Estatuto de</w:t>
        <w:br/>
        <w:t xml:space="preserve">      la Comisión, que a su vez, remite a su Reglamento.</w:t>
        <w:br/>
        <w:br/>
        <w:br/>
        <w:t xml:space="preserve">      En consecuencia, la Comisión estima que la consulta “debe leerse en el</w:t>
        <w:br/>
        <w:t xml:space="preserve">      sentido de preguntar al Tribunal si, de la interpretación de la Carta,</w:t>
        <w:br/>
        <w:t xml:space="preserve">      la Convención Americana y el Estatuto se deriva que exista  un  órgano</w:t>
        <w:br/>
        <w:t xml:space="preserve">      que disponga de  las  competencias  para  ejercer  el  control  de  la</w:t>
        <w:br/>
        <w:t xml:space="preserve">      adherencia de sus actuaciones cuasi-jurisdiccionales con el régimen de</w:t>
        <w:br/>
        <w:t xml:space="preserve">      legalidad consagrado respectivamente en los artículos 112, 41 y  44  a</w:t>
        <w:br/>
        <w:t xml:space="preserve">      51, y 24 de dichos instrumentos internacionales”.</w:t>
        <w:br/>
        <w:br/>
        <w:br/>
        <w:t xml:space="preserve">      La presente consulta se  circunscribe  a  los  actos  de  la  Comisión</w:t>
        <w:br/>
        <w:t xml:space="preserve">      respecto de los actos de procedimientos de  petición  individual.   En</w:t>
        <w:br/>
        <w:t xml:space="preserve">      esta materia, el deber de la Comisión y la Corte de vigilar su  propia</w:t>
        <w:br/>
        <w:t xml:space="preserve">      sujeción al régimen de  legalidad  dado  por  la  Convención  ha  sido</w:t>
        <w:br/>
        <w:t xml:space="preserve">      resaltado por el Tribunal, y de lo dicho por la  ésta,  se  “desprende</w:t>
        <w:br/>
        <w:t xml:space="preserve">      con claridad que  los  órganos  del  sistema  interamericano  son  los</w:t>
        <w:br/>
        <w:t xml:space="preserve">      guardianes de la sujeción de sus actos a las reglas  del  sistema,  en</w:t>
        <w:br/>
        <w:t xml:space="preserve">      atención a la autoridad y credibilidad que  les  son  necesarias  para</w:t>
        <w:br/>
        <w:t xml:space="preserve">      ejercer su mandato en forma cabal”.  La Comisión considera que esa  es</w:t>
        <w:br/>
        <w:t xml:space="preserve">      la respuesta a la interrogante planteada por el Estado.</w:t>
        <w:br/>
        <w:t xml:space="preserve">      La Comisión señaló que la consulta  hace  referencia  a  una  presunta</w:t>
        <w:br/>
        <w:t xml:space="preserve">      indefensión estatal frente a  sus  actuaciones,  y  discrepa  de  esta</w:t>
        <w:br/>
        <w:t xml:space="preserve">      manifestación, ya que estima que en el sistema  interamericano  operan</w:t>
        <w:br/>
        <w:t xml:space="preserve">      garantías de legalidad,  autoridad  e  independencia  que  los  mismos</w:t>
        <w:br/>
        <w:t xml:space="preserve">      Estados americanos han decidido poner en pie.  La Comisión  “actúa  en</w:t>
        <w:br/>
        <w:t xml:space="preserve">      la convicción de que la razón de ser de toda garantía de legalidad  en</w:t>
        <w:br/>
        <w:t xml:space="preserve">      el funcionamiento de la maquinaria de protección es la mayor  y  mejor</w:t>
        <w:br/>
        <w:t xml:space="preserve">      protección de la persona”.  Dichas garantías se fundamentan en:</w:t>
        <w:br/>
        <w:t xml:space="preserve">   a) el diálogo entre los órganos del sistema</w:t>
        <w:br/>
        <w:t xml:space="preserve">      Una primera manifestación del diálogo para la evolución del  mecanismo</w:t>
        <w:br/>
        <w:t xml:space="preserve">      de protección es la interacción entre la Comisión y la Corte.</w:t>
        <w:br/>
        <w:t xml:space="preserve">      Adicionalmente, sus métodos y procedimientos de trabajo de la Comisión</w:t>
        <w:br/>
        <w:t xml:space="preserve">      y la Corte están sujetos al seguimiento de los Estados americanos.  En</w:t>
        <w:br/>
        <w:t xml:space="preserve">      el  caso  de  la  Comisión  la  herramienta  fundamental  para   dicho</w:t>
        <w:br/>
        <w:t xml:space="preserve">      intercambio es su Informe Anual, el cual fue instaurado en  virtud  de</w:t>
        <w:br/>
        <w:t xml:space="preserve">      las  reformas  acordadas  mediante  Resolución  XXII  de  la   Segunda</w:t>
        <w:br/>
        <w:t xml:space="preserve">      Conferencia Interamericana.   La  incidencia  de  los  Estados  en  el</w:t>
        <w:br/>
        <w:t xml:space="preserve">      accionar genérico y abstracto de la Comisión depende de su voluntad de</w:t>
        <w:br/>
        <w:t xml:space="preserve">      involucrarse en el sistema, y en el diálogo entre la  Comisión  y  los</w:t>
        <w:br/>
        <w:t xml:space="preserve">      Estados a través de la Asamblea General, y el Consejo Permanente de la</w:t>
        <w:br/>
        <w:t xml:space="preserve">      Organización.  En lo que se refiere al  diseño  y  funcionamiento  del</w:t>
        <w:br/>
        <w:t xml:space="preserve">      sistema “[e]l foro natural  para  intercambio  de  opinión  entre  los</w:t>
        <w:br/>
        <w:t xml:space="preserve">      Estados y la Comisión es la Asamblea General”.</w:t>
        <w:br/>
        <w:t xml:space="preserve">   b) independencia funcional de la Comisión y de la Corte</w:t>
        <w:br/>
        <w:t xml:space="preserve">      Los Estados miembros han dotado de independencia a la Comisión y a  la</w:t>
        <w:br/>
        <w:t xml:space="preserve">      Corte, porque la mejor protección de los derechos  humanos  exige  que</w:t>
        <w:br/>
        <w:t xml:space="preserve">      estos órganos realicen sus tareas sin interferencia.  En el caso de la</w:t>
        <w:br/>
        <w:t xml:space="preserve">      Comisión,   siendo   un   órgano   principal   de   una   organización</w:t>
        <w:br/>
        <w:t xml:space="preserve">      internacional, la independencia se refiere a que  “pueda  ejercer  sus</w:t>
        <w:br/>
        <w:t xml:space="preserve">      funciones propias sin interferencias de los Gobiernos de  los  Estados</w:t>
        <w:br/>
        <w:t xml:space="preserve">      que conforman  dicha  organización,  los  demás  órganos  de  ésta,  o</w:t>
        <w:br/>
        <w:t xml:space="preserve">      cualesquiera otros actores”.</w:t>
        <w:br/>
        <w:t xml:space="preserve">   c) las garantías en los procedimientos de petición</w:t>
        <w:br/>
        <w:t xml:space="preserve">      En la Carta de la Organización o en la Convención Americana no  existe</w:t>
        <w:br/>
        <w:t xml:space="preserve">      disposición alguna que sujete los actos cuasi-jurisdiccionales  de  la</w:t>
        <w:br/>
        <w:t xml:space="preserve">      Comisión al escrutinio de  otros  órganos  de  la  Organización.   Sin</w:t>
        <w:br/>
        <w:t xml:space="preserve">      embargo, el sistema interamericano de protección está  dotado  de  una</w:t>
        <w:br/>
        <w:t xml:space="preserve">      serie  de  garantías  que  aseguran   el   principio   de   supremacía</w:t>
        <w:br/>
        <w:t xml:space="preserve">      convencional.  Algunas de estas  garantías,  como  los  principios  de</w:t>
        <w:br/>
        <w:t xml:space="preserve">      buena fe y de interpretación pro homine, guían todas  las  actuaciones</w:t>
        <w:br/>
        <w:t xml:space="preserve">      de la Comisión.  También existen  garantías  de  carácter  particular,</w:t>
        <w:br/>
        <w:t xml:space="preserve">      referentes al procedimiento de petición individual,  las  cuales  son:</w:t>
        <w:br/>
        <w:t xml:space="preserve">      condiciones  de  admisibilidad  de  las  peticiones  y  principios  de</w:t>
        <w:br/>
        <w:t xml:space="preserve">      contradictorio  y  equidad  procesal,  y   seguridad   jurídica.    El</w:t>
        <w:br/>
        <w:t xml:space="preserve">      procedimiento ante la Comisión contiene  garantías  de  contradictorio</w:t>
        <w:br/>
        <w:t xml:space="preserve">      similares a las que existen en el procedimiento  contencioso  ante  el</w:t>
        <w:br/>
        <w:t xml:space="preserve">      Tribunal.  Toda actuación de la Comisión está sujeta a  la  aplicación</w:t>
        <w:br/>
        <w:t xml:space="preserve">      de los referidos principios, y “[l]a fiscalización de la adherencia de</w:t>
        <w:br/>
        <w:t xml:space="preserve">      las actuaciones cuasi-jurisdiccionales de la Comisión con éstos es una</w:t>
        <w:br/>
        <w:t xml:space="preserve">      función de la Comisión misma”.</w:t>
        <w:br/>
        <w:br/>
        <w:t xml:space="preserve">      La Comisión señaló también que “existe […] un ejercicio concurrente de</w:t>
        <w:br/>
        <w:t xml:space="preserve">      competencias por parte de la Corte, al cual los Estados pueden  acudir</w:t>
        <w:br/>
        <w:t xml:space="preserve">      en caso de disconformidad con  los  hallazgos  de  la  Comisión”.   Al</w:t>
        <w:br/>
        <w:t xml:space="preserve">      respecto, indicó que “cuando un caso  es  llevado  ante  el  Tribunal,</w:t>
        <w:br/>
        <w:t xml:space="preserve">      tanto la Comisión como la Corte interpretan la Convención respecto  de</w:t>
        <w:br/>
        <w:t xml:space="preserve">      los mismos hechos.  En esta  consideración,  la  Corte  tiene  íntegra</w:t>
        <w:br/>
        <w:t xml:space="preserve">      facultad  de  apreciar  hechos  e  interpretarlos  a  la  luz  de   la</w:t>
        <w:br/>
        <w:t xml:space="preserve">      Convención, con independencia de la  valoración  que  sobre  la  misma</w:t>
        <w:br/>
        <w:t xml:space="preserve">      materia ha hecho la Comisión.  Y en este  contexto  puede  emitir  una</w:t>
        <w:br/>
        <w:t xml:space="preserve">      interpretación distinta con respecto a aspectos procesales”.</w:t>
        <w:br/>
        <w:br/>
        <w:br/>
        <w:t xml:space="preserve">      “En el  caso  de  peticiones  que  contengan  denuncias  o  quejas  de</w:t>
        <w:br/>
        <w:t xml:space="preserve">      violación de la Convención […] por un Estado parte que  ha  reconocido</w:t>
        <w:br/>
        <w:t xml:space="preserve">      la competencia de la  Corte,  la  Convención  [establece]  un  sistema</w:t>
        <w:br/>
        <w:t xml:space="preserve">      calificado de protección  que  involucra  [al  Tribunal  como]  órgano</w:t>
        <w:br/>
        <w:t xml:space="preserve">      jurisdiccional de la materia”.  Si un Estado está “en  desacuerdo  con</w:t>
        <w:br/>
        <w:t xml:space="preserve">      los hallazgos de la Comisión y considere […] que  no  es  de  justicia</w:t>
        <w:br/>
        <w:t xml:space="preserve">      cumplir  con  sus  recomendaciones,  la  Convención   le   ofrece   la</w:t>
        <w:br/>
        <w:t xml:space="preserve">      oportunidad [de] someter el asunto a  la  competencia  de  la  Corte”.</w:t>
        <w:br/>
        <w:t xml:space="preserve">      Otra posibilidad de control existe cuando la Comisión presenta un caso</w:t>
        <w:br/>
        <w:t xml:space="preserve">      ante  el  Tribunal.   En  esta  hipótesis,  y  en  lo   referente   al</w:t>
        <w:br/>
        <w:t xml:space="preserve">      procedimiento por parte de la  Comisión,  el  Estado  demandado  puede</w:t>
        <w:br/>
        <w:t xml:space="preserve">      cuestionarlo a través de excepciones preliminares.</w:t>
        <w:br/>
        <w:br/>
        <w:br/>
        <w:t xml:space="preserve">      Según la Comisión, el  ejercicio  de  la  competencia  consultiva  del</w:t>
        <w:br/>
        <w:t xml:space="preserve">      Tribunal constituye otro mecanismo  “que  asegura  el  diálogo  en  el</w:t>
        <w:br/>
        <w:t xml:space="preserve">      sistema respecto de los requisitos en materia de procedimiento […]  La</w:t>
        <w:br/>
        <w:t xml:space="preserve">      emisión de [previas]  opiniones  consultivas,  así  como  el  presente</w:t>
        <w:br/>
        <w:t xml:space="preserve">      procedimiento, demuestran cómo  la  jurisprudencia  consultiva  de  la</w:t>
        <w:br/>
        <w:t xml:space="preserve">      Corte se constituye en un referente en materia  de  legalidad  de  las</w:t>
        <w:br/>
        <w:t xml:space="preserve">      actuaciones de los órganos del sistema a través de un  pronunciamiento</w:t>
        <w:br/>
        <w:t xml:space="preserve">      realizado en abstracto.”</w:t>
        <w:br/>
        <w:br/>
        <w:br/>
        <w:t xml:space="preserve">      La Comisión concluyó lo siguiente:</w:t>
        <w:br/>
        <w:br/>
        <w:br/>
        <w:t xml:space="preserve">           respecto de la formulación de la consulta,</w:t>
        <w:br/>
        <w:t xml:space="preserve">           que es  necesario  que  el  Tribunal  le  dé  precisión  en  los</w:t>
        <w:br/>
        <w:t xml:space="preserve">           siguientes términos:</w:t>
        <w:br/>
        <w:t xml:space="preserve">           a)    que  la  consulta  se   refiere  a  las  funciones  cuasi-</w:t>
        <w:br/>
        <w:t xml:space="preserve">                 jurisdiccionales de la Comisión y excluye  sus  actuaciones</w:t>
        <w:br/>
        <w:t xml:space="preserve">                 consultivas y promocionales, y administrativas;</w:t>
        <w:br/>
        <w:t xml:space="preserve">           b)    que los instrumentos a ser interpretados son la  Carta  de</w:t>
        <w:br/>
        <w:t xml:space="preserve">                 la Organización, la Convención Americana y el  Estatuto  de</w:t>
        <w:br/>
        <w:t xml:space="preserve">                 la Comisión; y</w:t>
        <w:br/>
        <w:t xml:space="preserve">           c)    que las disposiciones particulares a ser interpretadas son</w:t>
        <w:br/>
        <w:t xml:space="preserve">                 los artículos 112  de  la  Carta,  41  y  44  a  51  de  la</w:t>
        <w:br/>
        <w:t xml:space="preserve">                 Convención y 24 del  Estatuto  citados,  a  la  luz  de  su</w:t>
        <w:br/>
        <w:t xml:space="preserve">                 contexto.</w:t>
        <w:br/>
        <w:br/>
        <w:br/>
        <w:br/>
        <w:br/>
        <w:br/>
        <w:br/>
        <w:br/>
        <w:br/>
        <w:t xml:space="preserve">           respecto del régimen en que se desarrollan sus actuaciones cuasi-</w:t>
        <w:br/>
        <w:t xml:space="preserve">           jurisdiccionales,</w:t>
        <w:br/>
        <w:br/>
        <w:t xml:space="preserve">           que éste está basado en tres pilares, compuestos por[:]</w:t>
        <w:br/>
        <w:br/>
        <w:t xml:space="preserve">           a)    el diálogo entre los órganos del Sistema, y de  éstos  con</w:t>
        <w:br/>
        <w:t xml:space="preserve">                 los Estados miembros de la Organización;</w:t>
        <w:br/>
        <w:t xml:space="preserve">           b)    la garantía de independencia funcional de la Comisión y la</w:t>
        <w:br/>
        <w:t xml:space="preserve">                 Corte; y</w:t>
        <w:br/>
        <w:t xml:space="preserve">           c)     las  garantías  procesales  de  los   procedimientos   de</w:t>
        <w:br/>
        <w:t xml:space="preserve">           petición[.]</w:t>
        <w:br/>
        <w:br/>
        <w:br/>
        <w:t xml:space="preserve">           respecto del control de adherencia con  la  legalidad  de  dicho</w:t>
        <w:br/>
        <w:t xml:space="preserve">           régimen,</w:t>
        <w:br/>
        <w:br/>
        <w:t xml:space="preserve">           a)    que los Estados americanos no han creado un órgano con  el</w:t>
        <w:br/>
        <w:t xml:space="preserve">                 objeto de fiscalizar  la  legalidad  de  sus  actos  cuasi-</w:t>
        <w:br/>
        <w:t xml:space="preserve">                 jurisdiccionales;</w:t>
        <w:br/>
        <w:t xml:space="preserve">           b)    que los órganos de control de adherencia con el régimen de</w:t>
        <w:br/>
        <w:t xml:space="preserve">                 legalidad del [s]istema [i]nteramericano son la Comisión  y</w:t>
        <w:br/>
        <w:t xml:space="preserve">                 la Corte mismas, en ejercicio de sus facultades  inherentes</w:t>
        <w:br/>
        <w:t xml:space="preserve">                 y concurrentes en materia de peticiones individuales; y</w:t>
        <w:br/>
        <w:t xml:space="preserve">           c)    que la  función  consultiva  de  la  Corte  constituye  un</w:t>
        <w:br/>
        <w:t xml:space="preserve">                 mecanismo adicional de  diálogo  respecto  del  régimen  de</w:t>
        <w:br/>
        <w:t xml:space="preserve">                 legalidad para el procedimiento de petición individual. (El</w:t>
        <w:br/>
        <w:t xml:space="preserve">                 resaltado es del original.)</w:t>
        <w:br/>
        <w:br/>
        <w:t xml:space="preserve">  14. A continuación se resumen  los  planteamientos  de  los  amici  curiae</w:t>
        <w:br/>
        <w:t xml:space="preserve">      presentados por diversas personas, instituciones u organizaciones:</w:t>
        <w:br/>
        <w:br/>
        <w:br/>
        <w:t xml:space="preserve">        Sobre la  admisibilidad  de  la  opinión,  los  profesores  Bernard</w:t>
        <w:br/>
        <w:t xml:space="preserve">        Duhaime y Alejandro Lorite Escorihuela, de la Facultad de  Ciencias</w:t>
        <w:br/>
        <w:t xml:space="preserve">        Políticas y de Derecho de la Universidad de  Québec[1],  expresaron</w:t>
        <w:br/>
        <w:t xml:space="preserve">        que  las  preguntas  formuladas  por  el  Estado  no  cumplen   los</w:t>
        <w:br/>
        <w:t xml:space="preserve">        requisitos de admisibilidad dispuestos en  el  artículo  64  de  la</w:t>
        <w:br/>
        <w:t xml:space="preserve">        Convención Americana y en los artículos 60 y 61 del  Reglamento  de</w:t>
        <w:br/>
        <w:t xml:space="preserve">        la Corte[2],  y  contienen  algunas  imprecisiones.   Sin  embargo,</w:t>
        <w:br/>
        <w:t xml:space="preserve">        indicaron que la Corte debería atender la solicitud,  reinterpretar</w:t>
        <w:br/>
        <w:t xml:space="preserve">        las preguntas y manifestaron que  la  pregunta  se  refiere  a  “la</w:t>
        <w:br/>
        <w:t xml:space="preserve">        posibilidad [a cargo] de  un  órgano  del  sistema  interamericano,</w:t>
        <w:br/>
        <w:t xml:space="preserve">        [con] base [en] las  competencias  que  [recibe]  de  los  tratados</w:t>
        <w:br/>
        <w:t xml:space="preserve">        pertinentes, de interpretar las normas  que  definen  el  campo  de</w:t>
        <w:br/>
        <w:t xml:space="preserve">        acción de  la  Comisión,  aplicarlas  a  las  ‘actuaciones’  de  la</w:t>
        <w:br/>
        <w:t xml:space="preserve">        Comisión y tomar una posición en la  materia”.   El  señor  Alfonso</w:t>
        <w:br/>
        <w:t xml:space="preserve">        Jiménez Reyes, de  México,  también  expresó  que  la  petición  de</w:t>
        <w:br/>
        <w:t xml:space="preserve">        Venezuela contiene imprecisiones,  pero  que  es  evidente  que  se</w:t>
        <w:br/>
        <w:t xml:space="preserve">        refiere a la interpretación de los artículos 44 a 51 y 61 a  69  de</w:t>
        <w:br/>
        <w:t xml:space="preserve">        la Convención Americana, por  lo  que  la  Corte  debiera  declarar</w:t>
        <w:br/>
        <w:t xml:space="preserve">        admisible la solicitud del Estado.  La Clínica de Derechos  Humanos</w:t>
        <w:br/>
        <w:t xml:space="preserve">        del Departamento de Derecho de la  Universidad  Iberoamericana,  la</w:t>
        <w:br/>
        <w:t xml:space="preserve">        Red de Profesores de Derecho en Derechos Humanos y el  Programa  de</w:t>
        <w:br/>
        <w:t xml:space="preserve">        Derechos Humanos de la Universidad Iberoamericana de la  ciudad  de</w:t>
        <w:br/>
        <w:t xml:space="preserve">        México sostienen que la Corte debe abstenerse de  opinar  debido  a</w:t>
        <w:br/>
        <w:t xml:space="preserve">        que  la  solicitud  del  Estado  no  satisface  los  requerimientos</w:t>
        <w:br/>
        <w:t xml:space="preserve">        establecidos en la Convención y en el Reglamento de la Corte.   Sin</w:t>
        <w:br/>
        <w:t xml:space="preserve">        embargo, hicieron algunas consideraciones, en el  caso  de  que  el</w:t>
        <w:br/>
        <w:t xml:space="preserve">        Tribunal decida referirse al fondo de la solicitud.</w:t>
        <w:br/>
        <w:br/>
        <w:br/>
        <w:t xml:space="preserve">        Por otra parte, los profesores Bernard Duhaime y  Alejandro  Lorite</w:t>
        <w:br/>
        <w:t xml:space="preserve">        Escorihuela señalaron  que  “la  Comisión,  como  órgano,  no  está</w:t>
        <w:br/>
        <w:t xml:space="preserve">        sometido  al  control  institucional  de  ningún   órgano   de   la</w:t>
        <w:br/>
        <w:t xml:space="preserve">        Organización”; para la Clínica Jurídica del Centro de Investigación</w:t>
        <w:br/>
        <w:t xml:space="preserve">        y Docencia Económicas de la ciudad de México la Comisión “no  posee</w:t>
        <w:br/>
        <w:t xml:space="preserve">        superiores jerárquicos a los que se les pueda atribuir  competencia</w:t>
        <w:br/>
        <w:t xml:space="preserve">        para apelar decisiones que se desprendan de [ésta]”; la Clínica  de</w:t>
        <w:br/>
        <w:t xml:space="preserve">        Derechos Humanos del Departamento  de  Derecho  de  la  Universidad</w:t>
        <w:br/>
        <w:t xml:space="preserve">        Iberoamericana, la Red de Profesores de Derecho en Derechos Humanos</w:t>
        <w:br/>
        <w:t xml:space="preserve">        y el Programa de Derechos Humanos de la Universidad  Iberoamericana</w:t>
        <w:br/>
        <w:t xml:space="preserve">        de la ciudad de México indicó que “no existe órgano  alguno  dentro</w:t>
        <w:br/>
        <w:t xml:space="preserve">        del [s]istema [i]nteramericano […] con la facultad  de  ejercer  el</w:t>
        <w:br/>
        <w:t xml:space="preserve">        control de legalidad de  las  actuaciones  de  la  Comisión  en  su</w:t>
        <w:br/>
        <w:t xml:space="preserve">        totalidad”.  Para los directores  y  estudiantes  de  las  Clínicas</w:t>
        <w:br/>
        <w:t xml:space="preserve">        Jurídicas del Colegio  de  Jurisprudencia  de  la  Universidad  San</w:t>
        <w:br/>
        <w:t xml:space="preserve">        Francisco de Quito “no existe un órgano especializado encargado  de</w:t>
        <w:br/>
        <w:t xml:space="preserve">        velar por la legal actuación de la Comisión”; sin embargo,  aquélla</w:t>
        <w:br/>
        <w:t xml:space="preserve">        está sujeta a tres mecanismos de control:</w:t>
        <w:br/>
        <w:t xml:space="preserve">        a) político, a través de la  obligación  de  presentar  un  informe</w:t>
        <w:br/>
        <w:t xml:space="preserve">           anual ante la Asamblea General de la OEA y por medio del proceso</w:t>
        <w:br/>
        <w:t xml:space="preserve">           de elección de los Comisionados, aunque la remoción de éstos por</w:t>
        <w:br/>
        <w:t xml:space="preserve">           hechos graves se lleva a cabo a través de un sistema  mixto  que</w:t>
        <w:br/>
        <w:t xml:space="preserve">           compete tanto a la Comisión como a la referida Asamblea;</w:t>
        <w:br/>
        <w:t xml:space="preserve">        b) interno, en  relación  con  el  régimen  de  inhibición  de  los</w:t>
        <w:br/>
        <w:t xml:space="preserve">           Comisionados establecido en los artículos 17 y 62 del Reglamento</w:t>
        <w:br/>
        <w:t xml:space="preserve">           de la Comisión, y</w:t>
        <w:br/>
        <w:t xml:space="preserve">        c) jurisdiccional, por la Corte.</w:t>
        <w:br/>
        <w:br/>
        <w:br/>
        <w:t xml:space="preserve">        La  Clínica  Jurídica  del  Centro  de  Investigación  y   Docencia</w:t>
        <w:br/>
        <w:t xml:space="preserve">        Económicas de la ciudad de México y el señor Alfonso Jiménez  Reyes</w:t>
        <w:br/>
        <w:t xml:space="preserve">        consideraron que la Corte es el único  órgano  de  revisión  de  la</w:t>
        <w:br/>
        <w:t xml:space="preserve">        legalidad del procedimiento contemplado en la Convención por ser el</w:t>
        <w:br/>
        <w:t xml:space="preserve">        órgano jurisdiccional del sistema interamericano.  Para la  Clínica</w:t>
        <w:br/>
        <w:t xml:space="preserve">        Jurídica el procedimiento se establece en los artículos 44 a 62  de</w:t>
        <w:br/>
        <w:t xml:space="preserve">        la Convención. Por su parte, el Centro por la Justicia y el Derecho</w:t>
        <w:br/>
        <w:t xml:space="preserve">        Internacional expresó que la Corte puede ejercer control  sobre  el</w:t>
        <w:br/>
        <w:t xml:space="preserve">        apego al marco normativo que rige a la Comisión, en lo que  toca  a</w:t>
        <w:br/>
        <w:t xml:space="preserve">        cuestiones de forma o sobre el procesamiento de casos  individuales</w:t>
        <w:br/>
        <w:t xml:space="preserve">        en el ejercicio de su competencia contenciosa.   Dicho  control  de</w:t>
        <w:br/>
        <w:t xml:space="preserve">        legalidad puede  ser  realizado  por  la  Corte  a  través  de  las</w:t>
        <w:br/>
        <w:t xml:space="preserve">        funciones contenciosa y consultiva.</w:t>
        <w:br/>
        <w:br/>
        <w:br/>
        <w:t xml:space="preserve">        El señor Luis Peraza Parga señaló que  “Venezuela  [planteó]  a  la</w:t>
        <w:br/>
        <w:t xml:space="preserve">        Corte la necesidad de que exista un órgano intermedio de  apelación</w:t>
        <w:br/>
        <w:t xml:space="preserve">        de las resoluciones de la Comisión, ya que deja en indefensión  […]</w:t>
        <w:br/>
        <w:t xml:space="preserve">        a los Estados potencialmente culpables, que no son  condenados  por</w:t>
        <w:br/>
        <w:t xml:space="preserve">        violación de ningún derecho humano  hasta  que  no  lo  declara  la</w:t>
        <w:br/>
        <w:t xml:space="preserve">        Corte[,] instancia de apelación de las resoluciones de la  Comisión</w:t>
        <w:br/>
        <w:t xml:space="preserve">        […]”.  Además, estima que la Comisión ha cumplido su papel conforme</w:t>
        <w:br/>
        <w:t xml:space="preserve">        a las normas en que se sustenta su actividad y  se  refiere  a  las</w:t>
        <w:br/>
        <w:t xml:space="preserve">        características del trabajo que desempeña,  cuya  labor  le  parece</w:t>
        <w:br/>
        <w:t xml:space="preserve">        apreciable.</w:t>
        <w:br/>
        <w:br/>
        <w:t xml:space="preserve">        Los  señores  Bernard  Duhaime  y  Alejandro   Lorite   Escorihuela</w:t>
        <w:br/>
        <w:t xml:space="preserve">        entienden que la Comisión debe ser comprendida como un  órgano  que</w:t>
        <w:br/>
        <w:t xml:space="preserve">        dispone de una amplia autonomía frente a los órganos  políticos  de</w:t>
        <w:br/>
        <w:t xml:space="preserve">        la OEA y ante los mismos miembros de la Organización para poder dar</w:t>
        <w:br/>
        <w:t xml:space="preserve">        cumplimiento a sus funciones.  Indicaron que “la Corte a priori  no</w:t>
        <w:br/>
        <w:t xml:space="preserve">        tiene poder institucional general de control sobre un  órgano  cuya</w:t>
        <w:br/>
        <w:t xml:space="preserve">        existencia también está fundada en la Carta.” Consideraron  que  si</w:t>
        <w:br/>
        <w:t xml:space="preserve">        bien la Corte puede ejercer un  “control  de  legalidad”  sobre  la</w:t>
        <w:br/>
        <w:t xml:space="preserve">        actividad de la Comisión, esa  facultad  deriva  de  las  funciones</w:t>
        <w:br/>
        <w:t xml:space="preserve">        respectivas y conjuntas de la Comisión y de la Corte, en  el  marco</w:t>
        <w:br/>
        <w:t xml:space="preserve">        de la Convención.  La Clínica Jurídica del Centro de  Investigación</w:t>
        <w:br/>
        <w:t xml:space="preserve">        y Docencia Económicas de la ciudad  de  México  señaló  que  no  es</w:t>
        <w:br/>
        <w:t xml:space="preserve">        viable crear otro organismo independiente que se encargue de  hacer</w:t>
        <w:br/>
        <w:t xml:space="preserve">        esta revisión de la  legalidad  de  los  actos  realizados  por  la</w:t>
        <w:br/>
        <w:t xml:space="preserve">        Comisión en asuntos no sometidos a la  jurisdicción  de  la  Corte.</w:t>
        <w:br/>
        <w:t xml:space="preserve">        Manifestó que la  Asamblea  General  actúa  como  órgano  normativo</w:t>
        <w:br/>
        <w:t xml:space="preserve">        administrativo de la Comisión, como se deduce de los incisos f y  h</w:t>
        <w:br/>
        <w:t xml:space="preserve">        del artículo  19  del  Estatuto  de  ésta.   En  consecuencia,  por</w:t>
        <w:br/>
        <w:t xml:space="preserve">        excepción y sólo en el supuesto  mencionado,  la  Asamblea  General</w:t>
        <w:br/>
        <w:t xml:space="preserve">        puede tomar decisiones que afecten las actividades de la Comisión.</w:t>
        <w:br/>
        <w:br/>
        <w:br/>
        <w:t xml:space="preserve">        El señor Patricio Kingston indicó que el órgano de  control  de  la</w:t>
        <w:br/>
        <w:t xml:space="preserve">        legalidad de las actuaciones de la Comisión no puede ser  otro  que</w:t>
        <w:br/>
        <w:t xml:space="preserve">        la Asamblea General, instancia  suprema  de  la  Organización.   En</w:t>
        <w:br/>
        <w:t xml:space="preserve">        opinión del señor  Carlos  Roberto  Loría  Quirós,  al  no  existir</w:t>
        <w:br/>
        <w:t xml:space="preserve">        disposiciones legales que lo impidan, los Estados  pueden  recurrir</w:t>
        <w:br/>
        <w:t xml:space="preserve">        en forma directa a la Asamblea General de la  OEA,  la  cual  tiene</w:t>
        <w:br/>
        <w:t xml:space="preserve">        potestades de control de legalidad, ante actuaciones de la Comisión</w:t>
        <w:br/>
        <w:t xml:space="preserve">        Interamericana, en asuntos no sujetos  a  resolución  de  la  Corte</w:t>
        <w:br/>
        <w:t xml:space="preserve">        Interamericana. Por último, para el señor Modesto  Emilio  Guerrero</w:t>
        <w:br/>
        <w:t xml:space="preserve">        la Comisión Interamericana no ha desarrollado “mecanismos  internos</w:t>
        <w:br/>
        <w:t xml:space="preserve">        para garantizar a los Estados parte, la posibilidad de defender  la</w:t>
        <w:br/>
        <w:t xml:space="preserve">        legalidad de sus derechos mediante el control  de  algún  organismo</w:t>
        <w:br/>
        <w:t xml:space="preserve">        que someta a escrutinio las decisiones o informes de la Comisión”.</w:t>
        <w:br/>
        <w:br/>
        <w:br/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t>15.   Esta consulta fue sometida por Venezuela a  la  Corte  conforme  a  la</w:t>
        <w:br/>
        <w:t>regla de legitimación  contenida  en  el  artículo  64.1  de  la  Convención</w:t>
        <w:br/>
        <w:t>Americana, el cual señala que:</w:t>
        <w:br/>
        <w:br/>
        <w:t xml:space="preserve">      1.    Los Estados Miembros de la Organización podrán  consultar  a  la</w:t>
        <w:br/>
        <w:t xml:space="preserve">      Corte acerca de la  interpretación  de  esta  Convención  o  de  otros</w:t>
        <w:br/>
        <w:t xml:space="preserve">      tratados concernientes a la protección de los derechos humanos en  los</w:t>
        <w:br/>
        <w:t xml:space="preserve">      Estados Americanos.  Asimismo,  podrán  consultarla,  en  lo  que  les</w:t>
        <w:br/>
        <w:t xml:space="preserve">      compete, los órganos enumerados en el Capítulo X de  la  Carta  de  la</w:t>
        <w:br/>
        <w:t xml:space="preserve">      Organización de los Estados Americanos, reformada por el Protocolo  de</w:t>
        <w:br/>
        <w:t xml:space="preserve">      Buenos Aires.</w:t>
        <w:br/>
        <w:br/>
        <w:br/>
        <w:t xml:space="preserve">      […]</w:t>
        <w:br/>
        <w:br/>
        <w:t>16.   La consulta plantea a la Corte dos preguntas:</w:t>
        <w:br/>
        <w:br/>
        <w:t xml:space="preserve">   1. ¿Existe o no, un  órgano  dentro  del  [s]istema  [i]nteramericano  de</w:t>
        <w:br/>
        <w:t xml:space="preserve">      [d]erechos [h]umanos que disponga de las competencias necesarias  para</w:t>
        <w:br/>
        <w:t xml:space="preserve">      ejercer el control de la legalidad de las actuaciones de  la  Comisión</w:t>
        <w:br/>
        <w:t xml:space="preserve">      [...], ante el  cual  puedan  recurrir  los  Estados  parte[s]  de  la</w:t>
        <w:br/>
        <w:t xml:space="preserve">      Convención [...], en defensa de la legalidad?</w:t>
        <w:br/>
        <w:br/>
        <w:br/>
        <w:t xml:space="preserve">   2. En caso de que existiere  tal  órgano,  [Venezuela]  desearía  conocer</w:t>
        <w:br/>
        <w:t xml:space="preserve">      ¿[c]uál es dicho órgano y cuales [son] sus atribuciones?</w:t>
        <w:br/>
        <w:br/>
        <w:t>17.   Para determinar la procedencia de la consulta,  la  Corte  debe  tener</w:t>
        <w:br/>
        <w:t>presentes consideraciones que trascienden cuestiones  meramente  formales  y</w:t>
        <w:br/>
        <w:t>se relacionan con las características que ha reconocido al ejercicio  de  su</w:t>
        <w:br/>
        <w:t>función consultiva[3].  Se debe  ir  más  allá  del  formalismo  rígido  que</w:t>
        <w:br/>
        <w:t>impediría  considerar  preguntas  que  revisten  interés  jurídico  para  la</w:t>
        <w:br/>
        <w:t>protección y promoción de los derechos humanos[4].</w:t>
        <w:br/>
        <w:br/>
        <w:t>18.   Al afirmar su competencia sobre este asunto, el Tribunal  recuerda  el</w:t>
        <w:br/>
        <w:t>amplio alcance de su función consultiva, única en el  derecho  internacional</w:t>
        <w:br/>
        <w:t>contemporáneo[5].  Esta  constituye  “un  servicio  que  la  Corte  está  en</w:t>
        <w:br/>
        <w:t>capacidad de prestar a todos los  integrantes  del  sistema  interamericano,</w:t>
        <w:br/>
        <w:t>con  el  propósito  de  coadyuvar  al  cumplimiento   de   sus   compromisos</w:t>
        <w:br/>
        <w:t>internacionales” sobre derechos humanos[6].   Con  ello  se  auxilia  a  los</w:t>
        <w:br/>
        <w:t>Estados y  órganos  en  la  aplicación  de  tratados  relativos  a  derechos</w:t>
        <w:br/>
        <w:t>humanos, sin someterlos al  formalismo  y  a  las  sanciones  inherentes  al</w:t>
        <w:br/>
        <w:t>proceso contencioso[7].</w:t>
        <w:br/>
        <w:br/>
        <w:t>19.   La presente solicitud consulta, esencialmente, sobre la existencia  de</w:t>
        <w:br/>
        <w:t>un  órgano  dotado  de  competencia  para  controlar  la  legalidad  de  las</w:t>
        <w:br/>
        <w:t>actuaciones de la Comisión  en  el  ámbito  del  sistema  interamericano  de</w:t>
        <w:br/>
        <w:t>protección de los derechos humanos.</w:t>
        <w:br/>
        <w:br/>
        <w:t>20.   La Corte es competente para pronunciarse  sobre  la  consulta,  en  la</w:t>
        <w:br/>
        <w:t>medida en  que  ésta  atañe  a  un  órgano  del  sistema  interamericano  de</w:t>
        <w:br/>
        <w:t>protección de los derechos humanos, como es la  Comisión  Interamericana,  y</w:t>
        <w:br/>
        <w:t>en que servirá para ilustrar sobre el alcance de las funciones atribuidas  a</w:t>
        <w:br/>
        <w:t>ésta por la Convención Americana relativas a la promoción y defensa  de  los</w:t>
        <w:br/>
        <w:t>derechos  humanos.   Entre  las  atribuciones  de   la   Corte   figura   la</w:t>
        <w:br/>
        <w:t>interpretación y aplicación de la Convención Americana y otros  instrumentos</w:t>
        <w:br/>
        <w:t>del sistema interamericano de protección de los derechos humanos.  La  Corte</w:t>
        <w:br/>
        <w:t>dará respuesta a la presente solicitud en el marco de esta competencia.</w:t>
        <w:br/>
        <w:br/>
        <w:br/>
        <w:br/>
        <w:br/>
        <w:br/>
        <w:br/>
        <w:t xml:space="preserve">                                     III</w:t>
        <w:br/>
        <w:t xml:space="preserve">          Control de legalidad en el ejercicio de las atribuciones</w:t>
        <w:br/>
        <w:t xml:space="preserve">              de la Comisión Interamericana de Derechos Humanos</w:t>
        <w:br/>
        <w:br/>
        <w:br/>
        <w:t>21.    A  este  respecto  interesa   tener   presente   que   los   tratados</w:t>
        <w:br/>
        <w:t>concernientes a la protección de los derechos  humanos  están  orientados  a</w:t>
        <w:br/>
        <w:t>garantizar el goce de derechos y libertades del ser humano, más que a  fijar</w:t>
        <w:br/>
        <w:t>las normas de relación entre los Estados[8].  Así, los tratados de  derechos</w:t>
        <w:br/>
        <w:t>humanos no se contraen a definir el intercambio entre éstos, sino sirven  al</w:t>
        <w:br/>
        <w:t>fin de proteger los derechos fundamentales de los seres humanos frente a  su</w:t>
        <w:br/>
        <w:t>propio Estado y ante los otros  Estados  contratantes[9].   Se  inspiran  en</w:t>
        <w:br/>
        <w:t>valores comunes superiores, centrados en la protección del  ser  humano,  se</w:t>
        <w:br/>
        <w:t>aplican de conformidad  con  la  noción  de  garantía  colectiva,  consagran</w:t>
        <w:br/>
        <w:t>obligaciones de carácter esencialmente objetivo y cuentan con mecanismos  de</w:t>
        <w:br/>
        <w:t>supervisión específicos[10].</w:t>
        <w:br/>
        <w:br/>
        <w:t>22.   Los tratados, convenciones y declaraciones del sistema  interamericano</w:t>
        <w:br/>
        <w:t>en materia de derechos humanos son la fuente principal  de  obligaciones  de</w:t>
        <w:br/>
        <w:t>los Estados en esta materia y  determinan,  a  su  vez,  los  parámetros  de</w:t>
        <w:br/>
        <w:t>legalidad a los que debe sujetarse la Comisión.</w:t>
        <w:br/>
        <w:br/>
        <w:t>23.   Cualquier facultad de examen acerca de las  actividades  desarrolladas</w:t>
        <w:br/>
        <w:t>por la Comisión se halla presidida  y  acotada  por  el  objeto  y  fin  del</w:t>
        <w:br/>
        <w:t>sistema interamericano:  promoción  de  la  observancia  y  defensa  de  los</w:t>
        <w:br/>
        <w:t>derechos humanos[11].</w:t>
        <w:br/>
        <w:br/>
        <w:t>24.   Como se indicó, la presente opinión consultiva se  relaciona  con  las</w:t>
        <w:br/>
        <w:t>actuaciones de la Comisión Interamericana.  Conforme al artículo 106  de  la</w:t>
        <w:br/>
        <w:t>Carta, la Comisión es un órgano de la OEA; por otra  parte,  es  también  un</w:t>
        <w:br/>
        <w:t>órgano  de  la  Convención  Americana,  cuyas  atribuciones  constan  en  el</w:t>
        <w:br/>
        <w:t>artículo 41 de ese instrumento[12].  En tanto órgano de  la  Convención,  la</w:t>
        <w:br/>
        <w:t>Comisión  se  vincula  con  la  Corte,  ya  que  ambas  tienen,  aunque  con</w:t>
        <w:br/>
        <w:t>diferentes facultades, la función de examinar comunicaciones individuales  y</w:t>
        <w:br/>
        <w:t>estatales, de acuerdo con los artículos 44, 45, 51, 61 y  siguientes  de  la</w:t>
        <w:br/>
        <w:t>Convención.</w:t>
        <w:br/>
        <w:br/>
        <w:t>25.   La Corte considera necesario destacar que  el  sistema  interamericano</w:t>
        <w:br/>
        <w:t>de protección de los derechos humanos se  construye  sobre  la  base  de  la</w:t>
        <w:br/>
        <w:t>plena autonomía e independencia de sus órganos  para  el  ejercicio  de  las</w:t>
        <w:br/>
        <w:t>funciones que les han sido encomendadas, y que es sólo en el campo  señalado</w:t>
        <w:br/>
        <w:t>en el párrafo anterior que la Corte tiene la facultad de revisar si  se  han</w:t>
        <w:br/>
        <w:t>cumplido, por parte de la  Comisión,  las  disposiciones  contenidas  en  la</w:t>
        <w:br/>
        <w:t>Convención Americana y  en  los  diversos  instrumentos  interamericanos  de</w:t>
        <w:br/>
        <w:t>derechos humanos.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26.   En la atención  de  las  peticiones  individuales,  la  Comisión  debe</w:t>
        <w:br/>
        <w:t>respetar los lineamientos establecidos en  la  Carta  de  la  OEA  (artículo</w:t>
        <w:br/>
        <w:t>106), la Convención  Americana  (artículos  41.f,  44  a  51),  el  Estatuto</w:t>
        <w:br/>
        <w:t>(artículos 23 y 24) y el Reglamento del propio  órgano,  que  determinan  el</w:t>
        <w:br/>
        <w:t>marco para la legalidad de sus procedimientos.</w:t>
        <w:br/>
        <w:br/>
        <w:t>27.   El trámite de las peticiones  individuales  se  encuentra  regido  por</w:t>
        <w:br/>
        <w:t>garantías que aseguran a las partes el ejercicio del derecho de  defensa  en</w:t>
        <w:br/>
        <w:t>el  procedimiento.   Tales  garantías  son:  a)  las  relacionadas  con  las</w:t>
        <w:br/>
        <w:t>condiciones de admisibilidad de las peticiones (artículos  44  a  46  de  la</w:t>
        <w:br/>
        <w:t>Convención), y b) las relativas a los principios de contradicción  (artículo</w:t>
        <w:br/>
        <w:t>48 de la Convención)[13] y equidad procesal.  Igualmente es preciso  invocar</w:t>
        <w:br/>
        <w:t>aquí el principio de seguridad jurídica (artículo 39 del  Reglamento  de  la</w:t>
        <w:br/>
        <w:t>Comisión).</w:t>
        <w:br/>
        <w:br/>
        <w:t>28.   Para el trámite de las comunicaciones  individuales  se  requiere  que</w:t>
        <w:br/>
        <w:t>exista denuncia sobre la probable violación de la Convención  Americana  por</w:t>
        <w:br/>
        <w:t>parte de un Estado.  A  partir  de  esta  circunstancia,  la  Comisión  debe</w:t>
        <w:br/>
        <w:t>pronunciarse sobre la existencia de la violación.  La resolución  final  del</w:t>
        <w:br/>
        <w:t>litigio, a través de una sentencia, corresponde a la  Corte  Interamericana.</w:t>
        <w:br/>
        <w:t>Ante ésta alegará el Estado lo que estime pertinente para la defensa de  sus</w:t>
        <w:br/>
        <w:t>derechos y la  cabal  observancia  de  la  legalidad  en  la  tramitación  y</w:t>
        <w:br/>
        <w:t>solución de la controversia, ajustándose  para  ello  a  las  estipulaciones</w:t>
        <w:br/>
        <w:t>contenidas en la Convención y en otros ordenamientos que integran el  corpus</w:t>
        <w:br/>
        <w:t>juris del sistema interamericano de  protección  de  los  derechos  humanos,</w:t>
        <w:br/>
        <w:t>particularmente el Estatuto y el Reglamento de la Corte.   Por  este  medio,</w:t>
        <w:br/>
        <w:t>el Tribunal ejerce la función controladora que explícitamente  le  confieren</w:t>
        <w:br/>
        <w:t>esos instrumentos.</w:t>
        <w:br/>
        <w:br/>
        <w:t>29.   El artículo 41 de la Convención Americana  encomienda  a  la  Comisión</w:t>
        <w:br/>
        <w:t>otras atribuciones destinadas a la promoción y protección  de  los  derechos</w:t>
        <w:br/>
        <w:t>humanos.  Entre ellas  figuran  la  formulación  de  recomendaciones  a  los</w:t>
        <w:br/>
        <w:t>Estados para que adopten  medidas  a  favor  de  los  derechos  humanos,  la</w:t>
        <w:br/>
        <w:t>preparación de estudios e informes convenientes para  el  desempeño  de  las</w:t>
        <w:br/>
        <w:t>funciones asignadas a la Comisión, la realización de visitas in  loco  y  la</w:t>
        <w:br/>
        <w:t>atención a las consultas de la Organización.</w:t>
        <w:br/>
        <w:br/>
        <w:t>30.   Por lo que  toca  a  otros  medios  de  examen  del  desempeño  de  la</w:t>
        <w:br/>
        <w:t>Comisión, cabe señalar que en el despacho de las atribuciones  de  ésta,  de</w:t>
        <w:br/>
        <w:t>acuerdo con lo dispuesto en  la  Convención,  la  Comisión  debe  rendir  un</w:t>
        <w:br/>
        <w:t>Informe Anual a la Asamblea General de  la  Organización.   En  éste  se  da</w:t>
        <w:br/>
        <w:t>cuenta sobre las sesiones de la Comisión, visitas  e  informes  relacionados</w:t>
        <w:br/>
        <w:t>con  países  y  con  temas  específicos,  peticiones  y  casos  individuales</w:t>
        <w:br/>
        <w:t>sometidos a aquella, medidas cautelares,  peticiones  admitidas,  soluciones</w:t>
        <w:br/>
        <w:t>amistosas, cumplimiento de recomendaciones, planteamientos  ante  la  Corte,</w:t>
        <w:br/>
        <w:t>solicitud de medidas provisionales e  intervención  en  casos  contenciosos,</w:t>
        <w:br/>
        <w:t>entre otros asuntos.  En el marco de su relación con  la  OEA,  los  Estados</w:t>
        <w:br/>
        <w:t>tienen la  facultad  de  presentar  ante  los  órganos  competentes  de  esa</w:t>
        <w:br/>
        <w:t>organización, particularmente la Asamblea General, todas  las  observaciones</w:t>
        <w:br/>
        <w:t>que estimen pertinentes respecto de la actuación de la Comisión  en  materia</w:t>
        <w:br/>
        <w:t>de derechos humanos, en la doble función que ésta cumple, como  se  mencionó</w:t>
        <w:br/>
        <w:t>(supra párr. 24).</w:t>
        <w:br/>
        <w:br/>
        <w:br/>
        <w:br/>
        <w:t xml:space="preserve">                                     IV</w:t>
        <w:br/>
        <w:t xml:space="preserve">                                   Opinión</w:t>
        <w:br/>
        <w:br/>
        <w:br/>
        <w:br/>
        <w:t>31.   Por las razones expuestas, en interpretación de los artículos 41 y  44</w:t>
        <w:br/>
        <w:t>a 51 de la Convención Americana  sobre  Derechos  Humanos  respecto  de  las</w:t>
        <w:br/>
        <w:t>actuaciones de la Comisión Interamericana de Derechos Humanos,</w:t>
        <w:br/>
        <w:br/>
        <w:br/>
        <w:t>LA CORTE,</w:t>
        <w:br/>
        <w:br/>
        <w:br/>
        <w:br/>
        <w:t>DECIDE:</w:t>
        <w:br/>
        <w:br/>
        <w:br/>
        <w:br/>
        <w:t>por unanimidad,</w:t>
        <w:br/>
        <w:br/>
        <w:t xml:space="preserve">      que es competente para emitir la presente Opinión Consultiva.</w:t>
        <w:br/>
        <w:br/>
        <w:br/>
        <w:br/>
        <w:t>Y OPINA:</w:t>
        <w:br/>
        <w:br/>
        <w:br/>
        <w:br/>
        <w:t>por unanimidad,</w:t>
        <w:br/>
        <w:br/>
        <w:t>1.    Que la Comisión Interamericana de Derechos Humanos,  como  órgano  del</w:t>
        <w:br/>
        <w:t>sistema interamericano de protección de los derechos  humanos,  tiene  plena</w:t>
        <w:br/>
        <w:t>autonomía e independencia en el  ejercicio  de  su  mandato  conforme  a  la</w:t>
        <w:br/>
        <w:t>Convención Americana sobre Derechos Humanos.</w:t>
        <w:br/>
        <w:br/>
        <w:t>2.    Que la Comisión Interamericana de Derechos Humanos  actúa  dentro  del</w:t>
        <w:br/>
        <w:t>marco legal establecido por la Convención Americana sobre  Derechos  Humanos</w:t>
        <w:br/>
        <w:t>en el ejercicio de  las  funciones  que  le  competen  en  el  procedimiento</w:t>
        <w:br/>
        <w:t>relativo  al  trámite  de  las  peticiones  individuales  dispuesto  en  los</w:t>
        <w:br/>
        <w:t>artículos 44 a 51 de  la  Convención,  así  como  en  el  ejercicio  de  sus</w:t>
        <w:br/>
        <w:t>restantes atribuciones  destinadas  a  la  promoción  y  protección  de  los</w:t>
        <w:br/>
        <w:t>derechos humanos, consagradas en el artículo 41 de ese instrumento.</w:t>
        <w:br/>
        <w:br/>
        <w:t>3. Que la Corte Interamericana de Derechos Humanos, en el ejercicio  de  sus</w:t>
        <w:br/>
        <w:t xml:space="preserve">   funciones, efectúa el control de  legalidad  de  las  actuaciones  de  la</w:t>
        <w:br/>
        <w:t xml:space="preserve">   Comisión Interamericana de Derechos Humanos  en  lo  que  se  refiere  al</w:t>
        <w:br/>
        <w:t xml:space="preserve">   trámite de los asuntos que estén bajo el conocimiento de la propia Corte,</w:t>
        <w:br/>
        <w:t xml:space="preserve">   conforme a la competencia que le confiere a ésta la Convención  Americana</w:t>
        <w:br/>
        <w:t xml:space="preserve">   y otros  instrumentos  interamericanos  de  protección  de  los  derechos</w:t>
        <w:br/>
        <w:t xml:space="preserve">   humanos.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|Cecilia Medina Quiroga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|Manuel E. Ventura Robles          |Diego García-Sayán                |</w:t>
        <w:br/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br/>
        <w:br/>
        <w:t>Pablo Saavedra Alessandri</w:t>
        <w:br/>
        <w:t xml:space="preserve">         Secretario</w:t>
        <w:br/>
        <w:br/>
        <w:t>-----------------------</w:t>
        <w:br/>
        <w:t>(     De conformidad con los términos del Reglamento vigente,  aprobado  por</w:t>
        <w:br/>
        <w:t>la Corte Interamericana de Derechos Humanos en su XLIX Período Ordinario  de</w:t>
        <w:br/>
        <w:t>Sesiones mediante Resolución de 24 de noviembre de 2000, el  cual  entró  en</w:t>
        <w:br/>
        <w:t>vigor el 1 de junio de 2001, y según la  reforma  parcial  aprobada  por  la</w:t>
        <w:br/>
        <w:t>Corte en su LXI Período Ordinario de Sesiones mediante Resolución de  25  de</w:t>
        <w:br/>
        <w:t>noviembre de 2003,  vigente  desde  el  1  enero  de  2004.   La  referencia</w:t>
        <w:br/>
        <w:t>original que hizo el Estado  solicitante  corresponde  al  artículo  59  del</w:t>
        <w:br/>
        <w:t>Reglamento aprobado por la Corte Interamericana de Derechos  Humanos  en  su</w:t>
        <w:br/>
        <w:t>XLIX Período Ordinario de Sesiones mediante Resolución de  24  de  noviembre</w:t>
        <w:br/>
        <w:t>de 2000, el cual entró en vigor el 1 de junio de 2001.</w:t>
        <w:br/>
        <w:br/>
        <w:br/>
        <w:br/>
        <w:t>[1]   El escrito original del amicus curie fue presentado en francés.   Para</w:t>
        <w:br/>
        <w:t>efectos de la  presente  Opinión  Consultiva  se  utilizó  una  versión  del</w:t>
        <w:br/>
        <w:t>documento traducida al español.</w:t>
        <w:br/>
        <w:br/>
        <w:t>[2]   La referencia original que hicieron los profesores Bernard  Duhaime  y</w:t>
        <w:br/>
        <w:t>Alejandro Lorite Escorihuela, de la Facultad  de  Ciencias  Políticas  y  de</w:t>
        <w:br/>
        <w:t>Derecho de la Universidad de Québec corresponde a los artículos 59 y 60  del</w:t>
        <w:br/>
        <w:t>Reglamento aprobado por la Corte Interamericana de Derechos  Humanos  en  su</w:t>
        <w:br/>
        <w:t>XLIX Período Ordinario de Sesiones mediante Resolución de  24  de  noviembre</w:t>
        <w:br/>
        <w:t>de 2000, el cual entró en vigor el 1 de junio de 2001.</w:t>
        <w:br/>
        <w:t>[3]   Cfr. Condición Jurídica y Derechos de  los  Migrantes  Indocumentados.</w:t>
        <w:br/>
        <w:t>Opinión Consultiva OC-18/03 de 17 de septiembre  de 2003. Serie  A  No.  18,</w:t>
        <w:br/>
        <w:t>párr.  50;  Condición  Jurídica  y  Derechos  Humanos  del   Niño.   Opinión</w:t>
        <w:br/>
        <w:t>Consultiva OC-17/02 de 28 de agosto de 2002. Serie A No. 17,  párr.  19;  El</w:t>
        <w:br/>
        <w:t>Derecho a la Información sobre la Asistencia Consular en  el  Marco  de  las</w:t>
        <w:br/>
        <w:t>Garantías del Debido Proceso Legal. Opinión  Consultiva  OC-16/99  de  1  de</w:t>
        <w:br/>
        <w:t>octubre de 1999.  Serie  A  No.  16,  párr.  31;  Informes  de  la  Comisión</w:t>
        <w:br/>
        <w:t>Interamericana de Derechos  Humanos  (art.  51  Convención  Americana  sobre</w:t>
        <w:br/>
        <w:t>Derechos Humanos). Opinión Consultiva OC-15/97 de 14 de noviembre  de  1997.</w:t>
        <w:br/>
        <w:t>Serie A  No.  15,  párr.  31,  y  "Otros  Tratados"  Objeto  de  la  Función</w:t>
        <w:br/>
        <w:t>Consultiva  de  la  Corte  (art.  64  Convención  Americana  sobre  Derechos</w:t>
        <w:br/>
        <w:t>Humanos). Opinión Consultiva OC-1/82 del 24 de septiembre de 1982.  Serie  A</w:t>
        <w:br/>
        <w:t>No. 1, párr. 13.</w:t>
        <w:br/>
        <w:br/>
        <w:t>[4]   Cfr. Informes de la Comisión Interamericana de Derechos Humanos  (art.</w:t>
        <w:br/>
        <w:t>51 de la Convención Americana sobre Derechos Humanos), supra nota  3,  párr.</w:t>
        <w:br/>
        <w:t>39; Ciertas Atribuciones de la Comisión Interamericana de  Derechos  Humanos</w:t>
        <w:br/>
        <w:t>(arts. 41, 42, 44, 46, 47, 50  y  51  Convención  Americana  sobre  Derechos</w:t>
        <w:br/>
        <w:t>Humanos). Opinión Consultiva OC-13/93 de 16 de julio de 1993,  Serie  A  No.</w:t>
        <w:br/>
        <w:t>13, párr. 41, y “Otros Tratados” Objeto  de  la  Función  Consultiva  de  la</w:t>
        <w:br/>
        <w:t>Corte (art. 64 Convención Americana sobre Derechos Humanos), supra  nota  3,</w:t>
        <w:br/>
        <w:t>párr. 24.</w:t>
        <w:br/>
        <w:br/>
        <w:t>[5]   Condición Jurídica y Derechos de los Migrantes  Indocumentados,  supra</w:t>
        <w:br/>
        <w:t>nota 3, párr. 64; Condición Jurídica y  Derechos  Humanos  del  Niño,  supra</w:t>
        <w:br/>
        <w:t>nota 3, párr. 34,  y  El  Derecho  a  la  Información  sobre  la  Asistencia</w:t>
        <w:br/>
        <w:t>Consular en el Marco de las Garantías del Debido Proceso Legal,  supra  nota</w:t>
        <w:br/>
        <w:t>3, párr. 64.</w:t>
        <w:br/>
        <w:br/>
        <w:t>[6]   Condición Jurídica y Derechos de los Migrantes  Indocumentados,  supra</w:t>
        <w:br/>
        <w:t>nota 3, párr. 64; Condición Jurídica y  Derechos  Humanos  del  Niño,  supra</w:t>
        <w:br/>
        <w:t>nota 3, párr. 34,  y  El  Derecho  a  la  Información  sobre  la  Asistencia</w:t>
        <w:br/>
        <w:t>Consular en el Marco de las Garantías del Debido Proceso Legal,  supra  nota</w:t>
        <w:br/>
        <w:t>3, párr. 64.</w:t>
        <w:br/>
        <w:br/>
        <w:t>[7]   Condición Jurídica y Derechos de los Migrantes  Indocumentados,  supra</w:t>
        <w:br/>
        <w:t>nota 3, párr. 64; Condición Jurídica y  Derechos  Humanos  del  Niño,  supra</w:t>
        <w:br/>
        <w:t>nota 3, párr. 34,  y  El  Derecho  a  la  Información  sobre  la  Asistencia</w:t>
        <w:br/>
        <w:t>Consular en el Marco de las Garantías del Debido Proceso Legal,  supra  nota</w:t>
        <w:br/>
        <w:t>3, párr. 64.</w:t>
        <w:br/>
        <w:br/>
        <w:t>[8]   Cfr. "Otros Tratados" Objeto de la Función  Consultiva  de  la  Corte,</w:t>
        <w:br/>
        <w:t>supra nota 3, párr. 24.</w:t>
        <w:br/>
        <w:br/>
        <w:t>[9]   El Efecto  de  las  Reservas  sobre  la  Entrada  en  Vigencia  de  la</w:t>
        <w:br/>
        <w:t>Convención Americana  sobre  Derechos  Humanos  (arts.  74  y  75).  Opinión</w:t>
        <w:br/>
        <w:t>Consultiva OC-2/82 de 24 de septiembre de 1982. Serie A No. 2, párr. 27.</w:t>
        <w:br/>
        <w:br/>
        <w:t>[10]  Cfr. Caso Baena Ricardo y  Otros.  Competencia.  Sentencia  de  28  de</w:t>
        <w:br/>
        <w:t>noviembre de 2003. Serie C No. 104, párr. 96.</w:t>
        <w:br/>
        <w:br/>
        <w:t>[11]  Cfr. Carta de la Organización de los Estados Americanos Reformada  por</w:t>
        <w:br/>
        <w:t>el Protocolo de Reformas a la  Carta  de  la  Organización  de  los  Estados</w:t>
        <w:br/>
        <w:t>Americanos "Protocolo de Buenos Aires" suscrito en  la  Tercera  Conferencia</w:t>
        <w:br/>
        <w:t>Interamericana Extraordinaria el 27 de febrero de 1967; por el Protocolo  de</w:t>
        <w:br/>
        <w:t>Reformas a la Carta de la Organización de los Estados Americanos  "Protocolo</w:t>
        <w:br/>
        <w:t>de Cartagena de Indias" aprobado en el decimocuarto  período  extraordinario</w:t>
        <w:br/>
        <w:t>de sesiones de la Asamblea General  el  5  de  diciembre  de  1985;  por  el</w:t>
        <w:br/>
        <w:t>Protocolo de  Reformas  a  la  Carta  de  la  Organización  de  los  Estados</w:t>
        <w:br/>
        <w:t>Americanos "Protocolo de Washington", aprobado  en  el  decimosexto  período</w:t>
        <w:br/>
        <w:t>extraordinario de sesiones de la Asamblea General  el  14  de  diciembre  de</w:t>
        <w:br/>
        <w:t>1992; y por el Protocolo de Reformas a la Carta de la  Organización  de  los</w:t>
        <w:br/>
        <w:t>Estados Americanos "Protocolo  de  Managua",  adoptado  en  el  decimonoveno</w:t>
        <w:br/>
        <w:t>período extraordinario de sesiones de la Asamblea General el 10 de junio  de</w:t>
        <w:br/>
        <w:t>1993, artículo 106, y Ciertas Atribuciones de la Comisión Interamericana  de</w:t>
        <w:br/>
        <w:t>Derechos Humanos, supra nota 4, párr. 23.</w:t>
        <w:br/>
        <w:br/>
        <w:t>[12]  Cfr. Ciertas Atribuciones de la Comisión  Interamericana  de  Derechos</w:t>
        <w:br/>
        <w:t>Humanos (arts. 41, 42, 44, 46,  47,  50  y  51  Convención  Americana  sobre</w:t>
        <w:br/>
        <w:t>Derechos Humanos), supra nota 4, párr. 23.</w:t>
        <w:br/>
        <w:br/>
        <w:t>[13]  Ver también artículos 30, 37,  38,  42  y  43  del  Reglamento  de  la</w:t>
        <w:br/>
        <w:t>Comisión Interamericana de Derechos Humanos  aprobado  en  su  109º  Período</w:t>
        <w:br/>
        <w:t>Extraordinario de Sesiones, celebrado del 4  al  8  de  diciembre  de  2000,</w:t>
        <w:br/>
        <w:t>modificado en su 116° Período Ordinario de Sesiones, celebrado del 7  al  25</w:t>
        <w:br/>
        <w:t>de octubre de 2002 y en su 118º Período  Ordinario  de  Sesiones,  celebrado</w:t>
        <w:br/>
        <w:t>del 6 al 24 de octubre de 2003.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