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9C5069" w14:textId="77777777" w:rsidR="00833D5A" w:rsidRPr="00E3559F" w:rsidRDefault="00833D5A" w:rsidP="00833D5A">
      <w:pPr>
        <w:spacing w:line="240" w:lineRule="auto"/>
        <w:ind w:left="1416" w:hanging="1416"/>
        <w:rPr>
          <w:rFonts w:eastAsia="Calibri" w:cs="Calibri"/>
          <w:b/>
          <w:sz w:val="20"/>
          <w:szCs w:val="20"/>
        </w:rPr>
      </w:pPr>
    </w:p>
    <w:p w14:paraId="44C5BE1C" w14:textId="77777777" w:rsidR="00833D5A" w:rsidRPr="00E3559F" w:rsidRDefault="00833D5A" w:rsidP="00833D5A">
      <w:pPr>
        <w:spacing w:line="240" w:lineRule="auto"/>
        <w:ind w:left="1416" w:hanging="1416"/>
        <w:rPr>
          <w:rFonts w:eastAsia="Calibri" w:cs="Calibri"/>
          <w:b/>
          <w:sz w:val="20"/>
          <w:szCs w:val="20"/>
        </w:rPr>
      </w:pPr>
    </w:p>
    <w:p w14:paraId="711B1C93" w14:textId="0D99D790" w:rsidR="00833D5A" w:rsidRPr="00E3559F" w:rsidRDefault="008C44B6" w:rsidP="008C44B6">
      <w:pPr>
        <w:tabs>
          <w:tab w:val="left" w:pos="7526"/>
        </w:tabs>
        <w:spacing w:line="240" w:lineRule="auto"/>
        <w:jc w:val="left"/>
        <w:rPr>
          <w:rFonts w:eastAsia="Calibri" w:cs="Calibri"/>
          <w:b/>
          <w:sz w:val="20"/>
          <w:szCs w:val="20"/>
        </w:rPr>
      </w:pPr>
      <w:r w:rsidRPr="00E3559F">
        <w:rPr>
          <w:rFonts w:eastAsia="Calibri" w:cs="Calibri"/>
          <w:b/>
          <w:sz w:val="20"/>
          <w:szCs w:val="20"/>
        </w:rPr>
        <w:tab/>
      </w:r>
    </w:p>
    <w:p w14:paraId="22CA0356" w14:textId="77777777" w:rsidR="008C44B6" w:rsidRPr="00E3559F" w:rsidRDefault="008C44B6" w:rsidP="00833D5A">
      <w:pPr>
        <w:spacing w:line="240" w:lineRule="auto"/>
        <w:jc w:val="center"/>
        <w:rPr>
          <w:rFonts w:eastAsia="Calibri" w:cs="Calibri"/>
          <w:b/>
          <w:sz w:val="20"/>
          <w:szCs w:val="20"/>
        </w:rPr>
        <w:sectPr w:rsidR="008C44B6" w:rsidRPr="00E3559F" w:rsidSect="0015243B">
          <w:headerReference w:type="default" r:id="rId8"/>
          <w:footerReference w:type="default" r:id="rId9"/>
          <w:pgSz w:w="12240" w:h="15840" w:code="1"/>
          <w:pgMar w:top="1440" w:right="1080" w:bottom="547" w:left="1080" w:header="706" w:footer="706" w:gutter="0"/>
          <w:cols w:space="708"/>
          <w:titlePg/>
          <w:docGrid w:linePitch="360"/>
        </w:sectPr>
      </w:pPr>
    </w:p>
    <w:p w14:paraId="38241C87" w14:textId="40528017" w:rsidR="00833D5A" w:rsidRPr="00E3559F" w:rsidRDefault="00833D5A" w:rsidP="00833D5A">
      <w:pPr>
        <w:spacing w:line="240" w:lineRule="auto"/>
        <w:jc w:val="center"/>
        <w:rPr>
          <w:rFonts w:eastAsia="Calibri" w:cs="Calibri"/>
          <w:b/>
          <w:sz w:val="20"/>
          <w:szCs w:val="20"/>
        </w:rPr>
      </w:pPr>
      <w:r w:rsidRPr="00E3559F">
        <w:rPr>
          <w:rFonts w:eastAsia="Calibri" w:cs="Calibri"/>
          <w:b/>
          <w:sz w:val="20"/>
          <w:szCs w:val="20"/>
        </w:rPr>
        <w:t>CORTE INTERAMERICANA DE DERECHOS HUMANOS</w:t>
      </w:r>
      <w:r w:rsidR="0081738A" w:rsidRPr="00E3559F">
        <w:rPr>
          <w:rStyle w:val="Refdenotaalpie"/>
          <w:rFonts w:eastAsia="Calibri" w:cs="Calibri"/>
          <w:b/>
          <w:sz w:val="20"/>
          <w:szCs w:val="20"/>
        </w:rPr>
        <w:footnoteReference w:customMarkFollows="1" w:id="1"/>
        <w:t>*</w:t>
      </w:r>
    </w:p>
    <w:p w14:paraId="7681C45A" w14:textId="77777777" w:rsidR="008C44B6" w:rsidRPr="00E3559F" w:rsidRDefault="008C44B6" w:rsidP="00833D5A">
      <w:pPr>
        <w:tabs>
          <w:tab w:val="left" w:pos="720"/>
        </w:tabs>
        <w:spacing w:line="240" w:lineRule="auto"/>
        <w:jc w:val="center"/>
        <w:rPr>
          <w:rFonts w:eastAsia="Calibri" w:cs="Verdana"/>
          <w:b/>
          <w:bCs/>
          <w:caps/>
          <w:snapToGrid w:val="0"/>
          <w:sz w:val="20"/>
          <w:szCs w:val="20"/>
          <w:lang w:eastAsia="es-ES"/>
        </w:rPr>
        <w:sectPr w:rsidR="008C44B6" w:rsidRPr="00E3559F" w:rsidSect="0015243B">
          <w:footnotePr>
            <w:numFmt w:val="chicago"/>
          </w:footnotePr>
          <w:type w:val="continuous"/>
          <w:pgSz w:w="12240" w:h="15840" w:code="1"/>
          <w:pgMar w:top="1440" w:right="1080" w:bottom="547" w:left="1080" w:header="706" w:footer="706" w:gutter="0"/>
          <w:cols w:space="708"/>
          <w:titlePg/>
          <w:docGrid w:linePitch="360"/>
        </w:sectPr>
      </w:pPr>
    </w:p>
    <w:p w14:paraId="5C673AE3" w14:textId="3AEECED6" w:rsidR="00833D5A" w:rsidRPr="00E3559F" w:rsidRDefault="00833D5A" w:rsidP="00833D5A">
      <w:pPr>
        <w:tabs>
          <w:tab w:val="left" w:pos="720"/>
        </w:tabs>
        <w:spacing w:line="240" w:lineRule="auto"/>
        <w:jc w:val="center"/>
        <w:rPr>
          <w:rFonts w:eastAsia="Calibri" w:cs="Verdana"/>
          <w:b/>
          <w:bCs/>
          <w:caps/>
          <w:snapToGrid w:val="0"/>
          <w:sz w:val="20"/>
          <w:szCs w:val="20"/>
          <w:lang w:eastAsia="es-ES"/>
        </w:rPr>
      </w:pPr>
    </w:p>
    <w:p w14:paraId="7F4AFA1E" w14:textId="151DC210" w:rsidR="00833D5A" w:rsidRPr="00E3559F" w:rsidRDefault="00833D5A" w:rsidP="00833D5A">
      <w:pPr>
        <w:spacing w:line="240" w:lineRule="auto"/>
        <w:jc w:val="center"/>
        <w:rPr>
          <w:rFonts w:eastAsia="Calibri" w:cs="Calibri"/>
          <w:b/>
          <w:sz w:val="20"/>
          <w:szCs w:val="20"/>
        </w:rPr>
      </w:pPr>
      <w:r w:rsidRPr="00E3559F">
        <w:rPr>
          <w:rFonts w:eastAsia="Calibri" w:cs="Calibri"/>
          <w:b/>
          <w:sz w:val="20"/>
          <w:szCs w:val="20"/>
        </w:rPr>
        <w:t xml:space="preserve">CASO </w:t>
      </w:r>
      <w:r w:rsidR="0081738A" w:rsidRPr="00E3559F">
        <w:rPr>
          <w:rFonts w:eastAsia="Calibri" w:cs="Calibri"/>
          <w:b/>
          <w:sz w:val="20"/>
          <w:szCs w:val="20"/>
        </w:rPr>
        <w:t>VALLE AMBROSIO Y OTRO</w:t>
      </w:r>
      <w:r w:rsidRPr="00E3559F">
        <w:rPr>
          <w:rFonts w:eastAsia="Calibri" w:cs="Calibri"/>
          <w:b/>
          <w:i/>
          <w:sz w:val="20"/>
          <w:szCs w:val="20"/>
        </w:rPr>
        <w:t xml:space="preserve"> VS</w:t>
      </w:r>
      <w:r w:rsidRPr="00E3559F">
        <w:rPr>
          <w:rFonts w:eastAsia="Calibri" w:cs="Calibri"/>
          <w:b/>
          <w:sz w:val="20"/>
          <w:szCs w:val="20"/>
        </w:rPr>
        <w:t xml:space="preserve">. </w:t>
      </w:r>
      <w:r w:rsidR="0081738A" w:rsidRPr="00E3559F">
        <w:rPr>
          <w:rFonts w:eastAsia="Calibri" w:cs="Calibri"/>
          <w:b/>
          <w:sz w:val="20"/>
          <w:szCs w:val="20"/>
        </w:rPr>
        <w:t>ARGENTINA</w:t>
      </w:r>
    </w:p>
    <w:p w14:paraId="7A6A4110" w14:textId="77777777" w:rsidR="00833D5A" w:rsidRPr="00E3559F" w:rsidRDefault="00833D5A" w:rsidP="00833D5A">
      <w:pPr>
        <w:tabs>
          <w:tab w:val="left" w:pos="720"/>
        </w:tabs>
        <w:spacing w:line="240" w:lineRule="auto"/>
        <w:jc w:val="center"/>
        <w:rPr>
          <w:rFonts w:eastAsia="Calibri" w:cs="Verdana"/>
          <w:b/>
          <w:bCs/>
          <w:caps/>
          <w:snapToGrid w:val="0"/>
          <w:sz w:val="20"/>
          <w:szCs w:val="20"/>
          <w:lang w:eastAsia="es-ES"/>
        </w:rPr>
      </w:pPr>
    </w:p>
    <w:p w14:paraId="594EFFDE" w14:textId="6294E1A6" w:rsidR="00833D5A" w:rsidRPr="00E3559F" w:rsidRDefault="00833D5A" w:rsidP="00833D5A">
      <w:pPr>
        <w:tabs>
          <w:tab w:val="left" w:pos="720"/>
        </w:tabs>
        <w:spacing w:line="240" w:lineRule="auto"/>
        <w:jc w:val="center"/>
        <w:rPr>
          <w:rFonts w:eastAsia="Calibri" w:cs="Verdana"/>
          <w:b/>
          <w:bCs/>
          <w:snapToGrid w:val="0"/>
          <w:sz w:val="20"/>
          <w:szCs w:val="20"/>
          <w:lang w:eastAsia="es-ES"/>
        </w:rPr>
      </w:pPr>
      <w:r w:rsidRPr="00E3559F">
        <w:rPr>
          <w:rFonts w:eastAsia="Calibri" w:cs="Verdana"/>
          <w:b/>
          <w:bCs/>
          <w:snapToGrid w:val="0"/>
          <w:sz w:val="20"/>
          <w:szCs w:val="20"/>
          <w:lang w:eastAsia="es-ES"/>
        </w:rPr>
        <w:t xml:space="preserve">SENTENCIA DE </w:t>
      </w:r>
      <w:r w:rsidR="009112DA" w:rsidRPr="00E3559F">
        <w:rPr>
          <w:rFonts w:eastAsia="Calibri" w:cs="Verdana"/>
          <w:b/>
          <w:bCs/>
          <w:snapToGrid w:val="0"/>
          <w:sz w:val="20"/>
          <w:szCs w:val="20"/>
          <w:lang w:eastAsia="es-ES"/>
        </w:rPr>
        <w:t>20</w:t>
      </w:r>
      <w:r w:rsidRPr="00E3559F">
        <w:rPr>
          <w:rFonts w:eastAsia="Calibri" w:cs="Verdana"/>
          <w:b/>
          <w:bCs/>
          <w:snapToGrid w:val="0"/>
          <w:sz w:val="20"/>
          <w:szCs w:val="20"/>
          <w:lang w:eastAsia="es-ES"/>
        </w:rPr>
        <w:t xml:space="preserve"> DE </w:t>
      </w:r>
      <w:r w:rsidR="009112DA" w:rsidRPr="00E3559F">
        <w:rPr>
          <w:rFonts w:eastAsia="Calibri" w:cs="Verdana"/>
          <w:b/>
          <w:bCs/>
          <w:snapToGrid w:val="0"/>
          <w:sz w:val="20"/>
          <w:szCs w:val="20"/>
          <w:lang w:eastAsia="es-ES"/>
        </w:rPr>
        <w:t xml:space="preserve">JULIO </w:t>
      </w:r>
      <w:r w:rsidRPr="00E3559F">
        <w:rPr>
          <w:rFonts w:eastAsia="Calibri" w:cs="Verdana"/>
          <w:b/>
          <w:bCs/>
          <w:snapToGrid w:val="0"/>
          <w:sz w:val="20"/>
          <w:szCs w:val="20"/>
          <w:lang w:eastAsia="es-ES"/>
        </w:rPr>
        <w:t xml:space="preserve">DE </w:t>
      </w:r>
      <w:r w:rsidR="00E12943" w:rsidRPr="00E3559F">
        <w:rPr>
          <w:rFonts w:eastAsia="Calibri" w:cs="Verdana"/>
          <w:b/>
          <w:bCs/>
          <w:snapToGrid w:val="0"/>
          <w:sz w:val="20"/>
          <w:szCs w:val="20"/>
          <w:lang w:eastAsia="es-ES"/>
        </w:rPr>
        <w:t>2020</w:t>
      </w:r>
    </w:p>
    <w:p w14:paraId="46BAC7A2" w14:textId="77777777" w:rsidR="00833D5A" w:rsidRPr="00E3559F" w:rsidRDefault="00833D5A" w:rsidP="00833D5A">
      <w:pPr>
        <w:tabs>
          <w:tab w:val="left" w:pos="720"/>
        </w:tabs>
        <w:spacing w:line="240" w:lineRule="auto"/>
        <w:jc w:val="center"/>
        <w:rPr>
          <w:rFonts w:eastAsia="Calibri" w:cs="Verdana"/>
          <w:b/>
          <w:bCs/>
          <w:caps/>
          <w:snapToGrid w:val="0"/>
          <w:sz w:val="20"/>
          <w:szCs w:val="20"/>
          <w:lang w:eastAsia="es-ES"/>
        </w:rPr>
      </w:pPr>
    </w:p>
    <w:p w14:paraId="06895F7B" w14:textId="4C924F19" w:rsidR="00833D5A" w:rsidRPr="00E3559F" w:rsidRDefault="005C543F" w:rsidP="00833D5A">
      <w:pPr>
        <w:tabs>
          <w:tab w:val="left" w:pos="720"/>
        </w:tabs>
        <w:spacing w:line="240" w:lineRule="auto"/>
        <w:jc w:val="center"/>
        <w:rPr>
          <w:rFonts w:eastAsia="Calibri" w:cs="Verdana"/>
          <w:b/>
          <w:bCs/>
          <w:caps/>
          <w:snapToGrid w:val="0"/>
          <w:sz w:val="20"/>
          <w:szCs w:val="20"/>
          <w:lang w:eastAsia="es-ES"/>
        </w:rPr>
      </w:pPr>
      <w:r w:rsidRPr="00E3559F">
        <w:rPr>
          <w:rFonts w:eastAsia="Calibri" w:cs="Verdana"/>
          <w:b/>
          <w:bCs/>
          <w:i/>
          <w:iCs/>
          <w:snapToGrid w:val="0"/>
          <w:sz w:val="20"/>
          <w:szCs w:val="20"/>
          <w:lang w:eastAsia="es-ES"/>
        </w:rPr>
        <w:t>(</w:t>
      </w:r>
      <w:r w:rsidR="009A60AA" w:rsidRPr="00E3559F">
        <w:rPr>
          <w:rFonts w:eastAsia="Calibri" w:cs="Verdana"/>
          <w:b/>
          <w:bCs/>
          <w:i/>
          <w:iCs/>
          <w:snapToGrid w:val="0"/>
          <w:sz w:val="20"/>
          <w:szCs w:val="20"/>
          <w:lang w:eastAsia="es-ES"/>
        </w:rPr>
        <w:t>Fondo y</w:t>
      </w:r>
      <w:r w:rsidR="00833D5A" w:rsidRPr="00E3559F">
        <w:rPr>
          <w:rFonts w:eastAsia="Calibri" w:cs="Verdana"/>
          <w:b/>
          <w:bCs/>
          <w:i/>
          <w:iCs/>
          <w:snapToGrid w:val="0"/>
          <w:sz w:val="20"/>
          <w:szCs w:val="20"/>
          <w:lang w:eastAsia="es-ES"/>
        </w:rPr>
        <w:t xml:space="preserve"> Reparaciones)</w:t>
      </w:r>
    </w:p>
    <w:p w14:paraId="5F20AC0D" w14:textId="77777777" w:rsidR="00833D5A" w:rsidRPr="00E3559F" w:rsidRDefault="00DC51F8" w:rsidP="00DC51F8">
      <w:pPr>
        <w:tabs>
          <w:tab w:val="left" w:pos="3819"/>
        </w:tabs>
        <w:spacing w:before="4" w:line="280" w:lineRule="exact"/>
        <w:rPr>
          <w:rFonts w:eastAsia="Calibri"/>
          <w:sz w:val="20"/>
          <w:szCs w:val="20"/>
        </w:rPr>
      </w:pPr>
      <w:r w:rsidRPr="00E3559F">
        <w:rPr>
          <w:rFonts w:eastAsia="Calibri"/>
          <w:sz w:val="20"/>
          <w:szCs w:val="20"/>
        </w:rPr>
        <w:tab/>
      </w:r>
    </w:p>
    <w:p w14:paraId="6F10500E" w14:textId="000DAF98" w:rsidR="00833D5A" w:rsidRPr="00E3559F" w:rsidRDefault="00833D5A" w:rsidP="00833D5A">
      <w:pPr>
        <w:tabs>
          <w:tab w:val="left" w:pos="720"/>
        </w:tabs>
        <w:spacing w:line="240" w:lineRule="auto"/>
        <w:rPr>
          <w:rFonts w:eastAsia="Verdana" w:cs="Verdana"/>
          <w:sz w:val="20"/>
          <w:szCs w:val="20"/>
        </w:rPr>
      </w:pPr>
      <w:r w:rsidRPr="00E3559F">
        <w:rPr>
          <w:rFonts w:eastAsia="Verdana" w:cs="Verdana"/>
          <w:sz w:val="20"/>
          <w:szCs w:val="20"/>
        </w:rPr>
        <w:t xml:space="preserve">En el caso </w:t>
      </w:r>
      <w:r w:rsidR="0081738A" w:rsidRPr="00E3559F">
        <w:rPr>
          <w:rFonts w:eastAsia="Verdana" w:cs="Verdana"/>
          <w:i/>
          <w:sz w:val="20"/>
          <w:szCs w:val="20"/>
        </w:rPr>
        <w:t>Valle Ambrosio y otro Vs. Argentina</w:t>
      </w:r>
      <w:r w:rsidRPr="00E3559F">
        <w:rPr>
          <w:rFonts w:eastAsia="Verdana" w:cs="Verdana"/>
          <w:sz w:val="20"/>
          <w:szCs w:val="20"/>
        </w:rPr>
        <w:t>,</w:t>
      </w:r>
    </w:p>
    <w:p w14:paraId="5FDC0A1E" w14:textId="77777777" w:rsidR="00833D5A" w:rsidRPr="00E3559F" w:rsidRDefault="00833D5A" w:rsidP="00833D5A">
      <w:pPr>
        <w:spacing w:before="4" w:line="240" w:lineRule="exact"/>
        <w:rPr>
          <w:rFonts w:eastAsia="Calibri"/>
          <w:sz w:val="20"/>
          <w:szCs w:val="20"/>
        </w:rPr>
      </w:pPr>
    </w:p>
    <w:p w14:paraId="177D036F" w14:textId="77777777" w:rsidR="00833D5A" w:rsidRPr="00E3559F" w:rsidRDefault="00833D5A" w:rsidP="00833D5A">
      <w:pPr>
        <w:tabs>
          <w:tab w:val="left" w:pos="720"/>
        </w:tabs>
        <w:spacing w:line="240" w:lineRule="auto"/>
        <w:rPr>
          <w:rFonts w:eastAsia="Calibri" w:cs="Verdana"/>
          <w:sz w:val="20"/>
          <w:szCs w:val="20"/>
        </w:rPr>
      </w:pPr>
      <w:r w:rsidRPr="00E3559F">
        <w:rPr>
          <w:rFonts w:eastAsia="Calibri" w:cs="Verdana"/>
          <w:sz w:val="20"/>
          <w:szCs w:val="20"/>
        </w:rPr>
        <w:t>la Corte Interamericana de Derechos Humanos (en adelante “la Corte Interamericana”, “la Corte” o “este Tribunal”), integrada por los siguientes jueces:</w:t>
      </w:r>
      <w:r w:rsidR="00215B98" w:rsidRPr="00E3559F">
        <w:rPr>
          <w:rFonts w:eastAsia="Calibri" w:cs="Verdana"/>
          <w:sz w:val="20"/>
          <w:szCs w:val="20"/>
        </w:rPr>
        <w:tab/>
      </w:r>
    </w:p>
    <w:p w14:paraId="31F96755" w14:textId="77777777" w:rsidR="00833D5A" w:rsidRPr="00E3559F" w:rsidRDefault="00833D5A" w:rsidP="00833D5A">
      <w:pPr>
        <w:tabs>
          <w:tab w:val="left" w:pos="720"/>
        </w:tabs>
        <w:spacing w:line="240" w:lineRule="auto"/>
        <w:rPr>
          <w:rFonts w:eastAsia="Calibri" w:cs="Verdana"/>
          <w:sz w:val="20"/>
          <w:szCs w:val="20"/>
        </w:rPr>
      </w:pPr>
    </w:p>
    <w:p w14:paraId="47FDEF96" w14:textId="22BE9C04" w:rsidR="00833D5A" w:rsidRPr="00E3559F" w:rsidRDefault="00E12943" w:rsidP="00833D5A">
      <w:pPr>
        <w:tabs>
          <w:tab w:val="left" w:pos="720"/>
        </w:tabs>
        <w:spacing w:line="240" w:lineRule="auto"/>
        <w:rPr>
          <w:rFonts w:eastAsia="Calibri" w:cs="Verdana"/>
          <w:sz w:val="20"/>
          <w:szCs w:val="20"/>
        </w:rPr>
      </w:pPr>
      <w:r w:rsidRPr="00E3559F">
        <w:rPr>
          <w:rFonts w:eastAsia="Calibri" w:cs="Verdana"/>
          <w:sz w:val="20"/>
          <w:szCs w:val="20"/>
        </w:rPr>
        <w:t>Elizabeth Odio Benito, Presidenta</w:t>
      </w:r>
      <w:r w:rsidR="00833D5A" w:rsidRPr="00E3559F">
        <w:rPr>
          <w:rFonts w:eastAsia="Calibri" w:cs="Verdana"/>
          <w:sz w:val="20"/>
          <w:szCs w:val="20"/>
        </w:rPr>
        <w:t>;</w:t>
      </w:r>
    </w:p>
    <w:p w14:paraId="73DD20CF" w14:textId="68FD0562" w:rsidR="00833D5A" w:rsidRPr="00E3559F" w:rsidRDefault="00E12943" w:rsidP="00833D5A">
      <w:pPr>
        <w:tabs>
          <w:tab w:val="left" w:pos="720"/>
        </w:tabs>
        <w:spacing w:line="240" w:lineRule="auto"/>
        <w:rPr>
          <w:rFonts w:eastAsia="Calibri" w:cs="Verdana"/>
          <w:sz w:val="20"/>
          <w:szCs w:val="20"/>
        </w:rPr>
      </w:pPr>
      <w:r w:rsidRPr="00E3559F">
        <w:rPr>
          <w:rFonts w:eastAsia="Calibri" w:cs="Verdana"/>
          <w:sz w:val="20"/>
          <w:szCs w:val="20"/>
        </w:rPr>
        <w:t>L. Patricio Pazmiño Freire</w:t>
      </w:r>
      <w:r w:rsidR="00833D5A" w:rsidRPr="00E3559F">
        <w:rPr>
          <w:rFonts w:eastAsia="Calibri" w:cs="Verdana"/>
          <w:sz w:val="20"/>
          <w:szCs w:val="20"/>
        </w:rPr>
        <w:t xml:space="preserve">, </w:t>
      </w:r>
      <w:r w:rsidR="004F53EE" w:rsidRPr="00E3559F">
        <w:rPr>
          <w:rFonts w:eastAsia="Calibri" w:cs="Verdana"/>
          <w:sz w:val="20"/>
          <w:szCs w:val="20"/>
        </w:rPr>
        <w:t>Vicepresidente</w:t>
      </w:r>
      <w:r w:rsidR="00833D5A" w:rsidRPr="00E3559F">
        <w:rPr>
          <w:rFonts w:eastAsia="Calibri" w:cs="Verdana"/>
          <w:sz w:val="20"/>
          <w:szCs w:val="20"/>
        </w:rPr>
        <w:t>;</w:t>
      </w:r>
    </w:p>
    <w:p w14:paraId="4DC47E2E" w14:textId="728BCE32" w:rsidR="00E12943" w:rsidRPr="00E3559F" w:rsidRDefault="00E12943" w:rsidP="00833D5A">
      <w:pPr>
        <w:tabs>
          <w:tab w:val="left" w:pos="720"/>
        </w:tabs>
        <w:spacing w:line="240" w:lineRule="auto"/>
        <w:rPr>
          <w:rFonts w:eastAsia="Calibri" w:cs="Verdana"/>
          <w:sz w:val="20"/>
          <w:szCs w:val="20"/>
        </w:rPr>
      </w:pPr>
      <w:r w:rsidRPr="00E3559F">
        <w:rPr>
          <w:rFonts w:eastAsia="Calibri" w:cs="Verdana"/>
          <w:sz w:val="20"/>
          <w:szCs w:val="20"/>
        </w:rPr>
        <w:t>Eduardo Vio Grossi</w:t>
      </w:r>
      <w:r w:rsidR="000C4C35" w:rsidRPr="00E3559F">
        <w:rPr>
          <w:rFonts w:eastAsia="Calibri" w:cs="Verdana"/>
          <w:sz w:val="20"/>
          <w:szCs w:val="20"/>
        </w:rPr>
        <w:t>,</w:t>
      </w:r>
      <w:r w:rsidRPr="00E3559F">
        <w:rPr>
          <w:rFonts w:eastAsia="Calibri" w:cs="Verdana"/>
          <w:sz w:val="20"/>
          <w:szCs w:val="20"/>
        </w:rPr>
        <w:t xml:space="preserve"> Juez</w:t>
      </w:r>
      <w:r w:rsidR="00B1011B">
        <w:rPr>
          <w:rFonts w:eastAsia="Calibri" w:cs="Verdana"/>
          <w:sz w:val="20"/>
          <w:szCs w:val="20"/>
        </w:rPr>
        <w:t>;</w:t>
      </w:r>
    </w:p>
    <w:p w14:paraId="0540A4CE" w14:textId="46E3D23E" w:rsidR="00833D5A" w:rsidRPr="00E3559F" w:rsidRDefault="00833D5A" w:rsidP="00833D5A">
      <w:pPr>
        <w:tabs>
          <w:tab w:val="left" w:pos="720"/>
        </w:tabs>
        <w:spacing w:line="240" w:lineRule="auto"/>
        <w:rPr>
          <w:rFonts w:eastAsia="Calibri" w:cs="Verdana"/>
          <w:sz w:val="20"/>
          <w:szCs w:val="20"/>
        </w:rPr>
      </w:pPr>
      <w:r w:rsidRPr="00E3559F">
        <w:rPr>
          <w:rFonts w:eastAsia="Calibri" w:cs="Verdana"/>
          <w:sz w:val="20"/>
          <w:szCs w:val="20"/>
        </w:rPr>
        <w:t>Humberto Antonio Sierra Porto, Juez;</w:t>
      </w:r>
    </w:p>
    <w:p w14:paraId="2D05715C" w14:textId="52D24486" w:rsidR="00E12943" w:rsidRPr="00E3559F" w:rsidRDefault="00E12943" w:rsidP="00833D5A">
      <w:pPr>
        <w:tabs>
          <w:tab w:val="left" w:pos="720"/>
        </w:tabs>
        <w:spacing w:line="240" w:lineRule="auto"/>
        <w:rPr>
          <w:rFonts w:eastAsia="Calibri" w:cs="Verdana"/>
          <w:sz w:val="20"/>
          <w:szCs w:val="20"/>
        </w:rPr>
      </w:pPr>
      <w:r w:rsidRPr="00E3559F">
        <w:rPr>
          <w:rFonts w:eastAsia="Calibri" w:cs="Verdana"/>
          <w:sz w:val="20"/>
          <w:szCs w:val="20"/>
        </w:rPr>
        <w:t>Eduardo Ferrer Mac-Gregor Poisot</w:t>
      </w:r>
      <w:r w:rsidR="0081738A" w:rsidRPr="00E3559F">
        <w:rPr>
          <w:rFonts w:eastAsia="Calibri" w:cs="Verdana"/>
          <w:sz w:val="20"/>
          <w:szCs w:val="20"/>
        </w:rPr>
        <w:t>, Juez, y</w:t>
      </w:r>
    </w:p>
    <w:p w14:paraId="434D5E0A" w14:textId="7FBFB409" w:rsidR="00E32DA9" w:rsidRPr="00E3559F" w:rsidRDefault="00E12943" w:rsidP="00E32DA9">
      <w:pPr>
        <w:tabs>
          <w:tab w:val="left" w:pos="720"/>
        </w:tabs>
        <w:spacing w:line="240" w:lineRule="auto"/>
        <w:rPr>
          <w:rFonts w:eastAsia="Calibri" w:cs="Verdana"/>
          <w:sz w:val="20"/>
          <w:szCs w:val="20"/>
        </w:rPr>
      </w:pPr>
      <w:r w:rsidRPr="00E3559F">
        <w:rPr>
          <w:rFonts w:eastAsia="Calibri" w:cs="Verdana"/>
          <w:sz w:val="20"/>
          <w:szCs w:val="20"/>
        </w:rPr>
        <w:t>Ricardo Pérez Manrique, Juez.</w:t>
      </w:r>
    </w:p>
    <w:p w14:paraId="0A1D797B" w14:textId="77777777" w:rsidR="00833D5A" w:rsidRPr="00E3559F" w:rsidRDefault="00833D5A" w:rsidP="00833D5A">
      <w:pPr>
        <w:tabs>
          <w:tab w:val="left" w:pos="720"/>
        </w:tabs>
        <w:spacing w:line="240" w:lineRule="auto"/>
        <w:rPr>
          <w:rFonts w:eastAsia="Calibri" w:cs="Verdana"/>
          <w:sz w:val="20"/>
          <w:szCs w:val="20"/>
        </w:rPr>
      </w:pPr>
    </w:p>
    <w:p w14:paraId="27CA20FA" w14:textId="77777777" w:rsidR="00833D5A" w:rsidRPr="00E3559F" w:rsidRDefault="00833D5A" w:rsidP="00833D5A">
      <w:pPr>
        <w:tabs>
          <w:tab w:val="left" w:pos="720"/>
        </w:tabs>
        <w:spacing w:line="240" w:lineRule="auto"/>
        <w:rPr>
          <w:rFonts w:eastAsia="Calibri" w:cs="Verdana"/>
          <w:sz w:val="20"/>
          <w:szCs w:val="20"/>
        </w:rPr>
      </w:pPr>
      <w:r w:rsidRPr="00E3559F">
        <w:rPr>
          <w:rFonts w:eastAsia="Calibri" w:cs="Verdana"/>
          <w:sz w:val="20"/>
          <w:szCs w:val="20"/>
        </w:rPr>
        <w:t>presente además,</w:t>
      </w:r>
    </w:p>
    <w:p w14:paraId="105FE0A1" w14:textId="77777777" w:rsidR="00833D5A" w:rsidRPr="00E3559F" w:rsidRDefault="00833D5A" w:rsidP="00833D5A">
      <w:pPr>
        <w:tabs>
          <w:tab w:val="left" w:pos="720"/>
        </w:tabs>
        <w:spacing w:line="240" w:lineRule="auto"/>
        <w:rPr>
          <w:rFonts w:eastAsia="Calibri" w:cs="Verdana"/>
          <w:sz w:val="20"/>
          <w:szCs w:val="20"/>
        </w:rPr>
      </w:pPr>
    </w:p>
    <w:p w14:paraId="493930BE" w14:textId="668DF943" w:rsidR="00833D5A" w:rsidRPr="00E3559F" w:rsidRDefault="00833D5A" w:rsidP="001468CE">
      <w:pPr>
        <w:tabs>
          <w:tab w:val="left" w:pos="720"/>
        </w:tabs>
        <w:spacing w:line="240" w:lineRule="auto"/>
        <w:rPr>
          <w:rFonts w:eastAsia="Calibri" w:cs="Verdana"/>
          <w:strike/>
          <w:sz w:val="20"/>
          <w:szCs w:val="20"/>
        </w:rPr>
      </w:pPr>
      <w:r w:rsidRPr="00E3559F">
        <w:rPr>
          <w:rFonts w:eastAsia="Calibri" w:cs="Verdana"/>
          <w:sz w:val="20"/>
          <w:szCs w:val="20"/>
        </w:rPr>
        <w:t>Pablo Saavedra Alessandri, Secretario</w:t>
      </w:r>
      <w:r w:rsidR="001468CE" w:rsidRPr="00E3559F">
        <w:rPr>
          <w:rFonts w:eastAsia="Calibri" w:cs="Verdana"/>
          <w:sz w:val="20"/>
          <w:szCs w:val="20"/>
        </w:rPr>
        <w:t>,</w:t>
      </w:r>
    </w:p>
    <w:p w14:paraId="320FC1F7" w14:textId="77777777" w:rsidR="00833D5A" w:rsidRPr="00E3559F" w:rsidRDefault="00833D5A" w:rsidP="00833D5A">
      <w:pPr>
        <w:tabs>
          <w:tab w:val="left" w:pos="720"/>
        </w:tabs>
        <w:spacing w:line="240" w:lineRule="auto"/>
        <w:rPr>
          <w:rFonts w:eastAsia="Calibri" w:cs="Verdana"/>
          <w:sz w:val="20"/>
          <w:szCs w:val="20"/>
        </w:rPr>
      </w:pPr>
    </w:p>
    <w:p w14:paraId="2190EB83" w14:textId="77777777" w:rsidR="00833D5A" w:rsidRPr="00E3559F" w:rsidRDefault="00833D5A" w:rsidP="00833D5A">
      <w:pPr>
        <w:tabs>
          <w:tab w:val="left" w:pos="720"/>
        </w:tabs>
        <w:spacing w:line="240" w:lineRule="auto"/>
        <w:rPr>
          <w:rFonts w:eastAsia="Calibri" w:cs="Verdana"/>
          <w:sz w:val="20"/>
          <w:szCs w:val="20"/>
        </w:rPr>
      </w:pPr>
      <w:r w:rsidRPr="00E3559F">
        <w:rPr>
          <w:rFonts w:eastAsia="Calibri" w:cs="Verdana"/>
          <w:sz w:val="20"/>
          <w:szCs w:val="20"/>
        </w:rPr>
        <w:t>de conformidad con los artículos 62.3 y 63.1 de la Convención Americana sobre Derechos Humanos (en adelante “la Convención Americana” o “la Convención”) y con los artículos 31, 32, 62, 65 y 67 del Reglamento de la Corte (en adelante “el Reglamento” o “</w:t>
      </w:r>
      <w:r w:rsidR="00B9451F" w:rsidRPr="00E3559F">
        <w:rPr>
          <w:rFonts w:eastAsia="Calibri" w:cs="Verdana"/>
          <w:sz w:val="20"/>
          <w:szCs w:val="20"/>
        </w:rPr>
        <w:t xml:space="preserve">el </w:t>
      </w:r>
      <w:r w:rsidRPr="00E3559F">
        <w:rPr>
          <w:rFonts w:eastAsia="Calibri" w:cs="Verdana"/>
          <w:sz w:val="20"/>
          <w:szCs w:val="20"/>
        </w:rPr>
        <w:t>Reglamento de la Corte”), dicta la presente Sentencia, que se estructura en el siguiente orden:</w:t>
      </w:r>
    </w:p>
    <w:p w14:paraId="4FA7BEB4" w14:textId="77777777" w:rsidR="00833D5A" w:rsidRPr="00E3559F" w:rsidRDefault="00833D5A" w:rsidP="00637174">
      <w:pPr>
        <w:spacing w:before="4" w:line="280" w:lineRule="exact"/>
        <w:rPr>
          <w:rFonts w:eastAsia="Calibri"/>
          <w:sz w:val="20"/>
          <w:szCs w:val="20"/>
        </w:rPr>
      </w:pPr>
    </w:p>
    <w:p w14:paraId="714BEF7B" w14:textId="77777777" w:rsidR="00833D5A" w:rsidRPr="00E3559F" w:rsidRDefault="00833D5A" w:rsidP="00637174">
      <w:pPr>
        <w:spacing w:before="4" w:line="280" w:lineRule="exact"/>
        <w:rPr>
          <w:rFonts w:eastAsia="Calibri"/>
          <w:sz w:val="20"/>
          <w:szCs w:val="20"/>
        </w:rPr>
      </w:pPr>
    </w:p>
    <w:p w14:paraId="092F37B3" w14:textId="77777777" w:rsidR="00833D5A" w:rsidRPr="00E3559F" w:rsidRDefault="00833D5A" w:rsidP="00833D5A">
      <w:pPr>
        <w:rPr>
          <w:rFonts w:eastAsia="Verdana" w:cs="Verdana"/>
          <w:position w:val="-1"/>
          <w:sz w:val="20"/>
          <w:szCs w:val="20"/>
        </w:rPr>
      </w:pPr>
      <w:r w:rsidRPr="00E3559F">
        <w:rPr>
          <w:rFonts w:eastAsia="Verdana" w:cs="Verdana"/>
          <w:position w:val="-1"/>
          <w:sz w:val="20"/>
          <w:szCs w:val="20"/>
        </w:rPr>
        <w:br w:type="page"/>
      </w:r>
    </w:p>
    <w:sdt>
      <w:sdtPr>
        <w:rPr>
          <w:rFonts w:eastAsia="Times New Roman"/>
          <w:b w:val="0"/>
          <w:noProof w:val="0"/>
          <w:sz w:val="22"/>
          <w:szCs w:val="22"/>
        </w:rPr>
        <w:id w:val="1909802414"/>
        <w:docPartObj>
          <w:docPartGallery w:val="Table of Contents"/>
          <w:docPartUnique/>
        </w:docPartObj>
      </w:sdtPr>
      <w:sdtEndPr/>
      <w:sdtContent>
        <w:p w14:paraId="4081B2FD" w14:textId="2800ED7D" w:rsidR="00B748C2" w:rsidRPr="00E3559F" w:rsidRDefault="00B748C2" w:rsidP="00F735CB">
          <w:pPr>
            <w:pStyle w:val="TDC1"/>
          </w:pPr>
          <w:r w:rsidRPr="00E3559F">
            <w:t>TABLA DE CONTENIDOS</w:t>
          </w:r>
        </w:p>
        <w:p w14:paraId="573038E0" w14:textId="77777777" w:rsidR="00B748C2" w:rsidRPr="00E3559F" w:rsidRDefault="00B748C2" w:rsidP="00B343DA">
          <w:pPr>
            <w:rPr>
              <w:sz w:val="20"/>
              <w:szCs w:val="20"/>
            </w:rPr>
          </w:pPr>
        </w:p>
        <w:p w14:paraId="04FFE87C" w14:textId="0EAFFE7A" w:rsidR="00A80127" w:rsidRPr="00E3559F" w:rsidRDefault="003C5D40" w:rsidP="00F735CB">
          <w:pPr>
            <w:pStyle w:val="TDC1"/>
            <w:rPr>
              <w:rFonts w:asciiTheme="minorHAnsi" w:eastAsiaTheme="minorEastAsia" w:hAnsiTheme="minorHAnsi" w:cstheme="minorBidi"/>
            </w:rPr>
          </w:pPr>
          <w:r w:rsidRPr="00E3559F">
            <w:rPr>
              <w:rFonts w:cs="Verdana"/>
              <w:caps/>
              <w:noProof w:val="0"/>
              <w:snapToGrid w:val="0"/>
              <w:lang w:val="en-US" w:eastAsia="ja-JP"/>
            </w:rPr>
            <w:fldChar w:fldCharType="begin"/>
          </w:r>
          <w:r w:rsidRPr="00E3559F">
            <w:instrText xml:space="preserve"> TOC \o "1-3" \h \z \u </w:instrText>
          </w:r>
          <w:r w:rsidRPr="00E3559F">
            <w:rPr>
              <w:rFonts w:cs="Verdana"/>
              <w:caps/>
              <w:noProof w:val="0"/>
              <w:snapToGrid w:val="0"/>
              <w:lang w:val="en-US" w:eastAsia="ja-JP"/>
            </w:rPr>
            <w:fldChar w:fldCharType="separate"/>
          </w:r>
          <w:hyperlink w:anchor="_Toc46250470" w:history="1">
            <w:r w:rsidR="00A80127" w:rsidRPr="00E3559F">
              <w:rPr>
                <w:rStyle w:val="Hipervnculo"/>
                <w:color w:val="auto"/>
              </w:rPr>
              <w:t>I INTRODUCCIÓN DE LA CAUSA Y OBJETO DE LA CONTROVERSIA</w:t>
            </w:r>
            <w:r w:rsidR="00A80127" w:rsidRPr="00E3559F">
              <w:rPr>
                <w:webHidden/>
              </w:rPr>
              <w:tab/>
            </w:r>
            <w:r w:rsidR="00A80127" w:rsidRPr="00E3559F">
              <w:rPr>
                <w:webHidden/>
              </w:rPr>
              <w:fldChar w:fldCharType="begin"/>
            </w:r>
            <w:r w:rsidR="00A80127" w:rsidRPr="00E3559F">
              <w:rPr>
                <w:webHidden/>
              </w:rPr>
              <w:instrText xml:space="preserve"> PAGEREF _Toc46250470 \h </w:instrText>
            </w:r>
            <w:r w:rsidR="00A80127" w:rsidRPr="00E3559F">
              <w:rPr>
                <w:webHidden/>
              </w:rPr>
            </w:r>
            <w:r w:rsidR="00A80127" w:rsidRPr="00E3559F">
              <w:rPr>
                <w:webHidden/>
              </w:rPr>
              <w:fldChar w:fldCharType="separate"/>
            </w:r>
            <w:r w:rsidR="004E012F">
              <w:rPr>
                <w:webHidden/>
              </w:rPr>
              <w:t>3</w:t>
            </w:r>
            <w:r w:rsidR="00A80127" w:rsidRPr="00E3559F">
              <w:rPr>
                <w:webHidden/>
              </w:rPr>
              <w:fldChar w:fldCharType="end"/>
            </w:r>
          </w:hyperlink>
        </w:p>
        <w:p w14:paraId="6886891A" w14:textId="5432EC13" w:rsidR="00A80127" w:rsidRPr="00E3559F" w:rsidRDefault="00AB438F" w:rsidP="00F735CB">
          <w:pPr>
            <w:pStyle w:val="TDC1"/>
            <w:rPr>
              <w:rFonts w:asciiTheme="minorHAnsi" w:eastAsiaTheme="minorEastAsia" w:hAnsiTheme="minorHAnsi" w:cstheme="minorBidi"/>
            </w:rPr>
          </w:pPr>
          <w:hyperlink w:anchor="_Toc46250471" w:history="1">
            <w:r w:rsidR="00A80127" w:rsidRPr="00E3559F">
              <w:rPr>
                <w:rStyle w:val="Hipervnculo"/>
                <w:color w:val="auto"/>
              </w:rPr>
              <w:t>II PROCEDIMIENTO ANTE LA CORTE</w:t>
            </w:r>
            <w:r w:rsidR="00A80127" w:rsidRPr="00E3559F">
              <w:rPr>
                <w:webHidden/>
              </w:rPr>
              <w:tab/>
            </w:r>
            <w:r w:rsidR="00A80127" w:rsidRPr="00E3559F">
              <w:rPr>
                <w:webHidden/>
              </w:rPr>
              <w:fldChar w:fldCharType="begin"/>
            </w:r>
            <w:r w:rsidR="00A80127" w:rsidRPr="00E3559F">
              <w:rPr>
                <w:webHidden/>
              </w:rPr>
              <w:instrText xml:space="preserve"> PAGEREF _Toc46250471 \h </w:instrText>
            </w:r>
            <w:r w:rsidR="00A80127" w:rsidRPr="00E3559F">
              <w:rPr>
                <w:webHidden/>
              </w:rPr>
            </w:r>
            <w:r w:rsidR="00A80127" w:rsidRPr="00E3559F">
              <w:rPr>
                <w:webHidden/>
              </w:rPr>
              <w:fldChar w:fldCharType="separate"/>
            </w:r>
            <w:r w:rsidR="004E012F">
              <w:rPr>
                <w:webHidden/>
              </w:rPr>
              <w:t>4</w:t>
            </w:r>
            <w:r w:rsidR="00A80127" w:rsidRPr="00E3559F">
              <w:rPr>
                <w:webHidden/>
              </w:rPr>
              <w:fldChar w:fldCharType="end"/>
            </w:r>
          </w:hyperlink>
        </w:p>
        <w:p w14:paraId="0C46A329" w14:textId="0C6C219B" w:rsidR="00A80127" w:rsidRPr="00E3559F" w:rsidRDefault="00AB438F" w:rsidP="00F735CB">
          <w:pPr>
            <w:pStyle w:val="TDC1"/>
            <w:rPr>
              <w:rFonts w:asciiTheme="minorHAnsi" w:eastAsiaTheme="minorEastAsia" w:hAnsiTheme="minorHAnsi" w:cstheme="minorBidi"/>
            </w:rPr>
          </w:pPr>
          <w:hyperlink w:anchor="_Toc46250472" w:history="1">
            <w:r w:rsidR="00A80127" w:rsidRPr="00E3559F">
              <w:rPr>
                <w:rStyle w:val="Hipervnculo"/>
                <w:color w:val="auto"/>
              </w:rPr>
              <w:t>III COMPETENCIA</w:t>
            </w:r>
            <w:r w:rsidR="00A80127" w:rsidRPr="00E3559F">
              <w:rPr>
                <w:webHidden/>
              </w:rPr>
              <w:tab/>
            </w:r>
            <w:r w:rsidR="00A80127" w:rsidRPr="00E3559F">
              <w:rPr>
                <w:webHidden/>
              </w:rPr>
              <w:fldChar w:fldCharType="begin"/>
            </w:r>
            <w:r w:rsidR="00A80127" w:rsidRPr="00E3559F">
              <w:rPr>
                <w:webHidden/>
              </w:rPr>
              <w:instrText xml:space="preserve"> PAGEREF _Toc46250472 \h </w:instrText>
            </w:r>
            <w:r w:rsidR="00A80127" w:rsidRPr="00E3559F">
              <w:rPr>
                <w:webHidden/>
              </w:rPr>
            </w:r>
            <w:r w:rsidR="00A80127" w:rsidRPr="00E3559F">
              <w:rPr>
                <w:webHidden/>
              </w:rPr>
              <w:fldChar w:fldCharType="separate"/>
            </w:r>
            <w:r w:rsidR="004E012F">
              <w:rPr>
                <w:webHidden/>
              </w:rPr>
              <w:t>5</w:t>
            </w:r>
            <w:r w:rsidR="00A80127" w:rsidRPr="00E3559F">
              <w:rPr>
                <w:webHidden/>
              </w:rPr>
              <w:fldChar w:fldCharType="end"/>
            </w:r>
          </w:hyperlink>
        </w:p>
        <w:p w14:paraId="0CEE00EA" w14:textId="7F2AA3E3" w:rsidR="00A80127" w:rsidRPr="00E3559F" w:rsidRDefault="00AB438F" w:rsidP="00F735CB">
          <w:pPr>
            <w:pStyle w:val="TDC1"/>
            <w:rPr>
              <w:rFonts w:asciiTheme="minorHAnsi" w:eastAsiaTheme="minorEastAsia" w:hAnsiTheme="minorHAnsi" w:cstheme="minorBidi"/>
            </w:rPr>
          </w:pPr>
          <w:hyperlink w:anchor="_Toc46250473" w:history="1">
            <w:r w:rsidR="00A80127" w:rsidRPr="00E3559F">
              <w:rPr>
                <w:rStyle w:val="Hipervnculo"/>
                <w:color w:val="auto"/>
              </w:rPr>
              <w:t>IV PRUEBA</w:t>
            </w:r>
            <w:r w:rsidR="00A80127" w:rsidRPr="00E3559F">
              <w:rPr>
                <w:webHidden/>
              </w:rPr>
              <w:tab/>
            </w:r>
            <w:r w:rsidR="00A80127" w:rsidRPr="00E3559F">
              <w:rPr>
                <w:webHidden/>
              </w:rPr>
              <w:fldChar w:fldCharType="begin"/>
            </w:r>
            <w:r w:rsidR="00A80127" w:rsidRPr="00E3559F">
              <w:rPr>
                <w:webHidden/>
              </w:rPr>
              <w:instrText xml:space="preserve"> PAGEREF _Toc46250473 \h </w:instrText>
            </w:r>
            <w:r w:rsidR="00A80127" w:rsidRPr="00E3559F">
              <w:rPr>
                <w:webHidden/>
              </w:rPr>
            </w:r>
            <w:r w:rsidR="00A80127" w:rsidRPr="00E3559F">
              <w:rPr>
                <w:webHidden/>
              </w:rPr>
              <w:fldChar w:fldCharType="separate"/>
            </w:r>
            <w:r w:rsidR="004E012F">
              <w:rPr>
                <w:webHidden/>
              </w:rPr>
              <w:t>5</w:t>
            </w:r>
            <w:r w:rsidR="00A80127" w:rsidRPr="00E3559F">
              <w:rPr>
                <w:webHidden/>
              </w:rPr>
              <w:fldChar w:fldCharType="end"/>
            </w:r>
          </w:hyperlink>
        </w:p>
        <w:p w14:paraId="21A5BA25" w14:textId="67392E8E" w:rsidR="00A80127" w:rsidRPr="00E3559F" w:rsidRDefault="00AB438F">
          <w:pPr>
            <w:pStyle w:val="TDC2"/>
            <w:rPr>
              <w:rFonts w:asciiTheme="minorHAnsi" w:eastAsiaTheme="minorEastAsia" w:hAnsiTheme="minorHAnsi" w:cstheme="minorBidi"/>
              <w:noProof/>
              <w:sz w:val="20"/>
              <w:szCs w:val="20"/>
            </w:rPr>
          </w:pPr>
          <w:hyperlink w:anchor="_Toc46250474" w:history="1">
            <w:r w:rsidR="00A80127" w:rsidRPr="00E3559F">
              <w:rPr>
                <w:rStyle w:val="Hipervnculo"/>
                <w:rFonts w:eastAsia="MS Mincho"/>
                <w:noProof/>
                <w:color w:val="auto"/>
                <w:sz w:val="20"/>
                <w:szCs w:val="20"/>
              </w:rPr>
              <w:t>A.</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Admisibilidad de la prueba documental</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_Toc46250474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5</w:t>
            </w:r>
            <w:r w:rsidR="00A80127" w:rsidRPr="00E3559F">
              <w:rPr>
                <w:noProof/>
                <w:webHidden/>
                <w:sz w:val="20"/>
                <w:szCs w:val="20"/>
              </w:rPr>
              <w:fldChar w:fldCharType="end"/>
            </w:r>
          </w:hyperlink>
        </w:p>
        <w:p w14:paraId="6DE2EC90" w14:textId="211B2A88" w:rsidR="00A80127" w:rsidRPr="00E3559F" w:rsidRDefault="00AB438F" w:rsidP="00F735CB">
          <w:pPr>
            <w:pStyle w:val="TDC1"/>
            <w:rPr>
              <w:rFonts w:asciiTheme="minorHAnsi" w:eastAsiaTheme="minorEastAsia" w:hAnsiTheme="minorHAnsi" w:cstheme="minorBidi"/>
            </w:rPr>
          </w:pPr>
          <w:hyperlink w:anchor="_Toc46250475" w:history="1">
            <w:r w:rsidR="00A80127" w:rsidRPr="00E3559F">
              <w:rPr>
                <w:rStyle w:val="Hipervnculo"/>
                <w:color w:val="auto"/>
              </w:rPr>
              <w:t>V HECHOS</w:t>
            </w:r>
            <w:r w:rsidR="00A80127" w:rsidRPr="00E3559F">
              <w:rPr>
                <w:webHidden/>
              </w:rPr>
              <w:tab/>
            </w:r>
            <w:r w:rsidR="00A80127" w:rsidRPr="00E3559F">
              <w:rPr>
                <w:webHidden/>
              </w:rPr>
              <w:fldChar w:fldCharType="begin"/>
            </w:r>
            <w:r w:rsidR="00A80127" w:rsidRPr="00E3559F">
              <w:rPr>
                <w:webHidden/>
              </w:rPr>
              <w:instrText xml:space="preserve"> PAGEREF _Toc46250475 \h </w:instrText>
            </w:r>
            <w:r w:rsidR="00A80127" w:rsidRPr="00E3559F">
              <w:rPr>
                <w:webHidden/>
              </w:rPr>
            </w:r>
            <w:r w:rsidR="00A80127" w:rsidRPr="00E3559F">
              <w:rPr>
                <w:webHidden/>
              </w:rPr>
              <w:fldChar w:fldCharType="separate"/>
            </w:r>
            <w:r w:rsidR="004E012F">
              <w:rPr>
                <w:webHidden/>
              </w:rPr>
              <w:t>6</w:t>
            </w:r>
            <w:r w:rsidR="00A80127" w:rsidRPr="00E3559F">
              <w:rPr>
                <w:webHidden/>
              </w:rPr>
              <w:fldChar w:fldCharType="end"/>
            </w:r>
          </w:hyperlink>
        </w:p>
        <w:p w14:paraId="359A4953" w14:textId="4577A01F" w:rsidR="00A80127" w:rsidRPr="00E3559F" w:rsidRDefault="00AB438F">
          <w:pPr>
            <w:pStyle w:val="TDC2"/>
            <w:rPr>
              <w:rFonts w:asciiTheme="minorHAnsi" w:eastAsiaTheme="minorEastAsia" w:hAnsiTheme="minorHAnsi" w:cstheme="minorBidi"/>
              <w:noProof/>
              <w:sz w:val="20"/>
              <w:szCs w:val="20"/>
            </w:rPr>
          </w:pPr>
          <w:hyperlink w:anchor="_Toc46250476" w:history="1">
            <w:r w:rsidR="00A80127" w:rsidRPr="00E3559F">
              <w:rPr>
                <w:rStyle w:val="Hipervnculo"/>
                <w:rFonts w:eastAsia="MS Mincho"/>
                <w:noProof/>
                <w:color w:val="auto"/>
                <w:sz w:val="20"/>
                <w:szCs w:val="20"/>
              </w:rPr>
              <w:t>A.</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El proceso penal seguido contra los señores Valle Ambrosio y Domínguez Linares</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_Toc46250476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6</w:t>
            </w:r>
            <w:r w:rsidR="00A80127" w:rsidRPr="00E3559F">
              <w:rPr>
                <w:noProof/>
                <w:webHidden/>
                <w:sz w:val="20"/>
                <w:szCs w:val="20"/>
              </w:rPr>
              <w:fldChar w:fldCharType="end"/>
            </w:r>
          </w:hyperlink>
        </w:p>
        <w:p w14:paraId="7AFBB61D" w14:textId="45B71597" w:rsidR="00A80127" w:rsidRPr="00E3559F" w:rsidRDefault="00AB438F">
          <w:pPr>
            <w:pStyle w:val="TDC3"/>
            <w:rPr>
              <w:rFonts w:asciiTheme="minorHAnsi" w:eastAsiaTheme="minorEastAsia" w:hAnsiTheme="minorHAnsi" w:cstheme="minorBidi"/>
              <w:noProof/>
              <w:sz w:val="20"/>
              <w:szCs w:val="20"/>
            </w:rPr>
          </w:pPr>
          <w:hyperlink w:anchor="_Toc46250477" w:history="1">
            <w:r w:rsidR="00A80127" w:rsidRPr="00E3559F">
              <w:rPr>
                <w:rStyle w:val="Hipervnculo"/>
                <w:rFonts w:eastAsia="MS Mincho"/>
                <w:noProof/>
                <w:color w:val="auto"/>
                <w:sz w:val="20"/>
                <w:szCs w:val="20"/>
              </w:rPr>
              <w:t>a.1 De la condena</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_Toc46250477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6</w:t>
            </w:r>
            <w:r w:rsidR="00A80127" w:rsidRPr="00E3559F">
              <w:rPr>
                <w:noProof/>
                <w:webHidden/>
                <w:sz w:val="20"/>
                <w:szCs w:val="20"/>
              </w:rPr>
              <w:fldChar w:fldCharType="end"/>
            </w:r>
          </w:hyperlink>
        </w:p>
        <w:p w14:paraId="258662E2" w14:textId="4EB79E34" w:rsidR="00A80127" w:rsidRPr="00E3559F" w:rsidRDefault="00AB438F">
          <w:pPr>
            <w:pStyle w:val="TDC3"/>
            <w:rPr>
              <w:rFonts w:asciiTheme="minorHAnsi" w:eastAsiaTheme="minorEastAsia" w:hAnsiTheme="minorHAnsi" w:cstheme="minorBidi"/>
              <w:noProof/>
              <w:sz w:val="20"/>
              <w:szCs w:val="20"/>
            </w:rPr>
          </w:pPr>
          <w:hyperlink w:anchor="_Toc46250478" w:history="1">
            <w:r w:rsidR="00A80127" w:rsidRPr="00E3559F">
              <w:rPr>
                <w:rStyle w:val="Hipervnculo"/>
                <w:rFonts w:eastAsia="MS Mincho"/>
                <w:noProof/>
                <w:color w:val="auto"/>
                <w:sz w:val="20"/>
                <w:szCs w:val="20"/>
              </w:rPr>
              <w:t>a.2 Recursos interpuestos</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_Toc46250478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7</w:t>
            </w:r>
            <w:r w:rsidR="00A80127" w:rsidRPr="00E3559F">
              <w:rPr>
                <w:noProof/>
                <w:webHidden/>
                <w:sz w:val="20"/>
                <w:szCs w:val="20"/>
              </w:rPr>
              <w:fldChar w:fldCharType="end"/>
            </w:r>
          </w:hyperlink>
        </w:p>
        <w:p w14:paraId="2F8C44C1" w14:textId="443B7DCD" w:rsidR="00A80127" w:rsidRPr="00E3559F" w:rsidRDefault="00AB438F">
          <w:pPr>
            <w:pStyle w:val="TDC2"/>
            <w:rPr>
              <w:rFonts w:asciiTheme="minorHAnsi" w:eastAsiaTheme="minorEastAsia" w:hAnsiTheme="minorHAnsi" w:cstheme="minorBidi"/>
              <w:noProof/>
              <w:sz w:val="20"/>
              <w:szCs w:val="20"/>
            </w:rPr>
          </w:pPr>
          <w:hyperlink w:anchor="_Toc46250479" w:history="1">
            <w:r w:rsidR="00A80127" w:rsidRPr="00E3559F">
              <w:rPr>
                <w:rStyle w:val="Hipervnculo"/>
                <w:rFonts w:eastAsia="MS Mincho"/>
                <w:noProof/>
                <w:color w:val="auto"/>
                <w:sz w:val="20"/>
                <w:szCs w:val="20"/>
              </w:rPr>
              <w:t>B.</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Marco jurídico procesal penal relevante: legislación aplicable al caso</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_Toc46250479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10</w:t>
            </w:r>
            <w:r w:rsidR="00A80127" w:rsidRPr="00E3559F">
              <w:rPr>
                <w:noProof/>
                <w:webHidden/>
                <w:sz w:val="20"/>
                <w:szCs w:val="20"/>
              </w:rPr>
              <w:fldChar w:fldCharType="end"/>
            </w:r>
          </w:hyperlink>
        </w:p>
        <w:p w14:paraId="333672FC" w14:textId="31FBC4B8" w:rsidR="00A80127" w:rsidRPr="00E3559F" w:rsidRDefault="00AB438F" w:rsidP="00E3559F">
          <w:pPr>
            <w:pStyle w:val="TDC1"/>
            <w:jc w:val="both"/>
            <w:rPr>
              <w:rFonts w:asciiTheme="minorHAnsi" w:eastAsiaTheme="minorEastAsia" w:hAnsiTheme="minorHAnsi" w:cstheme="minorBidi"/>
            </w:rPr>
          </w:pPr>
          <w:hyperlink w:anchor="_Toc46250480" w:history="1">
            <w:r w:rsidR="00A80127" w:rsidRPr="00E3559F">
              <w:rPr>
                <w:rStyle w:val="Hipervnculo"/>
                <w:color w:val="auto"/>
              </w:rPr>
              <w:t>VI FONDO DERECHO A RECURRIR EL FALLO ANTE JUEZ O TRIBUNAL SUPERIOR Y DERECHO A LA PROTECCIÓN JUDICIAL, ASÍ COMO EL DEBER DE ADOPTAR disposiciones de derecho interno</w:t>
            </w:r>
            <w:r w:rsidR="00A80127" w:rsidRPr="00E3559F">
              <w:rPr>
                <w:webHidden/>
              </w:rPr>
              <w:tab/>
            </w:r>
            <w:r w:rsidR="00A80127" w:rsidRPr="00E3559F">
              <w:rPr>
                <w:webHidden/>
              </w:rPr>
              <w:fldChar w:fldCharType="begin"/>
            </w:r>
            <w:r w:rsidR="00A80127" w:rsidRPr="00E3559F">
              <w:rPr>
                <w:webHidden/>
              </w:rPr>
              <w:instrText xml:space="preserve"> PAGEREF _Toc46250480 \h </w:instrText>
            </w:r>
            <w:r w:rsidR="00A80127" w:rsidRPr="00E3559F">
              <w:rPr>
                <w:webHidden/>
              </w:rPr>
            </w:r>
            <w:r w:rsidR="00A80127" w:rsidRPr="00E3559F">
              <w:rPr>
                <w:webHidden/>
              </w:rPr>
              <w:fldChar w:fldCharType="separate"/>
            </w:r>
            <w:r w:rsidR="004E012F">
              <w:rPr>
                <w:webHidden/>
              </w:rPr>
              <w:t>11</w:t>
            </w:r>
            <w:r w:rsidR="00A80127" w:rsidRPr="00E3559F">
              <w:rPr>
                <w:webHidden/>
              </w:rPr>
              <w:fldChar w:fldCharType="end"/>
            </w:r>
          </w:hyperlink>
        </w:p>
        <w:p w14:paraId="4AE60357" w14:textId="5208B936" w:rsidR="00A80127" w:rsidRPr="00E3559F" w:rsidRDefault="00AB438F">
          <w:pPr>
            <w:pStyle w:val="TDC2"/>
            <w:rPr>
              <w:rFonts w:asciiTheme="minorHAnsi" w:eastAsiaTheme="minorEastAsia" w:hAnsiTheme="minorHAnsi" w:cstheme="minorBidi"/>
              <w:noProof/>
              <w:sz w:val="20"/>
              <w:szCs w:val="20"/>
            </w:rPr>
          </w:pPr>
          <w:hyperlink w:anchor="_Toc46250481" w:history="1">
            <w:r w:rsidR="00A80127" w:rsidRPr="00E3559F">
              <w:rPr>
                <w:rStyle w:val="Hipervnculo"/>
                <w:rFonts w:eastAsia="MS Mincho"/>
                <w:noProof/>
                <w:color w:val="auto"/>
                <w:sz w:val="20"/>
                <w:szCs w:val="20"/>
              </w:rPr>
              <w:t>A.</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Argumentos de las partes y de la Comisión</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_Toc46250481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12</w:t>
            </w:r>
            <w:r w:rsidR="00A80127" w:rsidRPr="00E3559F">
              <w:rPr>
                <w:noProof/>
                <w:webHidden/>
                <w:sz w:val="20"/>
                <w:szCs w:val="20"/>
              </w:rPr>
              <w:fldChar w:fldCharType="end"/>
            </w:r>
          </w:hyperlink>
        </w:p>
        <w:p w14:paraId="751AF99E" w14:textId="7152411E" w:rsidR="00A80127" w:rsidRPr="00E3559F" w:rsidRDefault="00AB438F">
          <w:pPr>
            <w:pStyle w:val="TDC2"/>
            <w:rPr>
              <w:rFonts w:asciiTheme="minorHAnsi" w:eastAsiaTheme="minorEastAsia" w:hAnsiTheme="minorHAnsi" w:cstheme="minorBidi"/>
              <w:noProof/>
              <w:sz w:val="20"/>
              <w:szCs w:val="20"/>
            </w:rPr>
          </w:pPr>
          <w:hyperlink w:anchor="_Toc46250482" w:history="1">
            <w:r w:rsidR="00A80127" w:rsidRPr="00E3559F">
              <w:rPr>
                <w:rStyle w:val="Hipervnculo"/>
                <w:rFonts w:eastAsia="MS Mincho"/>
                <w:noProof/>
                <w:color w:val="auto"/>
                <w:sz w:val="20"/>
                <w:szCs w:val="20"/>
              </w:rPr>
              <w:t>B.</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Consideraciones de la Corte</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_Toc46250482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12</w:t>
            </w:r>
            <w:r w:rsidR="00A80127" w:rsidRPr="00E3559F">
              <w:rPr>
                <w:noProof/>
                <w:webHidden/>
                <w:sz w:val="20"/>
                <w:szCs w:val="20"/>
              </w:rPr>
              <w:fldChar w:fldCharType="end"/>
            </w:r>
          </w:hyperlink>
        </w:p>
        <w:p w14:paraId="26E71A83" w14:textId="393D0132" w:rsidR="00A80127" w:rsidRPr="00E3559F" w:rsidRDefault="00AB438F" w:rsidP="00F735CB">
          <w:pPr>
            <w:pStyle w:val="TDC1"/>
            <w:rPr>
              <w:rFonts w:asciiTheme="minorHAnsi" w:eastAsiaTheme="minorEastAsia" w:hAnsiTheme="minorHAnsi" w:cstheme="minorBidi"/>
            </w:rPr>
          </w:pPr>
          <w:hyperlink w:anchor="_Toc46250483" w:history="1">
            <w:r w:rsidR="00A80127" w:rsidRPr="00E3559F">
              <w:rPr>
                <w:rStyle w:val="Hipervnculo"/>
                <w:color w:val="auto"/>
              </w:rPr>
              <w:t>VII REPARACIONES</w:t>
            </w:r>
            <w:r w:rsidR="00A80127" w:rsidRPr="00E3559F">
              <w:rPr>
                <w:webHidden/>
              </w:rPr>
              <w:tab/>
            </w:r>
            <w:r w:rsidR="00A80127" w:rsidRPr="00E3559F">
              <w:rPr>
                <w:webHidden/>
              </w:rPr>
              <w:fldChar w:fldCharType="begin"/>
            </w:r>
            <w:r w:rsidR="00A80127" w:rsidRPr="00E3559F">
              <w:rPr>
                <w:webHidden/>
              </w:rPr>
              <w:instrText xml:space="preserve"> PAGEREF _Toc46250483 \h </w:instrText>
            </w:r>
            <w:r w:rsidR="00A80127" w:rsidRPr="00E3559F">
              <w:rPr>
                <w:webHidden/>
              </w:rPr>
            </w:r>
            <w:r w:rsidR="00A80127" w:rsidRPr="00E3559F">
              <w:rPr>
                <w:webHidden/>
              </w:rPr>
              <w:fldChar w:fldCharType="separate"/>
            </w:r>
            <w:r w:rsidR="004E012F">
              <w:rPr>
                <w:webHidden/>
              </w:rPr>
              <w:t>17</w:t>
            </w:r>
            <w:r w:rsidR="00A80127" w:rsidRPr="00E3559F">
              <w:rPr>
                <w:webHidden/>
              </w:rPr>
              <w:fldChar w:fldCharType="end"/>
            </w:r>
          </w:hyperlink>
        </w:p>
        <w:p w14:paraId="0AF0CDAA" w14:textId="30ADB2D4" w:rsidR="00A80127" w:rsidRPr="00E3559F" w:rsidRDefault="00AB438F">
          <w:pPr>
            <w:pStyle w:val="TDC2"/>
            <w:rPr>
              <w:rFonts w:asciiTheme="minorHAnsi" w:eastAsiaTheme="minorEastAsia" w:hAnsiTheme="minorHAnsi" w:cstheme="minorBidi"/>
              <w:noProof/>
              <w:sz w:val="20"/>
              <w:szCs w:val="20"/>
            </w:rPr>
          </w:pPr>
          <w:hyperlink w:anchor="_Toc46250484" w:history="1">
            <w:r w:rsidR="00A80127" w:rsidRPr="00E3559F">
              <w:rPr>
                <w:rStyle w:val="Hipervnculo"/>
                <w:rFonts w:eastAsia="MS Mincho"/>
                <w:noProof/>
                <w:color w:val="auto"/>
                <w:sz w:val="20"/>
                <w:szCs w:val="20"/>
              </w:rPr>
              <w:t>A.</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Parte lesionada y reparaciones solicitadas</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_Toc46250484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17</w:t>
            </w:r>
            <w:r w:rsidR="00A80127" w:rsidRPr="00E3559F">
              <w:rPr>
                <w:noProof/>
                <w:webHidden/>
                <w:sz w:val="20"/>
                <w:szCs w:val="20"/>
              </w:rPr>
              <w:fldChar w:fldCharType="end"/>
            </w:r>
          </w:hyperlink>
        </w:p>
        <w:p w14:paraId="530E9D77" w14:textId="5BB05618" w:rsidR="00A80127" w:rsidRPr="00E3559F" w:rsidRDefault="00AB438F">
          <w:pPr>
            <w:pStyle w:val="TDC2"/>
            <w:rPr>
              <w:rFonts w:asciiTheme="minorHAnsi" w:eastAsiaTheme="minorEastAsia" w:hAnsiTheme="minorHAnsi" w:cstheme="minorBidi"/>
              <w:noProof/>
              <w:sz w:val="20"/>
              <w:szCs w:val="20"/>
            </w:rPr>
          </w:pPr>
          <w:hyperlink w:anchor="_Toc46250485" w:history="1">
            <w:r w:rsidR="00A80127" w:rsidRPr="00E3559F">
              <w:rPr>
                <w:rStyle w:val="Hipervnculo"/>
                <w:rFonts w:eastAsia="MS Mincho"/>
                <w:noProof/>
                <w:color w:val="auto"/>
                <w:sz w:val="20"/>
                <w:szCs w:val="20"/>
              </w:rPr>
              <w:t>B.</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Medidas de satisfacción y garantías de no repetición</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_Toc46250485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18</w:t>
            </w:r>
            <w:r w:rsidR="00A80127" w:rsidRPr="00E3559F">
              <w:rPr>
                <w:noProof/>
                <w:webHidden/>
                <w:sz w:val="20"/>
                <w:szCs w:val="20"/>
              </w:rPr>
              <w:fldChar w:fldCharType="end"/>
            </w:r>
          </w:hyperlink>
        </w:p>
        <w:p w14:paraId="72BBCC99" w14:textId="380A6ED9" w:rsidR="00A80127" w:rsidRPr="00E3559F" w:rsidRDefault="00AB438F">
          <w:pPr>
            <w:pStyle w:val="TDC3"/>
            <w:rPr>
              <w:rFonts w:asciiTheme="minorHAnsi" w:eastAsiaTheme="minorEastAsia" w:hAnsiTheme="minorHAnsi" w:cstheme="minorBidi"/>
              <w:noProof/>
              <w:sz w:val="20"/>
              <w:szCs w:val="20"/>
            </w:rPr>
          </w:pPr>
          <w:hyperlink w:anchor="_Toc46250486" w:history="1">
            <w:r w:rsidR="00A80127" w:rsidRPr="00E3559F">
              <w:rPr>
                <w:rStyle w:val="Hipervnculo"/>
                <w:rFonts w:eastAsia="MS Mincho"/>
                <w:noProof/>
                <w:color w:val="auto"/>
                <w:sz w:val="20"/>
                <w:szCs w:val="20"/>
              </w:rPr>
              <w:t xml:space="preserve">b.1 </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Medidas de satisfacción</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_Toc46250486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18</w:t>
            </w:r>
            <w:r w:rsidR="00A80127" w:rsidRPr="00E3559F">
              <w:rPr>
                <w:noProof/>
                <w:webHidden/>
                <w:sz w:val="20"/>
                <w:szCs w:val="20"/>
              </w:rPr>
              <w:fldChar w:fldCharType="end"/>
            </w:r>
          </w:hyperlink>
        </w:p>
        <w:p w14:paraId="29A4F8C7" w14:textId="7836479B" w:rsidR="00A80127" w:rsidRPr="00E3559F" w:rsidRDefault="00AB438F">
          <w:pPr>
            <w:pStyle w:val="TDC3"/>
            <w:rPr>
              <w:rFonts w:asciiTheme="minorHAnsi" w:eastAsiaTheme="minorEastAsia" w:hAnsiTheme="minorHAnsi" w:cstheme="minorBidi"/>
              <w:noProof/>
              <w:sz w:val="20"/>
              <w:szCs w:val="20"/>
            </w:rPr>
          </w:pPr>
          <w:hyperlink w:anchor="_Toc46250487" w:history="1">
            <w:r w:rsidR="00A80127" w:rsidRPr="00E3559F">
              <w:rPr>
                <w:rStyle w:val="Hipervnculo"/>
                <w:rFonts w:eastAsia="MS Mincho"/>
                <w:noProof/>
                <w:color w:val="auto"/>
                <w:sz w:val="20"/>
                <w:szCs w:val="20"/>
              </w:rPr>
              <w:t xml:space="preserve">b.2 </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Garantías de no repetición</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_Toc46250487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18</w:t>
            </w:r>
            <w:r w:rsidR="00A80127" w:rsidRPr="00E3559F">
              <w:rPr>
                <w:noProof/>
                <w:webHidden/>
                <w:sz w:val="20"/>
                <w:szCs w:val="20"/>
              </w:rPr>
              <w:fldChar w:fldCharType="end"/>
            </w:r>
          </w:hyperlink>
        </w:p>
        <w:p w14:paraId="38E8B30D" w14:textId="466715D5" w:rsidR="00A80127" w:rsidRPr="00E3559F" w:rsidRDefault="00AB438F">
          <w:pPr>
            <w:pStyle w:val="TDC2"/>
            <w:rPr>
              <w:rFonts w:asciiTheme="minorHAnsi" w:eastAsiaTheme="minorEastAsia" w:hAnsiTheme="minorHAnsi" w:cstheme="minorBidi"/>
              <w:noProof/>
              <w:sz w:val="20"/>
              <w:szCs w:val="20"/>
            </w:rPr>
          </w:pPr>
          <w:hyperlink w:anchor="_Toc46250488" w:history="1">
            <w:r w:rsidR="00A80127" w:rsidRPr="00E3559F">
              <w:rPr>
                <w:rStyle w:val="Hipervnculo"/>
                <w:rFonts w:eastAsia="MS Mincho"/>
                <w:noProof/>
                <w:color w:val="auto"/>
                <w:sz w:val="20"/>
                <w:szCs w:val="20"/>
              </w:rPr>
              <w:t>C.</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Otras medidas solicitadas</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_Toc46250488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20</w:t>
            </w:r>
            <w:r w:rsidR="00A80127" w:rsidRPr="00E3559F">
              <w:rPr>
                <w:noProof/>
                <w:webHidden/>
                <w:sz w:val="20"/>
                <w:szCs w:val="20"/>
              </w:rPr>
              <w:fldChar w:fldCharType="end"/>
            </w:r>
          </w:hyperlink>
        </w:p>
        <w:p w14:paraId="5229BB82" w14:textId="2D68D41C" w:rsidR="00A80127" w:rsidRPr="00E3559F" w:rsidRDefault="00AB438F">
          <w:pPr>
            <w:pStyle w:val="TDC2"/>
            <w:rPr>
              <w:rFonts w:asciiTheme="minorHAnsi" w:eastAsiaTheme="minorEastAsia" w:hAnsiTheme="minorHAnsi" w:cstheme="minorBidi"/>
              <w:noProof/>
              <w:sz w:val="20"/>
              <w:szCs w:val="20"/>
            </w:rPr>
          </w:pPr>
          <w:hyperlink w:anchor="_Toc46250489" w:history="1">
            <w:r w:rsidR="00A80127" w:rsidRPr="00E3559F">
              <w:rPr>
                <w:rStyle w:val="Hipervnculo"/>
                <w:rFonts w:eastAsia="MS Mincho"/>
                <w:noProof/>
                <w:color w:val="auto"/>
                <w:sz w:val="20"/>
                <w:szCs w:val="20"/>
              </w:rPr>
              <w:t>D.</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Indemnizaciones compensatorias</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_Toc46250489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20</w:t>
            </w:r>
            <w:r w:rsidR="00A80127" w:rsidRPr="00E3559F">
              <w:rPr>
                <w:noProof/>
                <w:webHidden/>
                <w:sz w:val="20"/>
                <w:szCs w:val="20"/>
              </w:rPr>
              <w:fldChar w:fldCharType="end"/>
            </w:r>
          </w:hyperlink>
        </w:p>
        <w:p w14:paraId="260B5680" w14:textId="2E916382" w:rsidR="00A80127" w:rsidRPr="00E3559F" w:rsidRDefault="00AB438F">
          <w:pPr>
            <w:pStyle w:val="TDC2"/>
            <w:rPr>
              <w:rFonts w:asciiTheme="minorHAnsi" w:eastAsiaTheme="minorEastAsia" w:hAnsiTheme="minorHAnsi" w:cstheme="minorBidi"/>
              <w:noProof/>
              <w:sz w:val="20"/>
              <w:szCs w:val="20"/>
            </w:rPr>
          </w:pPr>
          <w:hyperlink w:anchor="_Toc46250490" w:history="1">
            <w:r w:rsidR="00A80127" w:rsidRPr="00E3559F">
              <w:rPr>
                <w:rStyle w:val="Hipervnculo"/>
                <w:rFonts w:eastAsia="MS Mincho"/>
                <w:noProof/>
                <w:color w:val="auto"/>
                <w:sz w:val="20"/>
                <w:szCs w:val="20"/>
              </w:rPr>
              <w:t>E.</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Costas y Gastos</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_Toc46250490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21</w:t>
            </w:r>
            <w:r w:rsidR="00A80127" w:rsidRPr="00E3559F">
              <w:rPr>
                <w:noProof/>
                <w:webHidden/>
                <w:sz w:val="20"/>
                <w:szCs w:val="20"/>
              </w:rPr>
              <w:fldChar w:fldCharType="end"/>
            </w:r>
          </w:hyperlink>
        </w:p>
        <w:p w14:paraId="1C023209" w14:textId="01432C8C" w:rsidR="00A80127" w:rsidRPr="00E3559F" w:rsidRDefault="00AB438F">
          <w:pPr>
            <w:pStyle w:val="TDC2"/>
            <w:rPr>
              <w:rFonts w:asciiTheme="minorHAnsi" w:eastAsiaTheme="minorEastAsia" w:hAnsiTheme="minorHAnsi" w:cstheme="minorBidi"/>
              <w:noProof/>
              <w:sz w:val="20"/>
              <w:szCs w:val="20"/>
            </w:rPr>
          </w:pPr>
          <w:hyperlink w:anchor="_Toc46250491" w:history="1">
            <w:r w:rsidR="00A80127" w:rsidRPr="00E3559F">
              <w:rPr>
                <w:rStyle w:val="Hipervnculo"/>
                <w:rFonts w:eastAsia="MS Mincho"/>
                <w:noProof/>
                <w:color w:val="auto"/>
                <w:sz w:val="20"/>
                <w:szCs w:val="20"/>
              </w:rPr>
              <w:t>F.</w:t>
            </w:r>
            <w:r w:rsidR="00A80127" w:rsidRPr="00E3559F">
              <w:rPr>
                <w:rFonts w:asciiTheme="minorHAnsi" w:eastAsiaTheme="minorEastAsia" w:hAnsiTheme="minorHAnsi" w:cstheme="minorBidi"/>
                <w:noProof/>
                <w:sz w:val="20"/>
                <w:szCs w:val="20"/>
              </w:rPr>
              <w:tab/>
            </w:r>
            <w:r w:rsidR="00A80127" w:rsidRPr="00E3559F">
              <w:rPr>
                <w:rStyle w:val="Hipervnculo"/>
                <w:rFonts w:eastAsia="MS Mincho"/>
                <w:noProof/>
                <w:color w:val="auto"/>
                <w:sz w:val="20"/>
                <w:szCs w:val="20"/>
              </w:rPr>
              <w:t>Modalidad de cumplimiento de los pagos ordenados</w:t>
            </w:r>
            <w:r w:rsidR="00A80127" w:rsidRPr="00E3559F">
              <w:rPr>
                <w:noProof/>
                <w:webHidden/>
                <w:sz w:val="20"/>
                <w:szCs w:val="20"/>
              </w:rPr>
              <w:tab/>
            </w:r>
            <w:r w:rsidR="00A80127" w:rsidRPr="00E3559F">
              <w:rPr>
                <w:noProof/>
                <w:webHidden/>
                <w:sz w:val="20"/>
                <w:szCs w:val="20"/>
              </w:rPr>
              <w:fldChar w:fldCharType="begin"/>
            </w:r>
            <w:r w:rsidR="00A80127" w:rsidRPr="00E3559F">
              <w:rPr>
                <w:noProof/>
                <w:webHidden/>
                <w:sz w:val="20"/>
                <w:szCs w:val="20"/>
              </w:rPr>
              <w:instrText xml:space="preserve"> PAGEREF _Toc46250491 \h </w:instrText>
            </w:r>
            <w:r w:rsidR="00A80127" w:rsidRPr="00E3559F">
              <w:rPr>
                <w:noProof/>
                <w:webHidden/>
                <w:sz w:val="20"/>
                <w:szCs w:val="20"/>
              </w:rPr>
            </w:r>
            <w:r w:rsidR="00A80127" w:rsidRPr="00E3559F">
              <w:rPr>
                <w:noProof/>
                <w:webHidden/>
                <w:sz w:val="20"/>
                <w:szCs w:val="20"/>
              </w:rPr>
              <w:fldChar w:fldCharType="separate"/>
            </w:r>
            <w:r w:rsidR="004E012F">
              <w:rPr>
                <w:noProof/>
                <w:webHidden/>
                <w:sz w:val="20"/>
                <w:szCs w:val="20"/>
              </w:rPr>
              <w:t>21</w:t>
            </w:r>
            <w:r w:rsidR="00A80127" w:rsidRPr="00E3559F">
              <w:rPr>
                <w:noProof/>
                <w:webHidden/>
                <w:sz w:val="20"/>
                <w:szCs w:val="20"/>
              </w:rPr>
              <w:fldChar w:fldCharType="end"/>
            </w:r>
          </w:hyperlink>
        </w:p>
        <w:p w14:paraId="1B464C54" w14:textId="5FF33073" w:rsidR="00A80127" w:rsidRPr="00E3559F" w:rsidRDefault="00AB438F" w:rsidP="00F735CB">
          <w:pPr>
            <w:pStyle w:val="TDC1"/>
            <w:rPr>
              <w:rFonts w:asciiTheme="minorHAnsi" w:eastAsiaTheme="minorEastAsia" w:hAnsiTheme="minorHAnsi" w:cstheme="minorBidi"/>
            </w:rPr>
          </w:pPr>
          <w:hyperlink w:anchor="_Toc46250492" w:history="1">
            <w:r w:rsidR="00A80127" w:rsidRPr="00E3559F">
              <w:rPr>
                <w:rStyle w:val="Hipervnculo"/>
                <w:color w:val="auto"/>
              </w:rPr>
              <w:t>VIII PUNTOS RESOLUTIVOS</w:t>
            </w:r>
            <w:r w:rsidR="00A80127" w:rsidRPr="00E3559F">
              <w:rPr>
                <w:webHidden/>
              </w:rPr>
              <w:tab/>
            </w:r>
            <w:r w:rsidR="00A80127" w:rsidRPr="00E3559F">
              <w:rPr>
                <w:webHidden/>
              </w:rPr>
              <w:fldChar w:fldCharType="begin"/>
            </w:r>
            <w:r w:rsidR="00A80127" w:rsidRPr="00E3559F">
              <w:rPr>
                <w:webHidden/>
              </w:rPr>
              <w:instrText xml:space="preserve"> PAGEREF _Toc46250492 \h </w:instrText>
            </w:r>
            <w:r w:rsidR="00A80127" w:rsidRPr="00E3559F">
              <w:rPr>
                <w:webHidden/>
              </w:rPr>
            </w:r>
            <w:r w:rsidR="00A80127" w:rsidRPr="00E3559F">
              <w:rPr>
                <w:webHidden/>
              </w:rPr>
              <w:fldChar w:fldCharType="separate"/>
            </w:r>
            <w:r w:rsidR="004E012F">
              <w:rPr>
                <w:webHidden/>
              </w:rPr>
              <w:t>22</w:t>
            </w:r>
            <w:r w:rsidR="00A80127" w:rsidRPr="00E3559F">
              <w:rPr>
                <w:webHidden/>
              </w:rPr>
              <w:fldChar w:fldCharType="end"/>
            </w:r>
          </w:hyperlink>
        </w:p>
        <w:p w14:paraId="2A2409F3" w14:textId="2308004A" w:rsidR="003C5D40" w:rsidRPr="00E3559F" w:rsidRDefault="003C5D40" w:rsidP="003C5D40">
          <w:pPr>
            <w:spacing w:line="240" w:lineRule="auto"/>
            <w:rPr>
              <w:sz w:val="22"/>
              <w:szCs w:val="22"/>
            </w:rPr>
          </w:pPr>
          <w:r w:rsidRPr="00E3559F">
            <w:rPr>
              <w:b/>
              <w:bCs/>
              <w:noProof/>
              <w:sz w:val="20"/>
              <w:szCs w:val="20"/>
            </w:rPr>
            <w:fldChar w:fldCharType="end"/>
          </w:r>
        </w:p>
      </w:sdtContent>
    </w:sdt>
    <w:p w14:paraId="439E8046" w14:textId="77777777" w:rsidR="00EA52BD" w:rsidRPr="00E3559F" w:rsidRDefault="00EA52BD" w:rsidP="003C5D40">
      <w:pPr>
        <w:widowControl/>
        <w:adjustRightInd/>
        <w:spacing w:line="240" w:lineRule="auto"/>
        <w:jc w:val="left"/>
        <w:textAlignment w:val="auto"/>
        <w:rPr>
          <w:rFonts w:cs="Verdana"/>
          <w:b/>
          <w:bCs/>
          <w:caps/>
          <w:snapToGrid w:val="0"/>
          <w:sz w:val="22"/>
          <w:szCs w:val="22"/>
        </w:rPr>
      </w:pPr>
      <w:r w:rsidRPr="00E3559F">
        <w:rPr>
          <w:rFonts w:cs="Verdana"/>
          <w:b/>
          <w:bCs/>
          <w:caps/>
          <w:snapToGrid w:val="0"/>
          <w:sz w:val="22"/>
          <w:szCs w:val="22"/>
        </w:rPr>
        <w:br w:type="page"/>
      </w:r>
    </w:p>
    <w:p w14:paraId="32ABE4D5" w14:textId="77777777" w:rsidR="00731D3E" w:rsidRPr="00E3559F" w:rsidRDefault="00731D3E" w:rsidP="00A95B06">
      <w:pPr>
        <w:pStyle w:val="Ttulo1"/>
      </w:pPr>
      <w:bookmarkStart w:id="0" w:name="_Toc46250470"/>
      <w:r w:rsidRPr="00E3559F">
        <w:lastRenderedPageBreak/>
        <w:t>I</w:t>
      </w:r>
      <w:r w:rsidRPr="00E3559F">
        <w:br/>
        <w:t>INTRODUCCIÓN DE LA CAUSA Y OBJETO DE LA CONTROVERSIA</w:t>
      </w:r>
      <w:bookmarkEnd w:id="0"/>
    </w:p>
    <w:p w14:paraId="07768C56" w14:textId="339F6442" w:rsidR="00604E7C" w:rsidRPr="00E3559F" w:rsidRDefault="00731D3E" w:rsidP="00B04D0D">
      <w:pPr>
        <w:numPr>
          <w:ilvl w:val="0"/>
          <w:numId w:val="1"/>
        </w:numPr>
        <w:tabs>
          <w:tab w:val="left" w:pos="567"/>
          <w:tab w:val="num" w:pos="1569"/>
          <w:tab w:val="num" w:pos="12305"/>
        </w:tabs>
        <w:spacing w:line="240" w:lineRule="auto"/>
        <w:ind w:left="0" w:firstLine="0"/>
        <w:rPr>
          <w:sz w:val="20"/>
          <w:szCs w:val="20"/>
          <w:lang w:val="es-ES_tradnl"/>
        </w:rPr>
      </w:pPr>
      <w:r w:rsidRPr="00E3559F">
        <w:rPr>
          <w:i/>
          <w:sz w:val="20"/>
          <w:szCs w:val="20"/>
        </w:rPr>
        <w:t xml:space="preserve">El caso sometido a la Corte. </w:t>
      </w:r>
      <w:r w:rsidRPr="00E3559F">
        <w:rPr>
          <w:sz w:val="20"/>
          <w:szCs w:val="20"/>
        </w:rPr>
        <w:t xml:space="preserve">– </w:t>
      </w:r>
      <w:r w:rsidR="00E73217" w:rsidRPr="00E3559F">
        <w:rPr>
          <w:sz w:val="20"/>
          <w:szCs w:val="20"/>
        </w:rPr>
        <w:t>El 4</w:t>
      </w:r>
      <w:r w:rsidR="00604E7C" w:rsidRPr="00E3559F">
        <w:rPr>
          <w:sz w:val="20"/>
          <w:szCs w:val="20"/>
        </w:rPr>
        <w:t xml:space="preserve"> de </w:t>
      </w:r>
      <w:r w:rsidR="0081738A" w:rsidRPr="00E3559F">
        <w:rPr>
          <w:sz w:val="20"/>
          <w:szCs w:val="20"/>
        </w:rPr>
        <w:t>se</w:t>
      </w:r>
      <w:r w:rsidR="00B1011B">
        <w:rPr>
          <w:sz w:val="20"/>
          <w:szCs w:val="20"/>
        </w:rPr>
        <w:t>p</w:t>
      </w:r>
      <w:r w:rsidR="0081738A" w:rsidRPr="00E3559F">
        <w:rPr>
          <w:sz w:val="20"/>
          <w:szCs w:val="20"/>
        </w:rPr>
        <w:t>tiembre de 2018</w:t>
      </w:r>
      <w:r w:rsidR="00604E7C" w:rsidRPr="00E3559F">
        <w:rPr>
          <w:sz w:val="20"/>
          <w:szCs w:val="20"/>
        </w:rPr>
        <w:t xml:space="preserve"> la Comisión Interamericana de </w:t>
      </w:r>
      <w:r w:rsidR="00604E7C" w:rsidRPr="00941AB8">
        <w:rPr>
          <w:sz w:val="20"/>
          <w:szCs w:val="20"/>
        </w:rPr>
        <w:t>Derechos</w:t>
      </w:r>
      <w:r w:rsidR="00604E7C" w:rsidRPr="00E3559F">
        <w:rPr>
          <w:sz w:val="20"/>
          <w:szCs w:val="20"/>
        </w:rPr>
        <w:t xml:space="preserve"> Humanos (en adelante “la Comisión Interamericana” o “la Comisión”) sometió a la jurisdicción de la Corte Interamericana el caso “</w:t>
      </w:r>
      <w:r w:rsidR="0081738A" w:rsidRPr="00E3559F">
        <w:rPr>
          <w:sz w:val="20"/>
          <w:szCs w:val="20"/>
        </w:rPr>
        <w:t>Julio César Ramón del Valle Ambrosio y Carlos Eduardo Domínguez Linares</w:t>
      </w:r>
      <w:r w:rsidR="00604E7C" w:rsidRPr="00E3559F">
        <w:rPr>
          <w:sz w:val="20"/>
          <w:szCs w:val="20"/>
        </w:rPr>
        <w:t xml:space="preserve">” contra la República </w:t>
      </w:r>
      <w:r w:rsidR="0081738A" w:rsidRPr="00E3559F">
        <w:rPr>
          <w:sz w:val="20"/>
          <w:szCs w:val="20"/>
        </w:rPr>
        <w:t>Argentina</w:t>
      </w:r>
      <w:r w:rsidR="00604E7C" w:rsidRPr="00E3559F">
        <w:rPr>
          <w:sz w:val="20"/>
          <w:szCs w:val="20"/>
        </w:rPr>
        <w:t xml:space="preserve"> (en adelante “el Estado de </w:t>
      </w:r>
      <w:r w:rsidR="0081738A" w:rsidRPr="00E3559F">
        <w:rPr>
          <w:sz w:val="20"/>
          <w:szCs w:val="20"/>
        </w:rPr>
        <w:t>Argentina</w:t>
      </w:r>
      <w:r w:rsidR="00604E7C" w:rsidRPr="00E3559F">
        <w:rPr>
          <w:sz w:val="20"/>
          <w:szCs w:val="20"/>
        </w:rPr>
        <w:t xml:space="preserve">”, “el Estado </w:t>
      </w:r>
      <w:r w:rsidR="0081738A" w:rsidRPr="00E3559F">
        <w:rPr>
          <w:sz w:val="20"/>
          <w:szCs w:val="20"/>
        </w:rPr>
        <w:t>argentino</w:t>
      </w:r>
      <w:r w:rsidR="00604E7C" w:rsidRPr="00E3559F">
        <w:rPr>
          <w:sz w:val="20"/>
          <w:szCs w:val="20"/>
        </w:rPr>
        <w:t>”, “el Estado” o “</w:t>
      </w:r>
      <w:r w:rsidR="0081738A" w:rsidRPr="00E3559F">
        <w:rPr>
          <w:sz w:val="20"/>
          <w:szCs w:val="20"/>
        </w:rPr>
        <w:t>Argentina</w:t>
      </w:r>
      <w:r w:rsidR="00604E7C" w:rsidRPr="00E3559F">
        <w:rPr>
          <w:sz w:val="20"/>
          <w:szCs w:val="20"/>
        </w:rPr>
        <w:t xml:space="preserve">”). De acuerdo con lo indicado por la Comisión, </w:t>
      </w:r>
      <w:r w:rsidR="00E73217" w:rsidRPr="00E3559F">
        <w:rPr>
          <w:sz w:val="20"/>
          <w:szCs w:val="20"/>
          <w:lang w:val="es-ES_tradnl"/>
        </w:rPr>
        <w:t>e</w:t>
      </w:r>
      <w:r w:rsidR="0081738A" w:rsidRPr="00E3559F">
        <w:rPr>
          <w:sz w:val="20"/>
          <w:szCs w:val="20"/>
          <w:lang w:val="es-ES_tradnl"/>
        </w:rPr>
        <w:t xml:space="preserve">l caso se relaciona con la alegada violación del derecho de los señores </w:t>
      </w:r>
      <w:r w:rsidR="0004271F" w:rsidRPr="00E3559F">
        <w:rPr>
          <w:sz w:val="20"/>
          <w:szCs w:val="20"/>
          <w:lang w:val="es-ES_tradnl"/>
        </w:rPr>
        <w:t xml:space="preserve">del </w:t>
      </w:r>
      <w:r w:rsidR="0081738A" w:rsidRPr="00E3559F">
        <w:rPr>
          <w:sz w:val="20"/>
          <w:szCs w:val="20"/>
          <w:lang w:val="es-ES_tradnl"/>
        </w:rPr>
        <w:t xml:space="preserve">Valle Ambrosio y Domínguez Linares a recurrir la sentencia </w:t>
      </w:r>
      <w:r w:rsidR="0004271F" w:rsidRPr="00E3559F">
        <w:rPr>
          <w:sz w:val="20"/>
          <w:szCs w:val="20"/>
          <w:lang w:val="es-ES_tradnl"/>
        </w:rPr>
        <w:t>dictada por</w:t>
      </w:r>
      <w:r w:rsidR="0081738A" w:rsidRPr="00E3559F">
        <w:rPr>
          <w:sz w:val="20"/>
          <w:szCs w:val="20"/>
          <w:lang w:val="es-ES_tradnl"/>
        </w:rPr>
        <w:t xml:space="preserve"> la Cámara Novena del Crimen de Córdoba, la cual los </w:t>
      </w:r>
      <w:r w:rsidR="0004271F" w:rsidRPr="00E3559F">
        <w:rPr>
          <w:sz w:val="20"/>
          <w:szCs w:val="20"/>
          <w:lang w:val="es-ES_tradnl"/>
        </w:rPr>
        <w:t>condenó</w:t>
      </w:r>
      <w:r w:rsidR="0081738A" w:rsidRPr="00E3559F">
        <w:rPr>
          <w:sz w:val="20"/>
          <w:szCs w:val="20"/>
          <w:lang w:val="es-ES_tradnl"/>
        </w:rPr>
        <w:t xml:space="preserve"> </w:t>
      </w:r>
      <w:r w:rsidR="0004271F" w:rsidRPr="00E3559F">
        <w:rPr>
          <w:sz w:val="20"/>
          <w:szCs w:val="20"/>
          <w:lang w:val="es-ES_tradnl"/>
        </w:rPr>
        <w:t xml:space="preserve">a una pena de tres años y seis meses de prisión por la comisión </w:t>
      </w:r>
      <w:r w:rsidR="0081738A" w:rsidRPr="00E3559F">
        <w:rPr>
          <w:sz w:val="20"/>
          <w:szCs w:val="20"/>
          <w:lang w:val="es-ES_tradnl"/>
        </w:rPr>
        <w:t xml:space="preserve">del delito de defraudación. Al respecto, la Comisión Interamericana </w:t>
      </w:r>
      <w:r w:rsidR="00E73217" w:rsidRPr="00E3559F">
        <w:rPr>
          <w:sz w:val="20"/>
          <w:szCs w:val="20"/>
        </w:rPr>
        <w:t>determinó</w:t>
      </w:r>
      <w:r w:rsidR="0081738A" w:rsidRPr="00E3559F">
        <w:rPr>
          <w:sz w:val="20"/>
          <w:szCs w:val="20"/>
        </w:rPr>
        <w:t xml:space="preserve"> que</w:t>
      </w:r>
      <w:r w:rsidR="00A54ECF" w:rsidRPr="00E3559F">
        <w:rPr>
          <w:sz w:val="20"/>
          <w:szCs w:val="20"/>
        </w:rPr>
        <w:t xml:space="preserve"> los recursos de casación interpuestos contra la referida sentencia fueron declarados inadmisibles sin que se hiciera un análisis de fondo de los mismos y, por tanto, no </w:t>
      </w:r>
      <w:r w:rsidR="003B6F86" w:rsidRPr="00E3559F">
        <w:rPr>
          <w:sz w:val="20"/>
          <w:szCs w:val="20"/>
        </w:rPr>
        <w:t xml:space="preserve">se </w:t>
      </w:r>
      <w:r w:rsidR="00A54ECF" w:rsidRPr="00E3559F">
        <w:rPr>
          <w:sz w:val="20"/>
          <w:szCs w:val="20"/>
        </w:rPr>
        <w:t>contó con una revisión integral, en violación del derecho a recurrir el fallo</w:t>
      </w:r>
      <w:r w:rsidR="003B6F86" w:rsidRPr="00E3559F">
        <w:rPr>
          <w:sz w:val="20"/>
          <w:szCs w:val="20"/>
        </w:rPr>
        <w:t xml:space="preserve"> </w:t>
      </w:r>
      <w:r w:rsidR="00A54ECF" w:rsidRPr="00E3559F">
        <w:rPr>
          <w:sz w:val="20"/>
          <w:szCs w:val="20"/>
        </w:rPr>
        <w:t>amparado por el artículo 8.2.h de la Convención Americana</w:t>
      </w:r>
      <w:r w:rsidR="0081738A" w:rsidRPr="00E3559F">
        <w:rPr>
          <w:sz w:val="20"/>
          <w:szCs w:val="20"/>
        </w:rPr>
        <w:t>.</w:t>
      </w:r>
      <w:r w:rsidR="001F480C" w:rsidRPr="00E3559F">
        <w:rPr>
          <w:sz w:val="20"/>
          <w:szCs w:val="20"/>
        </w:rPr>
        <w:t xml:space="preserve"> </w:t>
      </w:r>
      <w:r w:rsidR="00B04D0D" w:rsidRPr="00E3559F">
        <w:rPr>
          <w:sz w:val="20"/>
          <w:szCs w:val="20"/>
        </w:rPr>
        <w:t>Asimismo, concluyó que, como consecuencia del carácter limitado del recurso de casación y aún más limitado del recurso extraordinario y de queja, las presuntas víctimas no contaron con recursos judiciales sencillos y efectivos, en violación del artículo 25.1 de la Convención, en relación con las obligaciones establecidas en los artículos 1.1 y 2 del mismo instrumento.</w:t>
      </w:r>
    </w:p>
    <w:p w14:paraId="69F26142" w14:textId="77777777" w:rsidR="00731D3E" w:rsidRPr="00E3559F" w:rsidRDefault="00731D3E" w:rsidP="00731D3E">
      <w:pPr>
        <w:pStyle w:val="Prrafodelista"/>
        <w:spacing w:line="240" w:lineRule="auto"/>
        <w:ind w:left="0"/>
        <w:rPr>
          <w:sz w:val="20"/>
          <w:szCs w:val="20"/>
          <w:lang w:val="es-ES_tradnl"/>
        </w:rPr>
      </w:pPr>
    </w:p>
    <w:p w14:paraId="128A0CA7" w14:textId="77777777" w:rsidR="00731D3E" w:rsidRPr="00E3559F" w:rsidRDefault="00731D3E" w:rsidP="00310CFF">
      <w:pPr>
        <w:numPr>
          <w:ilvl w:val="0"/>
          <w:numId w:val="1"/>
        </w:numPr>
        <w:tabs>
          <w:tab w:val="left" w:pos="567"/>
          <w:tab w:val="num" w:pos="1569"/>
          <w:tab w:val="num" w:pos="12305"/>
        </w:tabs>
        <w:spacing w:line="240" w:lineRule="auto"/>
        <w:ind w:left="0" w:firstLine="0"/>
        <w:rPr>
          <w:sz w:val="20"/>
          <w:szCs w:val="20"/>
        </w:rPr>
      </w:pPr>
      <w:bookmarkStart w:id="1" w:name="_Ref15466599"/>
      <w:r w:rsidRPr="00E3559F">
        <w:rPr>
          <w:i/>
          <w:sz w:val="20"/>
          <w:szCs w:val="20"/>
        </w:rPr>
        <w:t>Trámite ante la Comisión.</w:t>
      </w:r>
      <w:r w:rsidRPr="00E3559F">
        <w:rPr>
          <w:sz w:val="20"/>
          <w:szCs w:val="20"/>
        </w:rPr>
        <w:t xml:space="preserve"> – El trámite ante la Comisión fue el siguiente:</w:t>
      </w:r>
      <w:bookmarkEnd w:id="1"/>
    </w:p>
    <w:p w14:paraId="551416D1" w14:textId="77777777" w:rsidR="00731D3E" w:rsidRPr="00E3559F" w:rsidRDefault="00731D3E" w:rsidP="009A03A1">
      <w:pPr>
        <w:pStyle w:val="Prrafodelista"/>
        <w:spacing w:line="240" w:lineRule="auto"/>
        <w:rPr>
          <w:sz w:val="20"/>
          <w:szCs w:val="20"/>
        </w:rPr>
      </w:pPr>
    </w:p>
    <w:p w14:paraId="7EBC39F2" w14:textId="6D4F5F18" w:rsidR="00604E7C" w:rsidRPr="00E3559F" w:rsidRDefault="00731D3E" w:rsidP="00604E7C">
      <w:pPr>
        <w:pStyle w:val="Prrafodelista"/>
        <w:widowControl/>
        <w:numPr>
          <w:ilvl w:val="0"/>
          <w:numId w:val="2"/>
        </w:numPr>
        <w:adjustRightInd/>
        <w:spacing w:line="240" w:lineRule="auto"/>
        <w:textAlignment w:val="auto"/>
        <w:rPr>
          <w:sz w:val="20"/>
          <w:szCs w:val="20"/>
        </w:rPr>
      </w:pPr>
      <w:r w:rsidRPr="00E3559F">
        <w:rPr>
          <w:i/>
          <w:sz w:val="20"/>
          <w:szCs w:val="20"/>
        </w:rPr>
        <w:t xml:space="preserve">Petición. </w:t>
      </w:r>
      <w:r w:rsidRPr="00E3559F">
        <w:rPr>
          <w:sz w:val="20"/>
          <w:szCs w:val="20"/>
        </w:rPr>
        <w:t xml:space="preserve">– </w:t>
      </w:r>
      <w:r w:rsidR="00604E7C" w:rsidRPr="00E3559F">
        <w:rPr>
          <w:sz w:val="20"/>
          <w:szCs w:val="20"/>
        </w:rPr>
        <w:t xml:space="preserve">El </w:t>
      </w:r>
      <w:r w:rsidR="00F43341" w:rsidRPr="00E3559F">
        <w:rPr>
          <w:sz w:val="20"/>
          <w:szCs w:val="20"/>
        </w:rPr>
        <w:t xml:space="preserve">10 de julio y 4 de octubre de 2000, Julio César Ramón del Valle Ambrosio y Carlos Eduardo Domínguez, respectivamente, presentaron </w:t>
      </w:r>
      <w:r w:rsidR="00941AB8">
        <w:rPr>
          <w:sz w:val="20"/>
          <w:szCs w:val="20"/>
        </w:rPr>
        <w:t xml:space="preserve">sus </w:t>
      </w:r>
      <w:r w:rsidR="00F43341" w:rsidRPr="00E3559F">
        <w:rPr>
          <w:sz w:val="20"/>
          <w:szCs w:val="20"/>
        </w:rPr>
        <w:t xml:space="preserve">peticiones ante la Comisión. </w:t>
      </w:r>
    </w:p>
    <w:p w14:paraId="357097F8" w14:textId="15465664" w:rsidR="00604E7C" w:rsidRPr="00E3559F" w:rsidRDefault="00604E7C" w:rsidP="00604E7C">
      <w:pPr>
        <w:widowControl/>
        <w:adjustRightInd/>
        <w:spacing w:line="240" w:lineRule="auto"/>
        <w:textAlignment w:val="auto"/>
        <w:rPr>
          <w:sz w:val="20"/>
          <w:szCs w:val="20"/>
          <w:highlight w:val="yellow"/>
        </w:rPr>
      </w:pPr>
    </w:p>
    <w:p w14:paraId="3B82CF33" w14:textId="313E7063" w:rsidR="00604E7C" w:rsidRPr="00E3559F" w:rsidRDefault="00731D3E" w:rsidP="00604E7C">
      <w:pPr>
        <w:pStyle w:val="Prrafodelista"/>
        <w:widowControl/>
        <w:numPr>
          <w:ilvl w:val="0"/>
          <w:numId w:val="2"/>
        </w:numPr>
        <w:adjustRightInd/>
        <w:spacing w:line="240" w:lineRule="auto"/>
        <w:textAlignment w:val="auto"/>
        <w:rPr>
          <w:sz w:val="20"/>
          <w:szCs w:val="20"/>
        </w:rPr>
      </w:pPr>
      <w:r w:rsidRPr="00E3559F">
        <w:rPr>
          <w:i/>
          <w:sz w:val="20"/>
          <w:szCs w:val="20"/>
        </w:rPr>
        <w:t>Informe de admisibilidad.</w:t>
      </w:r>
      <w:r w:rsidRPr="00E3559F">
        <w:rPr>
          <w:sz w:val="20"/>
          <w:szCs w:val="20"/>
        </w:rPr>
        <w:t xml:space="preserve"> - </w:t>
      </w:r>
      <w:r w:rsidR="00F43341" w:rsidRPr="00E3559F">
        <w:rPr>
          <w:sz w:val="20"/>
          <w:szCs w:val="20"/>
        </w:rPr>
        <w:t>El 10</w:t>
      </w:r>
      <w:r w:rsidR="00604E7C" w:rsidRPr="00E3559F">
        <w:rPr>
          <w:sz w:val="20"/>
          <w:szCs w:val="20"/>
        </w:rPr>
        <w:t xml:space="preserve"> de </w:t>
      </w:r>
      <w:r w:rsidR="00F43341" w:rsidRPr="00E3559F">
        <w:rPr>
          <w:sz w:val="20"/>
          <w:szCs w:val="20"/>
        </w:rPr>
        <w:t>julio de 2013</w:t>
      </w:r>
      <w:r w:rsidR="00604E7C" w:rsidRPr="00E3559F">
        <w:rPr>
          <w:sz w:val="20"/>
          <w:szCs w:val="20"/>
        </w:rPr>
        <w:t xml:space="preserve"> la Comisión aprobó el</w:t>
      </w:r>
      <w:r w:rsidR="00F43341" w:rsidRPr="00E3559F">
        <w:rPr>
          <w:sz w:val="20"/>
          <w:szCs w:val="20"/>
        </w:rPr>
        <w:t xml:space="preserve"> Informe de Admisibilidad No. 35/13</w:t>
      </w:r>
      <w:r w:rsidR="00604E7C" w:rsidRPr="00E3559F">
        <w:rPr>
          <w:sz w:val="20"/>
          <w:szCs w:val="20"/>
        </w:rPr>
        <w:t>, en el que concluyó que la</w:t>
      </w:r>
      <w:r w:rsidR="00F43341" w:rsidRPr="00E3559F">
        <w:rPr>
          <w:sz w:val="20"/>
          <w:szCs w:val="20"/>
        </w:rPr>
        <w:t>s</w:t>
      </w:r>
      <w:r w:rsidR="00604E7C" w:rsidRPr="00E3559F">
        <w:rPr>
          <w:sz w:val="20"/>
          <w:szCs w:val="20"/>
        </w:rPr>
        <w:t xml:space="preserve"> </w:t>
      </w:r>
      <w:r w:rsidR="00F43341" w:rsidRPr="00E3559F">
        <w:rPr>
          <w:sz w:val="20"/>
          <w:szCs w:val="20"/>
        </w:rPr>
        <w:t xml:space="preserve">peticiones eran </w:t>
      </w:r>
      <w:r w:rsidR="00604E7C" w:rsidRPr="00E3559F">
        <w:rPr>
          <w:sz w:val="20"/>
          <w:szCs w:val="20"/>
        </w:rPr>
        <w:t>admisible</w:t>
      </w:r>
      <w:r w:rsidR="00F43341" w:rsidRPr="00E3559F">
        <w:rPr>
          <w:sz w:val="20"/>
          <w:szCs w:val="20"/>
        </w:rPr>
        <w:t>s</w:t>
      </w:r>
      <w:r w:rsidR="00604E7C" w:rsidRPr="00E3559F">
        <w:rPr>
          <w:rStyle w:val="Refdenotaalpie"/>
          <w:sz w:val="20"/>
          <w:szCs w:val="20"/>
        </w:rPr>
        <w:footnoteReference w:id="2"/>
      </w:r>
      <w:r w:rsidR="00604E7C" w:rsidRPr="00E3559F">
        <w:rPr>
          <w:sz w:val="20"/>
          <w:szCs w:val="20"/>
        </w:rPr>
        <w:t xml:space="preserve">. </w:t>
      </w:r>
    </w:p>
    <w:p w14:paraId="2453A3A8" w14:textId="77777777" w:rsidR="00731D3E" w:rsidRPr="00E3559F" w:rsidRDefault="00731D3E" w:rsidP="00731D3E">
      <w:pPr>
        <w:spacing w:line="240" w:lineRule="auto"/>
        <w:rPr>
          <w:sz w:val="20"/>
          <w:szCs w:val="20"/>
        </w:rPr>
      </w:pPr>
    </w:p>
    <w:p w14:paraId="37BA2C7D" w14:textId="5288C444" w:rsidR="00604E7C" w:rsidRPr="00E3559F" w:rsidRDefault="00731D3E" w:rsidP="00604E7C">
      <w:pPr>
        <w:pStyle w:val="Prrafodelista"/>
        <w:widowControl/>
        <w:numPr>
          <w:ilvl w:val="0"/>
          <w:numId w:val="2"/>
        </w:numPr>
        <w:adjustRightInd/>
        <w:spacing w:line="240" w:lineRule="auto"/>
        <w:textAlignment w:val="auto"/>
        <w:rPr>
          <w:sz w:val="20"/>
          <w:szCs w:val="20"/>
        </w:rPr>
      </w:pPr>
      <w:r w:rsidRPr="00E3559F">
        <w:rPr>
          <w:i/>
          <w:sz w:val="20"/>
          <w:szCs w:val="20"/>
        </w:rPr>
        <w:t>Informe de Fondo.</w:t>
      </w:r>
      <w:r w:rsidRPr="00E3559F">
        <w:rPr>
          <w:sz w:val="20"/>
          <w:szCs w:val="20"/>
        </w:rPr>
        <w:t xml:space="preserve"> – </w:t>
      </w:r>
      <w:r w:rsidR="000A71C6" w:rsidRPr="00E3559F">
        <w:rPr>
          <w:sz w:val="20"/>
          <w:szCs w:val="20"/>
        </w:rPr>
        <w:t>El 5</w:t>
      </w:r>
      <w:r w:rsidR="00604E7C" w:rsidRPr="00E3559F">
        <w:rPr>
          <w:sz w:val="20"/>
          <w:szCs w:val="20"/>
        </w:rPr>
        <w:t xml:space="preserve"> de </w:t>
      </w:r>
      <w:r w:rsidR="00023DD8" w:rsidRPr="00E3559F">
        <w:rPr>
          <w:sz w:val="20"/>
          <w:szCs w:val="20"/>
        </w:rPr>
        <w:t>se</w:t>
      </w:r>
      <w:r w:rsidR="00B1011B">
        <w:rPr>
          <w:sz w:val="20"/>
          <w:szCs w:val="20"/>
        </w:rPr>
        <w:t>p</w:t>
      </w:r>
      <w:r w:rsidR="00023DD8" w:rsidRPr="00E3559F">
        <w:rPr>
          <w:sz w:val="20"/>
          <w:szCs w:val="20"/>
        </w:rPr>
        <w:t>tiembre de 2017</w:t>
      </w:r>
      <w:r w:rsidR="00604E7C" w:rsidRPr="00E3559F">
        <w:rPr>
          <w:sz w:val="20"/>
          <w:szCs w:val="20"/>
        </w:rPr>
        <w:t xml:space="preserve"> la Comisión a</w:t>
      </w:r>
      <w:r w:rsidR="000A71C6" w:rsidRPr="00E3559F">
        <w:rPr>
          <w:sz w:val="20"/>
          <w:szCs w:val="20"/>
        </w:rPr>
        <w:t>p</w:t>
      </w:r>
      <w:r w:rsidR="00023DD8" w:rsidRPr="00E3559F">
        <w:rPr>
          <w:sz w:val="20"/>
          <w:szCs w:val="20"/>
        </w:rPr>
        <w:t>robó el Informe de Fondo No. 97/17</w:t>
      </w:r>
      <w:r w:rsidR="00604E7C" w:rsidRPr="00E3559F">
        <w:rPr>
          <w:sz w:val="20"/>
          <w:szCs w:val="20"/>
        </w:rPr>
        <w:t>, de conformidad con el artículo 50 de la Convención (en adelante también “el Inform</w:t>
      </w:r>
      <w:r w:rsidR="000A71C6" w:rsidRPr="00E3559F">
        <w:rPr>
          <w:sz w:val="20"/>
          <w:szCs w:val="20"/>
        </w:rPr>
        <w:t>e</w:t>
      </w:r>
      <w:r w:rsidR="00023DD8" w:rsidRPr="00E3559F">
        <w:rPr>
          <w:sz w:val="20"/>
          <w:szCs w:val="20"/>
        </w:rPr>
        <w:t xml:space="preserve"> de Fondo” o “el Informe No. 97/17</w:t>
      </w:r>
      <w:r w:rsidR="00604E7C" w:rsidRPr="00E3559F">
        <w:rPr>
          <w:sz w:val="20"/>
          <w:szCs w:val="20"/>
        </w:rPr>
        <w:t>”), en el cual llegó a una serie de conclusiones</w:t>
      </w:r>
      <w:r w:rsidR="00604E7C" w:rsidRPr="00E3559F">
        <w:rPr>
          <w:rStyle w:val="Refdenotaalpie"/>
          <w:sz w:val="20"/>
          <w:szCs w:val="20"/>
        </w:rPr>
        <w:footnoteReference w:id="3"/>
      </w:r>
      <w:r w:rsidR="0004271F" w:rsidRPr="00E3559F">
        <w:rPr>
          <w:sz w:val="20"/>
          <w:szCs w:val="20"/>
        </w:rPr>
        <w:t xml:space="preserve"> </w:t>
      </w:r>
      <w:r w:rsidR="00604E7C" w:rsidRPr="00E3559F">
        <w:rPr>
          <w:sz w:val="20"/>
          <w:szCs w:val="20"/>
        </w:rPr>
        <w:t>y formuló varias recomendaciones al Estado</w:t>
      </w:r>
      <w:r w:rsidR="008E7868" w:rsidRPr="00E3559F">
        <w:rPr>
          <w:rStyle w:val="Refdenotaalpie"/>
          <w:sz w:val="20"/>
          <w:szCs w:val="20"/>
          <w:vertAlign w:val="baseline"/>
        </w:rPr>
        <w:t>.</w:t>
      </w:r>
      <w:r w:rsidR="00604E7C" w:rsidRPr="00E3559F">
        <w:rPr>
          <w:sz w:val="20"/>
          <w:szCs w:val="20"/>
        </w:rPr>
        <w:t xml:space="preserve"> </w:t>
      </w:r>
    </w:p>
    <w:p w14:paraId="7C4983AF" w14:textId="77777777" w:rsidR="00604E7C" w:rsidRPr="00E3559F" w:rsidRDefault="00604E7C" w:rsidP="00604E7C">
      <w:pPr>
        <w:pStyle w:val="Prrafodelista"/>
        <w:widowControl/>
        <w:adjustRightInd/>
        <w:spacing w:line="240" w:lineRule="auto"/>
        <w:ind w:left="720"/>
        <w:textAlignment w:val="auto"/>
        <w:rPr>
          <w:sz w:val="20"/>
          <w:szCs w:val="20"/>
        </w:rPr>
      </w:pPr>
    </w:p>
    <w:p w14:paraId="1FE53D06" w14:textId="6081EC68" w:rsidR="00604E7C" w:rsidRPr="00E3559F" w:rsidRDefault="00604E7C" w:rsidP="00D0432D">
      <w:pPr>
        <w:widowControl/>
        <w:numPr>
          <w:ilvl w:val="0"/>
          <w:numId w:val="2"/>
        </w:numPr>
        <w:tabs>
          <w:tab w:val="left" w:pos="567"/>
          <w:tab w:val="num" w:pos="1569"/>
          <w:tab w:val="num" w:pos="12305"/>
        </w:tabs>
        <w:adjustRightInd/>
        <w:spacing w:line="240" w:lineRule="auto"/>
        <w:textAlignment w:val="auto"/>
        <w:rPr>
          <w:sz w:val="20"/>
          <w:szCs w:val="20"/>
        </w:rPr>
      </w:pPr>
      <w:r w:rsidRPr="00E3559F">
        <w:rPr>
          <w:i/>
          <w:sz w:val="20"/>
          <w:szCs w:val="20"/>
        </w:rPr>
        <w:t>Notificación al Estado.</w:t>
      </w:r>
      <w:r w:rsidRPr="00E3559F">
        <w:rPr>
          <w:sz w:val="20"/>
          <w:szCs w:val="20"/>
        </w:rPr>
        <w:t xml:space="preserve"> – El Informe de Fond</w:t>
      </w:r>
      <w:r w:rsidR="007238C3" w:rsidRPr="00E3559F">
        <w:rPr>
          <w:sz w:val="20"/>
          <w:szCs w:val="20"/>
        </w:rPr>
        <w:t xml:space="preserve">o fue notificado al Estado mediante comunicación de </w:t>
      </w:r>
      <w:r w:rsidR="000A71C6" w:rsidRPr="00E3559F">
        <w:rPr>
          <w:sz w:val="20"/>
          <w:szCs w:val="20"/>
        </w:rPr>
        <w:t>4</w:t>
      </w:r>
      <w:r w:rsidRPr="00E3559F">
        <w:rPr>
          <w:sz w:val="20"/>
          <w:szCs w:val="20"/>
        </w:rPr>
        <w:t xml:space="preserve"> de </w:t>
      </w:r>
      <w:r w:rsidR="007238C3" w:rsidRPr="00E3559F">
        <w:rPr>
          <w:sz w:val="20"/>
          <w:szCs w:val="20"/>
        </w:rPr>
        <w:t>octubre</w:t>
      </w:r>
      <w:r w:rsidRPr="00E3559F">
        <w:rPr>
          <w:sz w:val="20"/>
          <w:szCs w:val="20"/>
        </w:rPr>
        <w:t xml:space="preserve"> </w:t>
      </w:r>
      <w:r w:rsidR="007238C3" w:rsidRPr="00E3559F">
        <w:rPr>
          <w:sz w:val="20"/>
          <w:szCs w:val="20"/>
        </w:rPr>
        <w:t>de 2017, en la que se le otorgó un plazo de dos meses para informar sobre el cumplimiento de las recomendaciones. La Comisión otorgó tres prórrogas al Estado argentino, a fin de que informara sobre dicho cumplimiento. El Estado no aportó información que determinara el cumplimiento de las recomendaciones.</w:t>
      </w:r>
      <w:r w:rsidRPr="00E3559F">
        <w:rPr>
          <w:sz w:val="20"/>
          <w:szCs w:val="20"/>
        </w:rPr>
        <w:t xml:space="preserve"> </w:t>
      </w:r>
    </w:p>
    <w:p w14:paraId="3862C80D" w14:textId="77777777" w:rsidR="00604E7C" w:rsidRPr="00E3559F" w:rsidRDefault="00604E7C" w:rsidP="00604E7C">
      <w:pPr>
        <w:pStyle w:val="Prrafodelista"/>
        <w:spacing w:line="240" w:lineRule="auto"/>
        <w:rPr>
          <w:sz w:val="20"/>
          <w:szCs w:val="20"/>
          <w:highlight w:val="yellow"/>
        </w:rPr>
      </w:pPr>
    </w:p>
    <w:p w14:paraId="40A16F64" w14:textId="45E3FA9E" w:rsidR="00604E7C" w:rsidRPr="00E3559F" w:rsidRDefault="00604E7C" w:rsidP="00A91B30">
      <w:pPr>
        <w:numPr>
          <w:ilvl w:val="0"/>
          <w:numId w:val="1"/>
        </w:numPr>
        <w:tabs>
          <w:tab w:val="left" w:pos="567"/>
          <w:tab w:val="num" w:pos="1569"/>
          <w:tab w:val="num" w:pos="12305"/>
        </w:tabs>
        <w:spacing w:line="240" w:lineRule="auto"/>
        <w:ind w:left="0" w:firstLine="0"/>
        <w:rPr>
          <w:sz w:val="20"/>
          <w:szCs w:val="20"/>
        </w:rPr>
      </w:pPr>
      <w:r w:rsidRPr="00E3559F">
        <w:rPr>
          <w:i/>
          <w:sz w:val="20"/>
          <w:szCs w:val="20"/>
        </w:rPr>
        <w:t>Sometimiento a la Corte.</w:t>
      </w:r>
      <w:r w:rsidR="007238C3" w:rsidRPr="00E3559F">
        <w:rPr>
          <w:sz w:val="20"/>
          <w:szCs w:val="20"/>
        </w:rPr>
        <w:t xml:space="preserve"> – El </w:t>
      </w:r>
      <w:r w:rsidR="000A71C6" w:rsidRPr="00E3559F">
        <w:rPr>
          <w:sz w:val="20"/>
          <w:szCs w:val="20"/>
        </w:rPr>
        <w:t>4</w:t>
      </w:r>
      <w:r w:rsidRPr="00E3559F">
        <w:rPr>
          <w:sz w:val="20"/>
          <w:szCs w:val="20"/>
        </w:rPr>
        <w:t xml:space="preserve"> de </w:t>
      </w:r>
      <w:r w:rsidR="000B196F" w:rsidRPr="00E3559F">
        <w:rPr>
          <w:sz w:val="20"/>
          <w:szCs w:val="20"/>
        </w:rPr>
        <w:t>septiembre de 2018</w:t>
      </w:r>
      <w:r w:rsidRPr="00E3559F">
        <w:rPr>
          <w:sz w:val="20"/>
          <w:szCs w:val="20"/>
        </w:rPr>
        <w:t xml:space="preserve"> la Comisión sometió a la jurisdicción de la Corte Interamericana la totalidad de los hechos y violaciones de derechos humanos descritos en el </w:t>
      </w:r>
      <w:r w:rsidR="0004271F" w:rsidRPr="00E3559F">
        <w:rPr>
          <w:sz w:val="20"/>
          <w:szCs w:val="20"/>
        </w:rPr>
        <w:t>I</w:t>
      </w:r>
      <w:r w:rsidRPr="00E3559F">
        <w:rPr>
          <w:sz w:val="20"/>
          <w:szCs w:val="20"/>
        </w:rPr>
        <w:t xml:space="preserve">nforme de </w:t>
      </w:r>
      <w:r w:rsidR="0004271F" w:rsidRPr="00E3559F">
        <w:rPr>
          <w:sz w:val="20"/>
          <w:szCs w:val="20"/>
        </w:rPr>
        <w:t>F</w:t>
      </w:r>
      <w:r w:rsidRPr="00E3559F">
        <w:rPr>
          <w:sz w:val="20"/>
          <w:szCs w:val="20"/>
        </w:rPr>
        <w:t>ondo “</w:t>
      </w:r>
      <w:r w:rsidR="000A71C6" w:rsidRPr="00E3559F">
        <w:rPr>
          <w:sz w:val="20"/>
          <w:szCs w:val="20"/>
        </w:rPr>
        <w:t>ante</w:t>
      </w:r>
      <w:r w:rsidRPr="00E3559F">
        <w:rPr>
          <w:sz w:val="20"/>
          <w:szCs w:val="20"/>
        </w:rPr>
        <w:t xml:space="preserve"> la necesidad de ob</w:t>
      </w:r>
      <w:r w:rsidR="000A71C6" w:rsidRPr="00E3559F">
        <w:rPr>
          <w:sz w:val="20"/>
          <w:szCs w:val="20"/>
        </w:rPr>
        <w:t>tención de justicia y reparación</w:t>
      </w:r>
      <w:r w:rsidRPr="00E3559F">
        <w:rPr>
          <w:sz w:val="20"/>
          <w:szCs w:val="20"/>
        </w:rPr>
        <w:t>”</w:t>
      </w:r>
      <w:r w:rsidRPr="00E3559F">
        <w:rPr>
          <w:rStyle w:val="Refdenotaalpie"/>
          <w:sz w:val="20"/>
          <w:szCs w:val="20"/>
        </w:rPr>
        <w:footnoteReference w:id="4"/>
      </w:r>
      <w:r w:rsidRPr="00E3559F">
        <w:rPr>
          <w:sz w:val="20"/>
          <w:szCs w:val="20"/>
        </w:rPr>
        <w:t>.</w:t>
      </w:r>
    </w:p>
    <w:p w14:paraId="0C3B32E9" w14:textId="77777777" w:rsidR="00604E7C" w:rsidRPr="00E3559F" w:rsidRDefault="00604E7C" w:rsidP="00604E7C">
      <w:pPr>
        <w:tabs>
          <w:tab w:val="left" w:pos="567"/>
        </w:tabs>
        <w:spacing w:line="240" w:lineRule="auto"/>
        <w:rPr>
          <w:sz w:val="20"/>
          <w:szCs w:val="20"/>
        </w:rPr>
      </w:pPr>
    </w:p>
    <w:p w14:paraId="63F9B4BA" w14:textId="27AE86C7" w:rsidR="00531243" w:rsidRPr="00E3559F" w:rsidRDefault="00604E7C" w:rsidP="00531243">
      <w:pPr>
        <w:numPr>
          <w:ilvl w:val="0"/>
          <w:numId w:val="1"/>
        </w:numPr>
        <w:tabs>
          <w:tab w:val="left" w:pos="567"/>
          <w:tab w:val="num" w:pos="1569"/>
          <w:tab w:val="num" w:pos="12305"/>
        </w:tabs>
        <w:spacing w:line="240" w:lineRule="auto"/>
        <w:ind w:left="0" w:firstLine="0"/>
        <w:rPr>
          <w:sz w:val="20"/>
          <w:szCs w:val="20"/>
        </w:rPr>
      </w:pPr>
      <w:r w:rsidRPr="00E3559F">
        <w:rPr>
          <w:i/>
          <w:sz w:val="20"/>
          <w:szCs w:val="20"/>
        </w:rPr>
        <w:t xml:space="preserve">Solicitudes de la Comisión Interamericana. </w:t>
      </w:r>
      <w:r w:rsidRPr="00E3559F">
        <w:rPr>
          <w:sz w:val="20"/>
          <w:szCs w:val="20"/>
        </w:rPr>
        <w:t xml:space="preserve">– Con base en lo anterior, la Comisión solicitó a la Corte que declarara la responsabilidad internacional del Estado por las mismas violaciones señaladas en </w:t>
      </w:r>
      <w:r w:rsidR="000B196F" w:rsidRPr="00E3559F">
        <w:rPr>
          <w:sz w:val="20"/>
          <w:szCs w:val="20"/>
        </w:rPr>
        <w:t>su Informe de F</w:t>
      </w:r>
      <w:r w:rsidR="0004271F" w:rsidRPr="00E3559F">
        <w:rPr>
          <w:sz w:val="20"/>
          <w:szCs w:val="20"/>
        </w:rPr>
        <w:t>ondo</w:t>
      </w:r>
      <w:r w:rsidRPr="00E3559F">
        <w:rPr>
          <w:sz w:val="20"/>
          <w:szCs w:val="20"/>
        </w:rPr>
        <w:t xml:space="preserve"> (</w:t>
      </w:r>
      <w:r w:rsidRPr="00E3559F">
        <w:rPr>
          <w:i/>
          <w:sz w:val="20"/>
          <w:szCs w:val="20"/>
        </w:rPr>
        <w:t xml:space="preserve">supra </w:t>
      </w:r>
      <w:r w:rsidR="00DE09F7" w:rsidRPr="00E3559F">
        <w:rPr>
          <w:sz w:val="20"/>
          <w:szCs w:val="20"/>
        </w:rPr>
        <w:t>párr. 2.c</w:t>
      </w:r>
      <w:r w:rsidRPr="00E3559F">
        <w:rPr>
          <w:sz w:val="20"/>
          <w:szCs w:val="20"/>
        </w:rPr>
        <w:t xml:space="preserve">). Asimismo, la Comisión solicitó a la Corte que ordenara al Estado medidas de reparación, las cuales se detallan y analizan en el Capítulo </w:t>
      </w:r>
      <w:r w:rsidR="00A27ABA" w:rsidRPr="00E3559F">
        <w:rPr>
          <w:sz w:val="20"/>
          <w:szCs w:val="20"/>
        </w:rPr>
        <w:t>VI</w:t>
      </w:r>
      <w:r w:rsidR="00C60448" w:rsidRPr="00E3559F">
        <w:rPr>
          <w:sz w:val="20"/>
          <w:szCs w:val="20"/>
        </w:rPr>
        <w:t>I</w:t>
      </w:r>
      <w:r w:rsidRPr="00E3559F">
        <w:rPr>
          <w:sz w:val="20"/>
          <w:szCs w:val="20"/>
        </w:rPr>
        <w:t xml:space="preserve"> de la presente Sentencia.</w:t>
      </w:r>
      <w:r w:rsidR="001F480C" w:rsidRPr="00E3559F">
        <w:rPr>
          <w:sz w:val="20"/>
          <w:szCs w:val="20"/>
        </w:rPr>
        <w:t xml:space="preserve"> </w:t>
      </w:r>
      <w:r w:rsidR="003B6F86" w:rsidRPr="00E3559F">
        <w:rPr>
          <w:sz w:val="20"/>
          <w:szCs w:val="20"/>
          <w:lang w:val="es-ES"/>
        </w:rPr>
        <w:t xml:space="preserve">Este Tribunal nota </w:t>
      </w:r>
      <w:r w:rsidR="00BA099F" w:rsidRPr="00E3559F">
        <w:rPr>
          <w:sz w:val="20"/>
          <w:szCs w:val="20"/>
          <w:lang w:val="es-ES"/>
        </w:rPr>
        <w:t xml:space="preserve">con preocupación </w:t>
      </w:r>
      <w:r w:rsidR="003B6F86" w:rsidRPr="00E3559F">
        <w:rPr>
          <w:sz w:val="20"/>
          <w:szCs w:val="20"/>
          <w:lang w:val="es-ES"/>
        </w:rPr>
        <w:t xml:space="preserve">que, entre la </w:t>
      </w:r>
      <w:r w:rsidR="00A27ABA" w:rsidRPr="00E3559F">
        <w:rPr>
          <w:sz w:val="20"/>
          <w:szCs w:val="20"/>
          <w:lang w:val="es-ES"/>
        </w:rPr>
        <w:t>presentación</w:t>
      </w:r>
      <w:r w:rsidR="003B6F86" w:rsidRPr="00E3559F">
        <w:rPr>
          <w:sz w:val="20"/>
          <w:szCs w:val="20"/>
          <w:lang w:val="es-ES"/>
        </w:rPr>
        <w:t xml:space="preserve"> de la </w:t>
      </w:r>
      <w:r w:rsidR="00A27ABA" w:rsidRPr="00E3559F">
        <w:rPr>
          <w:sz w:val="20"/>
          <w:szCs w:val="20"/>
          <w:lang w:val="es-ES"/>
        </w:rPr>
        <w:t>petición</w:t>
      </w:r>
      <w:r w:rsidR="003B6F86" w:rsidRPr="00E3559F">
        <w:rPr>
          <w:sz w:val="20"/>
          <w:szCs w:val="20"/>
          <w:lang w:val="es-ES"/>
        </w:rPr>
        <w:t xml:space="preserve"> inicial ante la </w:t>
      </w:r>
      <w:r w:rsidR="00A27ABA" w:rsidRPr="00E3559F">
        <w:rPr>
          <w:sz w:val="20"/>
          <w:szCs w:val="20"/>
          <w:lang w:val="es-ES"/>
        </w:rPr>
        <w:t>Comisión</w:t>
      </w:r>
      <w:r w:rsidR="003B6F86" w:rsidRPr="00E3559F">
        <w:rPr>
          <w:sz w:val="20"/>
          <w:szCs w:val="20"/>
          <w:lang w:val="es-ES"/>
        </w:rPr>
        <w:t xml:space="preserve"> y el sometimiento del caso ante la Corte, han transcurrido más de dieciocho </w:t>
      </w:r>
      <w:r w:rsidR="00A27ABA" w:rsidRPr="00E3559F">
        <w:rPr>
          <w:sz w:val="20"/>
          <w:szCs w:val="20"/>
          <w:lang w:val="es-ES"/>
        </w:rPr>
        <w:t>años</w:t>
      </w:r>
      <w:r w:rsidR="003B6F86" w:rsidRPr="00E3559F">
        <w:rPr>
          <w:sz w:val="20"/>
          <w:szCs w:val="20"/>
          <w:lang w:val="es-ES"/>
        </w:rPr>
        <w:t>.</w:t>
      </w:r>
    </w:p>
    <w:p w14:paraId="2B83646C" w14:textId="77777777" w:rsidR="00731D3E" w:rsidRPr="00E3559F" w:rsidRDefault="00731D3E" w:rsidP="00A95B06">
      <w:pPr>
        <w:pStyle w:val="Ttulo1"/>
      </w:pPr>
      <w:bookmarkStart w:id="2" w:name="_Toc46250471"/>
      <w:r w:rsidRPr="00E3559F">
        <w:t>II</w:t>
      </w:r>
      <w:r w:rsidRPr="00E3559F">
        <w:br/>
        <w:t>PROCEDIMIENTO ANTE LA CORTE</w:t>
      </w:r>
      <w:bookmarkEnd w:id="2"/>
    </w:p>
    <w:p w14:paraId="6AB05BCC" w14:textId="3E35DE32" w:rsidR="00604E7C" w:rsidRPr="00E3559F" w:rsidRDefault="00604E7C" w:rsidP="00604E7C">
      <w:pPr>
        <w:numPr>
          <w:ilvl w:val="0"/>
          <w:numId w:val="1"/>
        </w:numPr>
        <w:tabs>
          <w:tab w:val="left" w:pos="567"/>
          <w:tab w:val="num" w:pos="1569"/>
          <w:tab w:val="num" w:pos="12305"/>
        </w:tabs>
        <w:spacing w:line="240" w:lineRule="auto"/>
        <w:ind w:left="0" w:firstLine="0"/>
        <w:rPr>
          <w:sz w:val="20"/>
          <w:szCs w:val="20"/>
        </w:rPr>
      </w:pPr>
      <w:r w:rsidRPr="00E3559F">
        <w:rPr>
          <w:i/>
          <w:sz w:val="20"/>
          <w:szCs w:val="20"/>
        </w:rPr>
        <w:t xml:space="preserve">Notificación a </w:t>
      </w:r>
      <w:r w:rsidR="00F115A2" w:rsidRPr="00E3559F">
        <w:rPr>
          <w:i/>
          <w:sz w:val="20"/>
          <w:szCs w:val="20"/>
        </w:rPr>
        <w:t>las representantes</w:t>
      </w:r>
      <w:r w:rsidRPr="00E3559F">
        <w:rPr>
          <w:i/>
          <w:sz w:val="20"/>
          <w:szCs w:val="20"/>
        </w:rPr>
        <w:t xml:space="preserve"> y al Estado. </w:t>
      </w:r>
      <w:r w:rsidRPr="00E3559F">
        <w:rPr>
          <w:sz w:val="20"/>
          <w:szCs w:val="20"/>
        </w:rPr>
        <w:t>– El sometimiento del caso por parte de la Comisió</w:t>
      </w:r>
      <w:r w:rsidR="00C33F4F" w:rsidRPr="00E3559F">
        <w:rPr>
          <w:sz w:val="20"/>
          <w:szCs w:val="20"/>
        </w:rPr>
        <w:t xml:space="preserve">n fue notificado por la Corte </w:t>
      </w:r>
      <w:r w:rsidR="000B196F" w:rsidRPr="00E3559F">
        <w:rPr>
          <w:sz w:val="20"/>
          <w:szCs w:val="20"/>
        </w:rPr>
        <w:t>a la representación</w:t>
      </w:r>
      <w:r w:rsidRPr="00E3559F">
        <w:rPr>
          <w:sz w:val="20"/>
          <w:szCs w:val="20"/>
        </w:rPr>
        <w:t xml:space="preserve"> de las presuntas víctimas</w:t>
      </w:r>
      <w:r w:rsidRPr="00E3559F">
        <w:rPr>
          <w:rStyle w:val="Refdenotaalpie"/>
          <w:sz w:val="20"/>
          <w:szCs w:val="20"/>
        </w:rPr>
        <w:footnoteReference w:id="5"/>
      </w:r>
      <w:r w:rsidRPr="00E3559F">
        <w:rPr>
          <w:sz w:val="20"/>
          <w:szCs w:val="20"/>
        </w:rPr>
        <w:t xml:space="preserve"> </w:t>
      </w:r>
      <w:r w:rsidR="00591807" w:rsidRPr="00E3559F">
        <w:rPr>
          <w:sz w:val="20"/>
          <w:szCs w:val="20"/>
        </w:rPr>
        <w:t xml:space="preserve">el 27 de diciembre de 2018 </w:t>
      </w:r>
      <w:r w:rsidR="000B196F" w:rsidRPr="00E3559F">
        <w:rPr>
          <w:sz w:val="20"/>
          <w:szCs w:val="20"/>
        </w:rPr>
        <w:t xml:space="preserve">y al Estado mediante comunicación </w:t>
      </w:r>
      <w:r w:rsidR="00387327" w:rsidRPr="00E3559F">
        <w:rPr>
          <w:sz w:val="20"/>
          <w:szCs w:val="20"/>
        </w:rPr>
        <w:t>de</w:t>
      </w:r>
      <w:r w:rsidR="00591807" w:rsidRPr="00E3559F">
        <w:rPr>
          <w:sz w:val="20"/>
          <w:szCs w:val="20"/>
        </w:rPr>
        <w:t xml:space="preserve"> 2 de noviembre de 2018</w:t>
      </w:r>
      <w:r w:rsidRPr="00E3559F">
        <w:rPr>
          <w:sz w:val="20"/>
          <w:szCs w:val="20"/>
        </w:rPr>
        <w:t>.</w:t>
      </w:r>
      <w:r w:rsidRPr="00E3559F">
        <w:rPr>
          <w:b/>
          <w:sz w:val="20"/>
          <w:szCs w:val="20"/>
        </w:rPr>
        <w:t xml:space="preserve"> </w:t>
      </w:r>
      <w:bookmarkStart w:id="3" w:name="para7"/>
    </w:p>
    <w:p w14:paraId="0ABE95C7" w14:textId="77777777" w:rsidR="00604E7C" w:rsidRPr="00E3559F" w:rsidRDefault="00604E7C" w:rsidP="00604E7C">
      <w:pPr>
        <w:tabs>
          <w:tab w:val="left" w:pos="567"/>
        </w:tabs>
        <w:spacing w:line="240" w:lineRule="auto"/>
        <w:rPr>
          <w:sz w:val="20"/>
          <w:szCs w:val="20"/>
        </w:rPr>
      </w:pPr>
    </w:p>
    <w:p w14:paraId="16ED9187" w14:textId="078EA66C" w:rsidR="00604E7C" w:rsidRPr="00E3559F" w:rsidRDefault="00BC3779" w:rsidP="00603037">
      <w:pPr>
        <w:numPr>
          <w:ilvl w:val="0"/>
          <w:numId w:val="1"/>
        </w:numPr>
        <w:tabs>
          <w:tab w:val="left" w:pos="567"/>
          <w:tab w:val="num" w:pos="1569"/>
          <w:tab w:val="num" w:pos="12305"/>
        </w:tabs>
        <w:spacing w:line="240" w:lineRule="auto"/>
        <w:ind w:left="0" w:firstLine="0"/>
        <w:rPr>
          <w:sz w:val="20"/>
          <w:szCs w:val="20"/>
        </w:rPr>
      </w:pPr>
      <w:r w:rsidRPr="00E3559F">
        <w:rPr>
          <w:i/>
          <w:sz w:val="20"/>
          <w:szCs w:val="20"/>
        </w:rPr>
        <w:t>Inadmisibilidad del e</w:t>
      </w:r>
      <w:r w:rsidR="00604E7C" w:rsidRPr="00E3559F">
        <w:rPr>
          <w:i/>
          <w:sz w:val="20"/>
          <w:szCs w:val="20"/>
        </w:rPr>
        <w:t>scrito de solicitudes, argumentos y pruebas.</w:t>
      </w:r>
      <w:r w:rsidRPr="00E3559F">
        <w:rPr>
          <w:sz w:val="20"/>
          <w:szCs w:val="20"/>
        </w:rPr>
        <w:t xml:space="preserve"> – El 10</w:t>
      </w:r>
      <w:r w:rsidR="00604E7C" w:rsidRPr="00E3559F">
        <w:rPr>
          <w:sz w:val="20"/>
          <w:szCs w:val="20"/>
        </w:rPr>
        <w:t xml:space="preserve"> de </w:t>
      </w:r>
      <w:r w:rsidRPr="00E3559F">
        <w:rPr>
          <w:sz w:val="20"/>
          <w:szCs w:val="20"/>
        </w:rPr>
        <w:t>marzo de 2019</w:t>
      </w:r>
      <w:r w:rsidR="00604E7C" w:rsidRPr="00E3559F">
        <w:rPr>
          <w:sz w:val="20"/>
          <w:szCs w:val="20"/>
        </w:rPr>
        <w:t xml:space="preserve"> </w:t>
      </w:r>
      <w:r w:rsidRPr="00E3559F">
        <w:rPr>
          <w:sz w:val="20"/>
          <w:szCs w:val="20"/>
        </w:rPr>
        <w:t>la representación de las presuntas víctimas remitió, de forma extemporánea, su escrito de solicitudes, argumentos y pruebas</w:t>
      </w:r>
      <w:r w:rsidRPr="00E3559F">
        <w:rPr>
          <w:rStyle w:val="Refdenotaalpie"/>
          <w:sz w:val="20"/>
          <w:szCs w:val="20"/>
        </w:rPr>
        <w:footnoteReference w:id="6"/>
      </w:r>
      <w:bookmarkEnd w:id="3"/>
      <w:r w:rsidR="00531243" w:rsidRPr="00E3559F">
        <w:rPr>
          <w:sz w:val="20"/>
          <w:szCs w:val="20"/>
        </w:rPr>
        <w:t>.</w:t>
      </w:r>
    </w:p>
    <w:p w14:paraId="66CA2636" w14:textId="255F1ABE" w:rsidR="003A3AF6" w:rsidRPr="00E3559F" w:rsidRDefault="003A3AF6" w:rsidP="003A3AF6">
      <w:pPr>
        <w:tabs>
          <w:tab w:val="left" w:pos="567"/>
          <w:tab w:val="num" w:pos="12305"/>
        </w:tabs>
        <w:spacing w:line="240" w:lineRule="auto"/>
        <w:rPr>
          <w:sz w:val="20"/>
          <w:szCs w:val="20"/>
          <w:highlight w:val="yellow"/>
        </w:rPr>
      </w:pPr>
    </w:p>
    <w:p w14:paraId="32F4A2F0" w14:textId="5187E4E9" w:rsidR="00604E7C" w:rsidRPr="00E3559F" w:rsidRDefault="00604E7C" w:rsidP="00AB77A2">
      <w:pPr>
        <w:numPr>
          <w:ilvl w:val="0"/>
          <w:numId w:val="1"/>
        </w:numPr>
        <w:tabs>
          <w:tab w:val="left" w:pos="567"/>
          <w:tab w:val="num" w:pos="1569"/>
          <w:tab w:val="num" w:pos="12305"/>
        </w:tabs>
        <w:spacing w:line="240" w:lineRule="auto"/>
        <w:ind w:left="0" w:firstLine="0"/>
        <w:rPr>
          <w:sz w:val="20"/>
          <w:szCs w:val="20"/>
        </w:rPr>
      </w:pPr>
      <w:r w:rsidRPr="00E3559F">
        <w:rPr>
          <w:i/>
          <w:sz w:val="20"/>
          <w:szCs w:val="20"/>
        </w:rPr>
        <w:t>Escrito de contestación.</w:t>
      </w:r>
      <w:r w:rsidRPr="00E3559F">
        <w:rPr>
          <w:sz w:val="20"/>
          <w:szCs w:val="20"/>
        </w:rPr>
        <w:t xml:space="preserve"> </w:t>
      </w:r>
      <w:r w:rsidRPr="00E3559F">
        <w:rPr>
          <w:i/>
          <w:sz w:val="20"/>
          <w:szCs w:val="20"/>
        </w:rPr>
        <w:t xml:space="preserve">– </w:t>
      </w:r>
      <w:r w:rsidR="00F46D89" w:rsidRPr="00E3559F">
        <w:rPr>
          <w:sz w:val="20"/>
          <w:szCs w:val="20"/>
        </w:rPr>
        <w:t>El 26</w:t>
      </w:r>
      <w:r w:rsidRPr="00E3559F">
        <w:rPr>
          <w:sz w:val="20"/>
          <w:szCs w:val="20"/>
        </w:rPr>
        <w:t xml:space="preserve"> de </w:t>
      </w:r>
      <w:r w:rsidR="00F46D89" w:rsidRPr="00E3559F">
        <w:rPr>
          <w:sz w:val="20"/>
          <w:szCs w:val="20"/>
        </w:rPr>
        <w:t>julio</w:t>
      </w:r>
      <w:r w:rsidR="003A3AF6" w:rsidRPr="00E3559F">
        <w:rPr>
          <w:sz w:val="20"/>
          <w:szCs w:val="20"/>
        </w:rPr>
        <w:t xml:space="preserve"> de 2019</w:t>
      </w:r>
      <w:r w:rsidRPr="00E3559F">
        <w:rPr>
          <w:sz w:val="20"/>
          <w:szCs w:val="20"/>
        </w:rPr>
        <w:t xml:space="preserve"> el Estado presentó ante la Corte su escrito de </w:t>
      </w:r>
      <w:r w:rsidR="00A96C2D">
        <w:rPr>
          <w:sz w:val="20"/>
          <w:szCs w:val="20"/>
        </w:rPr>
        <w:t>contestación al sometimiento e Informe de F</w:t>
      </w:r>
      <w:r w:rsidRPr="00E3559F">
        <w:rPr>
          <w:sz w:val="20"/>
          <w:szCs w:val="20"/>
        </w:rPr>
        <w:t xml:space="preserve">ondo de la Comisión Interamericana (en adelante “escrito de contestación”). En dicho escrito, el Estado </w:t>
      </w:r>
      <w:r w:rsidR="00F46D89" w:rsidRPr="00E3559F">
        <w:rPr>
          <w:sz w:val="20"/>
          <w:szCs w:val="20"/>
        </w:rPr>
        <w:t>rechazó las alegaciones presentadas por la Comisión Interamericana</w:t>
      </w:r>
      <w:r w:rsidRPr="00E3559F">
        <w:rPr>
          <w:sz w:val="20"/>
          <w:szCs w:val="20"/>
        </w:rPr>
        <w:t>.</w:t>
      </w:r>
      <w:r w:rsidR="00F46D89" w:rsidRPr="00E3559F">
        <w:rPr>
          <w:b/>
          <w:sz w:val="20"/>
          <w:szCs w:val="20"/>
        </w:rPr>
        <w:t xml:space="preserve"> </w:t>
      </w:r>
    </w:p>
    <w:p w14:paraId="7FF35A9D" w14:textId="77777777" w:rsidR="002C1488" w:rsidRPr="00E3559F" w:rsidRDefault="002C1488" w:rsidP="002C1488">
      <w:pPr>
        <w:tabs>
          <w:tab w:val="left" w:pos="567"/>
        </w:tabs>
        <w:spacing w:line="240" w:lineRule="auto"/>
        <w:rPr>
          <w:sz w:val="20"/>
          <w:szCs w:val="20"/>
        </w:rPr>
      </w:pPr>
    </w:p>
    <w:p w14:paraId="7FA27FCC" w14:textId="470E43AC" w:rsidR="00B04D0D" w:rsidRPr="00E3559F" w:rsidRDefault="00B04D0D" w:rsidP="00AB77A2">
      <w:pPr>
        <w:numPr>
          <w:ilvl w:val="0"/>
          <w:numId w:val="1"/>
        </w:numPr>
        <w:tabs>
          <w:tab w:val="left" w:pos="567"/>
          <w:tab w:val="num" w:pos="1569"/>
          <w:tab w:val="num" w:pos="12305"/>
        </w:tabs>
        <w:spacing w:line="240" w:lineRule="auto"/>
        <w:ind w:left="0" w:firstLine="0"/>
        <w:rPr>
          <w:sz w:val="20"/>
          <w:szCs w:val="20"/>
        </w:rPr>
      </w:pPr>
      <w:r w:rsidRPr="00E3559F">
        <w:rPr>
          <w:i/>
          <w:sz w:val="20"/>
          <w:szCs w:val="20"/>
        </w:rPr>
        <w:t>Suspensión por negociación de acuerdo amistoso –</w:t>
      </w:r>
      <w:r w:rsidRPr="00E3559F">
        <w:rPr>
          <w:sz w:val="20"/>
          <w:szCs w:val="20"/>
        </w:rPr>
        <w:t xml:space="preserve"> El 30 de septiembre de 2019 el Estado remitió copia del acta </w:t>
      </w:r>
      <w:r w:rsidR="00314070" w:rsidRPr="00E3559F">
        <w:rPr>
          <w:sz w:val="20"/>
          <w:szCs w:val="20"/>
        </w:rPr>
        <w:t>de 12 de septiembre de 2019</w:t>
      </w:r>
      <w:r w:rsidR="00314070">
        <w:rPr>
          <w:sz w:val="20"/>
          <w:szCs w:val="20"/>
        </w:rPr>
        <w:t xml:space="preserve">, </w:t>
      </w:r>
      <w:r w:rsidRPr="00E3559F">
        <w:rPr>
          <w:sz w:val="20"/>
          <w:szCs w:val="20"/>
        </w:rPr>
        <w:t xml:space="preserve">suscrita entre </w:t>
      </w:r>
      <w:r w:rsidR="001C6E60" w:rsidRPr="00E3559F">
        <w:rPr>
          <w:sz w:val="20"/>
          <w:szCs w:val="20"/>
        </w:rPr>
        <w:t>la representación</w:t>
      </w:r>
      <w:r w:rsidR="00753126" w:rsidRPr="00E3559F">
        <w:rPr>
          <w:sz w:val="20"/>
          <w:szCs w:val="20"/>
        </w:rPr>
        <w:t xml:space="preserve"> de las presuntas víctimas</w:t>
      </w:r>
      <w:r w:rsidRPr="00E3559F">
        <w:rPr>
          <w:sz w:val="20"/>
          <w:szCs w:val="20"/>
        </w:rPr>
        <w:t xml:space="preserve"> y el Estado</w:t>
      </w:r>
      <w:r w:rsidR="00314070">
        <w:rPr>
          <w:sz w:val="20"/>
          <w:szCs w:val="20"/>
        </w:rPr>
        <w:t xml:space="preserve">, </w:t>
      </w:r>
      <w:r w:rsidRPr="00E3559F">
        <w:rPr>
          <w:sz w:val="20"/>
          <w:szCs w:val="20"/>
        </w:rPr>
        <w:t xml:space="preserve">en la que </w:t>
      </w:r>
      <w:r w:rsidR="00753126" w:rsidRPr="00E3559F">
        <w:rPr>
          <w:sz w:val="20"/>
          <w:szCs w:val="20"/>
        </w:rPr>
        <w:t xml:space="preserve">ambas partes </w:t>
      </w:r>
      <w:r w:rsidRPr="00E3559F">
        <w:rPr>
          <w:sz w:val="20"/>
          <w:szCs w:val="20"/>
        </w:rPr>
        <w:t>manifestaron su voluntad de “abrir un espacio de diálogo para dar inicio a un proceso de solución amistosa en el marco de la presente petición”.</w:t>
      </w:r>
      <w:r w:rsidR="00753126" w:rsidRPr="00E3559F">
        <w:rPr>
          <w:sz w:val="20"/>
          <w:szCs w:val="20"/>
        </w:rPr>
        <w:t xml:space="preserve"> A la vista de lo anterior, el procedimiento ante la Corte permaneció suspendido hasta el 27 de febrero de 2020, fecha en la que </w:t>
      </w:r>
      <w:r w:rsidR="00AC506E" w:rsidRPr="00E3559F">
        <w:rPr>
          <w:sz w:val="20"/>
          <w:szCs w:val="20"/>
        </w:rPr>
        <w:t>la representación de las presuntas víctimas informó</w:t>
      </w:r>
      <w:r w:rsidR="00753126" w:rsidRPr="00E3559F">
        <w:rPr>
          <w:sz w:val="20"/>
          <w:szCs w:val="20"/>
        </w:rPr>
        <w:t xml:space="preserve"> a la Corte que el proceso de solución amistosa había “fracasado”.</w:t>
      </w:r>
    </w:p>
    <w:p w14:paraId="7ACB0419" w14:textId="77777777" w:rsidR="00531243" w:rsidRPr="00E3559F" w:rsidRDefault="00531243" w:rsidP="00531243">
      <w:pPr>
        <w:tabs>
          <w:tab w:val="left" w:pos="567"/>
        </w:tabs>
        <w:spacing w:line="240" w:lineRule="auto"/>
        <w:rPr>
          <w:sz w:val="20"/>
          <w:szCs w:val="20"/>
          <w:highlight w:val="yellow"/>
        </w:rPr>
      </w:pPr>
    </w:p>
    <w:p w14:paraId="44D3EEDB" w14:textId="5D3C2305" w:rsidR="00604E7C" w:rsidRPr="00E3559F" w:rsidRDefault="00F46D89" w:rsidP="00B002DC">
      <w:pPr>
        <w:numPr>
          <w:ilvl w:val="0"/>
          <w:numId w:val="1"/>
        </w:numPr>
        <w:tabs>
          <w:tab w:val="left" w:pos="567"/>
          <w:tab w:val="num" w:pos="1569"/>
          <w:tab w:val="num" w:pos="12305"/>
        </w:tabs>
        <w:spacing w:line="240" w:lineRule="auto"/>
        <w:ind w:left="0" w:firstLine="0"/>
        <w:rPr>
          <w:sz w:val="20"/>
          <w:szCs w:val="20"/>
        </w:rPr>
      </w:pPr>
      <w:r w:rsidRPr="00E3559F">
        <w:rPr>
          <w:i/>
          <w:sz w:val="20"/>
          <w:szCs w:val="20"/>
        </w:rPr>
        <w:t>Procedimiento final escrito</w:t>
      </w:r>
      <w:r w:rsidR="00604E7C" w:rsidRPr="00E3559F">
        <w:rPr>
          <w:i/>
          <w:sz w:val="20"/>
          <w:szCs w:val="20"/>
        </w:rPr>
        <w:t xml:space="preserve">. </w:t>
      </w:r>
      <w:r w:rsidR="004B391A" w:rsidRPr="00E3559F">
        <w:rPr>
          <w:sz w:val="20"/>
          <w:szCs w:val="20"/>
        </w:rPr>
        <w:t xml:space="preserve">– </w:t>
      </w:r>
      <w:r w:rsidR="00753126" w:rsidRPr="00E3559F">
        <w:rPr>
          <w:sz w:val="20"/>
          <w:szCs w:val="20"/>
        </w:rPr>
        <w:t>En consecuencia, t</w:t>
      </w:r>
      <w:r w:rsidRPr="00E3559F">
        <w:rPr>
          <w:sz w:val="20"/>
          <w:szCs w:val="20"/>
        </w:rPr>
        <w:t>ras evaluar los escritos principales presentados por la Comisión y el Estado, y a la luz de los dispuesto en los artículos 15, 45 y 50.1 del Reglamento de la Corte, la Presidenta</w:t>
      </w:r>
      <w:r w:rsidR="00531243" w:rsidRPr="00E3559F">
        <w:rPr>
          <w:sz w:val="20"/>
          <w:szCs w:val="20"/>
        </w:rPr>
        <w:t>,</w:t>
      </w:r>
      <w:r w:rsidRPr="00E3559F">
        <w:rPr>
          <w:sz w:val="20"/>
          <w:szCs w:val="20"/>
        </w:rPr>
        <w:t xml:space="preserve"> en consulta con el pleno de la Corte</w:t>
      </w:r>
      <w:r w:rsidR="00531243" w:rsidRPr="00E3559F">
        <w:rPr>
          <w:sz w:val="20"/>
          <w:szCs w:val="20"/>
        </w:rPr>
        <w:t>,</w:t>
      </w:r>
      <w:r w:rsidRPr="00E3559F">
        <w:rPr>
          <w:sz w:val="20"/>
          <w:szCs w:val="20"/>
        </w:rPr>
        <w:t xml:space="preserve"> decidió que</w:t>
      </w:r>
      <w:r w:rsidR="00753126" w:rsidRPr="00E3559F">
        <w:rPr>
          <w:sz w:val="20"/>
          <w:szCs w:val="20"/>
        </w:rPr>
        <w:t>,</w:t>
      </w:r>
      <w:r w:rsidRPr="00E3559F">
        <w:rPr>
          <w:sz w:val="20"/>
          <w:szCs w:val="20"/>
        </w:rPr>
        <w:t xml:space="preserve"> </w:t>
      </w:r>
      <w:r w:rsidR="00753126" w:rsidRPr="00E3559F">
        <w:rPr>
          <w:sz w:val="20"/>
          <w:szCs w:val="20"/>
        </w:rPr>
        <w:t xml:space="preserve">por razones de economía procesal, </w:t>
      </w:r>
      <w:r w:rsidRPr="00E3559F">
        <w:rPr>
          <w:sz w:val="20"/>
          <w:szCs w:val="20"/>
        </w:rPr>
        <w:t xml:space="preserve">no era necesario convocar una audiencia pública en el presente caso </w:t>
      </w:r>
      <w:r w:rsidR="00531243" w:rsidRPr="00E3559F">
        <w:rPr>
          <w:sz w:val="20"/>
          <w:szCs w:val="20"/>
        </w:rPr>
        <w:t>y otorgó</w:t>
      </w:r>
      <w:r w:rsidR="00753126" w:rsidRPr="00E3559F">
        <w:rPr>
          <w:sz w:val="20"/>
          <w:szCs w:val="20"/>
        </w:rPr>
        <w:t xml:space="preserve"> un</w:t>
      </w:r>
      <w:r w:rsidR="00531243" w:rsidRPr="00E3559F">
        <w:rPr>
          <w:sz w:val="20"/>
          <w:szCs w:val="20"/>
        </w:rPr>
        <w:t xml:space="preserve"> plazo hasta el 9 de abril de 2020 para que las partes y la Comisión remitieran</w:t>
      </w:r>
      <w:r w:rsidR="00753126" w:rsidRPr="00E3559F">
        <w:rPr>
          <w:sz w:val="20"/>
          <w:szCs w:val="20"/>
        </w:rPr>
        <w:t xml:space="preserve"> sus</w:t>
      </w:r>
      <w:r w:rsidR="00531243" w:rsidRPr="00E3559F">
        <w:rPr>
          <w:sz w:val="20"/>
          <w:szCs w:val="20"/>
        </w:rPr>
        <w:t xml:space="preserve"> alegatos finales escritos y observaciones finales escritas, respectivamente, en relación con el fondo y eventu</w:t>
      </w:r>
      <w:r w:rsidR="00C840DB" w:rsidRPr="00E3559F">
        <w:rPr>
          <w:sz w:val="20"/>
          <w:szCs w:val="20"/>
        </w:rPr>
        <w:t xml:space="preserve">ales reparaciones </w:t>
      </w:r>
      <w:r w:rsidR="00C840DB" w:rsidRPr="00E3559F">
        <w:rPr>
          <w:sz w:val="20"/>
          <w:szCs w:val="20"/>
        </w:rPr>
        <w:lastRenderedPageBreak/>
        <w:t>y costas</w:t>
      </w:r>
      <w:r w:rsidR="00C840DB" w:rsidRPr="00E3559F">
        <w:rPr>
          <w:rStyle w:val="Refdenotaalpie"/>
          <w:sz w:val="20"/>
          <w:szCs w:val="20"/>
        </w:rPr>
        <w:footnoteReference w:id="7"/>
      </w:r>
      <w:r w:rsidRPr="00E3559F">
        <w:rPr>
          <w:sz w:val="20"/>
          <w:szCs w:val="20"/>
        </w:rPr>
        <w:t>.</w:t>
      </w:r>
      <w:r w:rsidR="00604E7C" w:rsidRPr="00E3559F">
        <w:rPr>
          <w:sz w:val="20"/>
          <w:szCs w:val="20"/>
        </w:rPr>
        <w:t xml:space="preserve"> </w:t>
      </w:r>
      <w:r w:rsidR="006C3EFC" w:rsidRPr="00E3559F">
        <w:rPr>
          <w:sz w:val="20"/>
          <w:szCs w:val="20"/>
        </w:rPr>
        <w:t xml:space="preserve">En atención a lo resuelto en </w:t>
      </w:r>
      <w:r w:rsidR="003B6F86" w:rsidRPr="00E3559F">
        <w:rPr>
          <w:sz w:val="20"/>
          <w:szCs w:val="20"/>
        </w:rPr>
        <w:t xml:space="preserve">los </w:t>
      </w:r>
      <w:r w:rsidR="006C3EFC" w:rsidRPr="00E3559F">
        <w:rPr>
          <w:sz w:val="20"/>
          <w:szCs w:val="20"/>
        </w:rPr>
        <w:t>Acuerdo</w:t>
      </w:r>
      <w:r w:rsidR="003B6F86" w:rsidRPr="00E3559F">
        <w:rPr>
          <w:sz w:val="20"/>
          <w:szCs w:val="20"/>
        </w:rPr>
        <w:t>s</w:t>
      </w:r>
      <w:r w:rsidR="006C3EFC" w:rsidRPr="00E3559F">
        <w:rPr>
          <w:sz w:val="20"/>
          <w:szCs w:val="20"/>
        </w:rPr>
        <w:t xml:space="preserve"> de Corte 1/20 de 17 de marzo de 2020</w:t>
      </w:r>
      <w:r w:rsidR="006C3EFC" w:rsidRPr="00E3559F">
        <w:rPr>
          <w:rStyle w:val="Refdenotaalpie"/>
          <w:sz w:val="20"/>
          <w:szCs w:val="20"/>
        </w:rPr>
        <w:footnoteReference w:id="8"/>
      </w:r>
      <w:r w:rsidR="003B6F86" w:rsidRPr="00E3559F">
        <w:rPr>
          <w:sz w:val="20"/>
          <w:szCs w:val="20"/>
        </w:rPr>
        <w:t xml:space="preserve"> y 2/20 de 16 de abril de 2020</w:t>
      </w:r>
      <w:r w:rsidR="003B6F86" w:rsidRPr="00E3559F">
        <w:rPr>
          <w:rStyle w:val="Refdenotaalpie"/>
          <w:sz w:val="20"/>
          <w:szCs w:val="20"/>
        </w:rPr>
        <w:footnoteReference w:id="9"/>
      </w:r>
      <w:r w:rsidR="00314070">
        <w:rPr>
          <w:sz w:val="20"/>
          <w:szCs w:val="20"/>
        </w:rPr>
        <w:t>,</w:t>
      </w:r>
      <w:r w:rsidR="003B6F86" w:rsidRPr="00E3559F">
        <w:rPr>
          <w:sz w:val="20"/>
          <w:szCs w:val="20"/>
        </w:rPr>
        <w:t xml:space="preserve"> mediante los cuales la Corte dispuso </w:t>
      </w:r>
      <w:r w:rsidR="00A27ABA" w:rsidRPr="00E3559F">
        <w:rPr>
          <w:sz w:val="20"/>
          <w:szCs w:val="20"/>
        </w:rPr>
        <w:t>suspender</w:t>
      </w:r>
      <w:r w:rsidR="003B6F86" w:rsidRPr="00E3559F">
        <w:rPr>
          <w:sz w:val="20"/>
          <w:szCs w:val="20"/>
        </w:rPr>
        <w:t xml:space="preserve"> el cómputo de todos los plazos debido a la emergencia en la salud causada por </w:t>
      </w:r>
      <w:r w:rsidR="005A17FE">
        <w:rPr>
          <w:sz w:val="20"/>
          <w:szCs w:val="20"/>
        </w:rPr>
        <w:t>la pandemia por</w:t>
      </w:r>
      <w:r w:rsidR="003B6F86" w:rsidRPr="00E3559F">
        <w:rPr>
          <w:sz w:val="20"/>
          <w:szCs w:val="20"/>
        </w:rPr>
        <w:t xml:space="preserve"> COVID-19, el vencimiento de </w:t>
      </w:r>
      <w:r w:rsidR="006C3EFC" w:rsidRPr="00E3559F">
        <w:rPr>
          <w:sz w:val="20"/>
          <w:szCs w:val="20"/>
        </w:rPr>
        <w:t xml:space="preserve">dicho plazo </w:t>
      </w:r>
      <w:r w:rsidR="003B6F86" w:rsidRPr="00E3559F">
        <w:rPr>
          <w:sz w:val="20"/>
          <w:szCs w:val="20"/>
        </w:rPr>
        <w:t>se prorrogó</w:t>
      </w:r>
      <w:r w:rsidR="006C3EFC" w:rsidRPr="00E3559F">
        <w:rPr>
          <w:sz w:val="20"/>
          <w:szCs w:val="20"/>
        </w:rPr>
        <w:t xml:space="preserve"> hasta el </w:t>
      </w:r>
      <w:r w:rsidR="00263C8A" w:rsidRPr="00E3559F">
        <w:rPr>
          <w:sz w:val="20"/>
          <w:szCs w:val="20"/>
        </w:rPr>
        <w:t>12 de junio de 2020</w:t>
      </w:r>
      <w:r w:rsidR="006C3EFC" w:rsidRPr="00E3559F">
        <w:rPr>
          <w:sz w:val="20"/>
          <w:szCs w:val="20"/>
        </w:rPr>
        <w:t>.</w:t>
      </w:r>
    </w:p>
    <w:p w14:paraId="1CDC63DD" w14:textId="56B0B62D" w:rsidR="00604E7C" w:rsidRPr="00E3559F" w:rsidRDefault="00604E7C" w:rsidP="00604E7C">
      <w:pPr>
        <w:tabs>
          <w:tab w:val="left" w:pos="567"/>
          <w:tab w:val="num" w:pos="12305"/>
        </w:tabs>
        <w:spacing w:line="240" w:lineRule="auto"/>
        <w:rPr>
          <w:sz w:val="20"/>
          <w:szCs w:val="20"/>
        </w:rPr>
      </w:pPr>
    </w:p>
    <w:p w14:paraId="458CD5E0" w14:textId="190E529D" w:rsidR="00B8112F" w:rsidRPr="00E3559F" w:rsidRDefault="00604E7C" w:rsidP="00617CED">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b/>
          <w:sz w:val="20"/>
          <w:szCs w:val="20"/>
        </w:rPr>
      </w:pPr>
      <w:r w:rsidRPr="00E3559F">
        <w:rPr>
          <w:i/>
          <w:sz w:val="20"/>
          <w:szCs w:val="20"/>
        </w:rPr>
        <w:t xml:space="preserve">Alegatos y observaciones finales escritos. </w:t>
      </w:r>
      <w:r w:rsidRPr="00E3559F">
        <w:rPr>
          <w:sz w:val="20"/>
          <w:szCs w:val="20"/>
        </w:rPr>
        <w:t xml:space="preserve">– </w:t>
      </w:r>
      <w:r w:rsidR="00594285" w:rsidRPr="00E3559F">
        <w:rPr>
          <w:sz w:val="20"/>
          <w:szCs w:val="20"/>
        </w:rPr>
        <w:t xml:space="preserve">El </w:t>
      </w:r>
      <w:r w:rsidR="00BF79C5" w:rsidRPr="00E3559F">
        <w:rPr>
          <w:sz w:val="20"/>
          <w:szCs w:val="20"/>
        </w:rPr>
        <w:t>22</w:t>
      </w:r>
      <w:r w:rsidR="00594285" w:rsidRPr="00E3559F">
        <w:rPr>
          <w:sz w:val="20"/>
          <w:szCs w:val="20"/>
        </w:rPr>
        <w:t xml:space="preserve"> de </w:t>
      </w:r>
      <w:r w:rsidR="00BF79C5" w:rsidRPr="00E3559F">
        <w:rPr>
          <w:sz w:val="20"/>
          <w:szCs w:val="20"/>
        </w:rPr>
        <w:t>mayo</w:t>
      </w:r>
      <w:r w:rsidR="00594285" w:rsidRPr="00E3559F">
        <w:rPr>
          <w:sz w:val="20"/>
          <w:szCs w:val="20"/>
        </w:rPr>
        <w:t xml:space="preserve"> de 2020 la representación </w:t>
      </w:r>
      <w:r w:rsidR="00387327" w:rsidRPr="00E3559F">
        <w:rPr>
          <w:sz w:val="20"/>
          <w:szCs w:val="20"/>
        </w:rPr>
        <w:t>de las presuntas víctimas</w:t>
      </w:r>
      <w:r w:rsidR="00594285" w:rsidRPr="00E3559F">
        <w:rPr>
          <w:sz w:val="20"/>
          <w:szCs w:val="20"/>
        </w:rPr>
        <w:t xml:space="preserve"> remitió</w:t>
      </w:r>
      <w:r w:rsidR="00314070">
        <w:rPr>
          <w:sz w:val="20"/>
          <w:szCs w:val="20"/>
        </w:rPr>
        <w:t xml:space="preserve"> sus alegatos finales escritos, mientras que e</w:t>
      </w:r>
      <w:r w:rsidRPr="00E3559F">
        <w:rPr>
          <w:sz w:val="20"/>
          <w:szCs w:val="20"/>
        </w:rPr>
        <w:t xml:space="preserve">l </w:t>
      </w:r>
      <w:r w:rsidR="00387327" w:rsidRPr="00E3559F">
        <w:rPr>
          <w:sz w:val="20"/>
          <w:szCs w:val="20"/>
        </w:rPr>
        <w:t>28 de mayo de 2020 la Comisión remitió sus o</w:t>
      </w:r>
      <w:r w:rsidR="00314070">
        <w:rPr>
          <w:sz w:val="20"/>
          <w:szCs w:val="20"/>
        </w:rPr>
        <w:t>bservaciones finales escritas. E</w:t>
      </w:r>
      <w:r w:rsidR="00387327" w:rsidRPr="00E3559F">
        <w:rPr>
          <w:sz w:val="20"/>
          <w:szCs w:val="20"/>
        </w:rPr>
        <w:t>l 12 de junio de 2020 el Estado remitió sus alegatos finales escritos.</w:t>
      </w:r>
      <w:r w:rsidR="00157D5B" w:rsidRPr="00E3559F">
        <w:rPr>
          <w:rFonts w:eastAsia="Calibri" w:cs="Verdana Bold"/>
          <w:bCs/>
          <w:sz w:val="20"/>
          <w:szCs w:val="20"/>
          <w:lang w:val="es-MX"/>
        </w:rPr>
        <w:t xml:space="preserve"> </w:t>
      </w:r>
    </w:p>
    <w:p w14:paraId="2C8F1AA6" w14:textId="77777777" w:rsidR="00AC506E" w:rsidRPr="00E3559F" w:rsidRDefault="00AC506E" w:rsidP="00AC506E">
      <w:pPr>
        <w:widowControl/>
        <w:tabs>
          <w:tab w:val="left" w:pos="567"/>
          <w:tab w:val="num" w:pos="12305"/>
        </w:tabs>
        <w:autoSpaceDE w:val="0"/>
        <w:autoSpaceDN w:val="0"/>
        <w:adjustRightInd/>
        <w:spacing w:line="240" w:lineRule="auto"/>
        <w:ind w:left="567" w:right="-90" w:hanging="567"/>
        <w:textAlignment w:val="auto"/>
        <w:rPr>
          <w:b/>
          <w:sz w:val="20"/>
          <w:szCs w:val="20"/>
        </w:rPr>
      </w:pPr>
    </w:p>
    <w:p w14:paraId="521FE736" w14:textId="1FB09AE9" w:rsidR="00604E7C" w:rsidRPr="00E3559F" w:rsidRDefault="00604E7C" w:rsidP="00604E7C">
      <w:pPr>
        <w:numPr>
          <w:ilvl w:val="0"/>
          <w:numId w:val="1"/>
        </w:numPr>
        <w:tabs>
          <w:tab w:val="left" w:pos="567"/>
          <w:tab w:val="num" w:pos="1569"/>
          <w:tab w:val="num" w:pos="12305"/>
        </w:tabs>
        <w:spacing w:line="240" w:lineRule="auto"/>
        <w:ind w:left="0" w:firstLine="0"/>
        <w:rPr>
          <w:sz w:val="20"/>
          <w:szCs w:val="20"/>
        </w:rPr>
      </w:pPr>
      <w:r w:rsidRPr="00E3559F">
        <w:rPr>
          <w:i/>
          <w:sz w:val="20"/>
          <w:szCs w:val="20"/>
        </w:rPr>
        <w:t xml:space="preserve">Deliberación del presente caso. </w:t>
      </w:r>
      <w:r w:rsidRPr="00E3559F">
        <w:rPr>
          <w:sz w:val="20"/>
          <w:szCs w:val="20"/>
        </w:rPr>
        <w:t xml:space="preserve">– </w:t>
      </w:r>
      <w:r w:rsidR="00387327" w:rsidRPr="00E3559F">
        <w:rPr>
          <w:sz w:val="20"/>
          <w:szCs w:val="20"/>
        </w:rPr>
        <w:t xml:space="preserve">La Corte deliberó la presente Sentencia, a través de una sesión virtual, durante </w:t>
      </w:r>
      <w:r w:rsidR="00AB345C" w:rsidRPr="00E3559F">
        <w:rPr>
          <w:sz w:val="20"/>
          <w:szCs w:val="20"/>
        </w:rPr>
        <w:t>el día</w:t>
      </w:r>
      <w:r w:rsidR="00387327" w:rsidRPr="00E3559F">
        <w:rPr>
          <w:sz w:val="20"/>
          <w:szCs w:val="20"/>
        </w:rPr>
        <w:t xml:space="preserve"> </w:t>
      </w:r>
      <w:r w:rsidR="00AB345C" w:rsidRPr="00E3559F">
        <w:rPr>
          <w:sz w:val="20"/>
          <w:szCs w:val="20"/>
        </w:rPr>
        <w:t>20</w:t>
      </w:r>
      <w:r w:rsidR="00387327" w:rsidRPr="00E3559F">
        <w:rPr>
          <w:sz w:val="20"/>
          <w:szCs w:val="20"/>
        </w:rPr>
        <w:t xml:space="preserve"> de julio</w:t>
      </w:r>
      <w:r w:rsidR="00AB345C" w:rsidRPr="00E3559F">
        <w:rPr>
          <w:sz w:val="20"/>
          <w:szCs w:val="20"/>
        </w:rPr>
        <w:t xml:space="preserve"> de 2020</w:t>
      </w:r>
      <w:r w:rsidR="00387327" w:rsidRPr="00E3559F">
        <w:rPr>
          <w:rStyle w:val="Refdenotaalpie"/>
          <w:sz w:val="20"/>
          <w:szCs w:val="20"/>
          <w:lang w:val="es-ES"/>
        </w:rPr>
        <w:footnoteReference w:id="10"/>
      </w:r>
      <w:r w:rsidR="003B6F86" w:rsidRPr="00E3559F">
        <w:rPr>
          <w:sz w:val="20"/>
          <w:szCs w:val="20"/>
          <w:lang w:val="es-ES"/>
        </w:rPr>
        <w:t>.</w:t>
      </w:r>
    </w:p>
    <w:p w14:paraId="2CF5F57C" w14:textId="77777777" w:rsidR="00731D3E" w:rsidRPr="00E3559F" w:rsidRDefault="00731D3E" w:rsidP="00A95B06">
      <w:pPr>
        <w:pStyle w:val="Ttulo1"/>
      </w:pPr>
      <w:bookmarkStart w:id="4" w:name="_Toc46250472"/>
      <w:r w:rsidRPr="00E3559F">
        <w:t>III</w:t>
      </w:r>
      <w:r w:rsidRPr="00E3559F">
        <w:br/>
        <w:t>COMPETENCIA</w:t>
      </w:r>
      <w:bookmarkEnd w:id="4"/>
    </w:p>
    <w:p w14:paraId="6530E47E" w14:textId="0F8D2395" w:rsidR="00337C35" w:rsidRPr="00E3559F" w:rsidRDefault="00E32DA9" w:rsidP="00337C35">
      <w:pPr>
        <w:numPr>
          <w:ilvl w:val="0"/>
          <w:numId w:val="1"/>
        </w:numPr>
        <w:tabs>
          <w:tab w:val="left" w:pos="567"/>
          <w:tab w:val="num" w:pos="1569"/>
          <w:tab w:val="num" w:pos="12305"/>
        </w:tabs>
        <w:spacing w:line="240" w:lineRule="auto"/>
        <w:ind w:left="0" w:firstLine="0"/>
        <w:rPr>
          <w:rFonts w:eastAsia="Batang"/>
          <w:sz w:val="20"/>
          <w:szCs w:val="20"/>
          <w:lang w:eastAsia="en-US"/>
        </w:rPr>
      </w:pPr>
      <w:r w:rsidRPr="00E3559F">
        <w:rPr>
          <w:rFonts w:eastAsia="Batang"/>
          <w:sz w:val="20"/>
          <w:szCs w:val="20"/>
          <w:lang w:eastAsia="en-US"/>
        </w:rPr>
        <w:t xml:space="preserve">La Corte </w:t>
      </w:r>
      <w:r w:rsidR="008C0384" w:rsidRPr="00E3559F">
        <w:rPr>
          <w:sz w:val="20"/>
          <w:szCs w:val="20"/>
        </w:rPr>
        <w:t xml:space="preserve">es competente en los términos del artículo 62.3 de la Convención para conocer el presente caso, en razón de que Argentina es Estado parte de la Convención Americana desde el 5 de septiembre de 1984 y reconoció la competencia contenciosa del Tribunal en esa misma fecha. </w:t>
      </w:r>
    </w:p>
    <w:p w14:paraId="41B2890F" w14:textId="6C97B6C4" w:rsidR="00652A11" w:rsidRPr="00E3559F" w:rsidRDefault="00337C35" w:rsidP="00A95B06">
      <w:pPr>
        <w:pStyle w:val="Ttulo1"/>
      </w:pPr>
      <w:bookmarkStart w:id="5" w:name="_Toc375517114"/>
      <w:bookmarkStart w:id="6" w:name="_Toc459158102"/>
      <w:bookmarkStart w:id="7" w:name="_Toc470180046"/>
      <w:bookmarkStart w:id="8" w:name="_Toc514172609"/>
      <w:bookmarkStart w:id="9" w:name="_Toc46250473"/>
      <w:r w:rsidRPr="00E3559F">
        <w:t>I</w:t>
      </w:r>
      <w:r w:rsidR="00652A11" w:rsidRPr="00E3559F">
        <w:t>V</w:t>
      </w:r>
      <w:r w:rsidR="00652A11" w:rsidRPr="00E3559F">
        <w:br/>
        <w:t>PRUEBA</w:t>
      </w:r>
      <w:bookmarkEnd w:id="5"/>
      <w:bookmarkEnd w:id="6"/>
      <w:bookmarkEnd w:id="7"/>
      <w:bookmarkEnd w:id="8"/>
      <w:bookmarkEnd w:id="9"/>
    </w:p>
    <w:p w14:paraId="7940CD93" w14:textId="4F8ED7C6" w:rsidR="00652A11" w:rsidRPr="00E3559F" w:rsidRDefault="00652A11" w:rsidP="00365BC5">
      <w:pPr>
        <w:pStyle w:val="Ttulo2"/>
      </w:pPr>
      <w:bookmarkStart w:id="10" w:name="_Toc375517115"/>
      <w:bookmarkStart w:id="11" w:name="_Toc459158103"/>
      <w:bookmarkStart w:id="12" w:name="_Toc470180047"/>
      <w:bookmarkStart w:id="13" w:name="_Toc514172610"/>
      <w:r w:rsidRPr="00E3559F">
        <w:tab/>
      </w:r>
      <w:bookmarkStart w:id="14" w:name="_Toc375517116"/>
      <w:bookmarkStart w:id="15" w:name="_Toc459158104"/>
      <w:bookmarkStart w:id="16" w:name="_Toc470180048"/>
      <w:bookmarkStart w:id="17" w:name="_Toc514172611"/>
      <w:bookmarkStart w:id="18" w:name="_Toc46250474"/>
      <w:bookmarkEnd w:id="10"/>
      <w:bookmarkEnd w:id="11"/>
      <w:bookmarkEnd w:id="12"/>
      <w:bookmarkEnd w:id="13"/>
      <w:r w:rsidR="00E20B2F" w:rsidRPr="00E3559F">
        <w:t xml:space="preserve">Admisibilidad de la </w:t>
      </w:r>
      <w:r w:rsidRPr="00E3559F">
        <w:t>prueba</w:t>
      </w:r>
      <w:bookmarkEnd w:id="14"/>
      <w:bookmarkEnd w:id="15"/>
      <w:bookmarkEnd w:id="16"/>
      <w:bookmarkEnd w:id="17"/>
      <w:r w:rsidR="00E20B2F" w:rsidRPr="00E3559F">
        <w:t xml:space="preserve"> documental</w:t>
      </w:r>
      <w:bookmarkEnd w:id="18"/>
    </w:p>
    <w:p w14:paraId="29BF796F" w14:textId="4FBA9B96" w:rsidR="00E20B2F" w:rsidRPr="00E3559F" w:rsidRDefault="00E20B2F" w:rsidP="00E20B2F">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rFonts w:eastAsia="Calibri"/>
          <w:sz w:val="20"/>
          <w:szCs w:val="20"/>
        </w:rPr>
      </w:pPr>
      <w:r w:rsidRPr="00E3559F">
        <w:rPr>
          <w:rFonts w:eastAsia="Calibri"/>
          <w:sz w:val="20"/>
          <w:szCs w:val="20"/>
        </w:rPr>
        <w:t>El Tribunal recibió diversos documentos presentad</w:t>
      </w:r>
      <w:r w:rsidR="008C0384" w:rsidRPr="00E3559F">
        <w:rPr>
          <w:rFonts w:eastAsia="Calibri"/>
          <w:sz w:val="20"/>
          <w:szCs w:val="20"/>
        </w:rPr>
        <w:t>os como prueba por la Comisión</w:t>
      </w:r>
      <w:r w:rsidRPr="00E3559F">
        <w:rPr>
          <w:rFonts w:eastAsia="Calibri"/>
          <w:sz w:val="20"/>
          <w:szCs w:val="20"/>
        </w:rPr>
        <w:t>, los cuales, como en otros casos, admite en el entendido que fueron presentados en la debida oportunidad procesal (artículo 57 del Reglamento)</w:t>
      </w:r>
      <w:r w:rsidRPr="00E3559F">
        <w:rPr>
          <w:rFonts w:eastAsia="Calibri"/>
          <w:sz w:val="20"/>
          <w:szCs w:val="20"/>
          <w:vertAlign w:val="superscript"/>
        </w:rPr>
        <w:footnoteReference w:id="11"/>
      </w:r>
      <w:r w:rsidR="00CD57B8" w:rsidRPr="00E3559F">
        <w:rPr>
          <w:rFonts w:eastAsia="Calibri"/>
          <w:sz w:val="20"/>
          <w:szCs w:val="20"/>
        </w:rPr>
        <w:t xml:space="preserve">. </w:t>
      </w:r>
    </w:p>
    <w:p w14:paraId="44EF9EB0" w14:textId="77777777" w:rsidR="00E144DC" w:rsidRPr="00E3559F" w:rsidRDefault="00E144DC" w:rsidP="008B1E6B">
      <w:pPr>
        <w:widowControl/>
        <w:tabs>
          <w:tab w:val="left" w:pos="567"/>
        </w:tabs>
        <w:autoSpaceDE w:val="0"/>
        <w:autoSpaceDN w:val="0"/>
        <w:adjustRightInd/>
        <w:spacing w:line="240" w:lineRule="auto"/>
        <w:ind w:right="-90"/>
        <w:textAlignment w:val="auto"/>
        <w:rPr>
          <w:rFonts w:eastAsia="Calibri"/>
          <w:sz w:val="20"/>
          <w:szCs w:val="20"/>
        </w:rPr>
      </w:pPr>
    </w:p>
    <w:p w14:paraId="23C8F0F7" w14:textId="4BECA3B5" w:rsidR="00E144DC" w:rsidRPr="00E3559F" w:rsidRDefault="001B6DD9" w:rsidP="00E144DC">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Pr>
          <w:sz w:val="20"/>
          <w:szCs w:val="20"/>
        </w:rPr>
        <w:t>Además, e</w:t>
      </w:r>
      <w:r w:rsidR="00E144DC" w:rsidRPr="00E3559F">
        <w:rPr>
          <w:sz w:val="20"/>
          <w:szCs w:val="20"/>
        </w:rPr>
        <w:t xml:space="preserve">n su escrito de sometimiento del caso y el Informe de Fondo, la Comisión solicitó la incorporación al proceso del presente caso los peritajes rendidos por Alberto Bovino en el </w:t>
      </w:r>
      <w:r w:rsidR="00E144DC" w:rsidRPr="00E3559F">
        <w:rPr>
          <w:i/>
          <w:sz w:val="20"/>
          <w:szCs w:val="20"/>
        </w:rPr>
        <w:t>caso Mendoza y otros Vs. Argentina</w:t>
      </w:r>
      <w:r w:rsidR="00E144DC" w:rsidRPr="00E3559F">
        <w:rPr>
          <w:rStyle w:val="Refdenotaalpie"/>
          <w:sz w:val="20"/>
          <w:szCs w:val="20"/>
        </w:rPr>
        <w:footnoteReference w:id="12"/>
      </w:r>
      <w:r w:rsidR="00E144DC" w:rsidRPr="00E3559F">
        <w:rPr>
          <w:sz w:val="20"/>
          <w:szCs w:val="20"/>
        </w:rPr>
        <w:t xml:space="preserve"> y el </w:t>
      </w:r>
      <w:r w:rsidR="00E144DC" w:rsidRPr="00E3559F">
        <w:rPr>
          <w:i/>
          <w:sz w:val="20"/>
          <w:szCs w:val="20"/>
        </w:rPr>
        <w:t>caso Amrhein y otros Vs. Costa Rica</w:t>
      </w:r>
      <w:r w:rsidR="00E144DC" w:rsidRPr="00E3559F">
        <w:rPr>
          <w:rStyle w:val="Refdenotaalpie"/>
          <w:sz w:val="20"/>
          <w:szCs w:val="20"/>
        </w:rPr>
        <w:footnoteReference w:id="13"/>
      </w:r>
      <w:r w:rsidR="00E144DC" w:rsidRPr="00E3559F">
        <w:rPr>
          <w:sz w:val="20"/>
          <w:szCs w:val="20"/>
        </w:rPr>
        <w:t>. El Estado no se opuso al traslado de los referidos peritajes</w:t>
      </w:r>
      <w:r w:rsidR="00290169" w:rsidRPr="00E3559F">
        <w:rPr>
          <w:sz w:val="20"/>
          <w:szCs w:val="20"/>
        </w:rPr>
        <w:t xml:space="preserve"> en su escrito de contestación</w:t>
      </w:r>
      <w:r w:rsidR="00E144DC" w:rsidRPr="00E3559F">
        <w:rPr>
          <w:sz w:val="20"/>
          <w:szCs w:val="20"/>
        </w:rPr>
        <w:t xml:space="preserve">. </w:t>
      </w:r>
      <w:r w:rsidR="00E144DC" w:rsidRPr="00E3559F">
        <w:rPr>
          <w:sz w:val="20"/>
          <w:szCs w:val="20"/>
          <w:lang w:val="es-ES"/>
        </w:rPr>
        <w:t xml:space="preserve">En virtud de </w:t>
      </w:r>
      <w:r w:rsidR="00B1011B">
        <w:rPr>
          <w:sz w:val="20"/>
          <w:szCs w:val="20"/>
          <w:lang w:val="es-ES"/>
        </w:rPr>
        <w:t>la R</w:t>
      </w:r>
      <w:r w:rsidR="00E144DC" w:rsidRPr="00E3559F">
        <w:rPr>
          <w:sz w:val="20"/>
          <w:szCs w:val="20"/>
          <w:lang w:val="es-ES"/>
        </w:rPr>
        <w:t xml:space="preserve">esolución de la </w:t>
      </w:r>
      <w:r w:rsidR="00E144DC" w:rsidRPr="00E3559F">
        <w:rPr>
          <w:sz w:val="20"/>
          <w:szCs w:val="20"/>
          <w:lang w:val="es-ES"/>
        </w:rPr>
        <w:lastRenderedPageBreak/>
        <w:t>Presidenta de 6 de marzo de 2020, se consideró oportuno incorporar dichos peritajes</w:t>
      </w:r>
      <w:r w:rsidR="005A17FE">
        <w:rPr>
          <w:sz w:val="20"/>
          <w:szCs w:val="20"/>
          <w:lang w:val="es-ES"/>
        </w:rPr>
        <w:t xml:space="preserve"> como prueba documental</w:t>
      </w:r>
      <w:r w:rsidR="00E144DC" w:rsidRPr="00E3559F">
        <w:rPr>
          <w:sz w:val="20"/>
          <w:szCs w:val="20"/>
          <w:lang w:val="es-ES"/>
        </w:rPr>
        <w:t xml:space="preserve"> al acervo probatorio del presente caso en lo que resulten pertinentes</w:t>
      </w:r>
      <w:r w:rsidR="00E144DC" w:rsidRPr="00E3559F">
        <w:rPr>
          <w:rStyle w:val="Refdenotaalpie"/>
          <w:sz w:val="20"/>
          <w:szCs w:val="20"/>
          <w:lang w:val="es-ES"/>
        </w:rPr>
        <w:footnoteReference w:id="14"/>
      </w:r>
      <w:r w:rsidR="00E144DC" w:rsidRPr="00E3559F">
        <w:rPr>
          <w:sz w:val="20"/>
          <w:szCs w:val="20"/>
          <w:lang w:val="es-ES"/>
        </w:rPr>
        <w:t>.</w:t>
      </w:r>
    </w:p>
    <w:p w14:paraId="3B3908B3" w14:textId="77777777" w:rsidR="006C5CBD" w:rsidRPr="00E3559F" w:rsidRDefault="006C5CBD" w:rsidP="006C5CBD">
      <w:pPr>
        <w:widowControl/>
        <w:tabs>
          <w:tab w:val="left" w:pos="567"/>
        </w:tabs>
        <w:autoSpaceDE w:val="0"/>
        <w:autoSpaceDN w:val="0"/>
        <w:adjustRightInd/>
        <w:spacing w:line="240" w:lineRule="auto"/>
        <w:ind w:right="-90"/>
        <w:textAlignment w:val="auto"/>
        <w:rPr>
          <w:sz w:val="20"/>
          <w:szCs w:val="20"/>
        </w:rPr>
      </w:pPr>
    </w:p>
    <w:p w14:paraId="7AAC893C" w14:textId="0B036930" w:rsidR="006C5CBD" w:rsidRPr="00E3559F" w:rsidRDefault="006C5CBD" w:rsidP="00070EAD">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E3559F">
        <w:rPr>
          <w:sz w:val="20"/>
          <w:szCs w:val="20"/>
        </w:rPr>
        <w:t>A solicitud del Tribunal</w:t>
      </w:r>
      <w:r w:rsidRPr="00E3559F">
        <w:rPr>
          <w:rStyle w:val="Refdenotaalpie"/>
          <w:sz w:val="20"/>
          <w:szCs w:val="20"/>
        </w:rPr>
        <w:footnoteReference w:id="15"/>
      </w:r>
      <w:r w:rsidRPr="00E3559F">
        <w:rPr>
          <w:sz w:val="20"/>
          <w:szCs w:val="20"/>
        </w:rPr>
        <w:t>, el 9 de abril de 2020 la representación de las presuntas víctimas remitió las siguientes resoluciones:</w:t>
      </w:r>
      <w:r w:rsidRPr="00E3559F">
        <w:t xml:space="preserve"> </w:t>
      </w:r>
      <w:r w:rsidRPr="00E3559F">
        <w:rPr>
          <w:sz w:val="20"/>
          <w:szCs w:val="20"/>
        </w:rPr>
        <w:t>auto no. 391</w:t>
      </w:r>
      <w:r w:rsidR="00314070">
        <w:rPr>
          <w:sz w:val="20"/>
          <w:szCs w:val="20"/>
        </w:rPr>
        <w:t>,</w:t>
      </w:r>
      <w:r w:rsidRPr="00E3559F">
        <w:rPr>
          <w:sz w:val="20"/>
          <w:szCs w:val="20"/>
        </w:rPr>
        <w:t xml:space="preserve"> de 17 de diciembre de 1998</w:t>
      </w:r>
      <w:r w:rsidR="00314070">
        <w:rPr>
          <w:sz w:val="20"/>
          <w:szCs w:val="20"/>
        </w:rPr>
        <w:t>,</w:t>
      </w:r>
      <w:r w:rsidRPr="00E3559F">
        <w:rPr>
          <w:sz w:val="20"/>
          <w:szCs w:val="20"/>
        </w:rPr>
        <w:t xml:space="preserve"> que declara inadmisible el recurso de casación interpuesto por la defensa del señor del Valle Ambrosio, y auto No. 220</w:t>
      </w:r>
      <w:r w:rsidR="00314070">
        <w:rPr>
          <w:sz w:val="20"/>
          <w:szCs w:val="20"/>
        </w:rPr>
        <w:t>,</w:t>
      </w:r>
      <w:r w:rsidRPr="00E3559F">
        <w:rPr>
          <w:sz w:val="20"/>
          <w:szCs w:val="20"/>
        </w:rPr>
        <w:t xml:space="preserve"> de 16 de junio de 1999</w:t>
      </w:r>
      <w:r w:rsidR="00314070">
        <w:rPr>
          <w:sz w:val="20"/>
          <w:szCs w:val="20"/>
        </w:rPr>
        <w:t>,</w:t>
      </w:r>
      <w:r w:rsidRPr="00E3559F">
        <w:rPr>
          <w:sz w:val="20"/>
          <w:szCs w:val="20"/>
        </w:rPr>
        <w:t xml:space="preserve"> que declara inadmisible el recurso extraordinario interpuesto por la defensa del señor del Valle Ambrosio. La Corte agrega dichos documentos al </w:t>
      </w:r>
      <w:r w:rsidR="00B1011B">
        <w:rPr>
          <w:sz w:val="20"/>
          <w:szCs w:val="20"/>
        </w:rPr>
        <w:t>acervo</w:t>
      </w:r>
      <w:r w:rsidRPr="00E3559F">
        <w:rPr>
          <w:sz w:val="20"/>
          <w:szCs w:val="20"/>
        </w:rPr>
        <w:t xml:space="preserve"> probatorio como prueba para mejor resolver, de confor</w:t>
      </w:r>
      <w:r w:rsidR="00A27ABA" w:rsidRPr="00E3559F">
        <w:rPr>
          <w:sz w:val="20"/>
          <w:szCs w:val="20"/>
        </w:rPr>
        <w:t>midad con los estipulado en el artículo</w:t>
      </w:r>
      <w:r w:rsidRPr="00E3559F">
        <w:rPr>
          <w:sz w:val="20"/>
          <w:szCs w:val="20"/>
        </w:rPr>
        <w:t xml:space="preserve"> 58.b del Reglamento. </w:t>
      </w:r>
    </w:p>
    <w:p w14:paraId="7DF5786B" w14:textId="77777777" w:rsidR="009356A9" w:rsidRPr="00E3559F" w:rsidRDefault="009356A9" w:rsidP="009356A9">
      <w:pPr>
        <w:widowControl/>
        <w:tabs>
          <w:tab w:val="left" w:pos="567"/>
          <w:tab w:val="num" w:pos="1569"/>
          <w:tab w:val="num" w:pos="12305"/>
        </w:tabs>
        <w:autoSpaceDE w:val="0"/>
        <w:autoSpaceDN w:val="0"/>
        <w:adjustRightInd/>
        <w:spacing w:line="240" w:lineRule="auto"/>
        <w:ind w:right="-90"/>
        <w:textAlignment w:val="auto"/>
        <w:rPr>
          <w:sz w:val="20"/>
          <w:szCs w:val="20"/>
        </w:rPr>
      </w:pPr>
    </w:p>
    <w:p w14:paraId="2133A176" w14:textId="245F9E4A" w:rsidR="00C60448" w:rsidRPr="00E3559F" w:rsidRDefault="006C5CBD" w:rsidP="00C60448">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E3559F">
        <w:rPr>
          <w:sz w:val="20"/>
          <w:szCs w:val="20"/>
        </w:rPr>
        <w:t xml:space="preserve">La representación de las presuntas víctimas remitió junto con sus alegatos finales escritos </w:t>
      </w:r>
      <w:r w:rsidR="00A146A2" w:rsidRPr="00E3559F">
        <w:rPr>
          <w:sz w:val="20"/>
          <w:szCs w:val="20"/>
        </w:rPr>
        <w:t xml:space="preserve">una </w:t>
      </w:r>
      <w:r w:rsidR="009356A9" w:rsidRPr="00E3559F">
        <w:rPr>
          <w:sz w:val="20"/>
          <w:szCs w:val="20"/>
        </w:rPr>
        <w:t>certificación m</w:t>
      </w:r>
      <w:r w:rsidR="00321381" w:rsidRPr="00E3559F">
        <w:rPr>
          <w:sz w:val="20"/>
          <w:szCs w:val="20"/>
        </w:rPr>
        <w:t>é</w:t>
      </w:r>
      <w:r w:rsidR="009356A9" w:rsidRPr="00E3559F">
        <w:rPr>
          <w:sz w:val="20"/>
          <w:szCs w:val="20"/>
        </w:rPr>
        <w:t>dica psiquiátrica del señor del Valle Ambrosio, de 22 de abril del 2020. La Corte advierte que la representación de las presuntas víctimas</w:t>
      </w:r>
      <w:r w:rsidR="005A17FE">
        <w:rPr>
          <w:sz w:val="20"/>
          <w:szCs w:val="20"/>
        </w:rPr>
        <w:t xml:space="preserve"> no</w:t>
      </w:r>
      <w:r w:rsidR="009356A9" w:rsidRPr="00E3559F">
        <w:rPr>
          <w:sz w:val="20"/>
          <w:szCs w:val="20"/>
        </w:rPr>
        <w:t xml:space="preserve"> </w:t>
      </w:r>
      <w:r w:rsidR="00314070">
        <w:rPr>
          <w:sz w:val="20"/>
          <w:szCs w:val="20"/>
        </w:rPr>
        <w:t>justificó</w:t>
      </w:r>
      <w:r w:rsidR="009356A9" w:rsidRPr="00E3559F">
        <w:rPr>
          <w:sz w:val="20"/>
          <w:szCs w:val="20"/>
        </w:rPr>
        <w:t xml:space="preserve"> la razón por la cual, en los términos del artículo 57.2 del Reglamento</w:t>
      </w:r>
      <w:r w:rsidR="009356A9" w:rsidRPr="00E3559F">
        <w:rPr>
          <w:sz w:val="20"/>
          <w:szCs w:val="20"/>
          <w:lang w:val="es-ES"/>
        </w:rPr>
        <w:t xml:space="preserve"> de la Corte, </w:t>
      </w:r>
      <w:r w:rsidR="00314070">
        <w:rPr>
          <w:sz w:val="20"/>
          <w:szCs w:val="20"/>
          <w:lang w:val="es-ES"/>
        </w:rPr>
        <w:t>presentó</w:t>
      </w:r>
      <w:r w:rsidR="009356A9" w:rsidRPr="00E3559F">
        <w:rPr>
          <w:sz w:val="20"/>
          <w:szCs w:val="20"/>
          <w:lang w:val="es-ES"/>
        </w:rPr>
        <w:t xml:space="preserve"> dicho documento junto con los alegatos finales escritos, pues el momento procesal oportuno para hacerlo era junto con su escrito de solicitudes, argumentos y pruebas. En consecuencia, el referido documento es inadmisible por extemporáneo.</w:t>
      </w:r>
    </w:p>
    <w:p w14:paraId="28FFC2CA" w14:textId="7B00DCCF" w:rsidR="009A60AA" w:rsidRPr="00E3559F" w:rsidRDefault="009A60AA" w:rsidP="00A95B06">
      <w:pPr>
        <w:pStyle w:val="Ttulo1"/>
      </w:pPr>
      <w:bookmarkStart w:id="19" w:name="_Toc33020810"/>
      <w:bookmarkStart w:id="20" w:name="_Toc46250475"/>
      <w:r w:rsidRPr="00E3559F">
        <w:t>V</w:t>
      </w:r>
      <w:r w:rsidRPr="00E3559F">
        <w:br/>
        <w:t>HECHOS</w:t>
      </w:r>
      <w:bookmarkEnd w:id="19"/>
      <w:bookmarkEnd w:id="20"/>
      <w:r w:rsidRPr="00E3559F">
        <w:t xml:space="preserve"> </w:t>
      </w:r>
    </w:p>
    <w:p w14:paraId="1CF12D94" w14:textId="50A0CF28" w:rsidR="00AC506E" w:rsidRPr="00E3559F" w:rsidRDefault="009A60AA" w:rsidP="00AC506E">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E3559F">
        <w:rPr>
          <w:sz w:val="20"/>
          <w:szCs w:val="20"/>
        </w:rPr>
        <w:t xml:space="preserve">En este capítulo, la Corte establecerá los hechos del caso con base </w:t>
      </w:r>
      <w:r w:rsidR="00B1011B">
        <w:rPr>
          <w:sz w:val="20"/>
          <w:szCs w:val="20"/>
        </w:rPr>
        <w:t>en el</w:t>
      </w:r>
      <w:r w:rsidRPr="00E3559F">
        <w:rPr>
          <w:sz w:val="20"/>
          <w:szCs w:val="20"/>
        </w:rPr>
        <w:t xml:space="preserve"> marco fáctico sometido al conocimiento de la Corte por la Comisión Interamericana, en relación con (i)</w:t>
      </w:r>
      <w:r w:rsidR="00D94021" w:rsidRPr="00E3559F">
        <w:rPr>
          <w:sz w:val="20"/>
          <w:szCs w:val="20"/>
        </w:rPr>
        <w:t xml:space="preserve"> el proceso penal seguido contra los señores</w:t>
      </w:r>
      <w:r w:rsidR="000B6A40" w:rsidRPr="00E3559F">
        <w:rPr>
          <w:sz w:val="20"/>
          <w:szCs w:val="20"/>
        </w:rPr>
        <w:t xml:space="preserve"> del </w:t>
      </w:r>
      <w:r w:rsidR="00D94021" w:rsidRPr="00E3559F">
        <w:rPr>
          <w:sz w:val="20"/>
          <w:szCs w:val="20"/>
        </w:rPr>
        <w:t>Valle Ambrosio y Domínguez Linares</w:t>
      </w:r>
      <w:r w:rsidRPr="00E3559F">
        <w:rPr>
          <w:sz w:val="20"/>
          <w:szCs w:val="20"/>
        </w:rPr>
        <w:t>, y (ii)</w:t>
      </w:r>
      <w:r w:rsidR="00D94021" w:rsidRPr="00E3559F">
        <w:rPr>
          <w:sz w:val="20"/>
          <w:szCs w:val="20"/>
        </w:rPr>
        <w:t xml:space="preserve"> el marco jurídico procesal relevante al momento de los hechos y su posterior evolución</w:t>
      </w:r>
      <w:r w:rsidRPr="00E3559F">
        <w:rPr>
          <w:sz w:val="20"/>
          <w:szCs w:val="20"/>
        </w:rPr>
        <w:t>.</w:t>
      </w:r>
      <w:r w:rsidR="00AB345C" w:rsidRPr="00E3559F">
        <w:rPr>
          <w:sz w:val="20"/>
          <w:szCs w:val="20"/>
        </w:rPr>
        <w:t xml:space="preserve"> </w:t>
      </w:r>
    </w:p>
    <w:p w14:paraId="5B0BE987" w14:textId="77777777" w:rsidR="00AC506E" w:rsidRPr="00E3559F" w:rsidRDefault="00AC506E" w:rsidP="00AC506E">
      <w:pPr>
        <w:widowControl/>
        <w:tabs>
          <w:tab w:val="left" w:pos="567"/>
        </w:tabs>
        <w:autoSpaceDE w:val="0"/>
        <w:autoSpaceDN w:val="0"/>
        <w:adjustRightInd/>
        <w:spacing w:line="240" w:lineRule="auto"/>
        <w:ind w:right="-90"/>
        <w:textAlignment w:val="auto"/>
        <w:rPr>
          <w:sz w:val="20"/>
          <w:szCs w:val="20"/>
        </w:rPr>
      </w:pPr>
    </w:p>
    <w:p w14:paraId="2815E189" w14:textId="130290DF" w:rsidR="00CA0E0B" w:rsidRPr="00E3559F" w:rsidRDefault="00AC506E" w:rsidP="00AC506E">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E3559F">
        <w:rPr>
          <w:rFonts w:eastAsia="Calibri" w:cs="Verdana Bold"/>
          <w:bCs/>
          <w:sz w:val="20"/>
          <w:szCs w:val="20"/>
          <w:lang w:val="es-MX"/>
        </w:rPr>
        <w:t xml:space="preserve">La Corte advierte que, en sus alegatos finales escritos, la representación de las presuntas víctimas alegó nuevos hechos relativos a (i) </w:t>
      </w:r>
      <w:r w:rsidR="00314070">
        <w:rPr>
          <w:rFonts w:eastAsia="Calibri" w:cs="Verdana Bold"/>
          <w:bCs/>
          <w:sz w:val="20"/>
          <w:szCs w:val="20"/>
          <w:lang w:val="es-MX"/>
        </w:rPr>
        <w:t>los efectos de la</w:t>
      </w:r>
      <w:r w:rsidRPr="00E3559F">
        <w:rPr>
          <w:rFonts w:eastAsia="Calibri" w:cs="Verdana Bold"/>
          <w:bCs/>
          <w:sz w:val="20"/>
          <w:szCs w:val="20"/>
          <w:lang w:val="es-MX"/>
        </w:rPr>
        <w:t xml:space="preserve"> pena privativa de libertad im</w:t>
      </w:r>
      <w:r w:rsidR="005A17FE">
        <w:rPr>
          <w:rFonts w:eastAsia="Calibri" w:cs="Verdana Bold"/>
          <w:bCs/>
          <w:sz w:val="20"/>
          <w:szCs w:val="20"/>
          <w:lang w:val="es-MX"/>
        </w:rPr>
        <w:t>puesta a las presuntas víctimas y</w:t>
      </w:r>
      <w:r w:rsidRPr="00E3559F">
        <w:rPr>
          <w:rFonts w:eastAsia="Calibri" w:cs="Verdana Bold"/>
          <w:bCs/>
          <w:sz w:val="20"/>
          <w:szCs w:val="20"/>
          <w:lang w:val="es-MX"/>
        </w:rPr>
        <w:t xml:space="preserve"> (ii) lo sucedido en el procedimiento infructuoso de Solución Amistosa que </w:t>
      </w:r>
      <w:r w:rsidRPr="00E3559F">
        <w:rPr>
          <w:sz w:val="20"/>
          <w:lang w:val="es-MX"/>
        </w:rPr>
        <w:t>inició</w:t>
      </w:r>
      <w:r w:rsidR="005A17FE">
        <w:rPr>
          <w:rFonts w:eastAsia="Calibri" w:cs="Verdana Bold"/>
          <w:bCs/>
          <w:sz w:val="20"/>
          <w:szCs w:val="20"/>
          <w:lang w:val="es-MX"/>
        </w:rPr>
        <w:t xml:space="preserve"> el 12 de septiembre de 2019. </w:t>
      </w:r>
      <w:r w:rsidR="00AB345C" w:rsidRPr="00E3559F">
        <w:rPr>
          <w:sz w:val="20"/>
          <w:szCs w:val="20"/>
        </w:rPr>
        <w:t xml:space="preserve">Este Tribunal no se referirá a </w:t>
      </w:r>
      <w:r w:rsidRPr="00E3559F">
        <w:rPr>
          <w:sz w:val="20"/>
          <w:szCs w:val="20"/>
        </w:rPr>
        <w:t>estos</w:t>
      </w:r>
      <w:r w:rsidR="007563AE" w:rsidRPr="00E3559F">
        <w:rPr>
          <w:sz w:val="20"/>
          <w:szCs w:val="20"/>
        </w:rPr>
        <w:t xml:space="preserve"> </w:t>
      </w:r>
      <w:r w:rsidR="00AB345C" w:rsidRPr="00E3559F">
        <w:rPr>
          <w:sz w:val="20"/>
          <w:szCs w:val="20"/>
        </w:rPr>
        <w:t>hechos</w:t>
      </w:r>
      <w:r w:rsidRPr="00E3559F">
        <w:rPr>
          <w:sz w:val="20"/>
          <w:szCs w:val="20"/>
        </w:rPr>
        <w:t>, toda vez q</w:t>
      </w:r>
      <w:r w:rsidR="00AB345C" w:rsidRPr="00E3559F">
        <w:rPr>
          <w:sz w:val="20"/>
          <w:szCs w:val="20"/>
        </w:rPr>
        <w:t xml:space="preserve">ue fueron presentados de forma extemporánea. </w:t>
      </w:r>
    </w:p>
    <w:p w14:paraId="7CB42D2A" w14:textId="07D02242" w:rsidR="00CA0E0B" w:rsidRPr="00E3559F" w:rsidRDefault="00A176E8" w:rsidP="006B4DD6">
      <w:pPr>
        <w:pStyle w:val="Ttulo2"/>
        <w:numPr>
          <w:ilvl w:val="0"/>
          <w:numId w:val="9"/>
        </w:numPr>
      </w:pPr>
      <w:bookmarkStart w:id="21" w:name="_Toc46250476"/>
      <w:r w:rsidRPr="00E3559F">
        <w:t xml:space="preserve">El proceso penal seguido contra los señores </w:t>
      </w:r>
      <w:r w:rsidR="000C754E">
        <w:t xml:space="preserve">del </w:t>
      </w:r>
      <w:r w:rsidRPr="00E3559F">
        <w:t>Valle Ambrosio y Domínguez Linares</w:t>
      </w:r>
      <w:bookmarkEnd w:id="21"/>
    </w:p>
    <w:p w14:paraId="779B938B" w14:textId="70B65335" w:rsidR="00CA0E0B" w:rsidRPr="00E3559F" w:rsidRDefault="00CA0E0B" w:rsidP="00365BC5">
      <w:pPr>
        <w:pStyle w:val="Ttulo3"/>
        <w:numPr>
          <w:ilvl w:val="0"/>
          <w:numId w:val="0"/>
        </w:numPr>
        <w:ind w:left="1152"/>
      </w:pPr>
      <w:bookmarkStart w:id="22" w:name="_Toc24447089"/>
      <w:bookmarkStart w:id="23" w:name="_Toc33020819"/>
      <w:bookmarkStart w:id="24" w:name="_Toc46250477"/>
      <w:r w:rsidRPr="00E3559F">
        <w:t xml:space="preserve">a.1 </w:t>
      </w:r>
      <w:bookmarkEnd w:id="22"/>
      <w:bookmarkEnd w:id="23"/>
      <w:r w:rsidR="00A176E8" w:rsidRPr="00E3559F">
        <w:t>De la condena</w:t>
      </w:r>
      <w:bookmarkEnd w:id="24"/>
    </w:p>
    <w:p w14:paraId="71AF29DF" w14:textId="4F84C0C4" w:rsidR="001F480C" w:rsidRPr="00E3559F" w:rsidRDefault="00831C37" w:rsidP="001F480C">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E3559F">
        <w:rPr>
          <w:sz w:val="20"/>
          <w:szCs w:val="20"/>
        </w:rPr>
        <w:t>Los señores del Valle Ambrosio y Domínguez Linares fueron imputados</w:t>
      </w:r>
      <w:r w:rsidR="004476BF" w:rsidRPr="00E3559F">
        <w:rPr>
          <w:sz w:val="20"/>
          <w:szCs w:val="20"/>
        </w:rPr>
        <w:t xml:space="preserve"> </w:t>
      </w:r>
      <w:r w:rsidRPr="00E3559F">
        <w:rPr>
          <w:sz w:val="20"/>
          <w:szCs w:val="20"/>
        </w:rPr>
        <w:t xml:space="preserve">por la comisión de </w:t>
      </w:r>
      <w:r w:rsidR="008F5BC4" w:rsidRPr="00E3559F">
        <w:rPr>
          <w:sz w:val="20"/>
          <w:szCs w:val="20"/>
        </w:rPr>
        <w:t xml:space="preserve">un delito de </w:t>
      </w:r>
      <w:r w:rsidR="002254A2" w:rsidRPr="00E3559F">
        <w:rPr>
          <w:sz w:val="20"/>
          <w:szCs w:val="20"/>
        </w:rPr>
        <w:t>“</w:t>
      </w:r>
      <w:r w:rsidR="008F5BC4" w:rsidRPr="00E3559F">
        <w:rPr>
          <w:sz w:val="20"/>
          <w:szCs w:val="20"/>
        </w:rPr>
        <w:t>defraudación por administración fraudulenta calificada</w:t>
      </w:r>
      <w:r w:rsidR="002254A2" w:rsidRPr="00E3559F">
        <w:rPr>
          <w:sz w:val="20"/>
          <w:szCs w:val="20"/>
        </w:rPr>
        <w:t>”</w:t>
      </w:r>
      <w:r w:rsidR="008F5BC4" w:rsidRPr="00E3559F">
        <w:rPr>
          <w:sz w:val="20"/>
          <w:szCs w:val="20"/>
        </w:rPr>
        <w:t>, en calidad de partícipes necesarios</w:t>
      </w:r>
      <w:r w:rsidRPr="00E3559F">
        <w:rPr>
          <w:rStyle w:val="Refdenotaalpie"/>
          <w:sz w:val="20"/>
          <w:szCs w:val="20"/>
        </w:rPr>
        <w:footnoteReference w:id="16"/>
      </w:r>
      <w:r w:rsidRPr="00E3559F">
        <w:rPr>
          <w:sz w:val="20"/>
          <w:szCs w:val="20"/>
        </w:rPr>
        <w:t xml:space="preserve">. El 23 de diciembre de 1997 la Cámara Novena del Crimen de Córdoba declaró </w:t>
      </w:r>
      <w:r w:rsidR="00290169" w:rsidRPr="00E3559F">
        <w:rPr>
          <w:sz w:val="20"/>
          <w:szCs w:val="20"/>
        </w:rPr>
        <w:t xml:space="preserve">en primera instancia </w:t>
      </w:r>
      <w:r w:rsidRPr="00E3559F">
        <w:rPr>
          <w:sz w:val="20"/>
          <w:szCs w:val="20"/>
        </w:rPr>
        <w:t xml:space="preserve">a </w:t>
      </w:r>
      <w:r w:rsidR="002254A2" w:rsidRPr="00E3559F">
        <w:rPr>
          <w:sz w:val="20"/>
          <w:szCs w:val="20"/>
        </w:rPr>
        <w:t>ambos</w:t>
      </w:r>
      <w:r w:rsidRPr="00E3559F">
        <w:rPr>
          <w:sz w:val="20"/>
          <w:szCs w:val="20"/>
        </w:rPr>
        <w:t xml:space="preserve"> señores cómplices necesarios del </w:t>
      </w:r>
      <w:r w:rsidR="008F5BC4" w:rsidRPr="00E3559F">
        <w:rPr>
          <w:sz w:val="20"/>
          <w:szCs w:val="20"/>
        </w:rPr>
        <w:t xml:space="preserve">referido </w:t>
      </w:r>
      <w:r w:rsidRPr="00E3559F">
        <w:rPr>
          <w:sz w:val="20"/>
          <w:szCs w:val="20"/>
        </w:rPr>
        <w:t>delito, en los términos de los artículos 45, 174 inc.5 y 173 inc.7 del Código</w:t>
      </w:r>
      <w:r w:rsidR="00D14C45" w:rsidRPr="00E3559F">
        <w:rPr>
          <w:sz w:val="20"/>
          <w:szCs w:val="20"/>
        </w:rPr>
        <w:t xml:space="preserve"> Penal, imponiéndoles una pena de tres años y seis meses de prisión a cada uno</w:t>
      </w:r>
      <w:r w:rsidR="008F5BC4" w:rsidRPr="00E3559F">
        <w:rPr>
          <w:sz w:val="20"/>
          <w:szCs w:val="20"/>
        </w:rPr>
        <w:t xml:space="preserve">, con accesorias de ley </w:t>
      </w:r>
      <w:r w:rsidR="002254A2" w:rsidRPr="00E3559F">
        <w:rPr>
          <w:sz w:val="20"/>
          <w:szCs w:val="20"/>
        </w:rPr>
        <w:t xml:space="preserve">y </w:t>
      </w:r>
      <w:r w:rsidR="008F5BC4" w:rsidRPr="00E3559F">
        <w:rPr>
          <w:sz w:val="20"/>
          <w:szCs w:val="20"/>
        </w:rPr>
        <w:t>costas</w:t>
      </w:r>
      <w:r w:rsidR="00D14C45" w:rsidRPr="00E3559F">
        <w:rPr>
          <w:rStyle w:val="Refdenotaalpie"/>
          <w:sz w:val="20"/>
          <w:szCs w:val="20"/>
        </w:rPr>
        <w:footnoteReference w:id="17"/>
      </w:r>
      <w:r w:rsidR="00D14C45" w:rsidRPr="00E3559F">
        <w:rPr>
          <w:sz w:val="20"/>
          <w:szCs w:val="20"/>
        </w:rPr>
        <w:t>.</w:t>
      </w:r>
      <w:r w:rsidR="001F480C" w:rsidRPr="00E3559F">
        <w:rPr>
          <w:sz w:val="20"/>
          <w:szCs w:val="20"/>
        </w:rPr>
        <w:t xml:space="preserve"> </w:t>
      </w:r>
    </w:p>
    <w:p w14:paraId="3A0E32F5" w14:textId="4E57D6C2" w:rsidR="00A176E8" w:rsidRPr="00E3559F" w:rsidRDefault="00365BC5" w:rsidP="00AE045D">
      <w:pPr>
        <w:pStyle w:val="Ttulo3"/>
        <w:numPr>
          <w:ilvl w:val="0"/>
          <w:numId w:val="0"/>
        </w:numPr>
        <w:tabs>
          <w:tab w:val="left" w:pos="1350"/>
        </w:tabs>
        <w:ind w:left="1152"/>
      </w:pPr>
      <w:bookmarkStart w:id="25" w:name="_Toc46250478"/>
      <w:r w:rsidRPr="00E3559F">
        <w:lastRenderedPageBreak/>
        <w:t xml:space="preserve">a.2 </w:t>
      </w:r>
      <w:r w:rsidR="00A176E8" w:rsidRPr="00E3559F">
        <w:t>Recursos interpuestos</w:t>
      </w:r>
      <w:bookmarkEnd w:id="25"/>
    </w:p>
    <w:p w14:paraId="2B6C2D58" w14:textId="6886327A" w:rsidR="00A176E8" w:rsidRPr="00E3559F" w:rsidRDefault="00365BC5" w:rsidP="00AE045D">
      <w:pPr>
        <w:pStyle w:val="Ttulo4"/>
      </w:pPr>
      <w:r w:rsidRPr="00E3559F">
        <w:tab/>
        <w:t xml:space="preserve">(i) </w:t>
      </w:r>
      <w:r w:rsidR="00A176E8" w:rsidRPr="00E3559F">
        <w:t>Recursos interpuestos por el señor Domínguez</w:t>
      </w:r>
      <w:r w:rsidR="00FB7DAA" w:rsidRPr="00E3559F">
        <w:t xml:space="preserve"> Linares</w:t>
      </w:r>
    </w:p>
    <w:p w14:paraId="038FB15D" w14:textId="55E72D89" w:rsidR="00735686" w:rsidRPr="00E3559F" w:rsidRDefault="00FB7DAA" w:rsidP="00C4429B">
      <w:pPr>
        <w:numPr>
          <w:ilvl w:val="0"/>
          <w:numId w:val="1"/>
        </w:numPr>
        <w:tabs>
          <w:tab w:val="left" w:pos="567"/>
          <w:tab w:val="num" w:pos="12305"/>
        </w:tabs>
        <w:spacing w:line="240" w:lineRule="auto"/>
        <w:ind w:left="0" w:firstLine="0"/>
        <w:rPr>
          <w:sz w:val="20"/>
          <w:szCs w:val="20"/>
        </w:rPr>
      </w:pPr>
      <w:r w:rsidRPr="00E3559F">
        <w:rPr>
          <w:sz w:val="20"/>
          <w:szCs w:val="20"/>
        </w:rPr>
        <w:t>La defensa del señor Domínguez Linares interpuso</w:t>
      </w:r>
      <w:r w:rsidR="002254A2" w:rsidRPr="00E3559F">
        <w:rPr>
          <w:sz w:val="20"/>
          <w:szCs w:val="20"/>
        </w:rPr>
        <w:t xml:space="preserve"> un</w:t>
      </w:r>
      <w:r w:rsidRPr="00E3559F">
        <w:rPr>
          <w:sz w:val="20"/>
          <w:szCs w:val="20"/>
        </w:rPr>
        <w:t xml:space="preserve"> </w:t>
      </w:r>
      <w:r w:rsidR="002254A2" w:rsidRPr="00E3559F">
        <w:rPr>
          <w:sz w:val="20"/>
          <w:szCs w:val="20"/>
        </w:rPr>
        <w:t>recurso de casación</w:t>
      </w:r>
      <w:r w:rsidRPr="00E3559F">
        <w:rPr>
          <w:sz w:val="20"/>
          <w:szCs w:val="20"/>
        </w:rPr>
        <w:t xml:space="preserve"> </w:t>
      </w:r>
      <w:r w:rsidR="002254A2" w:rsidRPr="00E3559F">
        <w:rPr>
          <w:sz w:val="20"/>
          <w:szCs w:val="20"/>
        </w:rPr>
        <w:t>contra la referida sentencia</w:t>
      </w:r>
      <w:r w:rsidR="00BC3413" w:rsidRPr="00E3559F">
        <w:rPr>
          <w:sz w:val="20"/>
          <w:szCs w:val="20"/>
        </w:rPr>
        <w:t>,</w:t>
      </w:r>
      <w:r w:rsidR="002254A2" w:rsidRPr="00E3559F">
        <w:rPr>
          <w:sz w:val="20"/>
          <w:szCs w:val="20"/>
        </w:rPr>
        <w:t xml:space="preserve"> </w:t>
      </w:r>
      <w:r w:rsidR="00241AE5" w:rsidRPr="00E3559F">
        <w:rPr>
          <w:sz w:val="20"/>
          <w:szCs w:val="20"/>
        </w:rPr>
        <w:t xml:space="preserve">y ello de conformidad con lo establecido en </w:t>
      </w:r>
      <w:r w:rsidR="00236EFE" w:rsidRPr="00E3559F">
        <w:rPr>
          <w:sz w:val="20"/>
          <w:szCs w:val="20"/>
        </w:rPr>
        <w:t>los</w:t>
      </w:r>
      <w:r w:rsidR="00241AE5" w:rsidRPr="00E3559F">
        <w:rPr>
          <w:sz w:val="20"/>
          <w:szCs w:val="20"/>
        </w:rPr>
        <w:t xml:space="preserve"> artículo</w:t>
      </w:r>
      <w:r w:rsidR="00236EFE" w:rsidRPr="00E3559F">
        <w:rPr>
          <w:sz w:val="20"/>
          <w:szCs w:val="20"/>
        </w:rPr>
        <w:t xml:space="preserve">s </w:t>
      </w:r>
      <w:r w:rsidR="00584A7C" w:rsidRPr="00E3559F">
        <w:rPr>
          <w:sz w:val="20"/>
          <w:szCs w:val="20"/>
        </w:rPr>
        <w:t>468 y siguientes</w:t>
      </w:r>
      <w:r w:rsidR="00241AE5" w:rsidRPr="00E3559F">
        <w:rPr>
          <w:sz w:val="20"/>
          <w:szCs w:val="20"/>
        </w:rPr>
        <w:t xml:space="preserve"> del Código Procesal Penal de la Pr</w:t>
      </w:r>
      <w:r w:rsidR="00A96C2D">
        <w:rPr>
          <w:sz w:val="20"/>
          <w:szCs w:val="20"/>
        </w:rPr>
        <w:t>ovincia de Córdoba (en adelante</w:t>
      </w:r>
      <w:r w:rsidR="00241AE5" w:rsidRPr="00E3559F">
        <w:rPr>
          <w:sz w:val="20"/>
          <w:szCs w:val="20"/>
        </w:rPr>
        <w:t xml:space="preserve"> “CPPC”). </w:t>
      </w:r>
      <w:r w:rsidR="00A11D66" w:rsidRPr="00E3559F">
        <w:rPr>
          <w:sz w:val="20"/>
          <w:szCs w:val="20"/>
        </w:rPr>
        <w:t xml:space="preserve">Alegó que la sentencia condenatoria adolecía de un </w:t>
      </w:r>
      <w:r w:rsidR="00A11D66" w:rsidRPr="00E3559F">
        <w:rPr>
          <w:i/>
          <w:sz w:val="20"/>
          <w:szCs w:val="20"/>
        </w:rPr>
        <w:t>vicio in iudicando</w:t>
      </w:r>
      <w:r w:rsidR="00A11D66" w:rsidRPr="00E3559F">
        <w:rPr>
          <w:sz w:val="20"/>
          <w:szCs w:val="20"/>
        </w:rPr>
        <w:t xml:space="preserve"> por cuanto se “hab[ía] aplicado erróneamente el Código Penal”, así como un </w:t>
      </w:r>
      <w:r w:rsidR="00A11D66" w:rsidRPr="00E3559F">
        <w:rPr>
          <w:i/>
          <w:sz w:val="20"/>
          <w:szCs w:val="20"/>
        </w:rPr>
        <w:t>vicio in procedendo</w:t>
      </w:r>
      <w:r w:rsidR="00A11D66" w:rsidRPr="00E3559F">
        <w:rPr>
          <w:sz w:val="20"/>
          <w:szCs w:val="20"/>
        </w:rPr>
        <w:t xml:space="preserve"> debido a la falta de congruencia entre la acusación y la sentencia</w:t>
      </w:r>
      <w:r w:rsidR="00A11D66" w:rsidRPr="00E3559F">
        <w:rPr>
          <w:rStyle w:val="Refdenotaalpie"/>
          <w:sz w:val="20"/>
          <w:szCs w:val="20"/>
        </w:rPr>
        <w:footnoteReference w:id="18"/>
      </w:r>
      <w:r w:rsidR="00A11D66" w:rsidRPr="00E3559F">
        <w:rPr>
          <w:sz w:val="20"/>
          <w:szCs w:val="20"/>
        </w:rPr>
        <w:t xml:space="preserve">. </w:t>
      </w:r>
    </w:p>
    <w:p w14:paraId="25E1C073" w14:textId="77777777" w:rsidR="00A11D66" w:rsidRPr="00E3559F" w:rsidRDefault="00A11D66" w:rsidP="00A11D66">
      <w:pPr>
        <w:tabs>
          <w:tab w:val="left" w:pos="567"/>
        </w:tabs>
        <w:spacing w:line="240" w:lineRule="auto"/>
        <w:rPr>
          <w:sz w:val="20"/>
          <w:szCs w:val="20"/>
        </w:rPr>
      </w:pPr>
    </w:p>
    <w:p w14:paraId="6D18190C" w14:textId="51852C33" w:rsidR="00CA3AD4" w:rsidRPr="00E3559F" w:rsidRDefault="003731C6" w:rsidP="00CA3AD4">
      <w:pPr>
        <w:numPr>
          <w:ilvl w:val="0"/>
          <w:numId w:val="1"/>
        </w:numPr>
        <w:tabs>
          <w:tab w:val="left" w:pos="567"/>
          <w:tab w:val="num" w:pos="12305"/>
        </w:tabs>
        <w:spacing w:line="240" w:lineRule="auto"/>
        <w:ind w:left="0" w:firstLine="0"/>
        <w:rPr>
          <w:sz w:val="20"/>
          <w:szCs w:val="20"/>
        </w:rPr>
      </w:pPr>
      <w:r w:rsidRPr="00E3559F">
        <w:rPr>
          <w:sz w:val="20"/>
          <w:szCs w:val="20"/>
        </w:rPr>
        <w:t>El 5 de marzo de 1998 l</w:t>
      </w:r>
      <w:r w:rsidR="00CA3AD4" w:rsidRPr="00E3559F">
        <w:rPr>
          <w:sz w:val="20"/>
          <w:szCs w:val="20"/>
        </w:rPr>
        <w:t>a Cámara Novena del Crimen de Córdoba resolvió conceder el recurso de casación y elevarlo a la Sala Penal del Tribunal Superior de Justicia</w:t>
      </w:r>
      <w:r w:rsidR="002254A2" w:rsidRPr="00E3559F">
        <w:rPr>
          <w:sz w:val="20"/>
          <w:szCs w:val="20"/>
        </w:rPr>
        <w:t xml:space="preserve"> de la Provincia de Córdoba</w:t>
      </w:r>
      <w:r w:rsidR="00A96C2D">
        <w:rPr>
          <w:sz w:val="20"/>
          <w:szCs w:val="20"/>
        </w:rPr>
        <w:t xml:space="preserve"> (en adelante</w:t>
      </w:r>
      <w:r w:rsidR="00DE51B1" w:rsidRPr="00E3559F">
        <w:rPr>
          <w:sz w:val="20"/>
          <w:szCs w:val="20"/>
        </w:rPr>
        <w:t xml:space="preserve"> </w:t>
      </w:r>
      <w:r w:rsidR="00A96C2D">
        <w:rPr>
          <w:sz w:val="20"/>
          <w:szCs w:val="20"/>
        </w:rPr>
        <w:t>también</w:t>
      </w:r>
      <w:r w:rsidR="000C754E">
        <w:rPr>
          <w:sz w:val="20"/>
          <w:szCs w:val="20"/>
        </w:rPr>
        <w:t xml:space="preserve"> “</w:t>
      </w:r>
      <w:r w:rsidR="00DE51B1" w:rsidRPr="00E3559F">
        <w:rPr>
          <w:sz w:val="20"/>
          <w:szCs w:val="20"/>
        </w:rPr>
        <w:t>TSJC</w:t>
      </w:r>
      <w:r w:rsidR="000C754E">
        <w:rPr>
          <w:sz w:val="20"/>
          <w:szCs w:val="20"/>
        </w:rPr>
        <w:t>”</w:t>
      </w:r>
      <w:r w:rsidR="00DE51B1" w:rsidRPr="00E3559F">
        <w:rPr>
          <w:sz w:val="20"/>
          <w:szCs w:val="20"/>
        </w:rPr>
        <w:t>)</w:t>
      </w:r>
      <w:r w:rsidR="00CA3AD4" w:rsidRPr="00E3559F">
        <w:rPr>
          <w:rStyle w:val="Refdenotaalpie"/>
          <w:sz w:val="20"/>
          <w:szCs w:val="20"/>
        </w:rPr>
        <w:footnoteReference w:id="19"/>
      </w:r>
      <w:r w:rsidR="00CA3AD4" w:rsidRPr="00E3559F">
        <w:rPr>
          <w:sz w:val="20"/>
          <w:szCs w:val="20"/>
        </w:rPr>
        <w:t>.</w:t>
      </w:r>
    </w:p>
    <w:p w14:paraId="76E5D9FE" w14:textId="77777777" w:rsidR="00CA3AD4" w:rsidRPr="00E3559F" w:rsidRDefault="00CA3AD4" w:rsidP="00CA3AD4">
      <w:pPr>
        <w:tabs>
          <w:tab w:val="left" w:pos="567"/>
        </w:tabs>
        <w:spacing w:line="240" w:lineRule="auto"/>
        <w:rPr>
          <w:sz w:val="20"/>
          <w:szCs w:val="20"/>
        </w:rPr>
      </w:pPr>
    </w:p>
    <w:p w14:paraId="64A4D4B5" w14:textId="3109C7F3" w:rsidR="00CA3AD4" w:rsidRPr="00E3559F" w:rsidRDefault="00CA3AD4" w:rsidP="00FB7DAA">
      <w:pPr>
        <w:numPr>
          <w:ilvl w:val="0"/>
          <w:numId w:val="1"/>
        </w:numPr>
        <w:tabs>
          <w:tab w:val="left" w:pos="567"/>
          <w:tab w:val="num" w:pos="12305"/>
        </w:tabs>
        <w:spacing w:line="240" w:lineRule="auto"/>
        <w:ind w:left="0" w:firstLine="0"/>
        <w:rPr>
          <w:sz w:val="20"/>
          <w:szCs w:val="20"/>
        </w:rPr>
      </w:pPr>
      <w:r w:rsidRPr="00E3559F">
        <w:rPr>
          <w:sz w:val="20"/>
          <w:szCs w:val="20"/>
        </w:rPr>
        <w:t xml:space="preserve">El </w:t>
      </w:r>
      <w:r w:rsidR="00B724B4" w:rsidRPr="00E3559F">
        <w:rPr>
          <w:sz w:val="20"/>
          <w:szCs w:val="20"/>
        </w:rPr>
        <w:t>17</w:t>
      </w:r>
      <w:r w:rsidRPr="00E3559F">
        <w:rPr>
          <w:sz w:val="20"/>
          <w:szCs w:val="20"/>
        </w:rPr>
        <w:t xml:space="preserve"> de </w:t>
      </w:r>
      <w:r w:rsidR="00B724B4" w:rsidRPr="00E3559F">
        <w:rPr>
          <w:sz w:val="20"/>
          <w:szCs w:val="20"/>
        </w:rPr>
        <w:t>diciembre</w:t>
      </w:r>
      <w:r w:rsidRPr="00E3559F">
        <w:rPr>
          <w:sz w:val="20"/>
          <w:szCs w:val="20"/>
        </w:rPr>
        <w:t xml:space="preserve"> de </w:t>
      </w:r>
      <w:r w:rsidR="00B724B4" w:rsidRPr="00E3559F">
        <w:rPr>
          <w:sz w:val="20"/>
          <w:szCs w:val="20"/>
        </w:rPr>
        <w:t>1998</w:t>
      </w:r>
      <w:r w:rsidRPr="00E3559F">
        <w:rPr>
          <w:sz w:val="20"/>
          <w:szCs w:val="20"/>
        </w:rPr>
        <w:t xml:space="preserve"> la Sala Penal del Tribunal Superior de Justicia de la Provincia de Córdoba declaró el recurso de c</w:t>
      </w:r>
      <w:r w:rsidR="00235CEA" w:rsidRPr="00E3559F">
        <w:rPr>
          <w:sz w:val="20"/>
          <w:szCs w:val="20"/>
        </w:rPr>
        <w:t xml:space="preserve">asación formalmente inadmisible. </w:t>
      </w:r>
      <w:r w:rsidR="00B93276" w:rsidRPr="00E3559F">
        <w:rPr>
          <w:sz w:val="20"/>
          <w:szCs w:val="20"/>
        </w:rPr>
        <w:t>En particular, la Sala Penal indicó lo siguiente</w:t>
      </w:r>
      <w:r w:rsidR="00E47537" w:rsidRPr="00E3559F">
        <w:rPr>
          <w:sz w:val="20"/>
          <w:szCs w:val="20"/>
        </w:rPr>
        <w:t xml:space="preserve"> con respecto al vicio </w:t>
      </w:r>
      <w:r w:rsidR="00E47537" w:rsidRPr="00E3559F">
        <w:rPr>
          <w:i/>
          <w:iCs/>
          <w:sz w:val="20"/>
          <w:szCs w:val="20"/>
        </w:rPr>
        <w:t>in iudicando</w:t>
      </w:r>
      <w:r w:rsidR="00E47537" w:rsidRPr="00E3559F">
        <w:rPr>
          <w:sz w:val="20"/>
          <w:szCs w:val="20"/>
        </w:rPr>
        <w:t xml:space="preserve"> alegado</w:t>
      </w:r>
      <w:r w:rsidR="00B93276" w:rsidRPr="00E3559F">
        <w:rPr>
          <w:sz w:val="20"/>
          <w:szCs w:val="20"/>
        </w:rPr>
        <w:t>:</w:t>
      </w:r>
    </w:p>
    <w:p w14:paraId="68449859" w14:textId="77777777" w:rsidR="00B93276" w:rsidRPr="00E3559F" w:rsidRDefault="00B93276" w:rsidP="00B93276">
      <w:pPr>
        <w:tabs>
          <w:tab w:val="left" w:pos="567"/>
        </w:tabs>
        <w:spacing w:line="240" w:lineRule="auto"/>
        <w:rPr>
          <w:sz w:val="20"/>
          <w:szCs w:val="20"/>
        </w:rPr>
      </w:pPr>
    </w:p>
    <w:p w14:paraId="3A4DB610" w14:textId="06073102" w:rsidR="00B93276" w:rsidRPr="00E3559F" w:rsidRDefault="00E131E4" w:rsidP="00BA1FB2">
      <w:pPr>
        <w:tabs>
          <w:tab w:val="left" w:pos="567"/>
        </w:tabs>
        <w:spacing w:line="240" w:lineRule="auto"/>
        <w:ind w:left="720" w:right="630"/>
        <w:rPr>
          <w:sz w:val="18"/>
          <w:szCs w:val="18"/>
        </w:rPr>
      </w:pPr>
      <w:r w:rsidRPr="00E3559F">
        <w:rPr>
          <w:sz w:val="18"/>
          <w:szCs w:val="18"/>
        </w:rPr>
        <w:t xml:space="preserve">2. </w:t>
      </w:r>
      <w:r w:rsidR="00B93276" w:rsidRPr="00E3559F">
        <w:rPr>
          <w:sz w:val="18"/>
          <w:szCs w:val="18"/>
        </w:rPr>
        <w:t>Constituye una doctrina jurisprudencial consolidad</w:t>
      </w:r>
      <w:r w:rsidR="002254A2" w:rsidRPr="00E3559F">
        <w:rPr>
          <w:sz w:val="18"/>
          <w:szCs w:val="18"/>
        </w:rPr>
        <w:t>a</w:t>
      </w:r>
      <w:r w:rsidR="00B93276" w:rsidRPr="00E3559F">
        <w:rPr>
          <w:sz w:val="18"/>
          <w:szCs w:val="18"/>
        </w:rPr>
        <w:t xml:space="preserve"> de la Sala Penal […] que el recurso de casación por el motivo sustancial es inadmisible si se ignoran, parcializan o modifican los hechos en base a los cuales el tribunal de juicio efectuó la calificación legal que el impugnante reputa errada o no aplicó la que considera correcta […] </w:t>
      </w:r>
    </w:p>
    <w:p w14:paraId="3C9FA506" w14:textId="77777777" w:rsidR="00E131E4" w:rsidRPr="00E3559F" w:rsidRDefault="00E131E4" w:rsidP="00BA1FB2">
      <w:pPr>
        <w:tabs>
          <w:tab w:val="left" w:pos="567"/>
        </w:tabs>
        <w:spacing w:line="240" w:lineRule="auto"/>
        <w:ind w:left="720" w:right="630"/>
        <w:rPr>
          <w:sz w:val="18"/>
          <w:szCs w:val="18"/>
        </w:rPr>
      </w:pPr>
    </w:p>
    <w:p w14:paraId="5ADDC951" w14:textId="03F0840B" w:rsidR="00E131E4" w:rsidRPr="00E3559F" w:rsidRDefault="00E131E4" w:rsidP="00BA1FB2">
      <w:pPr>
        <w:tabs>
          <w:tab w:val="left" w:pos="567"/>
        </w:tabs>
        <w:spacing w:line="240" w:lineRule="auto"/>
        <w:ind w:left="720" w:right="630"/>
        <w:rPr>
          <w:sz w:val="18"/>
          <w:szCs w:val="18"/>
        </w:rPr>
      </w:pPr>
      <w:r w:rsidRPr="00E3559F">
        <w:rPr>
          <w:sz w:val="18"/>
          <w:szCs w:val="18"/>
        </w:rPr>
        <w:t>Dicha doctrina resulta ajustada a la inteligencia acordada por el legislador, conforme a la cual por el motivo sustancial de casación (CPP, 468, inc.1°), [se] coordina la interpretación unitaria de la ley de fondo sometiendo en definitiva la interpretación de la ley al […] Alto Tribunal de la Provincia y ante el cual la causa [llega] con los hechos del proceso definitivamente fijados, para que solamente se juzgue de la corrección jurídica con [la] que han sido calificados.</w:t>
      </w:r>
    </w:p>
    <w:p w14:paraId="796100DF" w14:textId="77777777" w:rsidR="00B93276" w:rsidRPr="00E3559F" w:rsidRDefault="00B93276" w:rsidP="00BA1FB2">
      <w:pPr>
        <w:tabs>
          <w:tab w:val="left" w:pos="567"/>
        </w:tabs>
        <w:spacing w:line="240" w:lineRule="auto"/>
        <w:ind w:left="720" w:right="630"/>
        <w:rPr>
          <w:sz w:val="18"/>
          <w:szCs w:val="18"/>
        </w:rPr>
      </w:pPr>
    </w:p>
    <w:p w14:paraId="1971825C" w14:textId="0A3DD5EA" w:rsidR="00B93276" w:rsidRPr="00E3559F" w:rsidRDefault="00E131E4" w:rsidP="00BA1FB2">
      <w:pPr>
        <w:tabs>
          <w:tab w:val="left" w:pos="567"/>
        </w:tabs>
        <w:spacing w:line="240" w:lineRule="auto"/>
        <w:ind w:left="720" w:right="630"/>
        <w:rPr>
          <w:sz w:val="18"/>
          <w:szCs w:val="18"/>
        </w:rPr>
      </w:pPr>
      <w:r w:rsidRPr="00E3559F">
        <w:rPr>
          <w:sz w:val="18"/>
          <w:szCs w:val="18"/>
        </w:rPr>
        <w:t xml:space="preserve">3. </w:t>
      </w:r>
      <w:r w:rsidR="00B93276" w:rsidRPr="00E3559F">
        <w:rPr>
          <w:sz w:val="18"/>
          <w:szCs w:val="18"/>
        </w:rPr>
        <w:t>En el caso, el recurrente presenta disconformidad con la calificación legal otorgada a los hechos, con prescindencia de todas las conclusiones fácticas adoptadas por el sentenciante</w:t>
      </w:r>
      <w:r w:rsidR="00E47537" w:rsidRPr="00E3559F">
        <w:rPr>
          <w:sz w:val="18"/>
          <w:szCs w:val="18"/>
        </w:rPr>
        <w:t>, conforme a las cuales la conducta endilgada al imputado no consistió en un mero incumplimiento contractual que aparejase un perjuicio potencial, sino en la complicidad primera</w:t>
      </w:r>
      <w:r w:rsidR="001468CE" w:rsidRPr="00E3559F">
        <w:rPr>
          <w:sz w:val="18"/>
          <w:szCs w:val="18"/>
        </w:rPr>
        <w:t xml:space="preserve"> e</w:t>
      </w:r>
      <w:r w:rsidR="00E47537" w:rsidRPr="00E3559F">
        <w:rPr>
          <w:sz w:val="18"/>
          <w:szCs w:val="18"/>
        </w:rPr>
        <w:t>n la obtención de asistencias crediticias fraudulentas que ocasionaron al Banco Social un perjuicio efectivo</w:t>
      </w:r>
      <w:r w:rsidR="00E47537" w:rsidRPr="00E3559F">
        <w:rPr>
          <w:rStyle w:val="Refdenotaalpie"/>
          <w:sz w:val="18"/>
          <w:szCs w:val="18"/>
        </w:rPr>
        <w:footnoteReference w:id="20"/>
      </w:r>
      <w:r w:rsidR="00E47537" w:rsidRPr="00E3559F">
        <w:rPr>
          <w:sz w:val="18"/>
          <w:szCs w:val="18"/>
        </w:rPr>
        <w:t>.</w:t>
      </w:r>
    </w:p>
    <w:p w14:paraId="0786C7FA" w14:textId="77777777" w:rsidR="00E47537" w:rsidRPr="00E3559F" w:rsidRDefault="00E47537" w:rsidP="00BA1FB2">
      <w:pPr>
        <w:tabs>
          <w:tab w:val="left" w:pos="567"/>
        </w:tabs>
        <w:spacing w:line="240" w:lineRule="auto"/>
        <w:ind w:left="720" w:right="630"/>
        <w:rPr>
          <w:sz w:val="18"/>
          <w:szCs w:val="18"/>
        </w:rPr>
      </w:pPr>
    </w:p>
    <w:p w14:paraId="19C3B7BB" w14:textId="1FF52495" w:rsidR="00B93276" w:rsidRPr="00E3559F" w:rsidRDefault="00E47537" w:rsidP="00E47537">
      <w:pPr>
        <w:numPr>
          <w:ilvl w:val="0"/>
          <w:numId w:val="1"/>
        </w:numPr>
        <w:tabs>
          <w:tab w:val="left" w:pos="567"/>
          <w:tab w:val="num" w:pos="12305"/>
        </w:tabs>
        <w:spacing w:line="240" w:lineRule="auto"/>
        <w:ind w:left="0" w:firstLine="0"/>
        <w:rPr>
          <w:sz w:val="20"/>
          <w:szCs w:val="20"/>
        </w:rPr>
      </w:pPr>
      <w:r w:rsidRPr="00E3559F">
        <w:rPr>
          <w:sz w:val="20"/>
          <w:szCs w:val="20"/>
        </w:rPr>
        <w:t xml:space="preserve">Con respecto al vicio </w:t>
      </w:r>
      <w:r w:rsidRPr="00E3559F">
        <w:rPr>
          <w:i/>
          <w:iCs/>
          <w:sz w:val="20"/>
          <w:szCs w:val="20"/>
        </w:rPr>
        <w:t>in procedendo</w:t>
      </w:r>
      <w:r w:rsidRPr="00E3559F">
        <w:rPr>
          <w:sz w:val="20"/>
          <w:szCs w:val="20"/>
        </w:rPr>
        <w:t>, la Sala Penal indicó lo siguiente:</w:t>
      </w:r>
    </w:p>
    <w:p w14:paraId="1A891C35" w14:textId="77777777" w:rsidR="00E47537" w:rsidRPr="00E3559F" w:rsidRDefault="00E47537" w:rsidP="00BA1FB2">
      <w:pPr>
        <w:tabs>
          <w:tab w:val="left" w:pos="567"/>
        </w:tabs>
        <w:spacing w:line="240" w:lineRule="auto"/>
        <w:ind w:left="720" w:right="630"/>
        <w:rPr>
          <w:sz w:val="18"/>
          <w:szCs w:val="18"/>
        </w:rPr>
      </w:pPr>
    </w:p>
    <w:p w14:paraId="407D3CF8" w14:textId="3BB4D537" w:rsidR="00B93276" w:rsidRPr="00E3559F" w:rsidRDefault="005C7C0F" w:rsidP="00BA1FB2">
      <w:pPr>
        <w:tabs>
          <w:tab w:val="left" w:pos="567"/>
        </w:tabs>
        <w:spacing w:line="240" w:lineRule="auto"/>
        <w:ind w:left="720" w:right="630"/>
        <w:rPr>
          <w:sz w:val="18"/>
          <w:szCs w:val="18"/>
        </w:rPr>
      </w:pPr>
      <w:r w:rsidRPr="00E3559F">
        <w:rPr>
          <w:sz w:val="18"/>
          <w:szCs w:val="18"/>
        </w:rPr>
        <w:t xml:space="preserve">2. </w:t>
      </w:r>
      <w:r w:rsidR="00B93276" w:rsidRPr="00E3559F">
        <w:rPr>
          <w:sz w:val="18"/>
          <w:szCs w:val="18"/>
        </w:rPr>
        <w:t xml:space="preserve">El recurso de casación deducido por motivo formal es inadmisible por las razones que a continuación exponen: </w:t>
      </w:r>
    </w:p>
    <w:p w14:paraId="28447F30" w14:textId="77777777" w:rsidR="00B93276" w:rsidRPr="00E3559F" w:rsidRDefault="00B93276" w:rsidP="00BA1FB2">
      <w:pPr>
        <w:tabs>
          <w:tab w:val="left" w:pos="567"/>
        </w:tabs>
        <w:spacing w:line="240" w:lineRule="auto"/>
        <w:ind w:left="720" w:right="630"/>
        <w:rPr>
          <w:sz w:val="18"/>
          <w:szCs w:val="18"/>
        </w:rPr>
      </w:pPr>
    </w:p>
    <w:p w14:paraId="598C6442" w14:textId="49B72F1D" w:rsidR="00B93276" w:rsidRPr="00E3559F" w:rsidRDefault="00B93276" w:rsidP="00BA1FB2">
      <w:pPr>
        <w:tabs>
          <w:tab w:val="left" w:pos="567"/>
        </w:tabs>
        <w:spacing w:line="240" w:lineRule="auto"/>
        <w:ind w:left="720" w:right="630"/>
        <w:rPr>
          <w:sz w:val="18"/>
          <w:szCs w:val="18"/>
        </w:rPr>
      </w:pPr>
      <w:r w:rsidRPr="00E3559F">
        <w:rPr>
          <w:sz w:val="18"/>
          <w:szCs w:val="18"/>
        </w:rPr>
        <w:t xml:space="preserve">a) Conforme a la invariable jurisprudencia de esta Sala, el recurso debe exponer un agravio con sustento veraz en las constancias de la causa, de modo </w:t>
      </w:r>
      <w:r w:rsidR="004A6253" w:rsidRPr="00E3559F">
        <w:rPr>
          <w:sz w:val="18"/>
          <w:szCs w:val="18"/>
        </w:rPr>
        <w:t>que,</w:t>
      </w:r>
      <w:r w:rsidRPr="00E3559F">
        <w:rPr>
          <w:sz w:val="18"/>
          <w:szCs w:val="18"/>
        </w:rPr>
        <w:t xml:space="preserve"> si estas son parcializadas, ignoradas o modificadas </w:t>
      </w:r>
      <w:r w:rsidR="00EE0E2D" w:rsidRPr="00E3559F">
        <w:rPr>
          <w:sz w:val="18"/>
          <w:szCs w:val="18"/>
        </w:rPr>
        <w:t xml:space="preserve">y sobre tales alteraciones se construye un gravamen, prescindiendo de los actos procesales tal como han sido realizados, la impugnación no es viable formalmente. </w:t>
      </w:r>
      <w:r w:rsidRPr="00E3559F">
        <w:rPr>
          <w:sz w:val="18"/>
          <w:szCs w:val="18"/>
        </w:rPr>
        <w:t xml:space="preserve">[…] </w:t>
      </w:r>
      <w:r w:rsidR="002D4310" w:rsidRPr="00E3559F">
        <w:rPr>
          <w:sz w:val="18"/>
          <w:szCs w:val="18"/>
        </w:rPr>
        <w:t xml:space="preserve">En tal defecto se incurre en el escrito de interposición acerca del vicio que acusa: falta de correlación entre acusación y sentencia. Ello así por cuando en primer término, circunscribe el hecho al mutuo inicial, cuando tanto la acusación como la sentencia al fijarlo incluyen otra numerosas asistencias crediticias que consideran fraudulentamente obtenidas y prejudiciales […] En segundo </w:t>
      </w:r>
      <w:r w:rsidR="002D4310" w:rsidRPr="00E3559F">
        <w:rPr>
          <w:sz w:val="18"/>
          <w:szCs w:val="18"/>
        </w:rPr>
        <w:lastRenderedPageBreak/>
        <w:t>término, únicamente en relación al mutuo inicial incluido</w:t>
      </w:r>
      <w:r w:rsidR="00E131E4" w:rsidRPr="00E3559F">
        <w:rPr>
          <w:sz w:val="18"/>
          <w:szCs w:val="18"/>
        </w:rPr>
        <w:t>[,]</w:t>
      </w:r>
      <w:r w:rsidR="002D4310" w:rsidRPr="00E3559F">
        <w:rPr>
          <w:sz w:val="18"/>
          <w:szCs w:val="18"/>
        </w:rPr>
        <w:t xml:space="preserve"> tanto la acusación como la sentencia, aluden a la garantía hipotecaria sobre el inmueble del cementerio parque</w:t>
      </w:r>
      <w:r w:rsidR="00BA1FB2" w:rsidRPr="00E3559F">
        <w:rPr>
          <w:sz w:val="18"/>
          <w:szCs w:val="18"/>
        </w:rPr>
        <w:t xml:space="preserve"> […] El impugnante con la dogmática afirmación de que esas circunstancias eran decisivas, no ha fundamentado esa calificación, toda vez que ha prescindido de procurar demostrar su dirimencia a los efectos de exponer una falta de correlación de su procedencia formal conforme a la invariable jurisprudencia de la Sala […] </w:t>
      </w:r>
    </w:p>
    <w:p w14:paraId="21CCD2E4" w14:textId="77777777" w:rsidR="00BA1FB2" w:rsidRPr="00E3559F" w:rsidRDefault="00BA1FB2" w:rsidP="00BA1FB2">
      <w:pPr>
        <w:tabs>
          <w:tab w:val="left" w:pos="567"/>
        </w:tabs>
        <w:spacing w:line="240" w:lineRule="auto"/>
        <w:ind w:left="720" w:right="630"/>
        <w:rPr>
          <w:sz w:val="18"/>
          <w:szCs w:val="18"/>
        </w:rPr>
      </w:pPr>
    </w:p>
    <w:p w14:paraId="3F852C81" w14:textId="027185A1" w:rsidR="00C40FCE" w:rsidRPr="00E3559F" w:rsidRDefault="00BA1FB2" w:rsidP="002254A2">
      <w:pPr>
        <w:tabs>
          <w:tab w:val="left" w:pos="567"/>
        </w:tabs>
        <w:spacing w:line="240" w:lineRule="auto"/>
        <w:ind w:left="720" w:right="630"/>
        <w:rPr>
          <w:sz w:val="18"/>
          <w:szCs w:val="18"/>
        </w:rPr>
      </w:pPr>
      <w:r w:rsidRPr="00E3559F">
        <w:rPr>
          <w:sz w:val="18"/>
          <w:szCs w:val="18"/>
        </w:rPr>
        <w:t>b) Asimismo se advierte que el impugnante, en relación únicamente con el mutuo inicial al que aluden tanto la acusación como la sentencia, identifica la disminución de la garantía hipotecaria por la efectiva comercialización posterior de las parcelas del cementerio parque que para el tribunal de juicio constituyeron hechos comprobados en el debate incluidos en la acusación y por tanto excluidos de la condena</w:t>
      </w:r>
      <w:r w:rsidR="00D346EE" w:rsidRPr="00E3559F">
        <w:rPr>
          <w:sz w:val="18"/>
          <w:szCs w:val="18"/>
        </w:rPr>
        <w:t xml:space="preserve"> […] </w:t>
      </w:r>
      <w:r w:rsidR="00E131E4" w:rsidRPr="00E3559F">
        <w:rPr>
          <w:sz w:val="18"/>
          <w:szCs w:val="18"/>
        </w:rPr>
        <w:t>Desde que el recurso también se endereza a cuestionar el punto de la parte dispositiva de la sentencia que en consonancia con esos fundamentos dispuso en relación a esos hechos bajar las actuaciones al Juzgado de instrucción “a sus efectos”, en rigor de verdad [</w:t>
      </w:r>
      <w:r w:rsidR="008F0650" w:rsidRPr="00E3559F">
        <w:rPr>
          <w:i/>
          <w:sz w:val="18"/>
          <w:szCs w:val="18"/>
        </w:rPr>
        <w:t>ilegible</w:t>
      </w:r>
      <w:r w:rsidR="00E131E4" w:rsidRPr="00E3559F">
        <w:rPr>
          <w:sz w:val="18"/>
          <w:szCs w:val="18"/>
        </w:rPr>
        <w:t>] un objeto que</w:t>
      </w:r>
      <w:r w:rsidR="008F0650" w:rsidRPr="00E3559F">
        <w:rPr>
          <w:sz w:val="18"/>
          <w:szCs w:val="18"/>
        </w:rPr>
        <w:t xml:space="preserve"> no es impugnable en casación (C.P.P. 469)”</w:t>
      </w:r>
      <w:r w:rsidR="00632E58" w:rsidRPr="00E3559F">
        <w:rPr>
          <w:rStyle w:val="Refdenotaalpie"/>
          <w:sz w:val="18"/>
          <w:szCs w:val="18"/>
        </w:rPr>
        <w:footnoteReference w:id="21"/>
      </w:r>
      <w:r w:rsidRPr="00E3559F">
        <w:rPr>
          <w:sz w:val="18"/>
          <w:szCs w:val="18"/>
        </w:rPr>
        <w:t>.</w:t>
      </w:r>
    </w:p>
    <w:p w14:paraId="6DDD6543" w14:textId="77777777" w:rsidR="0067147D" w:rsidRPr="00E3559F" w:rsidRDefault="0067147D" w:rsidP="00C40FCE">
      <w:pPr>
        <w:tabs>
          <w:tab w:val="left" w:pos="567"/>
        </w:tabs>
        <w:spacing w:line="240" w:lineRule="auto"/>
        <w:ind w:right="630"/>
        <w:rPr>
          <w:sz w:val="18"/>
          <w:szCs w:val="18"/>
        </w:rPr>
      </w:pPr>
    </w:p>
    <w:p w14:paraId="0D016379" w14:textId="73AA0D46" w:rsidR="00C40FCE" w:rsidRPr="00E3559F" w:rsidRDefault="00B724B4" w:rsidP="00C11856">
      <w:pPr>
        <w:numPr>
          <w:ilvl w:val="0"/>
          <w:numId w:val="1"/>
        </w:numPr>
        <w:tabs>
          <w:tab w:val="left" w:pos="567"/>
          <w:tab w:val="num" w:pos="12305"/>
        </w:tabs>
        <w:spacing w:line="240" w:lineRule="auto"/>
        <w:ind w:left="0" w:firstLine="0"/>
        <w:rPr>
          <w:sz w:val="18"/>
          <w:szCs w:val="18"/>
        </w:rPr>
      </w:pPr>
      <w:r w:rsidRPr="00E3559F">
        <w:rPr>
          <w:sz w:val="20"/>
          <w:szCs w:val="20"/>
        </w:rPr>
        <w:t xml:space="preserve">El 5 de febrero </w:t>
      </w:r>
      <w:r w:rsidR="00081AA6" w:rsidRPr="00E3559F">
        <w:rPr>
          <w:sz w:val="20"/>
          <w:szCs w:val="20"/>
        </w:rPr>
        <w:t xml:space="preserve">de 1999 </w:t>
      </w:r>
      <w:r w:rsidRPr="00E3559F">
        <w:rPr>
          <w:sz w:val="20"/>
          <w:szCs w:val="20"/>
        </w:rPr>
        <w:t xml:space="preserve">la defensa del señor Domínguez Linares interpuso un recurso extraordinario ante la </w:t>
      </w:r>
      <w:r w:rsidR="00C40FCE" w:rsidRPr="00E3559F">
        <w:rPr>
          <w:sz w:val="20"/>
          <w:szCs w:val="20"/>
        </w:rPr>
        <w:t>Sala Penal del Tribunal Superior de Justicia de C</w:t>
      </w:r>
      <w:r w:rsidRPr="00E3559F">
        <w:rPr>
          <w:sz w:val="20"/>
          <w:szCs w:val="20"/>
        </w:rPr>
        <w:t>órdoba</w:t>
      </w:r>
      <w:r w:rsidRPr="00E3559F">
        <w:rPr>
          <w:rStyle w:val="Refdenotaalpie"/>
          <w:sz w:val="20"/>
          <w:szCs w:val="20"/>
        </w:rPr>
        <w:footnoteReference w:id="22"/>
      </w:r>
      <w:r w:rsidRPr="00E3559F">
        <w:rPr>
          <w:sz w:val="20"/>
          <w:szCs w:val="20"/>
        </w:rPr>
        <w:t xml:space="preserve">, la cual lo declaró </w:t>
      </w:r>
      <w:r w:rsidR="00C40FCE" w:rsidRPr="00E3559F">
        <w:rPr>
          <w:sz w:val="20"/>
          <w:szCs w:val="20"/>
        </w:rPr>
        <w:t>formalmente inadmisible</w:t>
      </w:r>
      <w:r w:rsidR="00C947C4" w:rsidRPr="00E3559F">
        <w:rPr>
          <w:rStyle w:val="Refdenotaalpie"/>
          <w:sz w:val="20"/>
          <w:szCs w:val="20"/>
        </w:rPr>
        <w:footnoteReference w:id="23"/>
      </w:r>
      <w:r w:rsidR="00C40FCE" w:rsidRPr="00E3559F">
        <w:rPr>
          <w:sz w:val="20"/>
          <w:szCs w:val="20"/>
        </w:rPr>
        <w:t xml:space="preserve">. </w:t>
      </w:r>
      <w:r w:rsidR="002B4C93" w:rsidRPr="00E3559F">
        <w:rPr>
          <w:sz w:val="20"/>
          <w:szCs w:val="20"/>
        </w:rPr>
        <w:t>Finalmente, e</w:t>
      </w:r>
      <w:r w:rsidR="00C40FCE" w:rsidRPr="00E3559F">
        <w:rPr>
          <w:sz w:val="20"/>
          <w:szCs w:val="20"/>
        </w:rPr>
        <w:t xml:space="preserve">l 21 de marzo de 2000 la </w:t>
      </w:r>
      <w:r w:rsidR="00B0139A" w:rsidRPr="00E3559F">
        <w:rPr>
          <w:sz w:val="20"/>
          <w:szCs w:val="20"/>
        </w:rPr>
        <w:t xml:space="preserve">Corte Suprema de Justicia de la Nación </w:t>
      </w:r>
      <w:r w:rsidR="00B0139A">
        <w:rPr>
          <w:sz w:val="20"/>
          <w:szCs w:val="20"/>
        </w:rPr>
        <w:t>(en adelante “</w:t>
      </w:r>
      <w:r w:rsidR="00E049BD" w:rsidRPr="00E3559F">
        <w:rPr>
          <w:sz w:val="20"/>
          <w:szCs w:val="20"/>
        </w:rPr>
        <w:t>CSJN</w:t>
      </w:r>
      <w:r w:rsidR="00B0139A">
        <w:rPr>
          <w:sz w:val="20"/>
          <w:szCs w:val="20"/>
        </w:rPr>
        <w:t>”)</w:t>
      </w:r>
      <w:r w:rsidR="00C40FCE" w:rsidRPr="00E3559F">
        <w:rPr>
          <w:sz w:val="20"/>
          <w:szCs w:val="20"/>
        </w:rPr>
        <w:t xml:space="preserve"> </w:t>
      </w:r>
      <w:r w:rsidR="00E478A9" w:rsidRPr="00E3559F">
        <w:rPr>
          <w:sz w:val="20"/>
          <w:szCs w:val="20"/>
        </w:rPr>
        <w:t>declaró</w:t>
      </w:r>
      <w:r w:rsidR="00C40FCE" w:rsidRPr="00E3559F">
        <w:rPr>
          <w:sz w:val="20"/>
          <w:szCs w:val="20"/>
        </w:rPr>
        <w:t xml:space="preserve"> inadmisible el recurso de queja interpuesto</w:t>
      </w:r>
      <w:r w:rsidR="00EE0E2D" w:rsidRPr="00E3559F">
        <w:rPr>
          <w:sz w:val="20"/>
          <w:szCs w:val="20"/>
        </w:rPr>
        <w:t xml:space="preserve"> </w:t>
      </w:r>
      <w:r w:rsidR="00B0139A">
        <w:rPr>
          <w:sz w:val="20"/>
          <w:szCs w:val="20"/>
        </w:rPr>
        <w:t xml:space="preserve">por </w:t>
      </w:r>
      <w:r w:rsidR="00E478A9" w:rsidRPr="00E3559F">
        <w:rPr>
          <w:sz w:val="20"/>
          <w:szCs w:val="20"/>
        </w:rPr>
        <w:t xml:space="preserve">la defensa del señor </w:t>
      </w:r>
      <w:r w:rsidR="00EE0E2D" w:rsidRPr="00E3559F">
        <w:rPr>
          <w:sz w:val="20"/>
          <w:szCs w:val="20"/>
        </w:rPr>
        <w:t>Domíng</w:t>
      </w:r>
      <w:r w:rsidR="00E478A9" w:rsidRPr="00E3559F">
        <w:rPr>
          <w:sz w:val="20"/>
          <w:szCs w:val="20"/>
        </w:rPr>
        <w:t>u</w:t>
      </w:r>
      <w:r w:rsidR="00EE0E2D" w:rsidRPr="00E3559F">
        <w:rPr>
          <w:sz w:val="20"/>
          <w:szCs w:val="20"/>
        </w:rPr>
        <w:t>ez Linares</w:t>
      </w:r>
      <w:r w:rsidR="00C40FCE" w:rsidRPr="00E3559F">
        <w:rPr>
          <w:rStyle w:val="Refdenotaalpie"/>
          <w:sz w:val="20"/>
          <w:szCs w:val="20"/>
        </w:rPr>
        <w:footnoteReference w:id="24"/>
      </w:r>
      <w:r w:rsidR="00C40FCE" w:rsidRPr="00E3559F">
        <w:rPr>
          <w:sz w:val="20"/>
          <w:szCs w:val="20"/>
        </w:rPr>
        <w:t>.</w:t>
      </w:r>
    </w:p>
    <w:p w14:paraId="200568EE" w14:textId="3CB93FC9" w:rsidR="002500CE" w:rsidRPr="00E3559F" w:rsidRDefault="00AE045D" w:rsidP="00AE045D">
      <w:pPr>
        <w:pStyle w:val="Ttulo4"/>
      </w:pPr>
      <w:r w:rsidRPr="00E3559F">
        <w:lastRenderedPageBreak/>
        <w:tab/>
        <w:t>(ii)</w:t>
      </w:r>
      <w:r w:rsidR="002500CE" w:rsidRPr="00E3559F">
        <w:t xml:space="preserve"> Recursos interpuestos por el señor del Valle Ambrosio</w:t>
      </w:r>
    </w:p>
    <w:p w14:paraId="0A9744D0" w14:textId="358CF552" w:rsidR="002500CE" w:rsidRPr="00E3559F" w:rsidRDefault="002500CE" w:rsidP="002500CE">
      <w:pPr>
        <w:numPr>
          <w:ilvl w:val="0"/>
          <w:numId w:val="1"/>
        </w:numPr>
        <w:tabs>
          <w:tab w:val="left" w:pos="567"/>
          <w:tab w:val="num" w:pos="12305"/>
        </w:tabs>
        <w:spacing w:line="240" w:lineRule="auto"/>
        <w:ind w:left="0" w:firstLine="0"/>
        <w:rPr>
          <w:sz w:val="20"/>
          <w:szCs w:val="20"/>
        </w:rPr>
      </w:pPr>
      <w:r w:rsidRPr="00E3559F">
        <w:rPr>
          <w:sz w:val="20"/>
          <w:szCs w:val="20"/>
        </w:rPr>
        <w:t>El 19 de febrero de 1998 la defensa del señor del Valle Ambrosio interpuso un recurso de casación contra la referida sentencia condenatoria</w:t>
      </w:r>
      <w:r w:rsidR="000B6A40" w:rsidRPr="00E3559F">
        <w:rPr>
          <w:sz w:val="20"/>
          <w:szCs w:val="20"/>
        </w:rPr>
        <w:t xml:space="preserve"> de 23 de diciembre de 1997</w:t>
      </w:r>
      <w:r w:rsidRPr="00E3559F">
        <w:rPr>
          <w:sz w:val="20"/>
          <w:szCs w:val="20"/>
        </w:rPr>
        <w:t>. En dicho recurso se alegó</w:t>
      </w:r>
      <w:r w:rsidR="000B6A40" w:rsidRPr="00E3559F">
        <w:rPr>
          <w:sz w:val="20"/>
          <w:szCs w:val="20"/>
        </w:rPr>
        <w:t>,</w:t>
      </w:r>
      <w:r w:rsidRPr="00E3559F">
        <w:rPr>
          <w:sz w:val="20"/>
          <w:szCs w:val="20"/>
        </w:rPr>
        <w:t xml:space="preserve"> en primer lugar</w:t>
      </w:r>
      <w:r w:rsidR="000B6A40" w:rsidRPr="00E3559F">
        <w:rPr>
          <w:sz w:val="20"/>
          <w:szCs w:val="20"/>
        </w:rPr>
        <w:t>,</w:t>
      </w:r>
      <w:r w:rsidRPr="00E3559F">
        <w:rPr>
          <w:sz w:val="20"/>
          <w:szCs w:val="20"/>
        </w:rPr>
        <w:t xml:space="preserve"> que se había aplicado erróneamente la ley sustantiva, y ello debido a la “inobservancia de las normas establecidas por el código bajo pena de inadmisibilidad, caducidad o nulidad</w:t>
      </w:r>
      <w:r w:rsidR="002254A2" w:rsidRPr="00E3559F">
        <w:rPr>
          <w:sz w:val="20"/>
          <w:szCs w:val="20"/>
        </w:rPr>
        <w:t>”</w:t>
      </w:r>
      <w:r w:rsidRPr="00E3559F">
        <w:rPr>
          <w:sz w:val="20"/>
          <w:szCs w:val="20"/>
        </w:rPr>
        <w:t>, porque</w:t>
      </w:r>
      <w:r w:rsidR="002254A2" w:rsidRPr="00E3559F">
        <w:rPr>
          <w:sz w:val="20"/>
          <w:szCs w:val="20"/>
        </w:rPr>
        <w:t>,</w:t>
      </w:r>
      <w:r w:rsidRPr="00E3559F">
        <w:rPr>
          <w:sz w:val="20"/>
          <w:szCs w:val="20"/>
        </w:rPr>
        <w:t xml:space="preserve"> a su criterio, </w:t>
      </w:r>
      <w:r w:rsidR="002254A2" w:rsidRPr="00E3559F">
        <w:rPr>
          <w:sz w:val="20"/>
          <w:szCs w:val="20"/>
        </w:rPr>
        <w:t>“</w:t>
      </w:r>
      <w:r w:rsidRPr="00E3559F">
        <w:rPr>
          <w:sz w:val="20"/>
          <w:szCs w:val="20"/>
        </w:rPr>
        <w:t>el Tribunal ha[bía] valorado equívocamente los elementos probatorios colectados como prueba”, lo cual habría resultado en una violación del artículo 406 del CPPC</w:t>
      </w:r>
      <w:r w:rsidRPr="00E3559F">
        <w:rPr>
          <w:rStyle w:val="Refdenotaalpie"/>
          <w:sz w:val="20"/>
          <w:szCs w:val="20"/>
        </w:rPr>
        <w:footnoteReference w:id="25"/>
      </w:r>
      <w:r w:rsidRPr="00E3559F">
        <w:rPr>
          <w:sz w:val="20"/>
          <w:szCs w:val="20"/>
        </w:rPr>
        <w:t xml:space="preserve"> “al no haberse estado a favor [del recurrente] ante la duda” y el artículo 413 inc. 4to</w:t>
      </w:r>
      <w:r w:rsidRPr="00E3559F">
        <w:rPr>
          <w:rStyle w:val="Refdenotaalpie"/>
          <w:sz w:val="20"/>
          <w:szCs w:val="20"/>
        </w:rPr>
        <w:footnoteReference w:id="26"/>
      </w:r>
      <w:r w:rsidRPr="00E3559F">
        <w:rPr>
          <w:sz w:val="20"/>
          <w:szCs w:val="20"/>
        </w:rPr>
        <w:t>, toda vez que “no se observ[aron] las reglas de la sana crítica racional, con respecto a elementos probatorios de valor decisivo”</w:t>
      </w:r>
      <w:r w:rsidRPr="00E3559F">
        <w:rPr>
          <w:rStyle w:val="Refdenotaalpie"/>
          <w:sz w:val="20"/>
          <w:szCs w:val="20"/>
        </w:rPr>
        <w:footnoteReference w:id="27"/>
      </w:r>
      <w:r w:rsidRPr="00E3559F">
        <w:rPr>
          <w:sz w:val="20"/>
          <w:szCs w:val="20"/>
        </w:rPr>
        <w:t>.</w:t>
      </w:r>
    </w:p>
    <w:p w14:paraId="68378493" w14:textId="77777777" w:rsidR="002500CE" w:rsidRPr="00E3559F" w:rsidRDefault="002500CE" w:rsidP="002500CE">
      <w:pPr>
        <w:tabs>
          <w:tab w:val="left" w:pos="567"/>
        </w:tabs>
        <w:spacing w:line="240" w:lineRule="auto"/>
        <w:rPr>
          <w:sz w:val="20"/>
          <w:szCs w:val="20"/>
        </w:rPr>
      </w:pPr>
    </w:p>
    <w:p w14:paraId="34E5F144" w14:textId="10322854" w:rsidR="002500CE" w:rsidRPr="00E3559F" w:rsidRDefault="003731C6" w:rsidP="002500CE">
      <w:pPr>
        <w:numPr>
          <w:ilvl w:val="0"/>
          <w:numId w:val="1"/>
        </w:numPr>
        <w:tabs>
          <w:tab w:val="left" w:pos="567"/>
          <w:tab w:val="num" w:pos="12305"/>
        </w:tabs>
        <w:spacing w:line="240" w:lineRule="auto"/>
        <w:ind w:left="0" w:firstLine="0"/>
        <w:rPr>
          <w:sz w:val="20"/>
          <w:szCs w:val="20"/>
        </w:rPr>
      </w:pPr>
      <w:r w:rsidRPr="00E3559F">
        <w:rPr>
          <w:sz w:val="20"/>
          <w:szCs w:val="20"/>
        </w:rPr>
        <w:t>El 5 de marzo de 1998 l</w:t>
      </w:r>
      <w:r w:rsidR="002500CE" w:rsidRPr="00E3559F">
        <w:rPr>
          <w:sz w:val="20"/>
          <w:szCs w:val="20"/>
        </w:rPr>
        <w:t xml:space="preserve">a Cámara Novena del Crimen de Córdoba resolvió conceder el recurso de casación y elevarlo a la Sala Penal del </w:t>
      </w:r>
      <w:r w:rsidR="00DE51B1" w:rsidRPr="00E3559F">
        <w:rPr>
          <w:sz w:val="20"/>
          <w:szCs w:val="20"/>
        </w:rPr>
        <w:t>TSJC</w:t>
      </w:r>
      <w:r w:rsidR="002500CE" w:rsidRPr="00E3559F">
        <w:rPr>
          <w:rStyle w:val="Refdenotaalpie"/>
          <w:sz w:val="20"/>
          <w:szCs w:val="20"/>
        </w:rPr>
        <w:footnoteReference w:id="28"/>
      </w:r>
      <w:r w:rsidR="002500CE" w:rsidRPr="00E3559F">
        <w:rPr>
          <w:sz w:val="20"/>
          <w:szCs w:val="20"/>
        </w:rPr>
        <w:t>.</w:t>
      </w:r>
    </w:p>
    <w:p w14:paraId="74658CD3" w14:textId="77777777" w:rsidR="002500CE" w:rsidRPr="00E3559F" w:rsidRDefault="002500CE" w:rsidP="002500CE">
      <w:pPr>
        <w:tabs>
          <w:tab w:val="left" w:pos="567"/>
        </w:tabs>
        <w:spacing w:line="240" w:lineRule="auto"/>
        <w:rPr>
          <w:sz w:val="20"/>
          <w:szCs w:val="20"/>
        </w:rPr>
      </w:pPr>
    </w:p>
    <w:p w14:paraId="3FCAA42F" w14:textId="3835EB6B" w:rsidR="00215176" w:rsidRPr="00E3559F" w:rsidRDefault="002500CE" w:rsidP="002500CE">
      <w:pPr>
        <w:numPr>
          <w:ilvl w:val="0"/>
          <w:numId w:val="1"/>
        </w:numPr>
        <w:tabs>
          <w:tab w:val="left" w:pos="567"/>
          <w:tab w:val="num" w:pos="12305"/>
        </w:tabs>
        <w:spacing w:line="240" w:lineRule="auto"/>
        <w:ind w:left="0" w:firstLine="0"/>
        <w:rPr>
          <w:sz w:val="20"/>
          <w:szCs w:val="20"/>
        </w:rPr>
      </w:pPr>
      <w:r w:rsidRPr="00E3559F">
        <w:rPr>
          <w:sz w:val="20"/>
          <w:szCs w:val="20"/>
        </w:rPr>
        <w:t xml:space="preserve">El 17 de diciembre de 1998 la Sala Penal del </w:t>
      </w:r>
      <w:r w:rsidR="00DE51B1" w:rsidRPr="00E3559F">
        <w:rPr>
          <w:sz w:val="20"/>
          <w:szCs w:val="20"/>
        </w:rPr>
        <w:t>TSJC</w:t>
      </w:r>
      <w:r w:rsidRPr="00E3559F">
        <w:rPr>
          <w:sz w:val="20"/>
          <w:szCs w:val="20"/>
        </w:rPr>
        <w:t xml:space="preserve"> resolvió declarar la inadmisi</w:t>
      </w:r>
      <w:r w:rsidR="0030209E" w:rsidRPr="00E3559F">
        <w:rPr>
          <w:sz w:val="20"/>
          <w:szCs w:val="20"/>
        </w:rPr>
        <w:t>bilidad del recurso de casación</w:t>
      </w:r>
      <w:r w:rsidRPr="00E3559F">
        <w:rPr>
          <w:sz w:val="20"/>
          <w:szCs w:val="20"/>
        </w:rPr>
        <w:t>.</w:t>
      </w:r>
      <w:r w:rsidR="0030209E" w:rsidRPr="00E3559F">
        <w:rPr>
          <w:sz w:val="20"/>
          <w:szCs w:val="20"/>
        </w:rPr>
        <w:t xml:space="preserve"> </w:t>
      </w:r>
      <w:r w:rsidR="00215176" w:rsidRPr="00E3559F">
        <w:rPr>
          <w:sz w:val="20"/>
          <w:szCs w:val="20"/>
        </w:rPr>
        <w:t xml:space="preserve">En primer </w:t>
      </w:r>
      <w:r w:rsidR="00A27ABA" w:rsidRPr="00E3559F">
        <w:rPr>
          <w:sz w:val="20"/>
          <w:szCs w:val="20"/>
        </w:rPr>
        <w:t>lugar,</w:t>
      </w:r>
      <w:r w:rsidR="00215176" w:rsidRPr="00E3559F">
        <w:rPr>
          <w:sz w:val="20"/>
          <w:szCs w:val="20"/>
        </w:rPr>
        <w:t xml:space="preserve"> la Sala Penal del TSJC reprochó al recurrente que no hubiera una concordancia entre el agravio alegado y sus correspondientes fundamentos:</w:t>
      </w:r>
    </w:p>
    <w:p w14:paraId="3580C1B3" w14:textId="446C3B0F" w:rsidR="00215176" w:rsidRPr="00E3559F" w:rsidRDefault="00215176" w:rsidP="00215176">
      <w:pPr>
        <w:tabs>
          <w:tab w:val="left" w:pos="567"/>
        </w:tabs>
        <w:spacing w:line="240" w:lineRule="auto"/>
        <w:ind w:left="720" w:right="720"/>
        <w:rPr>
          <w:sz w:val="18"/>
          <w:szCs w:val="18"/>
        </w:rPr>
      </w:pPr>
    </w:p>
    <w:p w14:paraId="072283B9" w14:textId="65AD302B" w:rsidR="00215176" w:rsidRPr="00E3559F" w:rsidRDefault="00215176" w:rsidP="00215176">
      <w:pPr>
        <w:tabs>
          <w:tab w:val="left" w:pos="567"/>
        </w:tabs>
        <w:spacing w:line="240" w:lineRule="auto"/>
        <w:ind w:left="720" w:right="720"/>
        <w:rPr>
          <w:sz w:val="18"/>
          <w:szCs w:val="18"/>
        </w:rPr>
      </w:pPr>
      <w:r w:rsidRPr="00E3559F">
        <w:rPr>
          <w:sz w:val="18"/>
          <w:szCs w:val="18"/>
        </w:rPr>
        <w:t xml:space="preserve">Al igual que ha sucedido en relación a los otros reproches, el impugnante luego de anunciar que recurre en casación con la invocación de ambos motivos, enuncia un agravio (falta de motivación en la individualización de la pena) que resulta concordante exclusivamente con el motivo formal (C.P.P., 468, inc. 2°), pero expresa fundamentos en los que aparecen confundidos aspectos que conciernen a cuestiones de derecho (la imposibilidad jurídica de la retribución como concepción de la pena, el fin de prevención especial como el único admisible legalmente, la inviabilidad de la culpabilidad como una circunstancia a computar en la individualización, la calificación del accionar de Ambrosio dentro de una concepción de derecho penal de autor y no de acto), como a cuestiones de hecho (la invocación de hechos que no han sido acreditados, la ausencia de ponderación de la carencia de antecedentes penales). La señalada falta de concordancia entre </w:t>
      </w:r>
      <w:r w:rsidRPr="00E3559F">
        <w:rPr>
          <w:sz w:val="18"/>
          <w:szCs w:val="18"/>
        </w:rPr>
        <w:lastRenderedPageBreak/>
        <w:t>agravio y fundamentos, obsta a la admisibilidad del recurso</w:t>
      </w:r>
      <w:r w:rsidRPr="00E3559F">
        <w:rPr>
          <w:rStyle w:val="Refdenotaalpie"/>
          <w:sz w:val="18"/>
          <w:szCs w:val="18"/>
        </w:rPr>
        <w:footnoteReference w:id="29"/>
      </w:r>
      <w:r w:rsidRPr="00E3559F">
        <w:rPr>
          <w:sz w:val="18"/>
          <w:szCs w:val="18"/>
        </w:rPr>
        <w:t>.</w:t>
      </w:r>
    </w:p>
    <w:p w14:paraId="5BEBCF4E" w14:textId="77777777" w:rsidR="00215176" w:rsidRPr="00E3559F" w:rsidRDefault="00215176" w:rsidP="00215176">
      <w:pPr>
        <w:tabs>
          <w:tab w:val="left" w:pos="567"/>
        </w:tabs>
        <w:spacing w:line="240" w:lineRule="auto"/>
        <w:rPr>
          <w:sz w:val="20"/>
          <w:szCs w:val="20"/>
        </w:rPr>
      </w:pPr>
    </w:p>
    <w:p w14:paraId="4C4D017F" w14:textId="56EC422C" w:rsidR="008F0650" w:rsidRPr="00E3559F" w:rsidRDefault="00215176" w:rsidP="002500CE">
      <w:pPr>
        <w:numPr>
          <w:ilvl w:val="0"/>
          <w:numId w:val="1"/>
        </w:numPr>
        <w:tabs>
          <w:tab w:val="left" w:pos="567"/>
          <w:tab w:val="num" w:pos="12305"/>
        </w:tabs>
        <w:spacing w:line="240" w:lineRule="auto"/>
        <w:ind w:left="0" w:firstLine="0"/>
        <w:rPr>
          <w:sz w:val="20"/>
          <w:szCs w:val="20"/>
        </w:rPr>
      </w:pPr>
      <w:r w:rsidRPr="00E3559F">
        <w:rPr>
          <w:sz w:val="20"/>
          <w:szCs w:val="20"/>
        </w:rPr>
        <w:t xml:space="preserve">Asimismo, en cuanto al aspecto sustancial del recurso, </w:t>
      </w:r>
      <w:r w:rsidR="0030209E" w:rsidRPr="00E3559F">
        <w:rPr>
          <w:sz w:val="20"/>
          <w:szCs w:val="20"/>
        </w:rPr>
        <w:t>dicha resolución indicó lo siguiente:</w:t>
      </w:r>
      <w:r w:rsidR="008F0650" w:rsidRPr="00E3559F">
        <w:rPr>
          <w:sz w:val="20"/>
          <w:szCs w:val="20"/>
        </w:rPr>
        <w:t xml:space="preserve"> </w:t>
      </w:r>
    </w:p>
    <w:p w14:paraId="008A0890" w14:textId="77777777" w:rsidR="0025561C" w:rsidRPr="00E3559F" w:rsidRDefault="0025561C" w:rsidP="0025561C">
      <w:pPr>
        <w:tabs>
          <w:tab w:val="left" w:pos="567"/>
        </w:tabs>
        <w:spacing w:line="240" w:lineRule="auto"/>
        <w:rPr>
          <w:sz w:val="20"/>
          <w:szCs w:val="20"/>
        </w:rPr>
      </w:pPr>
    </w:p>
    <w:p w14:paraId="7124749C" w14:textId="2979FBAF" w:rsidR="0025561C" w:rsidRPr="00E3559F" w:rsidRDefault="0025561C" w:rsidP="0025561C">
      <w:pPr>
        <w:tabs>
          <w:tab w:val="left" w:pos="567"/>
        </w:tabs>
        <w:spacing w:line="240" w:lineRule="auto"/>
        <w:ind w:left="720" w:right="720"/>
        <w:rPr>
          <w:sz w:val="18"/>
          <w:szCs w:val="18"/>
        </w:rPr>
      </w:pPr>
      <w:r w:rsidRPr="00E3559F">
        <w:rPr>
          <w:sz w:val="18"/>
          <w:szCs w:val="18"/>
        </w:rPr>
        <w:t>[…]</w:t>
      </w:r>
      <w:r w:rsidR="00215176" w:rsidRPr="00E3559F">
        <w:rPr>
          <w:sz w:val="18"/>
          <w:szCs w:val="18"/>
        </w:rPr>
        <w:t xml:space="preserve"> Desde el ángulo del motivo sustancial de casación, el recurso es </w:t>
      </w:r>
      <w:r w:rsidR="00A27ABA" w:rsidRPr="00E3559F">
        <w:rPr>
          <w:sz w:val="18"/>
          <w:szCs w:val="18"/>
        </w:rPr>
        <w:t>inadmisible</w:t>
      </w:r>
      <w:r w:rsidR="00215176" w:rsidRPr="00E3559F">
        <w:rPr>
          <w:sz w:val="18"/>
          <w:szCs w:val="18"/>
        </w:rPr>
        <w:t xml:space="preserve"> puesto que</w:t>
      </w:r>
      <w:r w:rsidRPr="00E3559F">
        <w:rPr>
          <w:sz w:val="18"/>
          <w:szCs w:val="18"/>
        </w:rPr>
        <w:t xml:space="preserve"> el impugnante se limita a efectuar aserciones dogmáticas en orden a la concepción de la pena y del derecho penal, etiquetando a la sentencia como contraria a aquéllas, sin hacerse cargo de los fundamentos</w:t>
      </w:r>
      <w:r w:rsidR="00584A7C" w:rsidRPr="00E3559F">
        <w:rPr>
          <w:sz w:val="18"/>
          <w:szCs w:val="18"/>
        </w:rPr>
        <w:t>[,]</w:t>
      </w:r>
      <w:r w:rsidRPr="00E3559F">
        <w:rPr>
          <w:sz w:val="18"/>
          <w:szCs w:val="18"/>
        </w:rPr>
        <w:t xml:space="preserve"> los que simplemente transcribe y no vincula concretamente con la errada concepción que le adjudica […] el recurso luce huérfano de las normas en las que encontraría recepción, evidenciando condiciones mínimas de admisibilidad conforme a las expresas exigencias de la ley procesal”</w:t>
      </w:r>
      <w:r w:rsidRPr="00E3559F">
        <w:rPr>
          <w:rStyle w:val="Refdenotaalpie"/>
          <w:sz w:val="18"/>
          <w:szCs w:val="18"/>
        </w:rPr>
        <w:footnoteReference w:id="30"/>
      </w:r>
      <w:r w:rsidRPr="00E3559F">
        <w:rPr>
          <w:sz w:val="18"/>
          <w:szCs w:val="18"/>
        </w:rPr>
        <w:t xml:space="preserve">. </w:t>
      </w:r>
    </w:p>
    <w:p w14:paraId="21E697E8" w14:textId="77777777" w:rsidR="0025561C" w:rsidRPr="00E3559F" w:rsidRDefault="0025561C" w:rsidP="0025561C">
      <w:pPr>
        <w:tabs>
          <w:tab w:val="left" w:pos="567"/>
        </w:tabs>
        <w:spacing w:line="240" w:lineRule="auto"/>
        <w:rPr>
          <w:sz w:val="20"/>
          <w:szCs w:val="20"/>
        </w:rPr>
      </w:pPr>
    </w:p>
    <w:p w14:paraId="29DCE192" w14:textId="4CAD8A16" w:rsidR="001E1004" w:rsidRPr="00E3559F" w:rsidRDefault="001E1004" w:rsidP="002500CE">
      <w:pPr>
        <w:numPr>
          <w:ilvl w:val="0"/>
          <w:numId w:val="1"/>
        </w:numPr>
        <w:tabs>
          <w:tab w:val="left" w:pos="567"/>
          <w:tab w:val="num" w:pos="12305"/>
        </w:tabs>
        <w:spacing w:line="240" w:lineRule="auto"/>
        <w:ind w:left="0" w:firstLine="0"/>
        <w:rPr>
          <w:sz w:val="20"/>
          <w:szCs w:val="20"/>
        </w:rPr>
      </w:pPr>
      <w:r w:rsidRPr="00E3559F">
        <w:rPr>
          <w:sz w:val="20"/>
          <w:szCs w:val="20"/>
        </w:rPr>
        <w:t>Con respecto a la alegada falta de motivación de la pena fijada, la Sala Penal del TSJC indicó que los fundamentos esgrimidos por el recurrente “no guarda</w:t>
      </w:r>
      <w:r w:rsidR="00B0139A">
        <w:rPr>
          <w:sz w:val="20"/>
          <w:szCs w:val="20"/>
        </w:rPr>
        <w:t>[ron]</w:t>
      </w:r>
      <w:r w:rsidRPr="00E3559F">
        <w:rPr>
          <w:sz w:val="20"/>
          <w:szCs w:val="20"/>
        </w:rPr>
        <w:t xml:space="preserve"> concordancia y entre </w:t>
      </w:r>
      <w:r w:rsidR="00A27ABA" w:rsidRPr="00E3559F">
        <w:rPr>
          <w:sz w:val="20"/>
          <w:szCs w:val="20"/>
        </w:rPr>
        <w:t>ellos</w:t>
      </w:r>
      <w:r w:rsidRPr="00E3559F">
        <w:rPr>
          <w:sz w:val="20"/>
          <w:szCs w:val="20"/>
        </w:rPr>
        <w:t xml:space="preserve"> los únicos mínimamente vinculados no han sido desarrollados […], o bien carecen de sustento veraz”</w:t>
      </w:r>
      <w:r w:rsidRPr="00E3559F">
        <w:rPr>
          <w:rStyle w:val="Refdenotaalpie"/>
          <w:sz w:val="20"/>
          <w:szCs w:val="20"/>
        </w:rPr>
        <w:footnoteReference w:id="31"/>
      </w:r>
      <w:r w:rsidRPr="00E3559F">
        <w:rPr>
          <w:sz w:val="20"/>
          <w:szCs w:val="20"/>
        </w:rPr>
        <w:t xml:space="preserve">. </w:t>
      </w:r>
    </w:p>
    <w:p w14:paraId="5BE4D7A5" w14:textId="77777777" w:rsidR="001E1004" w:rsidRPr="00E3559F" w:rsidRDefault="001E1004" w:rsidP="001E1004">
      <w:pPr>
        <w:tabs>
          <w:tab w:val="left" w:pos="567"/>
        </w:tabs>
        <w:spacing w:line="240" w:lineRule="auto"/>
        <w:rPr>
          <w:sz w:val="20"/>
          <w:szCs w:val="20"/>
        </w:rPr>
      </w:pPr>
    </w:p>
    <w:p w14:paraId="0E80DC45" w14:textId="00A101C7" w:rsidR="002500CE" w:rsidRPr="00E3559F" w:rsidRDefault="002500CE" w:rsidP="002500CE">
      <w:pPr>
        <w:numPr>
          <w:ilvl w:val="0"/>
          <w:numId w:val="1"/>
        </w:numPr>
        <w:tabs>
          <w:tab w:val="left" w:pos="567"/>
          <w:tab w:val="num" w:pos="12305"/>
        </w:tabs>
        <w:spacing w:line="240" w:lineRule="auto"/>
        <w:ind w:left="0" w:firstLine="0"/>
        <w:rPr>
          <w:sz w:val="20"/>
          <w:szCs w:val="20"/>
        </w:rPr>
      </w:pPr>
      <w:r w:rsidRPr="00E3559F">
        <w:rPr>
          <w:sz w:val="20"/>
          <w:szCs w:val="20"/>
        </w:rPr>
        <w:t xml:space="preserve">El </w:t>
      </w:r>
      <w:r w:rsidR="008F0650" w:rsidRPr="00E3559F">
        <w:rPr>
          <w:sz w:val="20"/>
          <w:szCs w:val="20"/>
        </w:rPr>
        <w:t>4</w:t>
      </w:r>
      <w:r w:rsidRPr="00E3559F">
        <w:rPr>
          <w:sz w:val="20"/>
          <w:szCs w:val="20"/>
        </w:rPr>
        <w:t xml:space="preserve"> de </w:t>
      </w:r>
      <w:r w:rsidR="008F0650" w:rsidRPr="00E3559F">
        <w:rPr>
          <w:sz w:val="20"/>
          <w:szCs w:val="20"/>
        </w:rPr>
        <w:t>febrero de 1999</w:t>
      </w:r>
      <w:r w:rsidRPr="00E3559F">
        <w:rPr>
          <w:sz w:val="20"/>
          <w:szCs w:val="20"/>
        </w:rPr>
        <w:t xml:space="preserve"> la defensa del señor del Valle Ambrosio interpuso un recurso extraordinario ante la Sala Penal del </w:t>
      </w:r>
      <w:r w:rsidR="00DE51B1" w:rsidRPr="00E3559F">
        <w:rPr>
          <w:sz w:val="20"/>
          <w:szCs w:val="20"/>
        </w:rPr>
        <w:t>TSJC</w:t>
      </w:r>
      <w:r w:rsidR="005C7C0F" w:rsidRPr="00E3559F">
        <w:rPr>
          <w:rStyle w:val="Refdenotaalpie"/>
          <w:sz w:val="20"/>
          <w:szCs w:val="20"/>
        </w:rPr>
        <w:footnoteReference w:id="32"/>
      </w:r>
      <w:r w:rsidR="005C7C0F" w:rsidRPr="00E3559F">
        <w:rPr>
          <w:sz w:val="20"/>
          <w:szCs w:val="20"/>
        </w:rPr>
        <w:t>,</w:t>
      </w:r>
      <w:r w:rsidRPr="00E3559F">
        <w:rPr>
          <w:sz w:val="20"/>
          <w:szCs w:val="20"/>
        </w:rPr>
        <w:t xml:space="preserve"> la cual lo declaró formalmente inadmisible</w:t>
      </w:r>
      <w:r w:rsidR="00B0139A" w:rsidRPr="00B0139A">
        <w:rPr>
          <w:sz w:val="20"/>
          <w:szCs w:val="20"/>
        </w:rPr>
        <w:t xml:space="preserve"> </w:t>
      </w:r>
      <w:r w:rsidR="00B0139A" w:rsidRPr="00E3559F">
        <w:rPr>
          <w:sz w:val="20"/>
          <w:szCs w:val="20"/>
        </w:rPr>
        <w:t>el 16 de junio de 1999</w:t>
      </w:r>
      <w:r w:rsidR="005C7C0F" w:rsidRPr="00E3559F">
        <w:rPr>
          <w:rStyle w:val="Refdenotaalpie"/>
          <w:sz w:val="20"/>
          <w:szCs w:val="20"/>
        </w:rPr>
        <w:footnoteReference w:id="33"/>
      </w:r>
      <w:r w:rsidRPr="00E3559F">
        <w:rPr>
          <w:sz w:val="20"/>
          <w:szCs w:val="20"/>
        </w:rPr>
        <w:t>. El 21 de marzo de 2000 la</w:t>
      </w:r>
      <w:r w:rsidR="00B0139A">
        <w:rPr>
          <w:sz w:val="20"/>
          <w:szCs w:val="20"/>
        </w:rPr>
        <w:t xml:space="preserve"> </w:t>
      </w:r>
      <w:r w:rsidRPr="00E3559F">
        <w:rPr>
          <w:sz w:val="20"/>
          <w:szCs w:val="20"/>
        </w:rPr>
        <w:t>CSJN declaró inadmisible el recurso de queja interpuesto</w:t>
      </w:r>
      <w:r w:rsidR="0030209E" w:rsidRPr="00E3559F">
        <w:rPr>
          <w:sz w:val="20"/>
          <w:szCs w:val="20"/>
        </w:rPr>
        <w:t xml:space="preserve"> por la defensa del señor </w:t>
      </w:r>
      <w:r w:rsidR="005C7C0F" w:rsidRPr="00E3559F">
        <w:rPr>
          <w:sz w:val="20"/>
          <w:szCs w:val="20"/>
        </w:rPr>
        <w:t>d</w:t>
      </w:r>
      <w:r w:rsidR="0030209E" w:rsidRPr="00E3559F">
        <w:rPr>
          <w:sz w:val="20"/>
          <w:szCs w:val="20"/>
        </w:rPr>
        <w:t>el Valle Ambrosio</w:t>
      </w:r>
      <w:r w:rsidRPr="00E3559F">
        <w:rPr>
          <w:rStyle w:val="Refdenotaalpie"/>
          <w:sz w:val="20"/>
          <w:szCs w:val="20"/>
        </w:rPr>
        <w:footnoteReference w:id="34"/>
      </w:r>
      <w:r w:rsidRPr="00E3559F">
        <w:rPr>
          <w:sz w:val="20"/>
          <w:szCs w:val="20"/>
        </w:rPr>
        <w:t>.</w:t>
      </w:r>
    </w:p>
    <w:p w14:paraId="286BA628" w14:textId="5E2B957B" w:rsidR="00CD10C3" w:rsidRPr="00E3559F" w:rsidRDefault="00E835A5" w:rsidP="009018C1">
      <w:pPr>
        <w:pStyle w:val="Ttulo2"/>
      </w:pPr>
      <w:bookmarkStart w:id="26" w:name="_Toc12726727"/>
      <w:bookmarkStart w:id="27" w:name="_Toc46250479"/>
      <w:bookmarkStart w:id="28" w:name="_Toc24447086"/>
      <w:bookmarkStart w:id="29" w:name="_Toc33020816"/>
      <w:r w:rsidRPr="00E3559F">
        <w:t>M</w:t>
      </w:r>
      <w:r w:rsidR="00A176E8" w:rsidRPr="00E3559F">
        <w:t>arco jurídico procesal penal relevante:</w:t>
      </w:r>
      <w:r w:rsidR="00656D6A" w:rsidRPr="00E3559F">
        <w:t xml:space="preserve"> </w:t>
      </w:r>
      <w:r w:rsidR="00F96EDE" w:rsidRPr="00E3559F">
        <w:t>legislación aplicable al caso</w:t>
      </w:r>
      <w:bookmarkEnd w:id="26"/>
      <w:bookmarkEnd w:id="27"/>
    </w:p>
    <w:p w14:paraId="14EA04EC" w14:textId="17821756" w:rsidR="009018C1" w:rsidRPr="00E3559F" w:rsidRDefault="009018C1" w:rsidP="009018C1">
      <w:pPr>
        <w:numPr>
          <w:ilvl w:val="0"/>
          <w:numId w:val="1"/>
        </w:numPr>
        <w:tabs>
          <w:tab w:val="left" w:pos="567"/>
          <w:tab w:val="num" w:pos="12305"/>
        </w:tabs>
        <w:spacing w:line="240" w:lineRule="auto"/>
        <w:ind w:left="0" w:firstLine="0"/>
        <w:rPr>
          <w:sz w:val="20"/>
          <w:szCs w:val="20"/>
        </w:rPr>
      </w:pPr>
      <w:r w:rsidRPr="00E3559F">
        <w:rPr>
          <w:sz w:val="20"/>
          <w:szCs w:val="20"/>
        </w:rPr>
        <w:t xml:space="preserve">El artículo 1 de la Constitución de la Nación Argentina dispone que </w:t>
      </w:r>
      <w:r w:rsidR="0027277A" w:rsidRPr="00E3559F">
        <w:rPr>
          <w:sz w:val="20"/>
          <w:szCs w:val="20"/>
        </w:rPr>
        <w:t xml:space="preserve">su </w:t>
      </w:r>
      <w:r w:rsidRPr="00E3559F">
        <w:rPr>
          <w:sz w:val="20"/>
          <w:szCs w:val="20"/>
        </w:rPr>
        <w:t>gobierno</w:t>
      </w:r>
      <w:r w:rsidR="0027277A" w:rsidRPr="00E3559F">
        <w:rPr>
          <w:sz w:val="20"/>
          <w:szCs w:val="20"/>
        </w:rPr>
        <w:t xml:space="preserve"> adopta</w:t>
      </w:r>
      <w:r w:rsidR="00D12CC0" w:rsidRPr="00E3559F">
        <w:rPr>
          <w:sz w:val="20"/>
          <w:szCs w:val="20"/>
        </w:rPr>
        <w:t xml:space="preserve"> </w:t>
      </w:r>
      <w:r w:rsidR="0027277A" w:rsidRPr="00E3559F">
        <w:rPr>
          <w:sz w:val="20"/>
          <w:szCs w:val="20"/>
        </w:rPr>
        <w:t>“</w:t>
      </w:r>
      <w:r w:rsidRPr="00E3559F">
        <w:rPr>
          <w:sz w:val="20"/>
          <w:szCs w:val="20"/>
        </w:rPr>
        <w:t xml:space="preserve">la forma representativa republicana federal”. Lo anterior implica, </w:t>
      </w:r>
      <w:r w:rsidR="0027277A" w:rsidRPr="00E3559F">
        <w:rPr>
          <w:i/>
          <w:iCs/>
          <w:sz w:val="20"/>
          <w:szCs w:val="20"/>
        </w:rPr>
        <w:t>inter alia</w:t>
      </w:r>
      <w:r w:rsidRPr="00E3559F">
        <w:rPr>
          <w:sz w:val="20"/>
          <w:szCs w:val="20"/>
        </w:rPr>
        <w:t>, que se reserva a cada provincia</w:t>
      </w:r>
      <w:r w:rsidR="00F45929" w:rsidRPr="00E3559F">
        <w:rPr>
          <w:sz w:val="20"/>
          <w:szCs w:val="20"/>
        </w:rPr>
        <w:t xml:space="preserve"> -así como a la Ciudad Autónoma de Buenos Aires- </w:t>
      </w:r>
      <w:r w:rsidRPr="00E3559F">
        <w:rPr>
          <w:sz w:val="20"/>
          <w:szCs w:val="20"/>
        </w:rPr>
        <w:t>la facultad de dictar los códigos de procedimientos penales</w:t>
      </w:r>
      <w:r w:rsidR="00EB542B" w:rsidRPr="00E3559F">
        <w:rPr>
          <w:sz w:val="20"/>
          <w:szCs w:val="20"/>
        </w:rPr>
        <w:t xml:space="preserve"> con respecto a los delitos no federales</w:t>
      </w:r>
      <w:r w:rsidRPr="00E3559F">
        <w:rPr>
          <w:sz w:val="20"/>
          <w:szCs w:val="20"/>
        </w:rPr>
        <w:t>.</w:t>
      </w:r>
    </w:p>
    <w:p w14:paraId="499CAC43" w14:textId="77777777" w:rsidR="009018C1" w:rsidRPr="00E3559F" w:rsidRDefault="009018C1" w:rsidP="009018C1">
      <w:pPr>
        <w:tabs>
          <w:tab w:val="left" w:pos="567"/>
        </w:tabs>
        <w:spacing w:line="240" w:lineRule="auto"/>
        <w:rPr>
          <w:sz w:val="20"/>
          <w:szCs w:val="20"/>
        </w:rPr>
      </w:pPr>
    </w:p>
    <w:p w14:paraId="5517568D" w14:textId="0B168527" w:rsidR="00B35DB1" w:rsidRPr="00E3559F" w:rsidRDefault="009018C1" w:rsidP="00B93276">
      <w:pPr>
        <w:numPr>
          <w:ilvl w:val="0"/>
          <w:numId w:val="1"/>
        </w:numPr>
        <w:tabs>
          <w:tab w:val="left" w:pos="567"/>
          <w:tab w:val="num" w:pos="12305"/>
        </w:tabs>
        <w:spacing w:line="240" w:lineRule="auto"/>
        <w:ind w:left="0" w:firstLine="0"/>
      </w:pPr>
      <w:r w:rsidRPr="00E3559F">
        <w:rPr>
          <w:sz w:val="20"/>
          <w:szCs w:val="20"/>
        </w:rPr>
        <w:t>En lo referente a la provincia de Córdoba, e</w:t>
      </w:r>
      <w:r w:rsidR="00B35DB1" w:rsidRPr="00E3559F">
        <w:rPr>
          <w:sz w:val="20"/>
          <w:szCs w:val="20"/>
        </w:rPr>
        <w:t xml:space="preserve">l artículo 468 </w:t>
      </w:r>
      <w:r w:rsidR="0027277A" w:rsidRPr="00E3559F">
        <w:rPr>
          <w:sz w:val="20"/>
          <w:szCs w:val="20"/>
        </w:rPr>
        <w:t xml:space="preserve">CPPC -esto es, el Código Procesal Penal de la Provincia de Córdoba- </w:t>
      </w:r>
      <w:r w:rsidR="00594285" w:rsidRPr="00E3559F">
        <w:rPr>
          <w:sz w:val="20"/>
          <w:szCs w:val="20"/>
        </w:rPr>
        <w:t>regula</w:t>
      </w:r>
      <w:r w:rsidR="0027277A" w:rsidRPr="00E3559F">
        <w:rPr>
          <w:sz w:val="20"/>
          <w:szCs w:val="20"/>
        </w:rPr>
        <w:t>ba</w:t>
      </w:r>
      <w:r w:rsidR="00B35DB1" w:rsidRPr="00E3559F">
        <w:rPr>
          <w:sz w:val="20"/>
          <w:szCs w:val="20"/>
        </w:rPr>
        <w:t xml:space="preserve"> la procedencia del recurso de casación de la siguiente manera: </w:t>
      </w:r>
    </w:p>
    <w:p w14:paraId="31B10E76" w14:textId="77777777" w:rsidR="00B35DB1" w:rsidRPr="00E3559F" w:rsidRDefault="00B35DB1" w:rsidP="00B35DB1">
      <w:pPr>
        <w:widowControl/>
        <w:adjustRightInd/>
        <w:spacing w:before="100" w:beforeAutospacing="1" w:after="100" w:afterAutospacing="1" w:line="240" w:lineRule="auto"/>
        <w:ind w:left="720" w:right="810"/>
        <w:textAlignment w:val="auto"/>
        <w:rPr>
          <w:sz w:val="18"/>
          <w:szCs w:val="18"/>
          <w:lang w:eastAsia="en-US"/>
        </w:rPr>
      </w:pPr>
      <w:r w:rsidRPr="00E3559F">
        <w:rPr>
          <w:sz w:val="18"/>
          <w:szCs w:val="18"/>
          <w:lang w:eastAsia="en-US"/>
        </w:rPr>
        <w:t>Artículo 468.- Motivos. El recurso de casación podrá ser interpuesto por los siguientes motivos:</w:t>
      </w:r>
    </w:p>
    <w:p w14:paraId="359144E3" w14:textId="77777777" w:rsidR="00B35DB1" w:rsidRPr="00E3559F" w:rsidRDefault="00B35DB1" w:rsidP="00B35DB1">
      <w:pPr>
        <w:widowControl/>
        <w:adjustRightInd/>
        <w:spacing w:before="100" w:beforeAutospacing="1" w:after="100" w:afterAutospacing="1" w:line="240" w:lineRule="auto"/>
        <w:ind w:left="720" w:right="720"/>
        <w:textAlignment w:val="auto"/>
        <w:rPr>
          <w:sz w:val="18"/>
          <w:szCs w:val="18"/>
          <w:lang w:eastAsia="en-US"/>
        </w:rPr>
      </w:pPr>
      <w:r w:rsidRPr="00E3559F">
        <w:rPr>
          <w:sz w:val="18"/>
          <w:szCs w:val="18"/>
          <w:lang w:eastAsia="en-US"/>
        </w:rPr>
        <w:t xml:space="preserve">1) Inobservancia o errónea aplicación de la Ley sustantiva. </w:t>
      </w:r>
    </w:p>
    <w:p w14:paraId="708489B9" w14:textId="210C8771" w:rsidR="00B35DB1" w:rsidRPr="00E3559F" w:rsidRDefault="00B35DB1" w:rsidP="00B35DB1">
      <w:pPr>
        <w:widowControl/>
        <w:adjustRightInd/>
        <w:spacing w:before="100" w:beforeAutospacing="1" w:after="100" w:afterAutospacing="1" w:line="240" w:lineRule="auto"/>
        <w:ind w:left="720" w:right="720"/>
        <w:textAlignment w:val="auto"/>
        <w:rPr>
          <w:sz w:val="18"/>
          <w:szCs w:val="18"/>
          <w:lang w:eastAsia="en-US"/>
        </w:rPr>
      </w:pPr>
      <w:r w:rsidRPr="00E3559F">
        <w:rPr>
          <w:sz w:val="18"/>
          <w:szCs w:val="18"/>
          <w:lang w:eastAsia="en-US"/>
        </w:rPr>
        <w:t xml:space="preserve">2) Inobservancia de las normas que este Código establece bajo pena de inadmisibilidad, caducidad o nulidad, siempre que, con excepción de los casos de nulidad absoluta (186 segunda </w:t>
      </w:r>
      <w:r w:rsidRPr="00E3559F">
        <w:rPr>
          <w:sz w:val="18"/>
          <w:szCs w:val="18"/>
          <w:lang w:eastAsia="en-US"/>
        </w:rPr>
        <w:lastRenderedPageBreak/>
        <w:t>parte), el recurrente hubiera reclamado oportunamente la subsanación del defecto, si era posible, o hubiera hecho protesta de recurrir en casación.</w:t>
      </w:r>
    </w:p>
    <w:p w14:paraId="4CEC9C2D" w14:textId="6E963314" w:rsidR="00B35DB1" w:rsidRPr="00E3559F" w:rsidRDefault="00B35DB1" w:rsidP="00B93276">
      <w:pPr>
        <w:numPr>
          <w:ilvl w:val="0"/>
          <w:numId w:val="1"/>
        </w:numPr>
        <w:tabs>
          <w:tab w:val="left" w:pos="567"/>
          <w:tab w:val="num" w:pos="12305"/>
        </w:tabs>
        <w:spacing w:line="240" w:lineRule="auto"/>
        <w:ind w:left="0" w:firstLine="0"/>
        <w:rPr>
          <w:sz w:val="20"/>
          <w:szCs w:val="20"/>
        </w:rPr>
      </w:pPr>
      <w:r w:rsidRPr="00E3559F">
        <w:rPr>
          <w:sz w:val="20"/>
          <w:szCs w:val="20"/>
        </w:rPr>
        <w:t>Asim</w:t>
      </w:r>
      <w:r w:rsidR="00594285" w:rsidRPr="00E3559F">
        <w:rPr>
          <w:sz w:val="20"/>
          <w:szCs w:val="20"/>
        </w:rPr>
        <w:t>ismo, el artículo 474 del CPPC</w:t>
      </w:r>
      <w:r w:rsidR="005654E5" w:rsidRPr="00E3559F">
        <w:rPr>
          <w:sz w:val="20"/>
          <w:szCs w:val="20"/>
        </w:rPr>
        <w:t xml:space="preserve"> </w:t>
      </w:r>
      <w:r w:rsidR="00594285" w:rsidRPr="00E3559F">
        <w:rPr>
          <w:sz w:val="20"/>
          <w:szCs w:val="20"/>
        </w:rPr>
        <w:t>r</w:t>
      </w:r>
      <w:r w:rsidRPr="00E3559F">
        <w:rPr>
          <w:sz w:val="20"/>
          <w:szCs w:val="20"/>
        </w:rPr>
        <w:t>egula</w:t>
      </w:r>
      <w:r w:rsidR="0027277A" w:rsidRPr="00E3559F">
        <w:rPr>
          <w:sz w:val="20"/>
          <w:szCs w:val="20"/>
        </w:rPr>
        <w:t>ba</w:t>
      </w:r>
      <w:r w:rsidRPr="00E3559F">
        <w:rPr>
          <w:sz w:val="20"/>
          <w:szCs w:val="20"/>
        </w:rPr>
        <w:t xml:space="preserve"> la forma en la que el recurso de casación </w:t>
      </w:r>
      <w:r w:rsidR="00594285" w:rsidRPr="00E3559F">
        <w:rPr>
          <w:sz w:val="20"/>
          <w:szCs w:val="20"/>
        </w:rPr>
        <w:t>puede</w:t>
      </w:r>
      <w:r w:rsidRPr="00E3559F">
        <w:rPr>
          <w:sz w:val="20"/>
          <w:szCs w:val="20"/>
        </w:rPr>
        <w:t xml:space="preserve"> ser interpuesto: </w:t>
      </w:r>
    </w:p>
    <w:p w14:paraId="3ECE6381" w14:textId="66F169FD" w:rsidR="00B35DB1" w:rsidRPr="00E3559F" w:rsidRDefault="00B35DB1" w:rsidP="00B35DB1">
      <w:pPr>
        <w:widowControl/>
        <w:adjustRightInd/>
        <w:spacing w:before="100" w:beforeAutospacing="1" w:after="100" w:afterAutospacing="1" w:line="240" w:lineRule="auto"/>
        <w:ind w:left="720" w:right="720"/>
        <w:textAlignment w:val="auto"/>
        <w:rPr>
          <w:sz w:val="18"/>
          <w:szCs w:val="18"/>
          <w:lang w:eastAsia="en-US"/>
        </w:rPr>
      </w:pPr>
      <w:r w:rsidRPr="00E3559F">
        <w:rPr>
          <w:sz w:val="18"/>
          <w:szCs w:val="18"/>
          <w:lang w:eastAsia="en-US"/>
        </w:rPr>
        <w:t>Artículo 474.- Interposición. El recurso de casación será interpuesto ante el Tribunal que dictó la resolución, en el plazo de quince días de notificada y por escrito con firma de letrado, donde se citarán concretamente las disposiciones legales que se consideren violadas o erróneamente aplicadas y se expresará cual es la aplicación que se pretende.</w:t>
      </w:r>
    </w:p>
    <w:p w14:paraId="0ECC2734" w14:textId="77777777" w:rsidR="00B35DB1" w:rsidRPr="00E3559F" w:rsidRDefault="00B35DB1" w:rsidP="00B35DB1">
      <w:pPr>
        <w:widowControl/>
        <w:adjustRightInd/>
        <w:spacing w:before="100" w:beforeAutospacing="1" w:after="100" w:afterAutospacing="1" w:line="240" w:lineRule="auto"/>
        <w:ind w:left="720" w:right="720"/>
        <w:textAlignment w:val="auto"/>
        <w:rPr>
          <w:sz w:val="18"/>
          <w:szCs w:val="18"/>
          <w:lang w:eastAsia="en-US"/>
        </w:rPr>
      </w:pPr>
      <w:r w:rsidRPr="00E3559F">
        <w:rPr>
          <w:sz w:val="18"/>
          <w:szCs w:val="18"/>
          <w:lang w:eastAsia="en-US"/>
        </w:rPr>
        <w:t>Deberá indicarse separadamente cada motivo con sus fundamentos.</w:t>
      </w:r>
    </w:p>
    <w:p w14:paraId="4908B97A" w14:textId="77777777" w:rsidR="00B35DB1" w:rsidRPr="00E3559F" w:rsidRDefault="00B35DB1" w:rsidP="00B35DB1">
      <w:pPr>
        <w:widowControl/>
        <w:adjustRightInd/>
        <w:spacing w:before="100" w:beforeAutospacing="1" w:after="100" w:afterAutospacing="1" w:line="240" w:lineRule="auto"/>
        <w:ind w:left="720" w:right="720"/>
        <w:textAlignment w:val="auto"/>
        <w:rPr>
          <w:sz w:val="18"/>
          <w:szCs w:val="18"/>
          <w:lang w:eastAsia="en-US"/>
        </w:rPr>
      </w:pPr>
      <w:r w:rsidRPr="00E3559F">
        <w:rPr>
          <w:sz w:val="18"/>
          <w:szCs w:val="18"/>
          <w:lang w:eastAsia="en-US"/>
        </w:rPr>
        <w:t>Fuera de esta oportunidad no podrá aducirse ningún otro motivo.</w:t>
      </w:r>
    </w:p>
    <w:p w14:paraId="6EC05103" w14:textId="77777777" w:rsidR="00B35DB1" w:rsidRPr="00E3559F" w:rsidRDefault="00B35DB1" w:rsidP="00B35DB1">
      <w:pPr>
        <w:widowControl/>
        <w:adjustRightInd/>
        <w:spacing w:before="100" w:beforeAutospacing="1" w:after="100" w:afterAutospacing="1" w:line="240" w:lineRule="auto"/>
        <w:ind w:left="720" w:right="720"/>
        <w:textAlignment w:val="auto"/>
        <w:rPr>
          <w:sz w:val="18"/>
          <w:szCs w:val="18"/>
          <w:lang w:eastAsia="en-US"/>
        </w:rPr>
      </w:pPr>
      <w:r w:rsidRPr="00E3559F">
        <w:rPr>
          <w:sz w:val="18"/>
          <w:szCs w:val="18"/>
          <w:lang w:eastAsia="en-US"/>
        </w:rPr>
        <w:t>El recurrente deberá manifestar si informará oralmente.</w:t>
      </w:r>
    </w:p>
    <w:p w14:paraId="5ABEE1C6" w14:textId="72D3EE93" w:rsidR="00A176E8" w:rsidRPr="00E3559F" w:rsidRDefault="00B35DB1" w:rsidP="00A7558E">
      <w:pPr>
        <w:numPr>
          <w:ilvl w:val="0"/>
          <w:numId w:val="1"/>
        </w:numPr>
        <w:tabs>
          <w:tab w:val="left" w:pos="567"/>
          <w:tab w:val="num" w:pos="12305"/>
        </w:tabs>
        <w:spacing w:line="240" w:lineRule="auto"/>
        <w:ind w:left="0" w:firstLine="0"/>
        <w:rPr>
          <w:sz w:val="20"/>
          <w:szCs w:val="20"/>
        </w:rPr>
      </w:pPr>
      <w:r w:rsidRPr="00E3559F">
        <w:rPr>
          <w:sz w:val="20"/>
          <w:szCs w:val="20"/>
        </w:rPr>
        <w:t>Por otro lado, el artículo 455 del citado CPPC regula</w:t>
      </w:r>
      <w:r w:rsidR="0027277A" w:rsidRPr="00E3559F">
        <w:rPr>
          <w:sz w:val="20"/>
          <w:szCs w:val="20"/>
        </w:rPr>
        <w:t>ba</w:t>
      </w:r>
      <w:r w:rsidRPr="00E3559F">
        <w:rPr>
          <w:sz w:val="20"/>
          <w:szCs w:val="20"/>
        </w:rPr>
        <w:t xml:space="preserve"> los motivos por los cuales un recurso de casación podía ser declarado inadmisible o rechazado, indicando que dicho recurso no sería “concedido por el Tribunal que dictó la resolución impugnada, cuando ésta fuera irrecurrible, o aquél no fuere interpuesto en tiempo”</w:t>
      </w:r>
      <w:r w:rsidRPr="00E3559F">
        <w:rPr>
          <w:rStyle w:val="Refdenotaalpie"/>
          <w:sz w:val="20"/>
          <w:szCs w:val="20"/>
        </w:rPr>
        <w:footnoteReference w:id="35"/>
      </w:r>
      <w:r w:rsidRPr="00E3559F">
        <w:rPr>
          <w:sz w:val="20"/>
          <w:szCs w:val="20"/>
        </w:rPr>
        <w:t>. Dicho artículo también dispon</w:t>
      </w:r>
      <w:r w:rsidR="0027277A" w:rsidRPr="00E3559F">
        <w:rPr>
          <w:sz w:val="20"/>
          <w:szCs w:val="20"/>
        </w:rPr>
        <w:t>ía</w:t>
      </w:r>
      <w:r w:rsidR="00594285" w:rsidRPr="00E3559F">
        <w:rPr>
          <w:sz w:val="20"/>
          <w:szCs w:val="20"/>
        </w:rPr>
        <w:t xml:space="preserve"> </w:t>
      </w:r>
      <w:r w:rsidRPr="00E3559F">
        <w:rPr>
          <w:sz w:val="20"/>
          <w:szCs w:val="20"/>
        </w:rPr>
        <w:t xml:space="preserve">que “si el recurso fuere inadmisible el Tribunal de Alzada deberá declararlo así sin pronunciarse sobre el fondo” y que también </w:t>
      </w:r>
      <w:r w:rsidR="00594285" w:rsidRPr="00E3559F">
        <w:rPr>
          <w:sz w:val="20"/>
          <w:szCs w:val="20"/>
        </w:rPr>
        <w:t>será</w:t>
      </w:r>
      <w:r w:rsidRPr="00E3559F">
        <w:rPr>
          <w:sz w:val="20"/>
          <w:szCs w:val="20"/>
        </w:rPr>
        <w:t xml:space="preserve"> rechazado “cuando fuera evidente que es sustancialmente improcedente”</w:t>
      </w:r>
      <w:r w:rsidRPr="00E3559F">
        <w:rPr>
          <w:rStyle w:val="Refdenotaalpie"/>
          <w:sz w:val="20"/>
          <w:szCs w:val="20"/>
        </w:rPr>
        <w:footnoteReference w:id="36"/>
      </w:r>
      <w:r w:rsidRPr="00E3559F">
        <w:rPr>
          <w:sz w:val="20"/>
          <w:szCs w:val="20"/>
        </w:rPr>
        <w:t>.</w:t>
      </w:r>
      <w:bookmarkEnd w:id="28"/>
      <w:bookmarkEnd w:id="29"/>
    </w:p>
    <w:p w14:paraId="1F40F8FA" w14:textId="62E3D404" w:rsidR="00A176E8" w:rsidRPr="00E3559F" w:rsidRDefault="00AE045D" w:rsidP="00A95B06">
      <w:pPr>
        <w:pStyle w:val="Ttulo1"/>
      </w:pPr>
      <w:bookmarkStart w:id="30" w:name="_Toc24447087"/>
      <w:bookmarkStart w:id="31" w:name="_Toc33020817"/>
      <w:bookmarkStart w:id="32" w:name="_Toc46250480"/>
      <w:r w:rsidRPr="00E3559F">
        <w:t>VI</w:t>
      </w:r>
      <w:r w:rsidRPr="00E3559F">
        <w:br/>
      </w:r>
      <w:r w:rsidR="00DB3882" w:rsidRPr="00E3559F">
        <w:t>FONDO</w:t>
      </w:r>
      <w:r w:rsidR="00DB3882" w:rsidRPr="00E3559F">
        <w:br/>
      </w:r>
      <w:r w:rsidR="00A176E8" w:rsidRPr="00E3559F">
        <w:t xml:space="preserve">DERECHO </w:t>
      </w:r>
      <w:bookmarkEnd w:id="30"/>
      <w:bookmarkEnd w:id="31"/>
      <w:r w:rsidR="00FB4BC0" w:rsidRPr="00E3559F">
        <w:t>A RECURRIR EL FALLO ANTE JUEZ O TRIBUNAL SUPERIOR Y DERECHO A LA PROTECCIÓN JUDICIAL</w:t>
      </w:r>
      <w:r w:rsidR="00C16A56" w:rsidRPr="00E3559F">
        <w:t>, ASÍ COMO EL DEBER DE ADOPTAR disposiciones de derecho interno</w:t>
      </w:r>
      <w:r w:rsidR="00ED5E7C" w:rsidRPr="00E3559F">
        <w:rPr>
          <w:rStyle w:val="Refdenotaalpie"/>
        </w:rPr>
        <w:footnoteReference w:id="37"/>
      </w:r>
      <w:bookmarkEnd w:id="32"/>
    </w:p>
    <w:p w14:paraId="71EA379A" w14:textId="4FF3D619" w:rsidR="00AF2ECA" w:rsidRPr="00E3559F" w:rsidRDefault="00AF2ECA" w:rsidP="00AF2ECA"/>
    <w:p w14:paraId="0D111D69" w14:textId="5A90F142" w:rsidR="00617CED" w:rsidRPr="00E3559F" w:rsidRDefault="00AF2ECA" w:rsidP="00B913F7">
      <w:pPr>
        <w:widowControl/>
        <w:numPr>
          <w:ilvl w:val="0"/>
          <w:numId w:val="1"/>
        </w:numPr>
        <w:tabs>
          <w:tab w:val="left" w:pos="567"/>
          <w:tab w:val="num" w:pos="1569"/>
          <w:tab w:val="num" w:pos="12305"/>
        </w:tabs>
        <w:autoSpaceDE w:val="0"/>
        <w:autoSpaceDN w:val="0"/>
        <w:spacing w:line="240" w:lineRule="auto"/>
        <w:ind w:left="0" w:firstLine="0"/>
        <w:textAlignment w:val="auto"/>
      </w:pPr>
      <w:r w:rsidRPr="00E3559F">
        <w:rPr>
          <w:sz w:val="20"/>
          <w:szCs w:val="20"/>
        </w:rPr>
        <w:t xml:space="preserve">El Tribunal advierte que la controversia en este caso se centra en si el Estado es responsable por la violación al derecho a recurrir el fallo ante juez o tribunal superior y al de un recurso judicial efectivo, como resultado de la respuesta de los tribunales internos a los recursos intentados por la defensa de los señores del Valle Ambrosio y Domínguez Linares </w:t>
      </w:r>
      <w:r w:rsidR="001B6DD9">
        <w:rPr>
          <w:sz w:val="20"/>
          <w:szCs w:val="20"/>
        </w:rPr>
        <w:t>contra</w:t>
      </w:r>
      <w:r w:rsidRPr="00E3559F">
        <w:rPr>
          <w:sz w:val="20"/>
          <w:szCs w:val="20"/>
        </w:rPr>
        <w:t xml:space="preserve"> su sentencia condenatoria. Adicionalmente, corresponde al Tribunal pronunciarse sobre si la legislación y prácticas en la provincia de Córdoba respecto a la casación constituyeron una violación al artículo 2 de la Convención. En razón de lo anterior, la Corte evaluará si </w:t>
      </w:r>
      <w:r w:rsidR="001B6DD9" w:rsidRPr="00E3559F">
        <w:rPr>
          <w:sz w:val="20"/>
          <w:szCs w:val="20"/>
        </w:rPr>
        <w:t>la respuesta de los tribunales internos a los recursos interpuestos por la defensa de los señores del Val</w:t>
      </w:r>
      <w:r w:rsidR="001B6DD9">
        <w:rPr>
          <w:sz w:val="20"/>
          <w:szCs w:val="20"/>
        </w:rPr>
        <w:t xml:space="preserve">le Ambrosio y Domínguez Linares, así como </w:t>
      </w:r>
      <w:r w:rsidR="00B913F7" w:rsidRPr="00E3559F">
        <w:rPr>
          <w:sz w:val="20"/>
          <w:szCs w:val="20"/>
        </w:rPr>
        <w:t xml:space="preserve">el marco jurídico que regulaba la casación en la época de los hechos, </w:t>
      </w:r>
      <w:r w:rsidRPr="00E3559F">
        <w:rPr>
          <w:sz w:val="20"/>
          <w:szCs w:val="20"/>
        </w:rPr>
        <w:t xml:space="preserve">cumplieron con las obligaciones del Estado previstas en los artículos 8.2.h y 25.1 de la Convención en relación con </w:t>
      </w:r>
      <w:r w:rsidR="00B913F7" w:rsidRPr="00E3559F">
        <w:rPr>
          <w:sz w:val="20"/>
          <w:szCs w:val="20"/>
        </w:rPr>
        <w:t xml:space="preserve">los </w:t>
      </w:r>
      <w:r w:rsidRPr="00E3559F">
        <w:rPr>
          <w:sz w:val="20"/>
          <w:szCs w:val="20"/>
        </w:rPr>
        <w:t>artículo</w:t>
      </w:r>
      <w:r w:rsidR="00B913F7" w:rsidRPr="00E3559F">
        <w:rPr>
          <w:sz w:val="20"/>
          <w:szCs w:val="20"/>
        </w:rPr>
        <w:t>s</w:t>
      </w:r>
      <w:r w:rsidRPr="00E3559F">
        <w:rPr>
          <w:sz w:val="20"/>
          <w:szCs w:val="20"/>
        </w:rPr>
        <w:t xml:space="preserve"> 1.1</w:t>
      </w:r>
      <w:r w:rsidR="00B913F7" w:rsidRPr="00E3559F">
        <w:rPr>
          <w:sz w:val="20"/>
          <w:szCs w:val="20"/>
        </w:rPr>
        <w:t xml:space="preserve"> y 2</w:t>
      </w:r>
      <w:r w:rsidRPr="00E3559F">
        <w:rPr>
          <w:sz w:val="20"/>
          <w:szCs w:val="20"/>
        </w:rPr>
        <w:t xml:space="preserve"> del mismo instrumento</w:t>
      </w:r>
      <w:r w:rsidR="00B913F7" w:rsidRPr="00E3559F">
        <w:rPr>
          <w:sz w:val="20"/>
          <w:szCs w:val="20"/>
        </w:rPr>
        <w:t>.</w:t>
      </w:r>
      <w:r w:rsidR="00026DF3" w:rsidRPr="00E3559F">
        <w:rPr>
          <w:sz w:val="20"/>
          <w:szCs w:val="20"/>
        </w:rPr>
        <w:t xml:space="preserve"> </w:t>
      </w:r>
    </w:p>
    <w:p w14:paraId="7009A395" w14:textId="77777777" w:rsidR="00617CED" w:rsidRPr="00E3559F" w:rsidRDefault="00617CED" w:rsidP="00617CED">
      <w:pPr>
        <w:widowControl/>
        <w:tabs>
          <w:tab w:val="left" w:pos="567"/>
        </w:tabs>
        <w:autoSpaceDE w:val="0"/>
        <w:autoSpaceDN w:val="0"/>
        <w:spacing w:line="240" w:lineRule="auto"/>
        <w:textAlignment w:val="auto"/>
      </w:pPr>
    </w:p>
    <w:p w14:paraId="58695024" w14:textId="20C296A6" w:rsidR="00AF2ECA" w:rsidRPr="00E3559F" w:rsidRDefault="00026DF3" w:rsidP="00B913F7">
      <w:pPr>
        <w:widowControl/>
        <w:numPr>
          <w:ilvl w:val="0"/>
          <w:numId w:val="1"/>
        </w:numPr>
        <w:tabs>
          <w:tab w:val="left" w:pos="567"/>
          <w:tab w:val="num" w:pos="1569"/>
          <w:tab w:val="num" w:pos="12305"/>
        </w:tabs>
        <w:autoSpaceDE w:val="0"/>
        <w:autoSpaceDN w:val="0"/>
        <w:spacing w:line="240" w:lineRule="auto"/>
        <w:ind w:left="0" w:firstLine="0"/>
        <w:textAlignment w:val="auto"/>
      </w:pPr>
      <w:r w:rsidRPr="00E3559F">
        <w:rPr>
          <w:sz w:val="20"/>
          <w:szCs w:val="20"/>
        </w:rPr>
        <w:t xml:space="preserve">Por último, esta Corte hace notar que no se pronunciará respecto a las violaciones </w:t>
      </w:r>
      <w:r w:rsidR="00B343DA" w:rsidRPr="00E3559F">
        <w:rPr>
          <w:sz w:val="20"/>
          <w:szCs w:val="20"/>
        </w:rPr>
        <w:t xml:space="preserve">adicionales </w:t>
      </w:r>
      <w:r w:rsidRPr="00E3559F">
        <w:rPr>
          <w:sz w:val="20"/>
          <w:szCs w:val="20"/>
        </w:rPr>
        <w:t xml:space="preserve">alegadas por los representantes </w:t>
      </w:r>
      <w:r w:rsidR="00B343DA" w:rsidRPr="00E3559F">
        <w:rPr>
          <w:sz w:val="20"/>
          <w:szCs w:val="20"/>
        </w:rPr>
        <w:t>en sus alegatos finales escritos</w:t>
      </w:r>
      <w:r w:rsidR="00617CED" w:rsidRPr="00E3559F">
        <w:rPr>
          <w:sz w:val="20"/>
          <w:szCs w:val="20"/>
        </w:rPr>
        <w:t xml:space="preserve">, toda vez </w:t>
      </w:r>
      <w:r w:rsidRPr="00E3559F">
        <w:rPr>
          <w:sz w:val="20"/>
          <w:szCs w:val="20"/>
        </w:rPr>
        <w:t xml:space="preserve">que fueron presentadas de manera extemporánea. </w:t>
      </w:r>
    </w:p>
    <w:p w14:paraId="639EC4FF" w14:textId="5144E032" w:rsidR="00ED5E7C" w:rsidRPr="00E3559F" w:rsidRDefault="00ED5E7C" w:rsidP="006B4DD6">
      <w:pPr>
        <w:pStyle w:val="Ttulo2"/>
        <w:numPr>
          <w:ilvl w:val="0"/>
          <w:numId w:val="10"/>
        </w:numPr>
      </w:pPr>
      <w:bookmarkStart w:id="33" w:name="_Toc46250481"/>
      <w:r w:rsidRPr="00E3559F">
        <w:lastRenderedPageBreak/>
        <w:t>Argumentos de las partes y de la Comisión</w:t>
      </w:r>
      <w:bookmarkEnd w:id="33"/>
      <w:r w:rsidR="00603092" w:rsidRPr="00E3559F">
        <w:t xml:space="preserve"> </w:t>
      </w:r>
    </w:p>
    <w:p w14:paraId="5A3BD520" w14:textId="0827E592" w:rsidR="0018080F" w:rsidRPr="00E3559F" w:rsidRDefault="00ED5E7C" w:rsidP="00ED5E7C">
      <w:pPr>
        <w:numPr>
          <w:ilvl w:val="0"/>
          <w:numId w:val="1"/>
        </w:numPr>
        <w:tabs>
          <w:tab w:val="left" w:pos="567"/>
          <w:tab w:val="num" w:pos="1569"/>
          <w:tab w:val="num" w:pos="12305"/>
        </w:tabs>
        <w:spacing w:line="240" w:lineRule="auto"/>
        <w:ind w:left="0" w:firstLine="0"/>
        <w:rPr>
          <w:sz w:val="20"/>
          <w:szCs w:val="20"/>
        </w:rPr>
      </w:pPr>
      <w:r w:rsidRPr="00E3559F">
        <w:rPr>
          <w:sz w:val="20"/>
          <w:szCs w:val="20"/>
        </w:rPr>
        <w:t xml:space="preserve">La </w:t>
      </w:r>
      <w:r w:rsidRPr="00E3559F">
        <w:rPr>
          <w:b/>
          <w:i/>
          <w:sz w:val="20"/>
          <w:szCs w:val="20"/>
        </w:rPr>
        <w:t>Comisión</w:t>
      </w:r>
      <w:r w:rsidR="00B76446" w:rsidRPr="00E3559F">
        <w:rPr>
          <w:b/>
          <w:i/>
          <w:sz w:val="20"/>
          <w:szCs w:val="20"/>
        </w:rPr>
        <w:t xml:space="preserve"> </w:t>
      </w:r>
      <w:r w:rsidR="00B76446" w:rsidRPr="00E3559F">
        <w:rPr>
          <w:sz w:val="20"/>
          <w:szCs w:val="20"/>
        </w:rPr>
        <w:t>señaló primeramente</w:t>
      </w:r>
      <w:r w:rsidR="00B76446" w:rsidRPr="00E3559F">
        <w:rPr>
          <w:b/>
          <w:i/>
          <w:sz w:val="20"/>
          <w:szCs w:val="20"/>
        </w:rPr>
        <w:t xml:space="preserve"> </w:t>
      </w:r>
      <w:r w:rsidR="00B76446" w:rsidRPr="00E3559F">
        <w:rPr>
          <w:sz w:val="20"/>
          <w:szCs w:val="20"/>
        </w:rPr>
        <w:t>que</w:t>
      </w:r>
      <w:r w:rsidR="00B76446" w:rsidRPr="00E3559F">
        <w:rPr>
          <w:b/>
          <w:i/>
          <w:sz w:val="20"/>
          <w:szCs w:val="20"/>
        </w:rPr>
        <w:t xml:space="preserve"> </w:t>
      </w:r>
      <w:r w:rsidR="00B76446" w:rsidRPr="00E3559F">
        <w:rPr>
          <w:sz w:val="20"/>
          <w:szCs w:val="20"/>
        </w:rPr>
        <w:t xml:space="preserve">el artículo </w:t>
      </w:r>
      <w:r w:rsidR="0018080F" w:rsidRPr="00E3559F">
        <w:rPr>
          <w:sz w:val="20"/>
          <w:szCs w:val="20"/>
        </w:rPr>
        <w:t>4</w:t>
      </w:r>
      <w:r w:rsidR="00652CD7" w:rsidRPr="00E3559F">
        <w:rPr>
          <w:sz w:val="20"/>
          <w:szCs w:val="20"/>
        </w:rPr>
        <w:t>6</w:t>
      </w:r>
      <w:r w:rsidR="0018080F" w:rsidRPr="00E3559F">
        <w:rPr>
          <w:sz w:val="20"/>
          <w:szCs w:val="20"/>
        </w:rPr>
        <w:t xml:space="preserve">8 del CPPC contenía una regulación que limitaba el recurso de casación a errores de derecho tanto sustantivo como procesal. Según la Comisión, </w:t>
      </w:r>
      <w:r w:rsidR="00652CD7" w:rsidRPr="00E3559F">
        <w:rPr>
          <w:sz w:val="20"/>
          <w:szCs w:val="20"/>
        </w:rPr>
        <w:t>esto</w:t>
      </w:r>
      <w:r w:rsidR="0018080F" w:rsidRPr="00E3559F">
        <w:rPr>
          <w:sz w:val="20"/>
          <w:szCs w:val="20"/>
        </w:rPr>
        <w:t xml:space="preserve"> dio lugar a una práctica judicial consistente en interpretar restrictivamente el marco legal que regula el recurso de casación, de forma tal que quedaban excluidos de la revisión cuestiones de hecho o de valoración probatoria. Dicha práctica había sido reconocida por la CSJN y resulta</w:t>
      </w:r>
      <w:r w:rsidR="00652CD7" w:rsidRPr="00E3559F">
        <w:rPr>
          <w:sz w:val="20"/>
          <w:szCs w:val="20"/>
        </w:rPr>
        <w:t>ba</w:t>
      </w:r>
      <w:r w:rsidR="0018080F" w:rsidRPr="00E3559F">
        <w:rPr>
          <w:sz w:val="20"/>
          <w:szCs w:val="20"/>
        </w:rPr>
        <w:t xml:space="preserve"> aplicable al presente caso por la coincidencia en la regulación del recurso de casación en el ámbito federal y en la </w:t>
      </w:r>
      <w:r w:rsidR="00B0139A">
        <w:rPr>
          <w:sz w:val="20"/>
          <w:szCs w:val="20"/>
        </w:rPr>
        <w:t>p</w:t>
      </w:r>
      <w:r w:rsidR="0018080F" w:rsidRPr="00E3559F">
        <w:rPr>
          <w:sz w:val="20"/>
          <w:szCs w:val="20"/>
        </w:rPr>
        <w:t xml:space="preserve">rovincia de Córdoba, así como en otras provincias. </w:t>
      </w:r>
    </w:p>
    <w:p w14:paraId="12291720" w14:textId="77777777" w:rsidR="0018080F" w:rsidRPr="00E3559F" w:rsidRDefault="0018080F" w:rsidP="0018080F">
      <w:pPr>
        <w:tabs>
          <w:tab w:val="left" w:pos="567"/>
        </w:tabs>
        <w:spacing w:line="240" w:lineRule="auto"/>
        <w:rPr>
          <w:sz w:val="20"/>
          <w:szCs w:val="20"/>
        </w:rPr>
      </w:pPr>
    </w:p>
    <w:p w14:paraId="42EDC480" w14:textId="7B573CB1" w:rsidR="001044F0" w:rsidRPr="00E3559F" w:rsidRDefault="0018080F" w:rsidP="000B5E3C">
      <w:pPr>
        <w:numPr>
          <w:ilvl w:val="0"/>
          <w:numId w:val="1"/>
        </w:numPr>
        <w:tabs>
          <w:tab w:val="left" w:pos="567"/>
          <w:tab w:val="num" w:pos="1569"/>
          <w:tab w:val="num" w:pos="12305"/>
        </w:tabs>
        <w:spacing w:line="240" w:lineRule="auto"/>
        <w:ind w:left="0" w:firstLine="0"/>
        <w:rPr>
          <w:sz w:val="20"/>
          <w:szCs w:val="20"/>
        </w:rPr>
      </w:pPr>
      <w:r w:rsidRPr="00E3559F">
        <w:rPr>
          <w:sz w:val="20"/>
          <w:szCs w:val="20"/>
        </w:rPr>
        <w:t xml:space="preserve">Añadió que el alcance limitado del recurso de casación se vio reflejado en la manera en que fueron resueltos los recursos en el caso concreto, los cuales fueron declarados inadmisibles en lo formal, en aplicación del artículo 455 del CPPC, según el cual la declaratoria de inadmisibilidad implicaba que no se efectuara un pronunciamiento sobre el fondo. Indicó que la decisión de los recursos de casación incluyó motivaciones que pusieron en evidencia que el rechazo de los recursos se debió a la práctica judicial de interpretación restrictiva de la regulación del recurso de casación. </w:t>
      </w:r>
      <w:r w:rsidR="000B5E3C" w:rsidRPr="00E3559F">
        <w:rPr>
          <w:sz w:val="20"/>
          <w:szCs w:val="20"/>
        </w:rPr>
        <w:t xml:space="preserve">En sus observaciones finales escritas, la Comisión destacó que los señores del Valle Ambrosio y </w:t>
      </w:r>
      <w:r w:rsidR="00A27ABA" w:rsidRPr="00E3559F">
        <w:rPr>
          <w:sz w:val="20"/>
          <w:szCs w:val="20"/>
        </w:rPr>
        <w:t>Domínguez</w:t>
      </w:r>
      <w:r w:rsidR="000B5E3C" w:rsidRPr="00E3559F">
        <w:rPr>
          <w:sz w:val="20"/>
          <w:szCs w:val="20"/>
        </w:rPr>
        <w:t xml:space="preserve"> Linares accedieron a la etapa recursiva con una limitación </w:t>
      </w:r>
      <w:r w:rsidR="000B5E3C" w:rsidRPr="00E3559F">
        <w:rPr>
          <w:i/>
          <w:iCs/>
          <w:sz w:val="20"/>
          <w:szCs w:val="20"/>
        </w:rPr>
        <w:t>a priori</w:t>
      </w:r>
      <w:r w:rsidR="000B5E3C" w:rsidRPr="00E3559F">
        <w:rPr>
          <w:sz w:val="20"/>
          <w:szCs w:val="20"/>
        </w:rPr>
        <w:t xml:space="preserve"> sobre las cuestiones que era posible alegar con alguna perspectiva de éxito, derivado precisamente del marco normativo aplicable, sumado a la práctica vigente de interpretación restrictiva del recurso. </w:t>
      </w:r>
    </w:p>
    <w:p w14:paraId="2CFE33DF" w14:textId="77777777" w:rsidR="001044F0" w:rsidRPr="00E3559F" w:rsidRDefault="001044F0" w:rsidP="001044F0">
      <w:pPr>
        <w:tabs>
          <w:tab w:val="left" w:pos="567"/>
        </w:tabs>
        <w:spacing w:line="240" w:lineRule="auto"/>
        <w:rPr>
          <w:sz w:val="20"/>
          <w:szCs w:val="20"/>
        </w:rPr>
      </w:pPr>
    </w:p>
    <w:p w14:paraId="407553CC" w14:textId="2267C7DB" w:rsidR="00ED5E7C" w:rsidRPr="00E3559F" w:rsidRDefault="001044F0" w:rsidP="00ED5E7C">
      <w:pPr>
        <w:numPr>
          <w:ilvl w:val="0"/>
          <w:numId w:val="1"/>
        </w:numPr>
        <w:tabs>
          <w:tab w:val="left" w:pos="567"/>
          <w:tab w:val="num" w:pos="1569"/>
          <w:tab w:val="num" w:pos="12305"/>
        </w:tabs>
        <w:spacing w:line="240" w:lineRule="auto"/>
        <w:ind w:left="0" w:firstLine="0"/>
        <w:rPr>
          <w:sz w:val="20"/>
          <w:szCs w:val="20"/>
        </w:rPr>
      </w:pPr>
      <w:r w:rsidRPr="00E3559F">
        <w:rPr>
          <w:sz w:val="20"/>
          <w:szCs w:val="20"/>
        </w:rPr>
        <w:t>La Comisión concluyó que el Estado argentino violó el derecho a recurrir el fallo establecido en el artículo 8.2.h de la Convención, en relación con las obligaciones establecidas en los artículos 1.1 y 2 del mismo instrumento. Asimismo, concluyó que</w:t>
      </w:r>
      <w:r w:rsidR="00652CD7" w:rsidRPr="00E3559F">
        <w:rPr>
          <w:sz w:val="20"/>
          <w:szCs w:val="20"/>
        </w:rPr>
        <w:t>,</w:t>
      </w:r>
      <w:r w:rsidRPr="00E3559F">
        <w:rPr>
          <w:sz w:val="20"/>
          <w:szCs w:val="20"/>
        </w:rPr>
        <w:t xml:space="preserve"> como consecuencia del carácter limitado del recurso de casación y aún más limitado del recurso extraordinario</w:t>
      </w:r>
      <w:r w:rsidR="000B5E3C" w:rsidRPr="00E3559F">
        <w:rPr>
          <w:sz w:val="20"/>
          <w:szCs w:val="20"/>
        </w:rPr>
        <w:t xml:space="preserve"> y de queja</w:t>
      </w:r>
      <w:r w:rsidRPr="00E3559F">
        <w:rPr>
          <w:sz w:val="20"/>
          <w:szCs w:val="20"/>
        </w:rPr>
        <w:t xml:space="preserve">, las presuntas víctimas no contaron con recursos judiciales sencillos y efectivos, en violación del artículo 25.1 de la Convención, en relación con las obligaciones establecidas en los artículos 1.1 y 2 del mismo instrumento. </w:t>
      </w:r>
    </w:p>
    <w:p w14:paraId="0D5FEBA4" w14:textId="77777777" w:rsidR="001044F0" w:rsidRPr="00E3559F" w:rsidRDefault="001044F0" w:rsidP="001044F0">
      <w:pPr>
        <w:tabs>
          <w:tab w:val="left" w:pos="567"/>
        </w:tabs>
        <w:spacing w:line="240" w:lineRule="auto"/>
        <w:rPr>
          <w:sz w:val="20"/>
          <w:szCs w:val="20"/>
        </w:rPr>
      </w:pPr>
    </w:p>
    <w:p w14:paraId="5BDE5335" w14:textId="2EB14644" w:rsidR="001044F0" w:rsidRPr="00E3559F" w:rsidRDefault="001044F0" w:rsidP="00ED5E7C">
      <w:pPr>
        <w:numPr>
          <w:ilvl w:val="0"/>
          <w:numId w:val="1"/>
        </w:numPr>
        <w:tabs>
          <w:tab w:val="left" w:pos="567"/>
          <w:tab w:val="num" w:pos="1569"/>
          <w:tab w:val="num" w:pos="12305"/>
        </w:tabs>
        <w:spacing w:line="240" w:lineRule="auto"/>
        <w:ind w:left="0" w:firstLine="0"/>
        <w:rPr>
          <w:sz w:val="20"/>
          <w:szCs w:val="20"/>
        </w:rPr>
      </w:pPr>
      <w:r w:rsidRPr="00E3559F">
        <w:rPr>
          <w:sz w:val="20"/>
          <w:szCs w:val="20"/>
        </w:rPr>
        <w:t xml:space="preserve">Por su parte, el </w:t>
      </w:r>
      <w:r w:rsidRPr="00E3559F">
        <w:rPr>
          <w:b/>
          <w:i/>
          <w:sz w:val="20"/>
          <w:szCs w:val="20"/>
        </w:rPr>
        <w:t>Estado</w:t>
      </w:r>
      <w:r w:rsidRPr="00E3559F">
        <w:rPr>
          <w:sz w:val="20"/>
          <w:szCs w:val="20"/>
        </w:rPr>
        <w:t xml:space="preserve"> señaló </w:t>
      </w:r>
      <w:r w:rsidR="002569F7" w:rsidRPr="00E3559F">
        <w:rPr>
          <w:sz w:val="20"/>
          <w:szCs w:val="20"/>
        </w:rPr>
        <w:t xml:space="preserve">que los recursos de casación interpuestos fueron declarados inadmisibles debido a que no se </w:t>
      </w:r>
      <w:r w:rsidR="00652CD7" w:rsidRPr="00E3559F">
        <w:rPr>
          <w:sz w:val="20"/>
          <w:szCs w:val="20"/>
        </w:rPr>
        <w:t>hallaron</w:t>
      </w:r>
      <w:r w:rsidR="002569F7" w:rsidRPr="00E3559F">
        <w:rPr>
          <w:sz w:val="20"/>
          <w:szCs w:val="20"/>
        </w:rPr>
        <w:t xml:space="preserve"> debidamente fundamentados, siendo dicha exigencia un requisito que los Estados pueden estipular como condición de admisibilidad de la vía impugnatoria. El Estado destacó además que la razón por la cual los recursos fueron declarados inadmisibles se debió a que el acto viciado no fue individualizado, ni tampoco se demostró la incidencia del caudal probatorio recabado en el razonamiento adoptado en la instancia de grado, lo cual en nada se relaciona</w:t>
      </w:r>
      <w:r w:rsidR="005D4086" w:rsidRPr="00E3559F">
        <w:rPr>
          <w:sz w:val="20"/>
          <w:szCs w:val="20"/>
        </w:rPr>
        <w:t>ba</w:t>
      </w:r>
      <w:r w:rsidR="002569F7" w:rsidRPr="00E3559F">
        <w:rPr>
          <w:sz w:val="20"/>
          <w:szCs w:val="20"/>
        </w:rPr>
        <w:t xml:space="preserve"> con la presunta estrechez de la vía impugnatoria, sino que se </w:t>
      </w:r>
      <w:r w:rsidR="00652CD7" w:rsidRPr="00E3559F">
        <w:rPr>
          <w:sz w:val="20"/>
          <w:szCs w:val="20"/>
        </w:rPr>
        <w:t>refirió</w:t>
      </w:r>
      <w:r w:rsidR="002569F7" w:rsidRPr="00E3559F">
        <w:rPr>
          <w:sz w:val="20"/>
          <w:szCs w:val="20"/>
        </w:rPr>
        <w:t xml:space="preserve"> a la baja calidad de la tarea defensiva. </w:t>
      </w:r>
    </w:p>
    <w:p w14:paraId="560D7B9A" w14:textId="77777777" w:rsidR="002569F7" w:rsidRPr="00E3559F" w:rsidRDefault="002569F7" w:rsidP="002569F7">
      <w:pPr>
        <w:tabs>
          <w:tab w:val="left" w:pos="567"/>
        </w:tabs>
        <w:spacing w:line="240" w:lineRule="auto"/>
        <w:rPr>
          <w:sz w:val="20"/>
          <w:szCs w:val="20"/>
        </w:rPr>
      </w:pPr>
    </w:p>
    <w:p w14:paraId="67AEB16C" w14:textId="55B4D794" w:rsidR="00492D31" w:rsidRPr="00E3559F" w:rsidRDefault="002569F7" w:rsidP="00AE045D">
      <w:pPr>
        <w:numPr>
          <w:ilvl w:val="0"/>
          <w:numId w:val="1"/>
        </w:numPr>
        <w:tabs>
          <w:tab w:val="left" w:pos="567"/>
          <w:tab w:val="num" w:pos="1569"/>
          <w:tab w:val="num" w:pos="12305"/>
        </w:tabs>
        <w:spacing w:line="240" w:lineRule="auto"/>
        <w:ind w:left="0" w:firstLine="0"/>
        <w:rPr>
          <w:sz w:val="20"/>
          <w:szCs w:val="20"/>
        </w:rPr>
      </w:pPr>
      <w:r w:rsidRPr="00E3559F">
        <w:rPr>
          <w:sz w:val="20"/>
          <w:szCs w:val="20"/>
        </w:rPr>
        <w:t>Añadió que mal podía reprochársele a la Sala Penal del Tribunal Superior de Justicia la desestimación de los recursos, toda vez que habían sido los peticionarios quienes fundaron en forma ineficaz los recursos, omitiendo plantear cuestiones de hecho y/o de prueba en sus impugnaciones. Según el Estado, demandar una adecuada motivación en la pieza recursiva se inserta dentro de las exigencias mínimas que los Estados pueden prever en materi</w:t>
      </w:r>
      <w:r w:rsidR="00B0139A">
        <w:rPr>
          <w:sz w:val="20"/>
          <w:szCs w:val="20"/>
        </w:rPr>
        <w:t>a de impugnaciones. C</w:t>
      </w:r>
      <w:r w:rsidRPr="00E3559F">
        <w:rPr>
          <w:sz w:val="20"/>
          <w:szCs w:val="20"/>
        </w:rPr>
        <w:t xml:space="preserve">oncluyó que el Estado argentino sí garantiza el derecho a la revisión amplia, siempre que los recursos que impugnan la sentencia se hallen suficientemente planteados. </w:t>
      </w:r>
    </w:p>
    <w:p w14:paraId="4D8BE07F" w14:textId="1B152195" w:rsidR="00ED5E7C" w:rsidRPr="00E3559F" w:rsidRDefault="00ED5E7C" w:rsidP="00365BC5">
      <w:pPr>
        <w:pStyle w:val="Ttulo2"/>
      </w:pPr>
      <w:bookmarkStart w:id="34" w:name="_Toc24447092"/>
      <w:bookmarkStart w:id="35" w:name="_Toc33020821"/>
      <w:bookmarkStart w:id="36" w:name="_Toc46250482"/>
      <w:r w:rsidRPr="00E3559F">
        <w:t>Consideraciones de la Corte</w:t>
      </w:r>
      <w:bookmarkEnd w:id="34"/>
      <w:bookmarkEnd w:id="35"/>
      <w:bookmarkEnd w:id="36"/>
    </w:p>
    <w:p w14:paraId="57E0E2D3" w14:textId="36923D80" w:rsidR="00F51464" w:rsidRPr="00E3559F" w:rsidRDefault="00F51464" w:rsidP="00F51464">
      <w:pPr>
        <w:numPr>
          <w:ilvl w:val="0"/>
          <w:numId w:val="1"/>
        </w:numPr>
        <w:tabs>
          <w:tab w:val="left" w:pos="567"/>
          <w:tab w:val="num" w:pos="12305"/>
        </w:tabs>
        <w:spacing w:line="240" w:lineRule="auto"/>
        <w:ind w:left="0" w:firstLine="0"/>
        <w:rPr>
          <w:sz w:val="20"/>
          <w:szCs w:val="20"/>
        </w:rPr>
      </w:pPr>
      <w:r w:rsidRPr="00E3559F">
        <w:rPr>
          <w:sz w:val="20"/>
          <w:szCs w:val="20"/>
        </w:rPr>
        <w:t xml:space="preserve">La Corte se ha referido en su jurisprudencia constante </w:t>
      </w:r>
      <w:r w:rsidR="00A96C2D">
        <w:rPr>
          <w:sz w:val="20"/>
          <w:szCs w:val="20"/>
        </w:rPr>
        <w:t>a</w:t>
      </w:r>
      <w:r w:rsidRPr="00E3559F">
        <w:rPr>
          <w:sz w:val="20"/>
          <w:szCs w:val="20"/>
        </w:rPr>
        <w:t xml:space="preserve">l alcance y contenido del artículo 8.2.h de la Convención, así como a los estándares que deben ser observados para asegurar la garantía del derecho a recurrir el fallo ante juez o tribunal superior. El Tribunal ha entendido que dicho derecho consiste en una garantía mínima y primordial que “se debe respetar en el marco del debido proceso legal, en aras de permitir que una sentencia adversa pueda ser revisada por un juez o tribunal distinto </w:t>
      </w:r>
      <w:r w:rsidRPr="00E3559F">
        <w:rPr>
          <w:sz w:val="20"/>
          <w:szCs w:val="20"/>
        </w:rPr>
        <w:lastRenderedPageBreak/>
        <w:t>y de superior jerarquía […]”</w:t>
      </w:r>
      <w:r w:rsidRPr="00E3559F">
        <w:rPr>
          <w:rFonts w:eastAsiaTheme="majorEastAsia"/>
          <w:sz w:val="20"/>
          <w:szCs w:val="20"/>
          <w:vertAlign w:val="superscript"/>
        </w:rPr>
        <w:footnoteReference w:id="38"/>
      </w:r>
      <w:r w:rsidRPr="00E3559F">
        <w:rPr>
          <w:sz w:val="20"/>
          <w:szCs w:val="20"/>
        </w:rPr>
        <w:t>. Teniendo en cuenta que las garantías judiciales buscan que quien esté incurso en un proceso no sea sometido a decisiones arbitrarias, la Corte ha interpretado que el derecho a recurrir el fallo no puede ser efectivo si no se garantiza respecto de todo aquél que es condenado</w:t>
      </w:r>
      <w:r w:rsidRPr="00E3559F">
        <w:rPr>
          <w:rFonts w:eastAsiaTheme="majorEastAsia"/>
          <w:sz w:val="20"/>
          <w:szCs w:val="20"/>
          <w:vertAlign w:val="superscript"/>
        </w:rPr>
        <w:footnoteReference w:id="39"/>
      </w:r>
      <w:r w:rsidRPr="00E3559F">
        <w:rPr>
          <w:sz w:val="20"/>
          <w:szCs w:val="20"/>
        </w:rPr>
        <w:t>, ya que la condena es la manifestación del ejercicio del poder punitivo del Estado</w:t>
      </w:r>
      <w:r w:rsidRPr="00E3559F">
        <w:rPr>
          <w:rFonts w:eastAsiaTheme="majorEastAsia"/>
          <w:sz w:val="20"/>
          <w:szCs w:val="20"/>
          <w:vertAlign w:val="superscript"/>
        </w:rPr>
        <w:footnoteReference w:id="40"/>
      </w:r>
      <w:r w:rsidRPr="00E3559F">
        <w:rPr>
          <w:sz w:val="20"/>
          <w:szCs w:val="20"/>
        </w:rPr>
        <w:t>. La Corte ha considerado el derecho a recurrir el fallo como una de las garantías mínimas que tiene toda persona que es sometida a una investigación y proceso penal</w:t>
      </w:r>
      <w:r w:rsidRPr="00E3559F">
        <w:rPr>
          <w:rFonts w:eastAsiaTheme="majorEastAsia"/>
          <w:sz w:val="20"/>
          <w:szCs w:val="20"/>
          <w:vertAlign w:val="superscript"/>
        </w:rPr>
        <w:footnoteReference w:id="41"/>
      </w:r>
      <w:r w:rsidRPr="00E3559F">
        <w:rPr>
          <w:sz w:val="20"/>
          <w:szCs w:val="20"/>
        </w:rPr>
        <w:t>.</w:t>
      </w:r>
    </w:p>
    <w:p w14:paraId="696A9303" w14:textId="77777777" w:rsidR="00F51464" w:rsidRPr="00E3559F" w:rsidRDefault="00F51464" w:rsidP="00F51464">
      <w:pPr>
        <w:tabs>
          <w:tab w:val="left" w:pos="567"/>
        </w:tabs>
        <w:spacing w:line="240" w:lineRule="auto"/>
        <w:rPr>
          <w:sz w:val="20"/>
          <w:szCs w:val="20"/>
        </w:rPr>
      </w:pPr>
    </w:p>
    <w:p w14:paraId="3896DC8A" w14:textId="1B2DD823" w:rsidR="00F51464" w:rsidRPr="00E3559F" w:rsidRDefault="00F51464" w:rsidP="00F51464">
      <w:pPr>
        <w:numPr>
          <w:ilvl w:val="0"/>
          <w:numId w:val="1"/>
        </w:numPr>
        <w:tabs>
          <w:tab w:val="left" w:pos="567"/>
          <w:tab w:val="num" w:pos="12305"/>
        </w:tabs>
        <w:spacing w:line="240" w:lineRule="auto"/>
        <w:ind w:left="0" w:firstLine="0"/>
        <w:rPr>
          <w:sz w:val="20"/>
          <w:szCs w:val="20"/>
        </w:rPr>
      </w:pPr>
      <w:r w:rsidRPr="00E3559F">
        <w:rPr>
          <w:sz w:val="20"/>
          <w:szCs w:val="20"/>
        </w:rPr>
        <w:t>Además, el Tribunal ha sostenido que el artículo 8.2.h de la Convención se refiere a un recurso ordinario, accesible y eficaz, es decir</w:t>
      </w:r>
      <w:r w:rsidR="00B0139A">
        <w:rPr>
          <w:sz w:val="20"/>
          <w:szCs w:val="20"/>
        </w:rPr>
        <w:t>,</w:t>
      </w:r>
      <w:r w:rsidRPr="00E3559F">
        <w:rPr>
          <w:sz w:val="20"/>
          <w:szCs w:val="20"/>
        </w:rPr>
        <w:t xml:space="preserve"> que no debe requerir mayores </w:t>
      </w:r>
      <w:r w:rsidRPr="00E3559F">
        <w:rPr>
          <w:rFonts w:cs="Arial"/>
          <w:sz w:val="20"/>
          <w:szCs w:val="20"/>
        </w:rPr>
        <w:t>complejidades</w:t>
      </w:r>
      <w:r w:rsidRPr="00E3559F">
        <w:rPr>
          <w:sz w:val="20"/>
          <w:szCs w:val="20"/>
        </w:rPr>
        <w:t xml:space="preserve"> que tornen ilusorio este derecho. En ese sentido, las formalidades requeridas para que el recurso sea admitido deben ser mínimas y no deben constituir un obstáculo para que cumpla con su fin de examinar y resolver los agravios sustentados por el recurrente, es decir que debe procurar resultados o respuestas al fin para el cual fue concebido. Debe entenderse que, independientemente del régimen o sistema recursivo que adopten los Estados Partes, y de la denominación que den al medio de impugnación de la sentencia condenatoria, para que éste sea eficaz debe constituir un medio adecuado para procurar la corrección de una condena errónea. Ello requiere que pueda analizar las cuestiones fácticas, probatorias y jurídicas en que se basa la sentencia impugnada, puesto que en la actividad jurisdiccional existe una interdependencia entre las determinaciones fácticas y la aplicación del derecho, de forma tal que una errónea determinación de los hechos implica una errada o indebida aplicación del derecho. Consecuentemente, las causales de procedencia del recurso deben posibilitar un control amplio de los aspectos impugnados de la sentencia condenatoria</w:t>
      </w:r>
      <w:r w:rsidRPr="00E3559F">
        <w:rPr>
          <w:rFonts w:eastAsiaTheme="majorEastAsia"/>
          <w:sz w:val="20"/>
          <w:szCs w:val="20"/>
          <w:vertAlign w:val="superscript"/>
        </w:rPr>
        <w:footnoteReference w:id="42"/>
      </w:r>
      <w:r w:rsidRPr="00E3559F">
        <w:rPr>
          <w:sz w:val="20"/>
          <w:szCs w:val="20"/>
        </w:rPr>
        <w:t>.</w:t>
      </w:r>
    </w:p>
    <w:p w14:paraId="0E977D0B" w14:textId="77777777" w:rsidR="00F51464" w:rsidRPr="00E3559F" w:rsidRDefault="00F51464" w:rsidP="00F51464">
      <w:pPr>
        <w:tabs>
          <w:tab w:val="left" w:pos="567"/>
        </w:tabs>
        <w:spacing w:line="240" w:lineRule="auto"/>
        <w:rPr>
          <w:sz w:val="20"/>
          <w:szCs w:val="20"/>
        </w:rPr>
      </w:pPr>
    </w:p>
    <w:p w14:paraId="113742CD" w14:textId="6F336E82" w:rsidR="00BD7ACB" w:rsidRPr="00E3559F" w:rsidRDefault="00D465D0" w:rsidP="00BD7ACB">
      <w:pPr>
        <w:numPr>
          <w:ilvl w:val="0"/>
          <w:numId w:val="1"/>
        </w:numPr>
        <w:tabs>
          <w:tab w:val="left" w:pos="567"/>
          <w:tab w:val="num" w:pos="12305"/>
        </w:tabs>
        <w:spacing w:line="240" w:lineRule="auto"/>
        <w:ind w:left="0" w:firstLine="0"/>
        <w:rPr>
          <w:sz w:val="20"/>
          <w:szCs w:val="20"/>
        </w:rPr>
      </w:pPr>
      <w:r w:rsidRPr="00E3559F">
        <w:rPr>
          <w:sz w:val="20"/>
          <w:szCs w:val="20"/>
        </w:rPr>
        <w:t>L</w:t>
      </w:r>
      <w:r w:rsidR="00F51464" w:rsidRPr="00E3559F">
        <w:rPr>
          <w:sz w:val="20"/>
          <w:szCs w:val="20"/>
        </w:rPr>
        <w:t xml:space="preserve">a Corte recuerda que </w:t>
      </w:r>
      <w:r w:rsidR="00652CD7" w:rsidRPr="00E3559F">
        <w:rPr>
          <w:sz w:val="20"/>
          <w:szCs w:val="20"/>
        </w:rPr>
        <w:t>el 23 de diciembre de 1997 la Cámara Novena del Crimen de Córdoba declaró a los señores del Valle Ambrosio y Domínguez Linares cómplices necesarios del delito “defraudación por administración fraudulenta calificada”, condenándoles a una pena de tres años y seis meses de prisión a cada uno</w:t>
      </w:r>
      <w:r w:rsidR="00617CED" w:rsidRPr="00E3559F">
        <w:rPr>
          <w:sz w:val="20"/>
          <w:szCs w:val="20"/>
        </w:rPr>
        <w:t>.</w:t>
      </w:r>
      <w:r w:rsidR="004714A6" w:rsidRPr="00E3559F">
        <w:rPr>
          <w:sz w:val="20"/>
          <w:szCs w:val="20"/>
        </w:rPr>
        <w:t xml:space="preserve"> </w:t>
      </w:r>
      <w:r w:rsidR="00BD7ACB" w:rsidRPr="00E3559F">
        <w:rPr>
          <w:sz w:val="20"/>
          <w:szCs w:val="20"/>
        </w:rPr>
        <w:t>Ambos interpusieron el correspondiente recurso de casación contra la citada sentencia</w:t>
      </w:r>
      <w:r w:rsidR="00A11D66" w:rsidRPr="00E3559F">
        <w:rPr>
          <w:sz w:val="20"/>
          <w:szCs w:val="20"/>
        </w:rPr>
        <w:t xml:space="preserve">, los cuales fueron declarados inadmisibles por la Sala Penal del </w:t>
      </w:r>
      <w:r w:rsidR="007466CC" w:rsidRPr="00E3559F">
        <w:rPr>
          <w:sz w:val="20"/>
          <w:szCs w:val="20"/>
        </w:rPr>
        <w:t>TSJC</w:t>
      </w:r>
      <w:r w:rsidR="00617CED" w:rsidRPr="00E3559F">
        <w:rPr>
          <w:sz w:val="20"/>
          <w:szCs w:val="20"/>
        </w:rPr>
        <w:t>.</w:t>
      </w:r>
    </w:p>
    <w:p w14:paraId="69DB93A3" w14:textId="77777777" w:rsidR="00BD7ACB" w:rsidRPr="00E3559F" w:rsidRDefault="00BD7ACB" w:rsidP="00BD7ACB">
      <w:pPr>
        <w:tabs>
          <w:tab w:val="left" w:pos="567"/>
        </w:tabs>
        <w:spacing w:line="240" w:lineRule="auto"/>
        <w:rPr>
          <w:sz w:val="20"/>
          <w:szCs w:val="20"/>
          <w:highlight w:val="yellow"/>
        </w:rPr>
      </w:pPr>
    </w:p>
    <w:p w14:paraId="42CA0FBE" w14:textId="429EF4C0" w:rsidR="00BD7ACB" w:rsidRPr="00E3559F" w:rsidRDefault="00A11D66" w:rsidP="00A11D66">
      <w:pPr>
        <w:numPr>
          <w:ilvl w:val="0"/>
          <w:numId w:val="1"/>
        </w:numPr>
        <w:tabs>
          <w:tab w:val="left" w:pos="567"/>
          <w:tab w:val="num" w:pos="12305"/>
        </w:tabs>
        <w:spacing w:line="240" w:lineRule="auto"/>
        <w:ind w:left="0" w:firstLine="0"/>
        <w:rPr>
          <w:sz w:val="20"/>
          <w:szCs w:val="20"/>
        </w:rPr>
      </w:pPr>
      <w:r w:rsidRPr="00E3559F">
        <w:rPr>
          <w:sz w:val="20"/>
          <w:szCs w:val="20"/>
        </w:rPr>
        <w:t>En su recurso de casación</w:t>
      </w:r>
      <w:r w:rsidR="00BD7ACB" w:rsidRPr="00E3559F">
        <w:rPr>
          <w:sz w:val="20"/>
          <w:szCs w:val="20"/>
        </w:rPr>
        <w:t xml:space="preserve">, el señor Domínguez Linares alegó que la sentencia adolecía de un </w:t>
      </w:r>
      <w:r w:rsidR="00BD7ACB" w:rsidRPr="00E3559F">
        <w:rPr>
          <w:i/>
          <w:sz w:val="20"/>
          <w:szCs w:val="20"/>
        </w:rPr>
        <w:t>vicio in iudicando</w:t>
      </w:r>
      <w:r w:rsidR="00BD7ACB" w:rsidRPr="00E3559F">
        <w:rPr>
          <w:sz w:val="20"/>
          <w:szCs w:val="20"/>
        </w:rPr>
        <w:t xml:space="preserve">, así como un </w:t>
      </w:r>
      <w:r w:rsidR="00BD7ACB" w:rsidRPr="00E3559F">
        <w:rPr>
          <w:i/>
          <w:sz w:val="20"/>
          <w:szCs w:val="20"/>
        </w:rPr>
        <w:t>vicio in procedendo</w:t>
      </w:r>
      <w:r w:rsidR="00BD7ACB" w:rsidRPr="00E3559F">
        <w:rPr>
          <w:rStyle w:val="Refdenotaalpie"/>
          <w:sz w:val="20"/>
          <w:szCs w:val="20"/>
        </w:rPr>
        <w:footnoteReference w:id="43"/>
      </w:r>
      <w:r w:rsidR="00BD7ACB" w:rsidRPr="00E3559F">
        <w:rPr>
          <w:sz w:val="20"/>
          <w:szCs w:val="20"/>
        </w:rPr>
        <w:t>.</w:t>
      </w:r>
      <w:r w:rsidRPr="00E3559F">
        <w:rPr>
          <w:sz w:val="20"/>
          <w:szCs w:val="20"/>
        </w:rPr>
        <w:t xml:space="preserve"> En particular, la defensa del señor Domínguez Linares </w:t>
      </w:r>
      <w:r w:rsidR="00B5180B" w:rsidRPr="00E3559F">
        <w:rPr>
          <w:sz w:val="20"/>
          <w:szCs w:val="20"/>
        </w:rPr>
        <w:t>argumentó</w:t>
      </w:r>
      <w:r w:rsidRPr="00E3559F">
        <w:rPr>
          <w:sz w:val="20"/>
          <w:szCs w:val="20"/>
        </w:rPr>
        <w:t xml:space="preserve">, en primer lugar, que la sentencia adolecía de un </w:t>
      </w:r>
      <w:r w:rsidRPr="00E3559F">
        <w:rPr>
          <w:i/>
          <w:sz w:val="20"/>
          <w:szCs w:val="20"/>
        </w:rPr>
        <w:t>vicio in iudicando</w:t>
      </w:r>
      <w:r w:rsidRPr="00E3559F">
        <w:rPr>
          <w:sz w:val="20"/>
          <w:szCs w:val="20"/>
        </w:rPr>
        <w:t xml:space="preserve"> por cuanto se “hab[ía] aplicado erróneamente el Código Penal”. </w:t>
      </w:r>
      <w:r w:rsidR="00B5180B" w:rsidRPr="00E3559F">
        <w:rPr>
          <w:sz w:val="20"/>
          <w:szCs w:val="20"/>
        </w:rPr>
        <w:t>Señaló</w:t>
      </w:r>
      <w:r w:rsidRPr="00E3559F">
        <w:rPr>
          <w:sz w:val="20"/>
          <w:szCs w:val="20"/>
        </w:rPr>
        <w:t xml:space="preserve"> que la sentencia recurrida había basado “el hecho y el reproche de [su] defendido en el riesgo innecesario o excesivo que ocasionaron los administradores al patrimonio del Banco, con los préstamos acordados”</w:t>
      </w:r>
      <w:r w:rsidR="00A04008" w:rsidRPr="00E3559F">
        <w:rPr>
          <w:sz w:val="20"/>
          <w:szCs w:val="20"/>
        </w:rPr>
        <w:t xml:space="preserve">, </w:t>
      </w:r>
      <w:r w:rsidR="00A27ABA" w:rsidRPr="00E3559F">
        <w:rPr>
          <w:sz w:val="20"/>
          <w:szCs w:val="20"/>
        </w:rPr>
        <w:t>mientras</w:t>
      </w:r>
      <w:r w:rsidR="00A04008" w:rsidRPr="00E3559F">
        <w:rPr>
          <w:sz w:val="20"/>
          <w:szCs w:val="20"/>
        </w:rPr>
        <w:t xml:space="preserve"> que la doctrina penal argentina mayoritaria opina</w:t>
      </w:r>
      <w:r w:rsidR="00FB2145" w:rsidRPr="00E3559F">
        <w:rPr>
          <w:sz w:val="20"/>
          <w:szCs w:val="20"/>
        </w:rPr>
        <w:t>ba</w:t>
      </w:r>
      <w:r w:rsidR="00A04008" w:rsidRPr="00E3559F">
        <w:rPr>
          <w:sz w:val="20"/>
          <w:szCs w:val="20"/>
        </w:rPr>
        <w:t xml:space="preserve"> que el perjuicio exigido por el tipo debe ser “real, efectivo, no potencial o conjetural y debe ser de naturaleza patrimonial”</w:t>
      </w:r>
      <w:r w:rsidRPr="00E3559F">
        <w:rPr>
          <w:sz w:val="20"/>
          <w:szCs w:val="20"/>
        </w:rPr>
        <w:t xml:space="preserve">, y que se debía haber producido “una disminución del patrimonio” tras la comisión del hecho. En segundo lugar, la defensa del señor Domínguez Linares argumentó que la sentencia adolecía de un </w:t>
      </w:r>
      <w:r w:rsidRPr="00E3559F">
        <w:rPr>
          <w:i/>
          <w:sz w:val="20"/>
          <w:szCs w:val="20"/>
        </w:rPr>
        <w:t>vicio in procedendo</w:t>
      </w:r>
      <w:r w:rsidRPr="00E3559F">
        <w:rPr>
          <w:sz w:val="20"/>
          <w:szCs w:val="20"/>
        </w:rPr>
        <w:t xml:space="preserve"> debido a la falta </w:t>
      </w:r>
      <w:r w:rsidRPr="00E3559F">
        <w:rPr>
          <w:sz w:val="20"/>
          <w:szCs w:val="20"/>
        </w:rPr>
        <w:lastRenderedPageBreak/>
        <w:t xml:space="preserve">de congruencia entre </w:t>
      </w:r>
      <w:r w:rsidR="00A04008" w:rsidRPr="00E3559F">
        <w:rPr>
          <w:sz w:val="20"/>
          <w:szCs w:val="20"/>
        </w:rPr>
        <w:t>los hechos determinados en la</w:t>
      </w:r>
      <w:r w:rsidRPr="00E3559F">
        <w:rPr>
          <w:sz w:val="20"/>
          <w:szCs w:val="20"/>
        </w:rPr>
        <w:t xml:space="preserve"> acusación y</w:t>
      </w:r>
      <w:r w:rsidR="00A04008" w:rsidRPr="00E3559F">
        <w:rPr>
          <w:sz w:val="20"/>
          <w:szCs w:val="20"/>
        </w:rPr>
        <w:t xml:space="preserve"> los establecidos en</w:t>
      </w:r>
      <w:r w:rsidRPr="00E3559F">
        <w:rPr>
          <w:sz w:val="20"/>
          <w:szCs w:val="20"/>
        </w:rPr>
        <w:t xml:space="preserve"> la sentencia</w:t>
      </w:r>
      <w:r w:rsidR="00A04008" w:rsidRPr="00E3559F">
        <w:rPr>
          <w:sz w:val="20"/>
          <w:szCs w:val="20"/>
        </w:rPr>
        <w:t xml:space="preserve"> condenatoria</w:t>
      </w:r>
      <w:r w:rsidRPr="00E3559F">
        <w:rPr>
          <w:rStyle w:val="Refdenotaalpie"/>
          <w:sz w:val="20"/>
          <w:szCs w:val="20"/>
        </w:rPr>
        <w:footnoteReference w:id="44"/>
      </w:r>
      <w:r w:rsidRPr="00E3559F">
        <w:rPr>
          <w:sz w:val="20"/>
          <w:szCs w:val="20"/>
        </w:rPr>
        <w:t xml:space="preserve">. </w:t>
      </w:r>
    </w:p>
    <w:p w14:paraId="3C985010" w14:textId="77777777" w:rsidR="00BD7ACB" w:rsidRPr="00E3559F" w:rsidRDefault="00BD7ACB" w:rsidP="00BD7ACB">
      <w:pPr>
        <w:tabs>
          <w:tab w:val="left" w:pos="567"/>
        </w:tabs>
        <w:spacing w:line="240" w:lineRule="auto"/>
        <w:rPr>
          <w:sz w:val="20"/>
          <w:szCs w:val="20"/>
        </w:rPr>
      </w:pPr>
    </w:p>
    <w:p w14:paraId="08E7464E" w14:textId="56442A1B" w:rsidR="00BD7ACB" w:rsidRPr="00E3559F" w:rsidRDefault="00BD7ACB" w:rsidP="00BD7ACB">
      <w:pPr>
        <w:numPr>
          <w:ilvl w:val="0"/>
          <w:numId w:val="1"/>
        </w:numPr>
        <w:tabs>
          <w:tab w:val="left" w:pos="567"/>
          <w:tab w:val="num" w:pos="12305"/>
        </w:tabs>
        <w:spacing w:line="240" w:lineRule="auto"/>
        <w:ind w:left="0" w:firstLine="0"/>
        <w:rPr>
          <w:sz w:val="20"/>
          <w:szCs w:val="20"/>
        </w:rPr>
      </w:pPr>
      <w:r w:rsidRPr="00E3559F">
        <w:rPr>
          <w:sz w:val="20"/>
          <w:szCs w:val="20"/>
        </w:rPr>
        <w:t xml:space="preserve">Ante dicho recurso, la Sala Penal del </w:t>
      </w:r>
      <w:r w:rsidR="00DE51B1" w:rsidRPr="00E3559F">
        <w:rPr>
          <w:sz w:val="20"/>
          <w:szCs w:val="20"/>
        </w:rPr>
        <w:t xml:space="preserve">TSJC </w:t>
      </w:r>
      <w:r w:rsidRPr="00E3559F">
        <w:rPr>
          <w:sz w:val="20"/>
          <w:szCs w:val="20"/>
        </w:rPr>
        <w:t xml:space="preserve">declaró el recurso de casación formalmente inadmisible </w:t>
      </w:r>
      <w:r w:rsidR="00A04008" w:rsidRPr="00E3559F">
        <w:rPr>
          <w:sz w:val="20"/>
          <w:szCs w:val="20"/>
        </w:rPr>
        <w:t xml:space="preserve">en aplicación </w:t>
      </w:r>
      <w:r w:rsidR="00DE51B1" w:rsidRPr="00E3559F">
        <w:rPr>
          <w:sz w:val="20"/>
          <w:szCs w:val="20"/>
        </w:rPr>
        <w:t>del</w:t>
      </w:r>
      <w:r w:rsidR="00A04008" w:rsidRPr="00E3559F">
        <w:rPr>
          <w:sz w:val="20"/>
          <w:szCs w:val="20"/>
        </w:rPr>
        <w:t xml:space="preserve"> artículo 455 del CPPC.</w:t>
      </w:r>
    </w:p>
    <w:p w14:paraId="04A1B749" w14:textId="77777777" w:rsidR="00BD7ACB" w:rsidRPr="00E3559F" w:rsidRDefault="00BD7ACB" w:rsidP="00BD7ACB">
      <w:pPr>
        <w:tabs>
          <w:tab w:val="left" w:pos="567"/>
        </w:tabs>
        <w:spacing w:line="240" w:lineRule="auto"/>
        <w:rPr>
          <w:sz w:val="20"/>
          <w:szCs w:val="20"/>
        </w:rPr>
      </w:pPr>
    </w:p>
    <w:p w14:paraId="7425932E" w14:textId="77777777" w:rsidR="00B5180B" w:rsidRPr="00E3559F" w:rsidRDefault="00BD7ACB" w:rsidP="004C06D9">
      <w:pPr>
        <w:numPr>
          <w:ilvl w:val="0"/>
          <w:numId w:val="1"/>
        </w:numPr>
        <w:tabs>
          <w:tab w:val="left" w:pos="567"/>
          <w:tab w:val="num" w:pos="12305"/>
        </w:tabs>
        <w:spacing w:line="240" w:lineRule="auto"/>
        <w:ind w:left="0" w:firstLine="0"/>
        <w:rPr>
          <w:sz w:val="20"/>
          <w:szCs w:val="20"/>
        </w:rPr>
      </w:pPr>
      <w:r w:rsidRPr="00E3559F">
        <w:rPr>
          <w:sz w:val="20"/>
          <w:szCs w:val="20"/>
        </w:rPr>
        <w:t>La Corte nota, en primer lugar,</w:t>
      </w:r>
      <w:r w:rsidR="00DE51B1" w:rsidRPr="00E3559F">
        <w:rPr>
          <w:sz w:val="20"/>
          <w:szCs w:val="20"/>
        </w:rPr>
        <w:t xml:space="preserve"> que el referido artículo 455 establece que, en caso de que el recurso fuera inadmisible, “el Tribunal de Alzada deberá declararlo así sin pronunciarse sobre el fondo”. De lo anterior se desprende que el recurso interpuesto por la defensa del señor Domínguez Linares fue rechazado “</w:t>
      </w:r>
      <w:r w:rsidR="00DE51B1" w:rsidRPr="00E3559F">
        <w:rPr>
          <w:i/>
          <w:iCs/>
          <w:sz w:val="20"/>
          <w:szCs w:val="20"/>
        </w:rPr>
        <w:t>in limine</w:t>
      </w:r>
      <w:r w:rsidR="00DE51B1" w:rsidRPr="00E3559F">
        <w:rPr>
          <w:sz w:val="20"/>
          <w:szCs w:val="20"/>
        </w:rPr>
        <w:t xml:space="preserve">”, esto es, sin que los argumentos expuestos por la defensa fueran considerados. </w:t>
      </w:r>
    </w:p>
    <w:p w14:paraId="22B17486" w14:textId="77777777" w:rsidR="00B5180B" w:rsidRPr="00E3559F" w:rsidRDefault="00B5180B" w:rsidP="00B5180B">
      <w:pPr>
        <w:tabs>
          <w:tab w:val="left" w:pos="567"/>
        </w:tabs>
        <w:spacing w:line="240" w:lineRule="auto"/>
        <w:rPr>
          <w:sz w:val="20"/>
          <w:szCs w:val="20"/>
        </w:rPr>
      </w:pPr>
    </w:p>
    <w:p w14:paraId="233F09A7" w14:textId="2F47F5A9" w:rsidR="00FB2145" w:rsidRPr="00E3559F" w:rsidRDefault="00BD7ACB" w:rsidP="00B5180B">
      <w:pPr>
        <w:numPr>
          <w:ilvl w:val="0"/>
          <w:numId w:val="1"/>
        </w:numPr>
        <w:tabs>
          <w:tab w:val="left" w:pos="567"/>
          <w:tab w:val="num" w:pos="12305"/>
        </w:tabs>
        <w:spacing w:line="240" w:lineRule="auto"/>
        <w:ind w:left="0" w:firstLine="0"/>
        <w:rPr>
          <w:sz w:val="20"/>
          <w:szCs w:val="20"/>
        </w:rPr>
      </w:pPr>
      <w:r w:rsidRPr="00E3559F">
        <w:rPr>
          <w:sz w:val="20"/>
          <w:szCs w:val="20"/>
        </w:rPr>
        <w:t xml:space="preserve">La Corte además </w:t>
      </w:r>
      <w:r w:rsidR="00B81F7C" w:rsidRPr="00E3559F">
        <w:rPr>
          <w:sz w:val="20"/>
          <w:szCs w:val="20"/>
        </w:rPr>
        <w:t xml:space="preserve">advierte </w:t>
      </w:r>
      <w:r w:rsidRPr="00E3559F">
        <w:rPr>
          <w:sz w:val="20"/>
          <w:szCs w:val="20"/>
        </w:rPr>
        <w:t xml:space="preserve">que la inadmisibilidad del recurso </w:t>
      </w:r>
      <w:r w:rsidR="00DE51B1" w:rsidRPr="00E3559F">
        <w:rPr>
          <w:sz w:val="20"/>
          <w:szCs w:val="20"/>
        </w:rPr>
        <w:t>se basó en</w:t>
      </w:r>
      <w:r w:rsidRPr="00E3559F">
        <w:rPr>
          <w:sz w:val="20"/>
          <w:szCs w:val="20"/>
        </w:rPr>
        <w:t xml:space="preserve"> la imposibilidad </w:t>
      </w:r>
      <w:r w:rsidR="00DE51B1" w:rsidRPr="00E3559F">
        <w:rPr>
          <w:sz w:val="20"/>
          <w:szCs w:val="20"/>
        </w:rPr>
        <w:t xml:space="preserve">por parte de la Sala Penal del TSJC </w:t>
      </w:r>
      <w:r w:rsidRPr="00E3559F">
        <w:rPr>
          <w:sz w:val="20"/>
          <w:szCs w:val="20"/>
        </w:rPr>
        <w:t xml:space="preserve">de realizar una revisión de los hechos </w:t>
      </w:r>
      <w:r w:rsidR="00DE51B1" w:rsidRPr="00E3559F">
        <w:rPr>
          <w:sz w:val="20"/>
          <w:szCs w:val="20"/>
        </w:rPr>
        <w:t>determinados por</w:t>
      </w:r>
      <w:r w:rsidRPr="00E3559F">
        <w:rPr>
          <w:sz w:val="20"/>
          <w:szCs w:val="20"/>
        </w:rPr>
        <w:t xml:space="preserve"> el tribunal </w:t>
      </w:r>
      <w:r w:rsidR="00720061" w:rsidRPr="00E3559F">
        <w:rPr>
          <w:i/>
          <w:iCs/>
          <w:sz w:val="20"/>
          <w:szCs w:val="20"/>
        </w:rPr>
        <w:t>a quo</w:t>
      </w:r>
      <w:r w:rsidRPr="00E3559F">
        <w:rPr>
          <w:sz w:val="20"/>
          <w:szCs w:val="20"/>
        </w:rPr>
        <w:t xml:space="preserve"> </w:t>
      </w:r>
      <w:r w:rsidR="00DE51B1" w:rsidRPr="00E3559F">
        <w:rPr>
          <w:sz w:val="20"/>
          <w:szCs w:val="20"/>
        </w:rPr>
        <w:t xml:space="preserve">y sobre los cuales se </w:t>
      </w:r>
      <w:r w:rsidRPr="00E3559F">
        <w:rPr>
          <w:sz w:val="20"/>
          <w:szCs w:val="20"/>
        </w:rPr>
        <w:t xml:space="preserve">efectuó la calificación legal que la defensa del señor Domínguez Linares consideraba incorrecta. </w:t>
      </w:r>
      <w:r w:rsidR="00720061" w:rsidRPr="00E3559F">
        <w:rPr>
          <w:sz w:val="20"/>
          <w:szCs w:val="20"/>
        </w:rPr>
        <w:t xml:space="preserve">En efecto, </w:t>
      </w:r>
      <w:r w:rsidR="00FB2145" w:rsidRPr="00E3559F">
        <w:rPr>
          <w:sz w:val="20"/>
          <w:szCs w:val="20"/>
        </w:rPr>
        <w:t>con respecto al primer alegato (</w:t>
      </w:r>
      <w:r w:rsidR="004C06D9" w:rsidRPr="00E3559F">
        <w:rPr>
          <w:sz w:val="20"/>
          <w:szCs w:val="20"/>
        </w:rPr>
        <w:t xml:space="preserve">la existencia de un </w:t>
      </w:r>
      <w:r w:rsidR="00FB2145" w:rsidRPr="00E3559F">
        <w:rPr>
          <w:sz w:val="20"/>
          <w:szCs w:val="20"/>
        </w:rPr>
        <w:t xml:space="preserve">vicio </w:t>
      </w:r>
      <w:r w:rsidR="00FB2145" w:rsidRPr="00E3559F">
        <w:rPr>
          <w:i/>
          <w:iCs/>
          <w:sz w:val="20"/>
          <w:szCs w:val="20"/>
        </w:rPr>
        <w:t>in iudicando</w:t>
      </w:r>
      <w:r w:rsidR="00FB2145" w:rsidRPr="00E3559F">
        <w:rPr>
          <w:sz w:val="20"/>
          <w:szCs w:val="20"/>
        </w:rPr>
        <w:t>) la</w:t>
      </w:r>
      <w:r w:rsidR="00720061" w:rsidRPr="00E3559F">
        <w:rPr>
          <w:sz w:val="20"/>
          <w:szCs w:val="20"/>
        </w:rPr>
        <w:t xml:space="preserve"> Sala </w:t>
      </w:r>
      <w:r w:rsidR="005F36A1" w:rsidRPr="00E3559F">
        <w:rPr>
          <w:sz w:val="20"/>
          <w:szCs w:val="20"/>
        </w:rPr>
        <w:t>Penal</w:t>
      </w:r>
      <w:r w:rsidR="00FB2145" w:rsidRPr="00E3559F">
        <w:rPr>
          <w:sz w:val="20"/>
          <w:szCs w:val="20"/>
        </w:rPr>
        <w:t xml:space="preserve"> del TSJC </w:t>
      </w:r>
      <w:r w:rsidR="00720061" w:rsidRPr="00E3559F">
        <w:rPr>
          <w:sz w:val="20"/>
          <w:szCs w:val="20"/>
        </w:rPr>
        <w:t xml:space="preserve">le reprochó al recurrente que mostrara su disconformidad con la calificación legal otorgada a los hechos, “con prescindencia de todas las conclusiones fácticas adoptadas” por el tribunal </w:t>
      </w:r>
      <w:r w:rsidR="00720061" w:rsidRPr="00E3559F">
        <w:rPr>
          <w:i/>
          <w:iCs/>
          <w:sz w:val="20"/>
          <w:szCs w:val="20"/>
        </w:rPr>
        <w:t>a quo</w:t>
      </w:r>
      <w:r w:rsidR="00FB2145" w:rsidRPr="00E3559F">
        <w:rPr>
          <w:rStyle w:val="Refdenotaalpie"/>
          <w:sz w:val="20"/>
          <w:szCs w:val="20"/>
        </w:rPr>
        <w:footnoteReference w:id="45"/>
      </w:r>
      <w:r w:rsidR="00FB2145" w:rsidRPr="00E3559F">
        <w:rPr>
          <w:i/>
          <w:iCs/>
          <w:sz w:val="20"/>
          <w:szCs w:val="20"/>
        </w:rPr>
        <w:t xml:space="preserve">, </w:t>
      </w:r>
      <w:r w:rsidR="00FB2145" w:rsidRPr="00E3559F">
        <w:rPr>
          <w:sz w:val="20"/>
          <w:szCs w:val="20"/>
        </w:rPr>
        <w:t>recalcando además que constituía “una doctrina jurisprudencial consolidada de la Sala Penal […] que el recurso de casación por el motivo sustancial es inadmisible si se ignoran, parcializan o modifican los hechos en base a los cuales el tribunal de juicio efectuó la calificación legal que el impugnante reputa errada o no aplicó la que considera correcta”</w:t>
      </w:r>
      <w:r w:rsidR="00FB2145" w:rsidRPr="00E3559F">
        <w:rPr>
          <w:rStyle w:val="Refdenotaalpie"/>
          <w:sz w:val="20"/>
          <w:szCs w:val="20"/>
        </w:rPr>
        <w:footnoteReference w:id="46"/>
      </w:r>
      <w:r w:rsidR="00720061" w:rsidRPr="00E3559F">
        <w:rPr>
          <w:sz w:val="20"/>
          <w:szCs w:val="20"/>
        </w:rPr>
        <w:t xml:space="preserve">. </w:t>
      </w:r>
      <w:r w:rsidRPr="00E3559F">
        <w:rPr>
          <w:sz w:val="20"/>
          <w:szCs w:val="20"/>
        </w:rPr>
        <w:t xml:space="preserve">Asimismo, </w:t>
      </w:r>
      <w:r w:rsidR="00720061" w:rsidRPr="00E3559F">
        <w:rPr>
          <w:sz w:val="20"/>
          <w:szCs w:val="20"/>
        </w:rPr>
        <w:t xml:space="preserve">la Sala Penal </w:t>
      </w:r>
      <w:r w:rsidRPr="00E3559F">
        <w:rPr>
          <w:sz w:val="20"/>
          <w:szCs w:val="20"/>
        </w:rPr>
        <w:t>recalcó que en el recurso de casación “la causa [llega] con los hechos del proceso definitivamente fijados, para que solamente se juzgue de la corrección jurídica con [la] que han sido calificados”</w:t>
      </w:r>
      <w:r w:rsidR="00720061" w:rsidRPr="00E3559F">
        <w:rPr>
          <w:rStyle w:val="Refdenotaalpie"/>
          <w:sz w:val="20"/>
          <w:szCs w:val="20"/>
        </w:rPr>
        <w:footnoteReference w:id="47"/>
      </w:r>
      <w:r w:rsidRPr="00E3559F">
        <w:rPr>
          <w:sz w:val="20"/>
          <w:szCs w:val="20"/>
        </w:rPr>
        <w:t>.</w:t>
      </w:r>
      <w:r w:rsidR="004C06D9" w:rsidRPr="00E3559F">
        <w:rPr>
          <w:sz w:val="20"/>
          <w:szCs w:val="20"/>
        </w:rPr>
        <w:t xml:space="preserve"> Por otro lado, en relación con el segundo alegato efectuado (la existencia de un vicio </w:t>
      </w:r>
      <w:r w:rsidR="004C06D9" w:rsidRPr="00E3559F">
        <w:rPr>
          <w:i/>
          <w:iCs/>
          <w:sz w:val="20"/>
          <w:szCs w:val="20"/>
        </w:rPr>
        <w:t>in procedendo</w:t>
      </w:r>
      <w:r w:rsidR="004C06D9" w:rsidRPr="00E3559F">
        <w:rPr>
          <w:sz w:val="20"/>
          <w:szCs w:val="20"/>
        </w:rPr>
        <w:t>) la Sala Penal señaló que “[c]</w:t>
      </w:r>
      <w:r w:rsidR="00FB2145" w:rsidRPr="00E3559F">
        <w:rPr>
          <w:sz w:val="20"/>
          <w:szCs w:val="20"/>
        </w:rPr>
        <w:t>onforme a la invariable jurisprudencia de esta Sala, el recurso debe exponer un agravio con sustento veraz en las constancias de la causa, de modo que si estas son parcializadas, ignoradas o modificadas y sobre tales alteraciones se construye un gravamen, prescindiendo de los actos procesales tal como han sido realizados, la impugnación no es viable formalmente</w:t>
      </w:r>
      <w:r w:rsidR="004C06D9" w:rsidRPr="00E3559F">
        <w:rPr>
          <w:sz w:val="20"/>
          <w:szCs w:val="20"/>
        </w:rPr>
        <w:t>”</w:t>
      </w:r>
      <w:r w:rsidR="004C06D9" w:rsidRPr="00E3559F">
        <w:rPr>
          <w:rStyle w:val="Refdenotaalpie"/>
          <w:sz w:val="20"/>
          <w:szCs w:val="20"/>
        </w:rPr>
        <w:footnoteReference w:id="48"/>
      </w:r>
      <w:r w:rsidR="00FB2145" w:rsidRPr="00E3559F">
        <w:rPr>
          <w:sz w:val="20"/>
          <w:szCs w:val="20"/>
        </w:rPr>
        <w:t>.</w:t>
      </w:r>
    </w:p>
    <w:p w14:paraId="7C59E493" w14:textId="77777777" w:rsidR="00BD7ACB" w:rsidRPr="00E3559F" w:rsidRDefault="00BD7ACB" w:rsidP="00BD7ACB">
      <w:pPr>
        <w:tabs>
          <w:tab w:val="left" w:pos="567"/>
        </w:tabs>
        <w:spacing w:line="240" w:lineRule="auto"/>
        <w:ind w:left="720" w:right="630"/>
        <w:rPr>
          <w:sz w:val="20"/>
          <w:szCs w:val="20"/>
        </w:rPr>
      </w:pPr>
    </w:p>
    <w:p w14:paraId="210BB8B3" w14:textId="750883E8" w:rsidR="00BD7ACB" w:rsidRPr="00E3559F" w:rsidRDefault="004C06D9" w:rsidP="005E60A3">
      <w:pPr>
        <w:numPr>
          <w:ilvl w:val="0"/>
          <w:numId w:val="1"/>
        </w:numPr>
        <w:tabs>
          <w:tab w:val="left" w:pos="567"/>
          <w:tab w:val="num" w:pos="12305"/>
        </w:tabs>
        <w:spacing w:line="240" w:lineRule="auto"/>
        <w:ind w:left="0" w:firstLine="0"/>
        <w:rPr>
          <w:rFonts w:eastAsiaTheme="minorHAnsi" w:cs="Courier"/>
          <w:sz w:val="20"/>
          <w:szCs w:val="20"/>
          <w:lang w:val="es-ES_tradnl" w:eastAsia="en-US"/>
        </w:rPr>
      </w:pPr>
      <w:r w:rsidRPr="00E3559F">
        <w:rPr>
          <w:sz w:val="20"/>
          <w:szCs w:val="20"/>
        </w:rPr>
        <w:t>Con respecto al recurso interpuesto por</w:t>
      </w:r>
      <w:r w:rsidR="00BD7ACB" w:rsidRPr="00E3559F">
        <w:rPr>
          <w:sz w:val="20"/>
          <w:szCs w:val="20"/>
        </w:rPr>
        <w:t xml:space="preserve"> el señor del Valle Ambrosio</w:t>
      </w:r>
      <w:r w:rsidR="00DB788E" w:rsidRPr="00E3559F">
        <w:rPr>
          <w:sz w:val="20"/>
          <w:szCs w:val="20"/>
        </w:rPr>
        <w:t>,</w:t>
      </w:r>
      <w:r w:rsidR="00BD7ACB" w:rsidRPr="00E3559F">
        <w:rPr>
          <w:sz w:val="20"/>
          <w:szCs w:val="20"/>
        </w:rPr>
        <w:t xml:space="preserve"> </w:t>
      </w:r>
      <w:r w:rsidRPr="00E3559F">
        <w:rPr>
          <w:sz w:val="20"/>
          <w:szCs w:val="20"/>
        </w:rPr>
        <w:t xml:space="preserve">la Corte </w:t>
      </w:r>
      <w:r w:rsidR="00B5180B" w:rsidRPr="00E3559F">
        <w:rPr>
          <w:sz w:val="20"/>
          <w:szCs w:val="20"/>
        </w:rPr>
        <w:t>recuerda</w:t>
      </w:r>
      <w:r w:rsidRPr="00E3559F">
        <w:rPr>
          <w:sz w:val="20"/>
          <w:szCs w:val="20"/>
        </w:rPr>
        <w:t xml:space="preserve"> que el mismo alegaba que en la sentencia condenatoria impugnada </w:t>
      </w:r>
      <w:r w:rsidR="00BD7ACB" w:rsidRPr="00E3559F">
        <w:rPr>
          <w:sz w:val="20"/>
          <w:szCs w:val="20"/>
        </w:rPr>
        <w:t>se había aplicado erróneamente la ley sustantiva</w:t>
      </w:r>
      <w:r w:rsidR="00BD7ACB" w:rsidRPr="00E3559F">
        <w:rPr>
          <w:rStyle w:val="Refdenotaalpie"/>
          <w:sz w:val="20"/>
          <w:szCs w:val="20"/>
        </w:rPr>
        <w:footnoteReference w:id="49"/>
      </w:r>
      <w:r w:rsidR="00BD7ACB" w:rsidRPr="00E3559F">
        <w:rPr>
          <w:sz w:val="20"/>
          <w:szCs w:val="20"/>
        </w:rPr>
        <w:t xml:space="preserve">, y que “no se observ[aron] las reglas de la sana crítica racional, con respecto a </w:t>
      </w:r>
      <w:r w:rsidR="00BD7ACB" w:rsidRPr="00E3559F">
        <w:rPr>
          <w:sz w:val="20"/>
          <w:szCs w:val="20"/>
        </w:rPr>
        <w:lastRenderedPageBreak/>
        <w:t>elementos probatorios de valor decisivo”</w:t>
      </w:r>
      <w:r w:rsidR="00BD7ACB" w:rsidRPr="00E3559F">
        <w:rPr>
          <w:rStyle w:val="Refdenotaalpie"/>
          <w:sz w:val="20"/>
          <w:szCs w:val="20"/>
        </w:rPr>
        <w:footnoteReference w:id="50"/>
      </w:r>
      <w:r w:rsidR="00BD7ACB" w:rsidRPr="00E3559F">
        <w:rPr>
          <w:sz w:val="20"/>
          <w:szCs w:val="20"/>
        </w:rPr>
        <w:t>.</w:t>
      </w:r>
      <w:r w:rsidR="007466CC" w:rsidRPr="00E3559F">
        <w:rPr>
          <w:sz w:val="20"/>
          <w:szCs w:val="20"/>
        </w:rPr>
        <w:t xml:space="preserve"> </w:t>
      </w:r>
      <w:r w:rsidR="005E60A3" w:rsidRPr="00E3559F">
        <w:rPr>
          <w:sz w:val="20"/>
          <w:szCs w:val="20"/>
        </w:rPr>
        <w:t>En particular, la defensa cuestionó</w:t>
      </w:r>
      <w:r w:rsidR="00371219" w:rsidRPr="00E3559F">
        <w:rPr>
          <w:sz w:val="20"/>
          <w:szCs w:val="20"/>
        </w:rPr>
        <w:t xml:space="preserve"> en primer lugar</w:t>
      </w:r>
      <w:r w:rsidR="005E60A3" w:rsidRPr="00E3559F">
        <w:rPr>
          <w:sz w:val="20"/>
          <w:szCs w:val="20"/>
        </w:rPr>
        <w:t xml:space="preserve"> la motivación brindada por la sentencia objeto de recurso sobre la acreditación de la tipicidad, calificándola de arbitraria y afirmando</w:t>
      </w:r>
      <w:r w:rsidR="005E60A3" w:rsidRPr="00E3559F">
        <w:rPr>
          <w:rFonts w:eastAsiaTheme="minorHAnsi" w:cs="Courier"/>
          <w:sz w:val="20"/>
          <w:szCs w:val="20"/>
          <w:lang w:val="es-ES_tradnl" w:eastAsia="en-US"/>
        </w:rPr>
        <w:t xml:space="preserve"> que la sentencia “pretend[ía] tener por comprobada la configuración por parte de los imputados de una “sociedad </w:t>
      </w:r>
      <w:r w:rsidR="005E60A3" w:rsidRPr="00E3559F">
        <w:rPr>
          <w:rFonts w:eastAsiaTheme="minorHAnsi" w:cs="Courier"/>
          <w:i/>
          <w:iCs/>
          <w:sz w:val="20"/>
          <w:szCs w:val="20"/>
          <w:lang w:val="es-ES_tradnl" w:eastAsia="en-US"/>
        </w:rPr>
        <w:t>de</w:t>
      </w:r>
      <w:r w:rsidR="00B5180B" w:rsidRPr="00E3559F">
        <w:rPr>
          <w:rFonts w:eastAsiaTheme="minorHAnsi" w:cs="Courier"/>
          <w:i/>
          <w:iCs/>
          <w:sz w:val="20"/>
          <w:szCs w:val="20"/>
          <w:lang w:val="es-ES_tradnl" w:eastAsia="en-US"/>
        </w:rPr>
        <w:t>li</w:t>
      </w:r>
      <w:r w:rsidR="005E60A3" w:rsidRPr="00E3559F">
        <w:rPr>
          <w:rFonts w:eastAsiaTheme="minorHAnsi" w:cs="Courier"/>
          <w:i/>
          <w:iCs/>
          <w:sz w:val="20"/>
          <w:szCs w:val="20"/>
          <w:lang w:val="es-ES_tradnl" w:eastAsia="en-US"/>
        </w:rPr>
        <w:t>nquentum</w:t>
      </w:r>
      <w:r w:rsidR="005E60A3" w:rsidRPr="00E3559F">
        <w:rPr>
          <w:rFonts w:eastAsiaTheme="minorHAnsi" w:cs="Courier"/>
          <w:sz w:val="20"/>
          <w:szCs w:val="20"/>
          <w:lang w:val="es-ES_tradnl" w:eastAsia="en-US"/>
        </w:rPr>
        <w:t xml:space="preserve">”, sin tener para ello nada más que una supuesta amistad y también supuesta relación laboral, con algunos de los que participaron en la tramitación del crédito, y ninguno de ellos con facultad independiente para hacerlo”. Destacó además que el tribunal </w:t>
      </w:r>
      <w:r w:rsidR="00B5180B" w:rsidRPr="00E3559F">
        <w:rPr>
          <w:rFonts w:eastAsiaTheme="minorHAnsi" w:cs="Courier"/>
          <w:i/>
          <w:iCs/>
          <w:sz w:val="20"/>
          <w:szCs w:val="20"/>
          <w:lang w:val="es-ES_tradnl" w:eastAsia="en-US"/>
        </w:rPr>
        <w:t>a quo</w:t>
      </w:r>
      <w:r w:rsidR="00B5180B" w:rsidRPr="00E3559F">
        <w:rPr>
          <w:rFonts w:eastAsiaTheme="minorHAnsi" w:cs="Courier"/>
          <w:sz w:val="20"/>
          <w:szCs w:val="20"/>
          <w:lang w:val="es-ES_tradnl" w:eastAsia="en-US"/>
        </w:rPr>
        <w:t xml:space="preserve"> </w:t>
      </w:r>
      <w:r w:rsidR="005E60A3" w:rsidRPr="00E3559F">
        <w:rPr>
          <w:rFonts w:eastAsiaTheme="minorHAnsi" w:cs="Courier"/>
          <w:sz w:val="20"/>
          <w:szCs w:val="20"/>
          <w:lang w:val="es-ES_tradnl" w:eastAsia="en-US"/>
        </w:rPr>
        <w:t xml:space="preserve">trató “todas y cada una de las pruebas de cargo concernientes a la </w:t>
      </w:r>
      <w:r w:rsidR="005E60A3" w:rsidRPr="00E3559F">
        <w:rPr>
          <w:sz w:val="20"/>
          <w:szCs w:val="20"/>
        </w:rPr>
        <w:t>connivencia</w:t>
      </w:r>
      <w:r w:rsidR="005E60A3" w:rsidRPr="00E3559F">
        <w:rPr>
          <w:rFonts w:eastAsiaTheme="minorHAnsi" w:cs="Courier"/>
          <w:sz w:val="20"/>
          <w:szCs w:val="20"/>
          <w:lang w:val="es-ES_tradnl" w:eastAsia="en-US"/>
        </w:rPr>
        <w:t xml:space="preserve"> entre los imputados, pero no trató o lo hizo en forma breve, respecto de la importante prueba de descargo, forzándose con ello la inclusión de la conducta de su representado en una figura penal</w:t>
      </w:r>
      <w:r w:rsidR="00371219" w:rsidRPr="00E3559F">
        <w:rPr>
          <w:rFonts w:eastAsiaTheme="minorHAnsi" w:cs="Courier"/>
          <w:sz w:val="20"/>
          <w:szCs w:val="20"/>
          <w:lang w:val="es-ES_tradnl" w:eastAsia="en-US"/>
        </w:rPr>
        <w:t>”</w:t>
      </w:r>
      <w:r w:rsidR="005E60A3" w:rsidRPr="00E3559F">
        <w:rPr>
          <w:sz w:val="20"/>
          <w:szCs w:val="20"/>
        </w:rPr>
        <w:t>.</w:t>
      </w:r>
      <w:r w:rsidR="00371219" w:rsidRPr="00E3559F">
        <w:rPr>
          <w:sz w:val="20"/>
          <w:szCs w:val="20"/>
        </w:rPr>
        <w:t xml:space="preserve"> Asimismo, a la vista de que las pruebas fueron “valoradas erróneamente”, se “forza[ron] los hechos para incluirlos en la calificación de un delito para el que no se enc[ontraban] reunidos los elementos constitutivos del tipo penal”. Por último, la defensa también cuestionó la aplicación de la pena, por entenderla “excesiva” y que “adole[cía] de falta de motivación”</w:t>
      </w:r>
      <w:r w:rsidR="00371219" w:rsidRPr="00E3559F">
        <w:rPr>
          <w:rStyle w:val="Refdenotaalpie"/>
          <w:sz w:val="20"/>
          <w:szCs w:val="20"/>
        </w:rPr>
        <w:footnoteReference w:id="51"/>
      </w:r>
      <w:r w:rsidR="00371219" w:rsidRPr="00E3559F">
        <w:rPr>
          <w:sz w:val="20"/>
          <w:szCs w:val="20"/>
        </w:rPr>
        <w:t>.</w:t>
      </w:r>
    </w:p>
    <w:p w14:paraId="3CC8206D" w14:textId="258FAC70" w:rsidR="005E60A3" w:rsidRPr="00E3559F" w:rsidRDefault="005E60A3" w:rsidP="005E60A3">
      <w:pPr>
        <w:tabs>
          <w:tab w:val="left" w:pos="567"/>
        </w:tabs>
        <w:spacing w:line="240" w:lineRule="auto"/>
        <w:rPr>
          <w:sz w:val="20"/>
          <w:szCs w:val="20"/>
        </w:rPr>
      </w:pPr>
    </w:p>
    <w:p w14:paraId="4C5D2BA6" w14:textId="3B0FEEC9" w:rsidR="00C951FA" w:rsidRPr="00E3559F" w:rsidRDefault="00C951FA" w:rsidP="00C951FA">
      <w:pPr>
        <w:numPr>
          <w:ilvl w:val="0"/>
          <w:numId w:val="1"/>
        </w:numPr>
        <w:tabs>
          <w:tab w:val="left" w:pos="567"/>
          <w:tab w:val="num" w:pos="12305"/>
        </w:tabs>
        <w:spacing w:line="240" w:lineRule="auto"/>
        <w:ind w:left="0" w:firstLine="0"/>
        <w:rPr>
          <w:sz w:val="20"/>
          <w:szCs w:val="20"/>
        </w:rPr>
      </w:pPr>
      <w:r w:rsidRPr="00E3559F">
        <w:rPr>
          <w:sz w:val="20"/>
          <w:szCs w:val="20"/>
        </w:rPr>
        <w:t xml:space="preserve">En cuanto a la respuesta brindada por el </w:t>
      </w:r>
      <w:r>
        <w:rPr>
          <w:sz w:val="20"/>
          <w:szCs w:val="20"/>
        </w:rPr>
        <w:t xml:space="preserve">tribunal </w:t>
      </w:r>
      <w:r w:rsidRPr="00101454">
        <w:rPr>
          <w:i/>
          <w:sz w:val="20"/>
          <w:szCs w:val="20"/>
        </w:rPr>
        <w:t>a</w:t>
      </w:r>
      <w:r>
        <w:rPr>
          <w:i/>
          <w:sz w:val="20"/>
          <w:szCs w:val="20"/>
        </w:rPr>
        <w:t>d</w:t>
      </w:r>
      <w:r w:rsidRPr="00101454">
        <w:rPr>
          <w:i/>
          <w:sz w:val="20"/>
          <w:szCs w:val="20"/>
        </w:rPr>
        <w:t xml:space="preserve"> quem</w:t>
      </w:r>
      <w:r w:rsidRPr="00E3559F">
        <w:rPr>
          <w:sz w:val="20"/>
          <w:szCs w:val="20"/>
        </w:rPr>
        <w:t>, la Corte primeramente nota que</w:t>
      </w:r>
      <w:r>
        <w:rPr>
          <w:sz w:val="20"/>
          <w:szCs w:val="20"/>
        </w:rPr>
        <w:t>,</w:t>
      </w:r>
      <w:r w:rsidRPr="00E3559F">
        <w:rPr>
          <w:sz w:val="20"/>
          <w:szCs w:val="20"/>
        </w:rPr>
        <w:t xml:space="preserve"> el 17 de diciembre de 1998</w:t>
      </w:r>
      <w:r>
        <w:rPr>
          <w:sz w:val="20"/>
          <w:szCs w:val="20"/>
        </w:rPr>
        <w:t>,</w:t>
      </w:r>
      <w:r w:rsidRPr="00E3559F">
        <w:rPr>
          <w:sz w:val="20"/>
          <w:szCs w:val="20"/>
        </w:rPr>
        <w:t xml:space="preserve"> la Sala Penal del TSJC declaró dicho recurso inadmisible en aplicación del ya citado artículo 455 del CPPC, lo que implicó -tal y como sucediera con el recurso interpuesto por la defensa del señor Domínguez Linares- un rechazo “</w:t>
      </w:r>
      <w:r w:rsidRPr="00E3559F">
        <w:rPr>
          <w:i/>
          <w:iCs/>
          <w:sz w:val="20"/>
          <w:szCs w:val="20"/>
        </w:rPr>
        <w:t>in limine</w:t>
      </w:r>
      <w:r w:rsidRPr="00E3559F">
        <w:rPr>
          <w:sz w:val="20"/>
          <w:szCs w:val="20"/>
        </w:rPr>
        <w:t xml:space="preserve">” que además inhibió al </w:t>
      </w:r>
      <w:r>
        <w:rPr>
          <w:sz w:val="20"/>
          <w:szCs w:val="20"/>
        </w:rPr>
        <w:t>t</w:t>
      </w:r>
      <w:r w:rsidRPr="00E3559F">
        <w:rPr>
          <w:sz w:val="20"/>
          <w:szCs w:val="20"/>
        </w:rPr>
        <w:t xml:space="preserve">ribunal </w:t>
      </w:r>
      <w:r w:rsidRPr="00E3559F">
        <w:rPr>
          <w:i/>
          <w:iCs/>
          <w:sz w:val="20"/>
          <w:szCs w:val="20"/>
        </w:rPr>
        <w:t>ad quem</w:t>
      </w:r>
      <w:r w:rsidRPr="00E3559F">
        <w:rPr>
          <w:sz w:val="20"/>
          <w:szCs w:val="20"/>
        </w:rPr>
        <w:t xml:space="preserve"> de entrar en el fondo de las cuestiones planteadas. En particular, dicha Sala cuestionó la valoración de hechos realizada por la defensa del señor Valle Ambrosio, por haberlos, según esta, ignorado, parcializado o modificado: </w:t>
      </w:r>
    </w:p>
    <w:p w14:paraId="1CE4F9C7" w14:textId="214598DE" w:rsidR="00327B35" w:rsidRPr="00E3559F" w:rsidRDefault="00327B35" w:rsidP="00327B35">
      <w:pPr>
        <w:tabs>
          <w:tab w:val="left" w:pos="567"/>
        </w:tabs>
        <w:spacing w:line="240" w:lineRule="auto"/>
        <w:rPr>
          <w:sz w:val="20"/>
          <w:szCs w:val="20"/>
        </w:rPr>
      </w:pPr>
    </w:p>
    <w:p w14:paraId="04F9DE7A" w14:textId="651CDA07" w:rsidR="00327B35" w:rsidRPr="00E3559F" w:rsidRDefault="00327B35" w:rsidP="00DC1326">
      <w:pPr>
        <w:tabs>
          <w:tab w:val="left" w:pos="567"/>
        </w:tabs>
        <w:spacing w:line="240" w:lineRule="auto"/>
        <w:ind w:left="567" w:right="724"/>
        <w:rPr>
          <w:rFonts w:eastAsiaTheme="minorHAnsi" w:cs="Courier"/>
          <w:sz w:val="18"/>
          <w:szCs w:val="18"/>
          <w:lang w:val="es-ES_tradnl" w:eastAsia="en-US"/>
        </w:rPr>
      </w:pPr>
      <w:r w:rsidRPr="00E3559F">
        <w:rPr>
          <w:rFonts w:eastAsiaTheme="minorHAnsi" w:cs="Courier"/>
          <w:sz w:val="18"/>
          <w:szCs w:val="18"/>
          <w:lang w:val="es-ES_tradnl" w:eastAsia="en-US"/>
        </w:rPr>
        <w:t>De la lectura integral de la sentencia, como una unidad […], emergen las siguientes circunstancias fácticas que el tribunal de juicio dio por ciertas, conforme a la valoración del cuadro probatorio seleccionado y valorado, las que constituyeron el soporte de hecho en base al cual calificó legalmente el obrar de Ambrosio como cómplice necesario de delito de defraudación calificada por administración fraudulenta (fs. 662/664), del cual el impugnante prescinde sea porque los ignora, parcializa o modifica</w:t>
      </w:r>
      <w:r w:rsidR="00DC1326" w:rsidRPr="00E3559F">
        <w:rPr>
          <w:rStyle w:val="Refdenotaalpie"/>
          <w:rFonts w:eastAsiaTheme="minorHAnsi" w:cs="Courier"/>
          <w:sz w:val="18"/>
          <w:szCs w:val="18"/>
          <w:lang w:val="es-ES_tradnl" w:eastAsia="en-US"/>
        </w:rPr>
        <w:footnoteReference w:id="52"/>
      </w:r>
      <w:r w:rsidR="00650958" w:rsidRPr="00E3559F">
        <w:rPr>
          <w:rFonts w:eastAsiaTheme="minorHAnsi" w:cs="Courier"/>
          <w:sz w:val="18"/>
          <w:szCs w:val="18"/>
          <w:lang w:val="es-ES_tradnl" w:eastAsia="en-US"/>
        </w:rPr>
        <w:t>.</w:t>
      </w:r>
    </w:p>
    <w:p w14:paraId="72001B6F" w14:textId="21B37D26" w:rsidR="00371219" w:rsidRPr="00E3559F" w:rsidRDefault="00371219" w:rsidP="00371219">
      <w:pPr>
        <w:tabs>
          <w:tab w:val="left" w:pos="567"/>
        </w:tabs>
        <w:spacing w:line="240" w:lineRule="auto"/>
        <w:rPr>
          <w:sz w:val="20"/>
          <w:szCs w:val="20"/>
        </w:rPr>
      </w:pPr>
    </w:p>
    <w:p w14:paraId="7DD4DEFC" w14:textId="2D1CACB6" w:rsidR="00371219" w:rsidRPr="00E3559F" w:rsidRDefault="00327B35" w:rsidP="00DC1326">
      <w:pPr>
        <w:numPr>
          <w:ilvl w:val="0"/>
          <w:numId w:val="1"/>
        </w:numPr>
        <w:tabs>
          <w:tab w:val="left" w:pos="567"/>
          <w:tab w:val="num" w:pos="12305"/>
        </w:tabs>
        <w:spacing w:line="240" w:lineRule="auto"/>
        <w:ind w:left="0" w:firstLine="0"/>
        <w:rPr>
          <w:sz w:val="20"/>
          <w:szCs w:val="20"/>
        </w:rPr>
      </w:pPr>
      <w:r w:rsidRPr="00E3559F">
        <w:rPr>
          <w:sz w:val="20"/>
          <w:szCs w:val="20"/>
        </w:rPr>
        <w:t xml:space="preserve">La Corte </w:t>
      </w:r>
      <w:r w:rsidR="00B81F7C" w:rsidRPr="00E3559F">
        <w:rPr>
          <w:sz w:val="20"/>
          <w:szCs w:val="20"/>
        </w:rPr>
        <w:t>advierte</w:t>
      </w:r>
      <w:r w:rsidRPr="00E3559F">
        <w:rPr>
          <w:sz w:val="20"/>
          <w:szCs w:val="20"/>
        </w:rPr>
        <w:t xml:space="preserve"> que, tal y como argumentó el Estado, la Sala Penal del TSJC reprochó al recurrente haber </w:t>
      </w:r>
      <w:r w:rsidR="00DC1326" w:rsidRPr="00E3559F">
        <w:rPr>
          <w:sz w:val="20"/>
          <w:szCs w:val="20"/>
        </w:rPr>
        <w:t xml:space="preserve">incurrido en ciertos errores de fundamentación y, en particular, de falta de concordancia entre los argumentos esgrimidos y dicha fundamentación, así como del correcto desarrollo de dichos argumentos. No </w:t>
      </w:r>
      <w:proofErr w:type="gramStart"/>
      <w:r w:rsidR="00DC1326" w:rsidRPr="00E3559F">
        <w:rPr>
          <w:sz w:val="20"/>
          <w:szCs w:val="20"/>
        </w:rPr>
        <w:t>obstante</w:t>
      </w:r>
      <w:proofErr w:type="gramEnd"/>
      <w:r w:rsidR="00DC1326" w:rsidRPr="00E3559F">
        <w:rPr>
          <w:sz w:val="20"/>
          <w:szCs w:val="20"/>
        </w:rPr>
        <w:t xml:space="preserve"> lo anterior, la Sala Penal del TSJC refut</w:t>
      </w:r>
      <w:r w:rsidR="00F25B2D" w:rsidRPr="00E3559F">
        <w:rPr>
          <w:sz w:val="20"/>
          <w:szCs w:val="20"/>
        </w:rPr>
        <w:t>ó</w:t>
      </w:r>
      <w:r w:rsidR="00DC1326" w:rsidRPr="00E3559F">
        <w:rPr>
          <w:sz w:val="20"/>
          <w:szCs w:val="20"/>
        </w:rPr>
        <w:t xml:space="preserve"> los hechos y argumentos esgrimidos por el recurrente con base</w:t>
      </w:r>
      <w:r w:rsidR="00F25B2D" w:rsidRPr="00E3559F">
        <w:rPr>
          <w:sz w:val="20"/>
          <w:szCs w:val="20"/>
        </w:rPr>
        <w:t xml:space="preserve"> estrictamente</w:t>
      </w:r>
      <w:r w:rsidR="00DC1326" w:rsidRPr="00E3559F">
        <w:rPr>
          <w:sz w:val="20"/>
          <w:szCs w:val="20"/>
        </w:rPr>
        <w:t xml:space="preserve"> en </w:t>
      </w:r>
      <w:r w:rsidR="00F25B2D" w:rsidRPr="00E3559F">
        <w:rPr>
          <w:sz w:val="20"/>
          <w:szCs w:val="20"/>
        </w:rPr>
        <w:t>las cuestiones fácticas establecidas previamente</w:t>
      </w:r>
      <w:r w:rsidR="00DC1326" w:rsidRPr="00E3559F">
        <w:rPr>
          <w:sz w:val="20"/>
          <w:szCs w:val="20"/>
        </w:rPr>
        <w:t xml:space="preserve"> por la Cámara Novena del Crimen de Córdoba. En efecto, la Corte nota que la argumentación esgrimida por la Sala Penal del TSJC se basó exclusivamente en la transcripción de los hechos y la valoración jurídica </w:t>
      </w:r>
      <w:r w:rsidR="00F25B2D" w:rsidRPr="00E3559F">
        <w:rPr>
          <w:sz w:val="20"/>
          <w:szCs w:val="20"/>
        </w:rPr>
        <w:t xml:space="preserve">realizada </w:t>
      </w:r>
      <w:r w:rsidR="00DC1326" w:rsidRPr="00E3559F">
        <w:rPr>
          <w:sz w:val="20"/>
          <w:szCs w:val="20"/>
        </w:rPr>
        <w:t xml:space="preserve">por el juez </w:t>
      </w:r>
      <w:r w:rsidR="00DC1326" w:rsidRPr="00E3559F">
        <w:rPr>
          <w:i/>
          <w:iCs/>
          <w:sz w:val="20"/>
          <w:szCs w:val="20"/>
        </w:rPr>
        <w:t>a quo</w:t>
      </w:r>
      <w:r w:rsidR="00B768AB" w:rsidRPr="00E3559F">
        <w:rPr>
          <w:rStyle w:val="Refdenotaalpie"/>
          <w:i/>
          <w:iCs/>
          <w:sz w:val="20"/>
          <w:szCs w:val="20"/>
        </w:rPr>
        <w:footnoteReference w:id="53"/>
      </w:r>
      <w:r w:rsidR="00DC1326" w:rsidRPr="00E3559F">
        <w:rPr>
          <w:sz w:val="20"/>
          <w:szCs w:val="20"/>
        </w:rPr>
        <w:t xml:space="preserve">, lo cual implicó la imposibilidad por parte del juez </w:t>
      </w:r>
      <w:r w:rsidR="00DC1326" w:rsidRPr="00E3559F">
        <w:rPr>
          <w:i/>
          <w:iCs/>
          <w:sz w:val="20"/>
          <w:szCs w:val="20"/>
        </w:rPr>
        <w:t>ad quem</w:t>
      </w:r>
      <w:r w:rsidR="00DC1326" w:rsidRPr="00E3559F">
        <w:rPr>
          <w:sz w:val="20"/>
          <w:szCs w:val="20"/>
        </w:rPr>
        <w:t xml:space="preserve"> de realizar una revisión fáctica y jurídica de los hechos del caso.</w:t>
      </w:r>
    </w:p>
    <w:p w14:paraId="159C3766" w14:textId="77777777" w:rsidR="00371219" w:rsidRPr="00E3559F" w:rsidRDefault="00371219" w:rsidP="00371219">
      <w:pPr>
        <w:tabs>
          <w:tab w:val="left" w:pos="567"/>
        </w:tabs>
        <w:spacing w:line="240" w:lineRule="auto"/>
        <w:rPr>
          <w:sz w:val="20"/>
          <w:szCs w:val="20"/>
        </w:rPr>
      </w:pPr>
    </w:p>
    <w:p w14:paraId="02D20CA7" w14:textId="0C05C32A" w:rsidR="00057611" w:rsidRPr="00E3559F" w:rsidRDefault="005F36A1" w:rsidP="00057611">
      <w:pPr>
        <w:numPr>
          <w:ilvl w:val="0"/>
          <w:numId w:val="1"/>
        </w:numPr>
        <w:tabs>
          <w:tab w:val="left" w:pos="567"/>
          <w:tab w:val="num" w:pos="12305"/>
        </w:tabs>
        <w:spacing w:line="240" w:lineRule="auto"/>
        <w:ind w:left="0" w:firstLine="0"/>
        <w:rPr>
          <w:sz w:val="20"/>
          <w:szCs w:val="20"/>
        </w:rPr>
      </w:pPr>
      <w:r w:rsidRPr="00E3559F">
        <w:rPr>
          <w:sz w:val="20"/>
          <w:szCs w:val="20"/>
        </w:rPr>
        <w:lastRenderedPageBreak/>
        <w:t>A la vista de lo anteriormente expuesto, la Corte observa que el aspecto central de las defensa</w:t>
      </w:r>
      <w:r w:rsidR="00A27ABA" w:rsidRPr="00E3559F">
        <w:rPr>
          <w:sz w:val="20"/>
          <w:szCs w:val="20"/>
        </w:rPr>
        <w:t>s</w:t>
      </w:r>
      <w:r w:rsidRPr="00E3559F">
        <w:rPr>
          <w:sz w:val="20"/>
          <w:szCs w:val="20"/>
        </w:rPr>
        <w:t xml:space="preserve"> de los señores del Valle Ambrosio y Domínguez Linares estuvo conformado</w:t>
      </w:r>
      <w:r w:rsidR="00E93AE2" w:rsidRPr="00E3559F">
        <w:rPr>
          <w:sz w:val="20"/>
          <w:szCs w:val="20"/>
        </w:rPr>
        <w:t xml:space="preserve">, </w:t>
      </w:r>
      <w:r w:rsidR="00E93AE2" w:rsidRPr="00E3559F">
        <w:rPr>
          <w:i/>
          <w:iCs/>
          <w:sz w:val="20"/>
          <w:szCs w:val="20"/>
        </w:rPr>
        <w:t>inter alia</w:t>
      </w:r>
      <w:r w:rsidR="00E93AE2" w:rsidRPr="00E3559F">
        <w:rPr>
          <w:sz w:val="20"/>
          <w:szCs w:val="20"/>
        </w:rPr>
        <w:t>,</w:t>
      </w:r>
      <w:r w:rsidRPr="00E3559F">
        <w:rPr>
          <w:sz w:val="20"/>
          <w:szCs w:val="20"/>
        </w:rPr>
        <w:t xml:space="preserve"> por una serie de argumentos dirigidos a cuestionar la valoración que la Cámara Novena del Crimen de Córdoba había realizado de los hechos del caso y de cómo estos se adecuaban o no a la modalidad dolosa de la comisión del delito de defraudación por administración fraudulenta calificada. </w:t>
      </w:r>
      <w:r w:rsidR="00E93AE2" w:rsidRPr="00E3559F">
        <w:rPr>
          <w:sz w:val="20"/>
          <w:szCs w:val="20"/>
        </w:rPr>
        <w:t xml:space="preserve">No obstante, la propia regulación del recurso de casación y la doctrina judicial que le precedía impidió al tribunal </w:t>
      </w:r>
      <w:r w:rsidR="00E93AE2" w:rsidRPr="00E3559F">
        <w:rPr>
          <w:i/>
          <w:iCs/>
          <w:sz w:val="20"/>
          <w:szCs w:val="20"/>
        </w:rPr>
        <w:t>ad quem</w:t>
      </w:r>
      <w:r w:rsidR="00E93AE2" w:rsidRPr="00E3559F">
        <w:rPr>
          <w:sz w:val="20"/>
          <w:szCs w:val="20"/>
        </w:rPr>
        <w:t xml:space="preserve"> apartarse de las conclusiones fácticas adoptadas por el tribunal </w:t>
      </w:r>
      <w:r w:rsidR="00E93AE2" w:rsidRPr="00E3559F">
        <w:rPr>
          <w:i/>
          <w:iCs/>
          <w:sz w:val="20"/>
          <w:szCs w:val="20"/>
        </w:rPr>
        <w:t>a quo</w:t>
      </w:r>
      <w:r w:rsidR="00E93AE2" w:rsidRPr="00E3559F">
        <w:rPr>
          <w:sz w:val="20"/>
          <w:szCs w:val="20"/>
        </w:rPr>
        <w:t xml:space="preserve"> y le llevó a declarar ambos recursos de casación inadmisibles, sin entrar en el fondo de las cuestiones planteadas. A este respecto, si bien </w:t>
      </w:r>
      <w:r w:rsidR="004E2C9D" w:rsidRPr="00E3559F">
        <w:rPr>
          <w:sz w:val="20"/>
          <w:szCs w:val="20"/>
        </w:rPr>
        <w:t>e</w:t>
      </w:r>
      <w:r w:rsidR="00E93AE2" w:rsidRPr="00E3559F">
        <w:rPr>
          <w:sz w:val="20"/>
          <w:szCs w:val="20"/>
        </w:rPr>
        <w:t xml:space="preserve">l Estado afirmó que los recursos de casación interpuestos </w:t>
      </w:r>
      <w:r w:rsidR="007466CC" w:rsidRPr="00E3559F">
        <w:rPr>
          <w:sz w:val="20"/>
          <w:szCs w:val="20"/>
        </w:rPr>
        <w:t xml:space="preserve">por las defensas de los señores del Valle Ambrosio y Domínguez Linares </w:t>
      </w:r>
      <w:r w:rsidR="00E93AE2" w:rsidRPr="00E3559F">
        <w:rPr>
          <w:sz w:val="20"/>
          <w:szCs w:val="20"/>
        </w:rPr>
        <w:t>fueron declarados inadmisibles debido a que no se hallaron debidamente fundamentados</w:t>
      </w:r>
      <w:r w:rsidR="004E2C9D" w:rsidRPr="00E3559F">
        <w:rPr>
          <w:sz w:val="20"/>
          <w:szCs w:val="20"/>
        </w:rPr>
        <w:t xml:space="preserve"> y que se omitieron plantear cuestiones de hecho y/o de prueba en sus impugnaciones</w:t>
      </w:r>
      <w:r w:rsidR="00E93AE2" w:rsidRPr="00E3559F">
        <w:rPr>
          <w:sz w:val="20"/>
          <w:szCs w:val="20"/>
        </w:rPr>
        <w:t xml:space="preserve">, la Corte </w:t>
      </w:r>
      <w:r w:rsidR="00B81F7C" w:rsidRPr="00E3559F">
        <w:rPr>
          <w:sz w:val="20"/>
          <w:szCs w:val="20"/>
        </w:rPr>
        <w:t>advierte</w:t>
      </w:r>
      <w:r w:rsidR="00E93AE2" w:rsidRPr="00E3559F">
        <w:rPr>
          <w:sz w:val="20"/>
          <w:szCs w:val="20"/>
        </w:rPr>
        <w:t xml:space="preserve"> que</w:t>
      </w:r>
      <w:r w:rsidR="004E2C9D" w:rsidRPr="00E3559F">
        <w:rPr>
          <w:sz w:val="20"/>
          <w:szCs w:val="20"/>
        </w:rPr>
        <w:t xml:space="preserve"> </w:t>
      </w:r>
      <w:r w:rsidR="00E93AE2" w:rsidRPr="00E3559F">
        <w:rPr>
          <w:sz w:val="20"/>
          <w:szCs w:val="20"/>
        </w:rPr>
        <w:t xml:space="preserve">la razón por la cual </w:t>
      </w:r>
      <w:r w:rsidR="004E2C9D" w:rsidRPr="00E3559F">
        <w:rPr>
          <w:sz w:val="20"/>
          <w:szCs w:val="20"/>
        </w:rPr>
        <w:t>dichos recursos</w:t>
      </w:r>
      <w:r w:rsidR="00E93AE2" w:rsidRPr="00E3559F">
        <w:rPr>
          <w:sz w:val="20"/>
          <w:szCs w:val="20"/>
        </w:rPr>
        <w:t xml:space="preserve"> fueron declarados inadmisibles se debió</w:t>
      </w:r>
      <w:r w:rsidR="002D6698">
        <w:rPr>
          <w:sz w:val="20"/>
          <w:szCs w:val="20"/>
        </w:rPr>
        <w:t>,</w:t>
      </w:r>
      <w:r w:rsidR="00E93AE2" w:rsidRPr="00E3559F">
        <w:rPr>
          <w:sz w:val="20"/>
          <w:szCs w:val="20"/>
        </w:rPr>
        <w:t xml:space="preserve"> principalmente</w:t>
      </w:r>
      <w:r w:rsidR="002D6698">
        <w:rPr>
          <w:sz w:val="20"/>
          <w:szCs w:val="20"/>
        </w:rPr>
        <w:t>,</w:t>
      </w:r>
      <w:r w:rsidR="00E93AE2" w:rsidRPr="00E3559F">
        <w:rPr>
          <w:sz w:val="20"/>
          <w:szCs w:val="20"/>
        </w:rPr>
        <w:t xml:space="preserve"> a la imposibilidad por parte del tribunal </w:t>
      </w:r>
      <w:r w:rsidR="00E93AE2" w:rsidRPr="00E3559F">
        <w:rPr>
          <w:i/>
          <w:iCs/>
          <w:sz w:val="20"/>
          <w:szCs w:val="20"/>
        </w:rPr>
        <w:t>ad quem</w:t>
      </w:r>
      <w:r w:rsidR="00E93AE2" w:rsidRPr="00E3559F">
        <w:rPr>
          <w:sz w:val="20"/>
          <w:szCs w:val="20"/>
        </w:rPr>
        <w:t xml:space="preserve"> de revisar los elementos fácticos declarados probados en la sentencia de primera instancia</w:t>
      </w:r>
      <w:r w:rsidR="007923E8" w:rsidRPr="00E3559F">
        <w:rPr>
          <w:sz w:val="20"/>
          <w:szCs w:val="20"/>
        </w:rPr>
        <w:t xml:space="preserve"> para poder </w:t>
      </w:r>
      <w:r w:rsidR="007466CC" w:rsidRPr="00E3559F">
        <w:rPr>
          <w:sz w:val="20"/>
          <w:szCs w:val="20"/>
        </w:rPr>
        <w:t xml:space="preserve">así </w:t>
      </w:r>
      <w:r w:rsidR="007923E8" w:rsidRPr="00E3559F">
        <w:rPr>
          <w:sz w:val="20"/>
          <w:szCs w:val="20"/>
        </w:rPr>
        <w:t>enfrentar los alegatos esgrimidos por cada recurrente</w:t>
      </w:r>
      <w:r w:rsidR="00E93AE2" w:rsidRPr="00E3559F">
        <w:rPr>
          <w:sz w:val="20"/>
          <w:szCs w:val="20"/>
        </w:rPr>
        <w:t>.</w:t>
      </w:r>
    </w:p>
    <w:p w14:paraId="0E841198" w14:textId="77777777" w:rsidR="00C46F57" w:rsidRPr="00E3559F" w:rsidRDefault="00C46F57" w:rsidP="00C46F57">
      <w:pPr>
        <w:tabs>
          <w:tab w:val="left" w:pos="567"/>
        </w:tabs>
        <w:spacing w:line="240" w:lineRule="auto"/>
        <w:rPr>
          <w:sz w:val="20"/>
          <w:szCs w:val="20"/>
        </w:rPr>
      </w:pPr>
    </w:p>
    <w:p w14:paraId="3B491EA1" w14:textId="1C75782D" w:rsidR="00C951FA" w:rsidRDefault="00C46F57" w:rsidP="004122AF">
      <w:pPr>
        <w:numPr>
          <w:ilvl w:val="0"/>
          <w:numId w:val="1"/>
        </w:numPr>
        <w:tabs>
          <w:tab w:val="left" w:pos="567"/>
          <w:tab w:val="num" w:pos="12305"/>
        </w:tabs>
        <w:spacing w:line="240" w:lineRule="auto"/>
        <w:ind w:left="0" w:firstLine="0"/>
        <w:rPr>
          <w:sz w:val="20"/>
          <w:szCs w:val="20"/>
        </w:rPr>
      </w:pPr>
      <w:r w:rsidRPr="00E3559F">
        <w:rPr>
          <w:sz w:val="20"/>
          <w:szCs w:val="20"/>
        </w:rPr>
        <w:t xml:space="preserve">Por último, la Corte </w:t>
      </w:r>
      <w:r w:rsidR="00A96C2D">
        <w:rPr>
          <w:sz w:val="20"/>
          <w:szCs w:val="20"/>
        </w:rPr>
        <w:t>nota</w:t>
      </w:r>
      <w:r w:rsidRPr="00E3559F">
        <w:rPr>
          <w:sz w:val="20"/>
          <w:szCs w:val="20"/>
        </w:rPr>
        <w:t xml:space="preserve"> que en el caso </w:t>
      </w:r>
      <w:r w:rsidRPr="00E3559F">
        <w:rPr>
          <w:rFonts w:cs="Verdana"/>
          <w:i/>
          <w:sz w:val="20"/>
          <w:szCs w:val="20"/>
        </w:rPr>
        <w:t>Mendoza y otros Vs. Argentina</w:t>
      </w:r>
      <w:r w:rsidRPr="00E3559F">
        <w:rPr>
          <w:rFonts w:cs="Verdana"/>
          <w:sz w:val="20"/>
          <w:szCs w:val="20"/>
        </w:rPr>
        <w:t xml:space="preserve"> concluyó que el Estado de Argentina </w:t>
      </w:r>
      <w:r w:rsidRPr="00A96C2D">
        <w:rPr>
          <w:rFonts w:cs="Verdana"/>
          <w:sz w:val="20"/>
          <w:szCs w:val="20"/>
        </w:rPr>
        <w:t>incumplió</w:t>
      </w:r>
      <w:r w:rsidRPr="00E3559F">
        <w:rPr>
          <w:rFonts w:cs="Verdana"/>
          <w:sz w:val="20"/>
          <w:szCs w:val="20"/>
        </w:rPr>
        <w:t xml:space="preserve"> con su obligación contenida en el artículo </w:t>
      </w:r>
      <w:r w:rsidR="00B12E38" w:rsidRPr="00E3559F">
        <w:rPr>
          <w:rFonts w:cs="Verdana"/>
          <w:sz w:val="20"/>
          <w:szCs w:val="20"/>
        </w:rPr>
        <w:t xml:space="preserve">2 </w:t>
      </w:r>
      <w:r w:rsidRPr="00E3559F">
        <w:rPr>
          <w:rFonts w:cs="Verdana"/>
          <w:sz w:val="20"/>
          <w:szCs w:val="20"/>
        </w:rPr>
        <w:t xml:space="preserve">de la Convención Americana, en relación con </w:t>
      </w:r>
      <w:r w:rsidR="00B12E38" w:rsidRPr="00E3559F">
        <w:rPr>
          <w:rFonts w:cs="Verdana"/>
          <w:sz w:val="20"/>
          <w:szCs w:val="20"/>
        </w:rPr>
        <w:t>los</w:t>
      </w:r>
      <w:r w:rsidRPr="00E3559F">
        <w:rPr>
          <w:rFonts w:cs="Verdana"/>
          <w:sz w:val="20"/>
          <w:szCs w:val="20"/>
        </w:rPr>
        <w:t xml:space="preserve"> artículo</w:t>
      </w:r>
      <w:r w:rsidR="00B12E38" w:rsidRPr="00E3559F">
        <w:rPr>
          <w:rFonts w:cs="Verdana"/>
          <w:sz w:val="20"/>
          <w:szCs w:val="20"/>
        </w:rPr>
        <w:t>s</w:t>
      </w:r>
      <w:r w:rsidRPr="00E3559F">
        <w:rPr>
          <w:rFonts w:cs="Verdana"/>
          <w:sz w:val="20"/>
          <w:szCs w:val="20"/>
        </w:rPr>
        <w:t xml:space="preserve"> </w:t>
      </w:r>
      <w:r w:rsidR="00B12E38" w:rsidRPr="00E3559F">
        <w:rPr>
          <w:rFonts w:cs="Verdana"/>
          <w:sz w:val="20"/>
          <w:szCs w:val="20"/>
        </w:rPr>
        <w:t>8.2.h, 19 y 1.1 del mismo instrumento</w:t>
      </w:r>
      <w:r w:rsidRPr="00E3559F">
        <w:rPr>
          <w:rFonts w:cs="Verdana"/>
          <w:sz w:val="20"/>
          <w:szCs w:val="20"/>
        </w:rPr>
        <w:t>, en perjuicio de la víctimas del caso</w:t>
      </w:r>
      <w:r w:rsidR="00B12E38" w:rsidRPr="00E3559F">
        <w:rPr>
          <w:rFonts w:cs="Verdana"/>
          <w:sz w:val="20"/>
          <w:szCs w:val="20"/>
        </w:rPr>
        <w:t>,</w:t>
      </w:r>
      <w:r w:rsidRPr="00E3559F">
        <w:rPr>
          <w:rFonts w:cs="Verdana"/>
          <w:sz w:val="20"/>
          <w:szCs w:val="20"/>
        </w:rPr>
        <w:t xml:space="preserve"> en virtud de que los artículos 474 del </w:t>
      </w:r>
      <w:r w:rsidRPr="00E3559F">
        <w:rPr>
          <w:sz w:val="20"/>
          <w:szCs w:val="20"/>
        </w:rPr>
        <w:t>Código Procesal Penal de la Provincia de Mendoza vigente al momento de los hechos y el artículo 456 del Código Procesal Penal de la Nación no permitían la revisión de cuestiones fácticas y/o probatorias por un tribunal superior</w:t>
      </w:r>
      <w:r w:rsidRPr="00E3559F">
        <w:rPr>
          <w:rStyle w:val="Refdenotaalpie"/>
          <w:sz w:val="20"/>
          <w:szCs w:val="20"/>
        </w:rPr>
        <w:footnoteReference w:id="54"/>
      </w:r>
      <w:r w:rsidRPr="00E3559F">
        <w:rPr>
          <w:sz w:val="20"/>
          <w:szCs w:val="20"/>
        </w:rPr>
        <w:t>. De idéntica manera, en el caso</w:t>
      </w:r>
      <w:r w:rsidR="00B12E38" w:rsidRPr="00E3559F">
        <w:rPr>
          <w:sz w:val="20"/>
          <w:szCs w:val="20"/>
        </w:rPr>
        <w:t xml:space="preserve"> </w:t>
      </w:r>
      <w:r w:rsidRPr="00E3559F">
        <w:rPr>
          <w:rFonts w:cs="Verdana"/>
          <w:i/>
          <w:iCs/>
          <w:sz w:val="20"/>
          <w:szCs w:val="20"/>
        </w:rPr>
        <w:t>Gorigoitía Vs. Argentina</w:t>
      </w:r>
      <w:r w:rsidRPr="00E3559F">
        <w:rPr>
          <w:sz w:val="20"/>
          <w:szCs w:val="20"/>
        </w:rPr>
        <w:t xml:space="preserve"> la Corte determinó que el artículo 503 del Código Procesal de la Provincia de Mendoza vigente al momento de los hechos, en tanto que era sustancialmente idéntico al referido artículo 474, era violatorio del artículo 2 de la Convención Americana, en relación con el artículo 8.2.h del mismo instrumento</w:t>
      </w:r>
      <w:r w:rsidRPr="00E3559F">
        <w:rPr>
          <w:rStyle w:val="Refdenotaalpie"/>
          <w:sz w:val="20"/>
          <w:szCs w:val="20"/>
        </w:rPr>
        <w:footnoteReference w:id="55"/>
      </w:r>
      <w:r w:rsidRPr="00E3559F">
        <w:rPr>
          <w:sz w:val="20"/>
          <w:szCs w:val="20"/>
        </w:rPr>
        <w:t>. En el presente caso la Corte advierte que el artículo 468 del CPPC es de contenido casi idéntico a lo establecido en el artículo 456 del Código Procesal Penal de la Nación Argentina</w:t>
      </w:r>
      <w:r w:rsidR="004122AF">
        <w:rPr>
          <w:sz w:val="20"/>
          <w:szCs w:val="20"/>
        </w:rPr>
        <w:t>, así como a lo recogido en los señalados artículos 474 y 456 del Código Procesal Penal de la Provincia de Mendoza, vigentes al momento de los hechos respectivos de cada caso</w:t>
      </w:r>
      <w:r w:rsidR="00B343DA" w:rsidRPr="00E3559F">
        <w:rPr>
          <w:sz w:val="20"/>
          <w:szCs w:val="20"/>
        </w:rPr>
        <w:t>.</w:t>
      </w:r>
    </w:p>
    <w:p w14:paraId="7F65B629" w14:textId="77777777" w:rsidR="004122AF" w:rsidRPr="004122AF" w:rsidRDefault="004122AF" w:rsidP="004122AF">
      <w:pPr>
        <w:tabs>
          <w:tab w:val="left" w:pos="567"/>
        </w:tabs>
        <w:spacing w:line="240" w:lineRule="auto"/>
        <w:rPr>
          <w:sz w:val="20"/>
          <w:szCs w:val="20"/>
        </w:rPr>
      </w:pPr>
    </w:p>
    <w:p w14:paraId="2E10EFF7" w14:textId="0CB69C7F" w:rsidR="007563AE" w:rsidRPr="00E3559F" w:rsidRDefault="00E93AE2" w:rsidP="00B343DA">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E3559F">
        <w:rPr>
          <w:sz w:val="20"/>
          <w:szCs w:val="20"/>
        </w:rPr>
        <w:t xml:space="preserve">En efecto, </w:t>
      </w:r>
      <w:r w:rsidR="007466CC" w:rsidRPr="00E3559F">
        <w:rPr>
          <w:sz w:val="20"/>
          <w:szCs w:val="20"/>
        </w:rPr>
        <w:t>la Corte</w:t>
      </w:r>
      <w:r w:rsidR="005F36A1" w:rsidRPr="00E3559F">
        <w:rPr>
          <w:sz w:val="20"/>
          <w:szCs w:val="20"/>
        </w:rPr>
        <w:t xml:space="preserve"> nota que el artículo 468 del CPPC, encargado de regular los motivos para poder interponer el recurso de casación, solo habilitaba dos supuestos específicos en los que éste procedía, a saber: (i) la inobservancia o errónea aplicación de la Ley sustantiva y (ii) la inobservancia de las normas contenidas en el propio CPPC bajo pena de inadmisibilidad, caducidad o nulidad. </w:t>
      </w:r>
      <w:r w:rsidRPr="00E3559F">
        <w:rPr>
          <w:sz w:val="20"/>
          <w:szCs w:val="20"/>
        </w:rPr>
        <w:t>L</w:t>
      </w:r>
      <w:r w:rsidR="005F36A1" w:rsidRPr="00E3559F">
        <w:rPr>
          <w:sz w:val="20"/>
          <w:szCs w:val="20"/>
        </w:rPr>
        <w:t>a Corte observa, como lo ha hecho en otros casos</w:t>
      </w:r>
      <w:r w:rsidR="005F36A1" w:rsidRPr="00E3559F">
        <w:rPr>
          <w:sz w:val="20"/>
          <w:szCs w:val="20"/>
          <w:vertAlign w:val="superscript"/>
        </w:rPr>
        <w:footnoteReference w:id="56"/>
      </w:r>
      <w:r w:rsidR="005F36A1" w:rsidRPr="00E3559F">
        <w:rPr>
          <w:sz w:val="20"/>
          <w:szCs w:val="20"/>
        </w:rPr>
        <w:t>, que tal y como se encontraba regulado el recurso de casación, de la literalidad de las normas no era posible la revisión de cuestiones fácticas y/o probatorias por un tribunal superior</w:t>
      </w:r>
      <w:r w:rsidR="005F36A1" w:rsidRPr="00E3559F">
        <w:rPr>
          <w:sz w:val="20"/>
          <w:szCs w:val="20"/>
          <w:vertAlign w:val="superscript"/>
        </w:rPr>
        <w:footnoteReference w:id="57"/>
      </w:r>
      <w:r w:rsidR="005F36A1" w:rsidRPr="00E3559F">
        <w:rPr>
          <w:sz w:val="20"/>
          <w:szCs w:val="20"/>
        </w:rPr>
        <w:t>, tal y como sucedió en el presente caso</w:t>
      </w:r>
      <w:r w:rsidRPr="00E3559F">
        <w:rPr>
          <w:sz w:val="20"/>
          <w:szCs w:val="20"/>
        </w:rPr>
        <w:t>.</w:t>
      </w:r>
      <w:r w:rsidR="00057611" w:rsidRPr="00E3559F">
        <w:rPr>
          <w:sz w:val="20"/>
          <w:szCs w:val="20"/>
        </w:rPr>
        <w:t xml:space="preserve"> </w:t>
      </w:r>
      <w:r w:rsidR="005F77A7" w:rsidRPr="00E3559F">
        <w:rPr>
          <w:sz w:val="20"/>
          <w:szCs w:val="20"/>
        </w:rPr>
        <w:t>Por</w:t>
      </w:r>
      <w:r w:rsidR="001468CE" w:rsidRPr="00E3559F">
        <w:rPr>
          <w:sz w:val="20"/>
          <w:szCs w:val="20"/>
        </w:rPr>
        <w:t xml:space="preserve"> </w:t>
      </w:r>
      <w:r w:rsidR="00A27ABA" w:rsidRPr="00E3559F">
        <w:rPr>
          <w:sz w:val="20"/>
          <w:szCs w:val="20"/>
        </w:rPr>
        <w:t>esta</w:t>
      </w:r>
      <w:r w:rsidR="005F77A7" w:rsidRPr="00E3559F">
        <w:rPr>
          <w:sz w:val="20"/>
          <w:szCs w:val="20"/>
        </w:rPr>
        <w:t xml:space="preserve"> razón</w:t>
      </w:r>
      <w:r w:rsidR="00A7558E" w:rsidRPr="00E3559F">
        <w:rPr>
          <w:sz w:val="20"/>
          <w:szCs w:val="20"/>
        </w:rPr>
        <w:t xml:space="preserve">, </w:t>
      </w:r>
      <w:r w:rsidR="00ED5E7C" w:rsidRPr="00E3559F">
        <w:rPr>
          <w:sz w:val="20"/>
          <w:szCs w:val="20"/>
        </w:rPr>
        <w:t>l</w:t>
      </w:r>
      <w:r w:rsidR="00A7558E" w:rsidRPr="00E3559F">
        <w:rPr>
          <w:sz w:val="20"/>
          <w:szCs w:val="20"/>
        </w:rPr>
        <w:t xml:space="preserve">a </w:t>
      </w:r>
      <w:r w:rsidR="00ED5E7C" w:rsidRPr="00E3559F">
        <w:rPr>
          <w:sz w:val="20"/>
          <w:szCs w:val="20"/>
        </w:rPr>
        <w:t xml:space="preserve">Corte concluye que el Estado es responsable por la violación artículo 8.2.h de la Convención, en relación con </w:t>
      </w:r>
      <w:r w:rsidR="005F77A7" w:rsidRPr="00E3559F">
        <w:rPr>
          <w:sz w:val="20"/>
          <w:szCs w:val="20"/>
        </w:rPr>
        <w:t>los</w:t>
      </w:r>
      <w:r w:rsidR="00ED5E7C" w:rsidRPr="00E3559F">
        <w:rPr>
          <w:sz w:val="20"/>
          <w:szCs w:val="20"/>
        </w:rPr>
        <w:t xml:space="preserve"> artículo</w:t>
      </w:r>
      <w:r w:rsidR="005F77A7" w:rsidRPr="00E3559F">
        <w:rPr>
          <w:sz w:val="20"/>
          <w:szCs w:val="20"/>
        </w:rPr>
        <w:t>s</w:t>
      </w:r>
      <w:r w:rsidR="00ED5E7C" w:rsidRPr="00E3559F">
        <w:rPr>
          <w:sz w:val="20"/>
          <w:szCs w:val="20"/>
        </w:rPr>
        <w:t xml:space="preserve"> 1.1</w:t>
      </w:r>
      <w:r w:rsidR="005F77A7" w:rsidRPr="00E3559F">
        <w:rPr>
          <w:sz w:val="20"/>
          <w:szCs w:val="20"/>
        </w:rPr>
        <w:t xml:space="preserve"> y 2</w:t>
      </w:r>
      <w:r w:rsidR="00ED5E7C" w:rsidRPr="00E3559F">
        <w:rPr>
          <w:sz w:val="20"/>
          <w:szCs w:val="20"/>
        </w:rPr>
        <w:t xml:space="preserve"> del mismo instrumento.</w:t>
      </w:r>
      <w:r w:rsidR="00856C88">
        <w:rPr>
          <w:sz w:val="20"/>
          <w:szCs w:val="20"/>
        </w:rPr>
        <w:t xml:space="preserve"> </w:t>
      </w:r>
      <w:r w:rsidR="00EF626B" w:rsidRPr="00E3559F">
        <w:rPr>
          <w:sz w:val="20"/>
          <w:szCs w:val="20"/>
        </w:rPr>
        <w:t>A la vista de las violaciones declaradas</w:t>
      </w:r>
      <w:r w:rsidR="00044E42" w:rsidRPr="00E3559F">
        <w:rPr>
          <w:sz w:val="20"/>
          <w:szCs w:val="20"/>
        </w:rPr>
        <w:t xml:space="preserve"> en el presente acápite</w:t>
      </w:r>
      <w:r w:rsidR="00EF626B" w:rsidRPr="00E3559F">
        <w:rPr>
          <w:sz w:val="20"/>
          <w:szCs w:val="20"/>
        </w:rPr>
        <w:t xml:space="preserve">, </w:t>
      </w:r>
      <w:r w:rsidR="007563AE" w:rsidRPr="00E3559F">
        <w:rPr>
          <w:sz w:val="20"/>
          <w:szCs w:val="20"/>
        </w:rPr>
        <w:t>la</w:t>
      </w:r>
      <w:r w:rsidR="00044E42" w:rsidRPr="00E3559F">
        <w:rPr>
          <w:sz w:val="20"/>
          <w:szCs w:val="20"/>
        </w:rPr>
        <w:t xml:space="preserve"> Corte no considera necesario, en este caso, </w:t>
      </w:r>
      <w:r w:rsidR="007563AE" w:rsidRPr="00E3559F">
        <w:rPr>
          <w:sz w:val="20"/>
          <w:szCs w:val="20"/>
        </w:rPr>
        <w:t>pronunciarse sobre la</w:t>
      </w:r>
      <w:r w:rsidR="00026DF3" w:rsidRPr="00E3559F">
        <w:rPr>
          <w:sz w:val="20"/>
          <w:szCs w:val="20"/>
        </w:rPr>
        <w:t xml:space="preserve"> alegada violaci</w:t>
      </w:r>
      <w:r w:rsidR="00B343DA" w:rsidRPr="00E3559F">
        <w:rPr>
          <w:sz w:val="20"/>
          <w:szCs w:val="20"/>
        </w:rPr>
        <w:t>ón</w:t>
      </w:r>
      <w:r w:rsidR="00026DF3" w:rsidRPr="00E3559F">
        <w:rPr>
          <w:sz w:val="20"/>
          <w:szCs w:val="20"/>
        </w:rPr>
        <w:t xml:space="preserve"> </w:t>
      </w:r>
      <w:r w:rsidR="00B343DA" w:rsidRPr="00E3559F">
        <w:rPr>
          <w:sz w:val="20"/>
          <w:szCs w:val="20"/>
        </w:rPr>
        <w:t>del artículo</w:t>
      </w:r>
      <w:r w:rsidR="00026DF3" w:rsidRPr="00E3559F">
        <w:rPr>
          <w:sz w:val="20"/>
          <w:szCs w:val="20"/>
        </w:rPr>
        <w:t xml:space="preserve"> 25.1 de la Convención.</w:t>
      </w:r>
    </w:p>
    <w:p w14:paraId="35112D5D" w14:textId="769A80C0" w:rsidR="00CA0E0B" w:rsidRPr="00E3559F" w:rsidRDefault="00CA0E0B" w:rsidP="00A95B06">
      <w:pPr>
        <w:pStyle w:val="Ttulo1"/>
        <w:rPr>
          <w:lang w:bidi="en-US"/>
        </w:rPr>
      </w:pPr>
      <w:bookmarkStart w:id="37" w:name="_Toc514172661"/>
      <w:bookmarkStart w:id="38" w:name="_Toc375517149"/>
      <w:bookmarkStart w:id="39" w:name="_Toc449460763"/>
      <w:bookmarkStart w:id="40" w:name="_Toc459158147"/>
      <w:bookmarkStart w:id="41" w:name="_Toc495658693"/>
      <w:bookmarkStart w:id="42" w:name="_Toc15933770"/>
      <w:bookmarkStart w:id="43" w:name="_Toc16270609"/>
      <w:bookmarkStart w:id="44" w:name="_Toc24447103"/>
      <w:bookmarkStart w:id="45" w:name="_Toc33020827"/>
      <w:bookmarkStart w:id="46" w:name="_Toc46250483"/>
      <w:r w:rsidRPr="00E3559F">
        <w:lastRenderedPageBreak/>
        <w:t>VI</w:t>
      </w:r>
      <w:r w:rsidR="00C60448" w:rsidRPr="00E3559F">
        <w:t>I</w:t>
      </w:r>
      <w:r w:rsidRPr="00E3559F">
        <w:br/>
        <w:t>REPARACIONES</w:t>
      </w:r>
      <w:bookmarkEnd w:id="37"/>
      <w:bookmarkEnd w:id="38"/>
      <w:bookmarkEnd w:id="39"/>
      <w:bookmarkEnd w:id="40"/>
      <w:bookmarkEnd w:id="41"/>
      <w:bookmarkEnd w:id="42"/>
      <w:bookmarkEnd w:id="43"/>
      <w:bookmarkEnd w:id="44"/>
      <w:bookmarkEnd w:id="45"/>
      <w:bookmarkEnd w:id="46"/>
    </w:p>
    <w:p w14:paraId="6F060D58" w14:textId="5237C9EC" w:rsidR="00CA0E0B" w:rsidRPr="00E3559F" w:rsidRDefault="00CA0E0B" w:rsidP="00CA0E0B">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E3559F">
        <w:rPr>
          <w:sz w:val="20"/>
          <w:szCs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E3559F">
        <w:rPr>
          <w:sz w:val="20"/>
          <w:szCs w:val="20"/>
          <w:vertAlign w:val="superscript"/>
        </w:rPr>
        <w:footnoteReference w:id="58"/>
      </w:r>
      <w:r w:rsidRPr="00E3559F">
        <w:rPr>
          <w:sz w:val="20"/>
          <w:szCs w:val="20"/>
        </w:rPr>
        <w:t>.</w:t>
      </w:r>
    </w:p>
    <w:p w14:paraId="563ACA86" w14:textId="77777777" w:rsidR="00CA0E0B" w:rsidRPr="00E3559F" w:rsidRDefault="00CA0E0B" w:rsidP="00CA0E0B">
      <w:pPr>
        <w:pStyle w:val="Normal1"/>
        <w:widowControl/>
        <w:contextualSpacing/>
        <w:jc w:val="both"/>
        <w:rPr>
          <w:rFonts w:ascii="Verdana" w:hAnsi="Verdana"/>
          <w:sz w:val="20"/>
          <w:szCs w:val="20"/>
          <w:lang w:bidi="en-US"/>
        </w:rPr>
      </w:pPr>
    </w:p>
    <w:p w14:paraId="287863B4" w14:textId="77777777" w:rsidR="00CA0E0B" w:rsidRPr="00E3559F" w:rsidRDefault="00CA0E0B" w:rsidP="00CA0E0B">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E3559F">
        <w:rPr>
          <w:sz w:val="20"/>
          <w:szCs w:val="20"/>
        </w:rPr>
        <w:t>La reparación del daño ocasionado por la infracción de una obligación internacional requiere, siempre que sea posible, la plena restitución (</w:t>
      </w:r>
      <w:r w:rsidRPr="00E3559F">
        <w:rPr>
          <w:i/>
          <w:sz w:val="20"/>
          <w:szCs w:val="20"/>
        </w:rPr>
        <w:t>restitutio</w:t>
      </w:r>
      <w:r w:rsidRPr="00E3559F">
        <w:rPr>
          <w:sz w:val="20"/>
          <w:szCs w:val="20"/>
        </w:rPr>
        <w:t xml:space="preserve"> </w:t>
      </w:r>
      <w:r w:rsidRPr="00E3559F">
        <w:rPr>
          <w:i/>
          <w:sz w:val="20"/>
          <w:szCs w:val="20"/>
        </w:rPr>
        <w:t>in integrum</w:t>
      </w:r>
      <w:r w:rsidRPr="00E3559F">
        <w:rPr>
          <w:sz w:val="20"/>
          <w:szCs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E3559F">
        <w:rPr>
          <w:sz w:val="20"/>
          <w:szCs w:val="20"/>
          <w:vertAlign w:val="superscript"/>
        </w:rPr>
        <w:footnoteReference w:id="59"/>
      </w:r>
      <w:r w:rsidRPr="00E3559F">
        <w:rPr>
          <w:sz w:val="20"/>
          <w:szCs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E3559F">
        <w:rPr>
          <w:sz w:val="20"/>
          <w:szCs w:val="20"/>
          <w:vertAlign w:val="superscript"/>
        </w:rPr>
        <w:footnoteReference w:id="60"/>
      </w:r>
      <w:r w:rsidRPr="00E3559F">
        <w:rPr>
          <w:sz w:val="20"/>
          <w:szCs w:val="20"/>
        </w:rPr>
        <w:t>.</w:t>
      </w:r>
    </w:p>
    <w:p w14:paraId="2D95AEE2" w14:textId="77777777" w:rsidR="00CA0E0B" w:rsidRPr="00E3559F" w:rsidRDefault="00CA0E0B" w:rsidP="00CA0E0B">
      <w:pPr>
        <w:pStyle w:val="Normal1"/>
        <w:widowControl/>
        <w:contextualSpacing/>
        <w:jc w:val="both"/>
        <w:rPr>
          <w:rFonts w:ascii="Verdana" w:hAnsi="Verdana"/>
          <w:sz w:val="20"/>
          <w:szCs w:val="20"/>
          <w:lang w:bidi="en-US"/>
        </w:rPr>
      </w:pPr>
    </w:p>
    <w:p w14:paraId="6262DA4F" w14:textId="77777777" w:rsidR="00CA0E0B" w:rsidRPr="00E3559F" w:rsidRDefault="00CA0E0B" w:rsidP="00CA0E0B">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E3559F">
        <w:rPr>
          <w:sz w:val="20"/>
          <w:szCs w:val="20"/>
        </w:rPr>
        <w:t>La Corte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E3559F">
        <w:rPr>
          <w:sz w:val="20"/>
          <w:szCs w:val="20"/>
          <w:vertAlign w:val="superscript"/>
        </w:rPr>
        <w:footnoteReference w:id="61"/>
      </w:r>
      <w:r w:rsidRPr="00E3559F">
        <w:rPr>
          <w:sz w:val="20"/>
          <w:szCs w:val="20"/>
        </w:rPr>
        <w:t>.</w:t>
      </w:r>
    </w:p>
    <w:p w14:paraId="055DEA1C" w14:textId="77777777" w:rsidR="00CA0E0B" w:rsidRPr="00E3559F" w:rsidRDefault="00CA0E0B" w:rsidP="00CA0E0B">
      <w:pPr>
        <w:pStyle w:val="Normal1"/>
        <w:widowControl/>
        <w:contextualSpacing/>
        <w:jc w:val="both"/>
        <w:rPr>
          <w:rFonts w:ascii="Verdana" w:hAnsi="Verdana"/>
          <w:sz w:val="20"/>
          <w:szCs w:val="20"/>
          <w:lang w:bidi="en-US"/>
        </w:rPr>
      </w:pPr>
    </w:p>
    <w:p w14:paraId="060F2EE4" w14:textId="01277778" w:rsidR="00A769FE" w:rsidRPr="00E3559F" w:rsidRDefault="00CA0E0B" w:rsidP="00A769FE">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E3559F">
        <w:rPr>
          <w:sz w:val="20"/>
          <w:szCs w:val="20"/>
        </w:rPr>
        <w:t xml:space="preserve">Tomando en cuenta las violaciones a la Convención Americana declaradas en </w:t>
      </w:r>
      <w:r w:rsidR="002D6698">
        <w:rPr>
          <w:sz w:val="20"/>
          <w:szCs w:val="20"/>
        </w:rPr>
        <w:t>el capítulo anterior</w:t>
      </w:r>
      <w:r w:rsidRPr="00E3559F">
        <w:rPr>
          <w:sz w:val="20"/>
          <w:szCs w:val="20"/>
        </w:rPr>
        <w:t>, a la luz de los criterios fijados en la jurisprudencia del Tribunal en relación con la naturaleza y alcances de la obligación de reparar</w:t>
      </w:r>
      <w:r w:rsidRPr="00E3559F">
        <w:rPr>
          <w:sz w:val="20"/>
          <w:szCs w:val="20"/>
          <w:vertAlign w:val="superscript"/>
        </w:rPr>
        <w:footnoteReference w:id="62"/>
      </w:r>
      <w:r w:rsidRPr="00E3559F">
        <w:rPr>
          <w:sz w:val="20"/>
          <w:szCs w:val="20"/>
        </w:rPr>
        <w:t>, la Corte analizará las pretensiones presentadas por la Comisión, así como los argumentos del Estado al respecto, con el objeto de disponer a continuación las medidas tendientes a reparar dichas violaciones.</w:t>
      </w:r>
    </w:p>
    <w:p w14:paraId="199FA934" w14:textId="760D8209" w:rsidR="00A769FE" w:rsidRPr="00E3559F" w:rsidRDefault="00A769FE" w:rsidP="006B4DD6">
      <w:pPr>
        <w:pStyle w:val="Ttulo2"/>
        <w:numPr>
          <w:ilvl w:val="0"/>
          <w:numId w:val="11"/>
        </w:numPr>
      </w:pPr>
      <w:bookmarkStart w:id="47" w:name="_Toc15933771"/>
      <w:bookmarkStart w:id="48" w:name="_Toc35011026"/>
      <w:bookmarkStart w:id="49" w:name="_Toc46250484"/>
      <w:r w:rsidRPr="00E3559F">
        <w:t>Parte lesionada</w:t>
      </w:r>
      <w:bookmarkEnd w:id="47"/>
      <w:bookmarkEnd w:id="48"/>
      <w:r w:rsidR="00C46F57" w:rsidRPr="00E3559F">
        <w:t xml:space="preserve"> y reparaciones solicitadas</w:t>
      </w:r>
      <w:bookmarkEnd w:id="49"/>
    </w:p>
    <w:p w14:paraId="1D2AFF04" w14:textId="5A343C6A" w:rsidR="00A769FE" w:rsidRPr="00E3559F" w:rsidRDefault="00A769FE" w:rsidP="00A769FE">
      <w:pPr>
        <w:numPr>
          <w:ilvl w:val="0"/>
          <w:numId w:val="1"/>
        </w:numPr>
        <w:tabs>
          <w:tab w:val="left" w:pos="567"/>
          <w:tab w:val="num" w:pos="5057"/>
        </w:tabs>
        <w:spacing w:line="240" w:lineRule="auto"/>
        <w:ind w:left="0" w:firstLine="0"/>
        <w:textAlignment w:val="auto"/>
        <w:rPr>
          <w:sz w:val="20"/>
          <w:szCs w:val="20"/>
          <w:lang w:val="es-ES" w:eastAsia="es-ES_tradnl"/>
        </w:rPr>
      </w:pPr>
      <w:r w:rsidRPr="00E3559F">
        <w:rPr>
          <w:sz w:val="20"/>
          <w:szCs w:val="20"/>
          <w:lang w:val="es-ES" w:eastAsia="es-ES_tradnl"/>
        </w:rPr>
        <w:t xml:space="preserve">Este Tribunal considera parte lesionada, en los términos del artículo 63.1 de la </w:t>
      </w:r>
      <w:r w:rsidRPr="00E3559F">
        <w:rPr>
          <w:sz w:val="20"/>
          <w:szCs w:val="20"/>
        </w:rPr>
        <w:t>Convención</w:t>
      </w:r>
      <w:r w:rsidRPr="00E3559F">
        <w:rPr>
          <w:sz w:val="20"/>
          <w:szCs w:val="20"/>
          <w:lang w:val="es-ES" w:eastAsia="es-ES_tradnl"/>
        </w:rPr>
        <w:t xml:space="preserve">, a </w:t>
      </w:r>
      <w:r w:rsidRPr="00E3559F">
        <w:rPr>
          <w:sz w:val="20"/>
          <w:szCs w:val="20"/>
          <w:lang w:eastAsia="es-ES" w:bidi="en-US"/>
        </w:rPr>
        <w:t>quienes</w:t>
      </w:r>
      <w:r w:rsidRPr="00E3559F">
        <w:rPr>
          <w:sz w:val="20"/>
          <w:szCs w:val="20"/>
          <w:lang w:val="es-ES" w:eastAsia="es-ES_tradnl"/>
        </w:rPr>
        <w:t xml:space="preserve"> han sido </w:t>
      </w:r>
      <w:r w:rsidRPr="00E3559F">
        <w:rPr>
          <w:sz w:val="20"/>
          <w:szCs w:val="20"/>
          <w:lang w:eastAsia="es-ES" w:bidi="en-US"/>
        </w:rPr>
        <w:t>declaradas</w:t>
      </w:r>
      <w:r w:rsidRPr="00E3559F">
        <w:rPr>
          <w:sz w:val="20"/>
          <w:szCs w:val="20"/>
          <w:lang w:val="es-ES" w:eastAsia="es-ES_tradnl"/>
        </w:rPr>
        <w:t xml:space="preserve"> víctimas de la violación de algún derecho reconocido en la misma. Por lo tanto, esta Corte considera como “parte lesionada” a los señores </w:t>
      </w:r>
      <w:r w:rsidRPr="00E3559F">
        <w:rPr>
          <w:rFonts w:eastAsiaTheme="minorHAnsi"/>
          <w:sz w:val="20"/>
          <w:szCs w:val="16"/>
          <w:lang w:eastAsia="en-US"/>
        </w:rPr>
        <w:t>César Ramón del Valle Ambrosio y Carlos Eduardo Domínguez Linares</w:t>
      </w:r>
      <w:r w:rsidRPr="00E3559F">
        <w:rPr>
          <w:sz w:val="20"/>
          <w:szCs w:val="20"/>
          <w:lang w:val="es-ES" w:eastAsia="es-ES_tradnl"/>
        </w:rPr>
        <w:t>,</w:t>
      </w:r>
      <w:r w:rsidRPr="00E3559F">
        <w:rPr>
          <w:sz w:val="20"/>
          <w:szCs w:val="20"/>
        </w:rPr>
        <w:t xml:space="preserve"> </w:t>
      </w:r>
      <w:r w:rsidRPr="00E3559F">
        <w:rPr>
          <w:sz w:val="20"/>
          <w:szCs w:val="20"/>
          <w:lang w:val="es-ES" w:eastAsia="es-ES_tradnl"/>
        </w:rPr>
        <w:t xml:space="preserve">quienes en su carácter de víctimas de las violaciones declaradas en </w:t>
      </w:r>
      <w:r w:rsidR="006D7CB9" w:rsidRPr="00E3559F">
        <w:rPr>
          <w:sz w:val="20"/>
          <w:szCs w:val="20"/>
          <w:lang w:val="es-ES" w:eastAsia="es-ES_tradnl"/>
        </w:rPr>
        <w:t>el capítulo VI</w:t>
      </w:r>
      <w:r w:rsidRPr="00E3559F">
        <w:rPr>
          <w:sz w:val="20"/>
          <w:szCs w:val="20"/>
          <w:lang w:val="es-ES" w:eastAsia="es-ES_tradnl"/>
        </w:rPr>
        <w:t xml:space="preserve"> serán beneficiarios de las reparaciones que la Corte ordene. </w:t>
      </w:r>
    </w:p>
    <w:p w14:paraId="2AA4E051" w14:textId="05671ADF" w:rsidR="00961418" w:rsidRPr="00E3559F" w:rsidRDefault="00961418" w:rsidP="00C54800">
      <w:pPr>
        <w:tabs>
          <w:tab w:val="left" w:pos="567"/>
        </w:tabs>
        <w:spacing w:line="240" w:lineRule="auto"/>
        <w:textAlignment w:val="auto"/>
        <w:rPr>
          <w:sz w:val="20"/>
          <w:szCs w:val="20"/>
          <w:lang w:val="es-ES" w:eastAsia="es-ES_tradnl"/>
        </w:rPr>
      </w:pPr>
    </w:p>
    <w:p w14:paraId="10064A02" w14:textId="269B0C88" w:rsidR="008A66D1" w:rsidRPr="00E3559F" w:rsidRDefault="00BC3413" w:rsidP="00EF626B">
      <w:pPr>
        <w:numPr>
          <w:ilvl w:val="0"/>
          <w:numId w:val="1"/>
        </w:numPr>
        <w:tabs>
          <w:tab w:val="left" w:pos="567"/>
          <w:tab w:val="num" w:pos="5057"/>
        </w:tabs>
        <w:spacing w:line="240" w:lineRule="auto"/>
        <w:ind w:left="0" w:firstLine="0"/>
        <w:textAlignment w:val="auto"/>
        <w:rPr>
          <w:sz w:val="20"/>
          <w:szCs w:val="20"/>
          <w:lang w:val="es-ES" w:eastAsia="es-ES_tradnl"/>
        </w:rPr>
      </w:pPr>
      <w:r w:rsidRPr="00E3559F">
        <w:rPr>
          <w:sz w:val="20"/>
          <w:szCs w:val="20"/>
          <w:lang w:val="es-ES" w:eastAsia="es-ES_tradnl"/>
        </w:rPr>
        <w:t xml:space="preserve">Por otro lado, la Corte observa que, en el presente caso, el escrito de </w:t>
      </w:r>
      <w:r w:rsidR="00A95B06" w:rsidRPr="00E3559F">
        <w:rPr>
          <w:sz w:val="20"/>
          <w:szCs w:val="20"/>
          <w:lang w:val="es-ES" w:eastAsia="es-ES_tradnl"/>
        </w:rPr>
        <w:t>s</w:t>
      </w:r>
      <w:r w:rsidRPr="00E3559F">
        <w:rPr>
          <w:sz w:val="20"/>
          <w:szCs w:val="20"/>
          <w:lang w:val="es-ES" w:eastAsia="es-ES_tradnl"/>
        </w:rPr>
        <w:t xml:space="preserve">olicitudes, </w:t>
      </w:r>
      <w:r w:rsidR="00A95B06" w:rsidRPr="00E3559F">
        <w:rPr>
          <w:sz w:val="20"/>
          <w:szCs w:val="20"/>
          <w:lang w:val="es-ES" w:eastAsia="es-ES_tradnl"/>
        </w:rPr>
        <w:t>a</w:t>
      </w:r>
      <w:r w:rsidRPr="00E3559F">
        <w:rPr>
          <w:sz w:val="20"/>
          <w:szCs w:val="20"/>
          <w:lang w:val="es-ES" w:eastAsia="es-ES_tradnl"/>
        </w:rPr>
        <w:t>rgumentos y pruebas fue declarado inadmisible por extemporáneo (</w:t>
      </w:r>
      <w:r w:rsidRPr="00E3559F">
        <w:rPr>
          <w:i/>
          <w:iCs/>
          <w:sz w:val="20"/>
          <w:szCs w:val="20"/>
          <w:lang w:val="es-ES" w:eastAsia="es-ES_tradnl"/>
        </w:rPr>
        <w:t>supra</w:t>
      </w:r>
      <w:r w:rsidRPr="00E3559F">
        <w:rPr>
          <w:sz w:val="20"/>
          <w:szCs w:val="20"/>
          <w:lang w:val="es-ES" w:eastAsia="es-ES_tradnl"/>
        </w:rPr>
        <w:t xml:space="preserve"> párr.</w:t>
      </w:r>
      <w:r w:rsidR="00026DF3" w:rsidRPr="00E3559F">
        <w:rPr>
          <w:sz w:val="20"/>
          <w:szCs w:val="20"/>
          <w:lang w:val="es-ES" w:eastAsia="es-ES_tradnl"/>
        </w:rPr>
        <w:t xml:space="preserve"> 6</w:t>
      </w:r>
      <w:r w:rsidRPr="00E3559F">
        <w:rPr>
          <w:sz w:val="20"/>
          <w:szCs w:val="20"/>
          <w:lang w:val="es-ES" w:eastAsia="es-ES_tradnl"/>
        </w:rPr>
        <w:t xml:space="preserve">). Asimismo, el Tribunal advierte que </w:t>
      </w:r>
      <w:r w:rsidR="002C5C7C" w:rsidRPr="00E3559F">
        <w:rPr>
          <w:sz w:val="20"/>
          <w:szCs w:val="20"/>
          <w:lang w:val="es-ES" w:eastAsia="es-ES_tradnl"/>
        </w:rPr>
        <w:t>la representación de las víctimas</w:t>
      </w:r>
      <w:r w:rsidRPr="00E3559F">
        <w:rPr>
          <w:sz w:val="20"/>
          <w:szCs w:val="20"/>
          <w:lang w:val="es-ES" w:eastAsia="es-ES_tradnl"/>
        </w:rPr>
        <w:t xml:space="preserve"> </w:t>
      </w:r>
      <w:r w:rsidR="002C5C7C" w:rsidRPr="00E3559F">
        <w:rPr>
          <w:sz w:val="20"/>
          <w:szCs w:val="20"/>
          <w:lang w:val="es-ES" w:eastAsia="es-ES_tradnl"/>
        </w:rPr>
        <w:t>solicitó</w:t>
      </w:r>
      <w:r w:rsidRPr="00E3559F">
        <w:rPr>
          <w:sz w:val="20"/>
          <w:szCs w:val="20"/>
          <w:lang w:val="es-ES" w:eastAsia="es-ES_tradnl"/>
        </w:rPr>
        <w:t xml:space="preserve"> en sus alegatos finales escritos una </w:t>
      </w:r>
      <w:r w:rsidRPr="00E3559F">
        <w:rPr>
          <w:sz w:val="20"/>
          <w:szCs w:val="20"/>
          <w:lang w:val="es-ES" w:eastAsia="es-ES_tradnl"/>
        </w:rPr>
        <w:lastRenderedPageBreak/>
        <w:t>indemnización en concepto de reparación integral. A la vista de lo anterior, la Corte declara que la referida solicitud en materia de reparaciones es inadmisible al ser extemporánea y, por tanto, la Corte no hará referencia a la misma</w:t>
      </w:r>
      <w:r w:rsidR="00191B71" w:rsidRPr="00E3559F">
        <w:rPr>
          <w:sz w:val="20"/>
          <w:szCs w:val="20"/>
          <w:lang w:val="es-ES" w:eastAsia="es-ES_tradnl"/>
        </w:rPr>
        <w:t xml:space="preserve"> en el presente apartado</w:t>
      </w:r>
      <w:r w:rsidRPr="00E3559F">
        <w:rPr>
          <w:sz w:val="20"/>
          <w:szCs w:val="20"/>
          <w:lang w:val="es-ES" w:eastAsia="es-ES_tradnl"/>
        </w:rPr>
        <w:t>.</w:t>
      </w:r>
    </w:p>
    <w:p w14:paraId="15860F1A" w14:textId="07E01EDA" w:rsidR="00A769FE" w:rsidRPr="00E3559F" w:rsidRDefault="00A769FE" w:rsidP="00A769FE">
      <w:pPr>
        <w:pStyle w:val="Ttulo2"/>
      </w:pPr>
      <w:bookmarkStart w:id="50" w:name="_Toc15933773"/>
      <w:bookmarkStart w:id="51" w:name="_Toc35011027"/>
      <w:bookmarkStart w:id="52" w:name="_Toc46250485"/>
      <w:r w:rsidRPr="00E3559F">
        <w:t>Medidas de satisfacción y garantías de no repetición</w:t>
      </w:r>
      <w:bookmarkEnd w:id="50"/>
      <w:bookmarkEnd w:id="51"/>
      <w:bookmarkEnd w:id="52"/>
    </w:p>
    <w:p w14:paraId="52FE1955" w14:textId="3C7C3CE9" w:rsidR="00A769FE" w:rsidRPr="00E3559F" w:rsidRDefault="00EF626B" w:rsidP="00A769FE">
      <w:pPr>
        <w:pStyle w:val="Ttulo3"/>
        <w:numPr>
          <w:ilvl w:val="0"/>
          <w:numId w:val="0"/>
        </w:numPr>
        <w:ind w:left="1152"/>
        <w:rPr>
          <w:b/>
        </w:rPr>
      </w:pPr>
      <w:bookmarkStart w:id="53" w:name="_Toc15064199"/>
      <w:bookmarkStart w:id="54" w:name="_Toc15933775"/>
      <w:bookmarkStart w:id="55" w:name="_Toc35011028"/>
      <w:bookmarkStart w:id="56" w:name="_Toc46250486"/>
      <w:r w:rsidRPr="00E3559F">
        <w:t>b</w:t>
      </w:r>
      <w:r w:rsidR="00A769FE" w:rsidRPr="00E3559F">
        <w:t xml:space="preserve">.1 </w:t>
      </w:r>
      <w:r w:rsidR="00A769FE" w:rsidRPr="00E3559F">
        <w:tab/>
        <w:t>Medidas de satisfacción</w:t>
      </w:r>
      <w:bookmarkEnd w:id="53"/>
      <w:bookmarkEnd w:id="54"/>
      <w:bookmarkEnd w:id="55"/>
      <w:bookmarkEnd w:id="56"/>
    </w:p>
    <w:p w14:paraId="791EB741" w14:textId="77777777" w:rsidR="00A769FE" w:rsidRPr="00E3559F" w:rsidRDefault="00A769FE" w:rsidP="00B343DA">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E3559F">
        <w:rPr>
          <w:sz w:val="20"/>
          <w:szCs w:val="20"/>
        </w:rPr>
        <w:t xml:space="preserve">La </w:t>
      </w:r>
      <w:r w:rsidRPr="00E3559F">
        <w:rPr>
          <w:b/>
          <w:i/>
          <w:sz w:val="20"/>
          <w:szCs w:val="20"/>
        </w:rPr>
        <w:t>Comisión</w:t>
      </w:r>
      <w:r w:rsidRPr="00E3559F">
        <w:rPr>
          <w:sz w:val="20"/>
          <w:szCs w:val="20"/>
        </w:rPr>
        <w:t xml:space="preserve"> no presentó recomendaciones específicas sobre este punto.</w:t>
      </w:r>
    </w:p>
    <w:p w14:paraId="4E7E956B" w14:textId="77777777" w:rsidR="00A769FE" w:rsidRPr="00E3559F" w:rsidRDefault="00A769FE" w:rsidP="00EF626B">
      <w:pPr>
        <w:widowControl/>
        <w:tabs>
          <w:tab w:val="left" w:pos="567"/>
        </w:tabs>
        <w:autoSpaceDE w:val="0"/>
        <w:autoSpaceDN w:val="0"/>
        <w:spacing w:line="240" w:lineRule="auto"/>
        <w:textAlignment w:val="auto"/>
        <w:rPr>
          <w:sz w:val="20"/>
          <w:szCs w:val="20"/>
        </w:rPr>
      </w:pPr>
    </w:p>
    <w:p w14:paraId="693716BD" w14:textId="5BEF98CE" w:rsidR="00A769FE" w:rsidRPr="00E3559F" w:rsidRDefault="00A769FE" w:rsidP="00B343DA">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E3559F">
        <w:rPr>
          <w:sz w:val="20"/>
          <w:szCs w:val="20"/>
        </w:rPr>
        <w:t xml:space="preserve">El </w:t>
      </w:r>
      <w:r w:rsidRPr="00E3559F">
        <w:rPr>
          <w:b/>
          <w:i/>
          <w:sz w:val="20"/>
          <w:szCs w:val="20"/>
        </w:rPr>
        <w:t>Estado</w:t>
      </w:r>
      <w:r w:rsidRPr="00E3559F">
        <w:rPr>
          <w:sz w:val="20"/>
          <w:szCs w:val="20"/>
        </w:rPr>
        <w:t xml:space="preserve"> no presentó alegatos específicos sobre este punto.</w:t>
      </w:r>
    </w:p>
    <w:p w14:paraId="0150D60F" w14:textId="77777777" w:rsidR="004262D0" w:rsidRPr="00E3559F" w:rsidRDefault="004262D0" w:rsidP="00A769FE">
      <w:pPr>
        <w:tabs>
          <w:tab w:val="left" w:pos="0"/>
        </w:tabs>
        <w:spacing w:line="240" w:lineRule="auto"/>
        <w:textAlignment w:val="auto"/>
        <w:rPr>
          <w:rFonts w:eastAsia="MS Mincho"/>
          <w:i/>
          <w:sz w:val="20"/>
          <w:szCs w:val="20"/>
          <w:lang w:bidi="en-US"/>
        </w:rPr>
      </w:pPr>
    </w:p>
    <w:p w14:paraId="739BEF5A" w14:textId="5D2EC309" w:rsidR="00741EF6" w:rsidRPr="00E3559F" w:rsidRDefault="00A769FE" w:rsidP="00EF626B">
      <w:pPr>
        <w:widowControl/>
        <w:numPr>
          <w:ilvl w:val="0"/>
          <w:numId w:val="1"/>
        </w:numPr>
        <w:tabs>
          <w:tab w:val="left" w:pos="567"/>
          <w:tab w:val="num" w:pos="1569"/>
          <w:tab w:val="num" w:pos="12305"/>
        </w:tabs>
        <w:autoSpaceDE w:val="0"/>
        <w:autoSpaceDN w:val="0"/>
        <w:spacing w:line="240" w:lineRule="auto"/>
        <w:ind w:left="0" w:firstLine="0"/>
        <w:textAlignment w:val="auto"/>
        <w:rPr>
          <w:rFonts w:eastAsia="MS Mincho"/>
          <w:i/>
          <w:sz w:val="20"/>
          <w:szCs w:val="20"/>
          <w:lang w:bidi="en-US"/>
        </w:rPr>
      </w:pPr>
      <w:r w:rsidRPr="00E3559F">
        <w:rPr>
          <w:rFonts w:eastAsia="MS Mincho"/>
          <w:sz w:val="20"/>
          <w:szCs w:val="20"/>
          <w:lang w:bidi="en-US"/>
        </w:rPr>
        <w:t xml:space="preserve">La </w:t>
      </w:r>
      <w:r w:rsidRPr="00E3559F">
        <w:rPr>
          <w:rFonts w:eastAsia="MS Mincho"/>
          <w:b/>
          <w:i/>
          <w:sz w:val="20"/>
          <w:szCs w:val="20"/>
          <w:lang w:bidi="en-US"/>
        </w:rPr>
        <w:t>Corte</w:t>
      </w:r>
      <w:r w:rsidRPr="00E3559F">
        <w:rPr>
          <w:rFonts w:eastAsia="MS Mincho"/>
          <w:sz w:val="20"/>
          <w:szCs w:val="20"/>
          <w:lang w:bidi="en-US"/>
        </w:rPr>
        <w:t xml:space="preserve"> estima, como lo ha dispuesto en otros casos</w:t>
      </w:r>
      <w:r w:rsidRPr="00E3559F">
        <w:rPr>
          <w:rStyle w:val="Refdenotaalpie"/>
          <w:rFonts w:eastAsia="MS Mincho"/>
          <w:sz w:val="20"/>
          <w:szCs w:val="20"/>
          <w:lang w:bidi="en-US"/>
        </w:rPr>
        <w:footnoteReference w:id="63"/>
      </w:r>
      <w:r w:rsidRPr="00E3559F">
        <w:rPr>
          <w:rFonts w:eastAsia="MS Mincho"/>
          <w:sz w:val="20"/>
          <w:szCs w:val="20"/>
          <w:lang w:bidi="en-US"/>
        </w:rPr>
        <w:t xml:space="preserve">, que el Estado debe publicar, en el plazo de seis meses, contado a partir de la notificación de la presente Sentencia: a) el resumen oficial de la presente Sentencia elaborado por la Corte, por una sola vez, en el Diario Oficial en un tamaño de letra legible y </w:t>
      </w:r>
      <w:r w:rsidRPr="00E3559F">
        <w:rPr>
          <w:sz w:val="20"/>
          <w:szCs w:val="20"/>
        </w:rPr>
        <w:t>adecuado</w:t>
      </w:r>
      <w:r w:rsidRPr="00E3559F">
        <w:rPr>
          <w:rFonts w:eastAsia="MS Mincho"/>
          <w:sz w:val="20"/>
          <w:szCs w:val="20"/>
          <w:lang w:bidi="en-US"/>
        </w:rPr>
        <w:t xml:space="preserve">; b) el resumen oficial de la presente Sentencia elaborado por la Corte, por una sola vez, en un diario de amplia circulación </w:t>
      </w:r>
      <w:r w:rsidR="00EA57AA" w:rsidRPr="00E3559F">
        <w:rPr>
          <w:rFonts w:eastAsia="MS Mincho"/>
          <w:sz w:val="20"/>
          <w:szCs w:val="20"/>
          <w:lang w:bidi="en-US"/>
        </w:rPr>
        <w:t>en la provincia de Córdoba</w:t>
      </w:r>
      <w:r w:rsidR="00741EF6" w:rsidRPr="00E3559F">
        <w:rPr>
          <w:rFonts w:eastAsia="MS Mincho"/>
          <w:sz w:val="20"/>
          <w:szCs w:val="20"/>
          <w:lang w:bidi="en-US"/>
        </w:rPr>
        <w:t xml:space="preserve"> </w:t>
      </w:r>
      <w:r w:rsidRPr="00E3559F">
        <w:rPr>
          <w:rFonts w:eastAsia="MS Mincho"/>
          <w:sz w:val="20"/>
          <w:szCs w:val="20"/>
          <w:lang w:bidi="en-US"/>
        </w:rPr>
        <w:t xml:space="preserve">en un tamaño de letra legible y adecuado, y c) la presente Sentencia en su integridad, disponible por un período de un año, en un sitio </w:t>
      </w:r>
      <w:r w:rsidRPr="00E3559F">
        <w:rPr>
          <w:rFonts w:eastAsia="MS Mincho"/>
          <w:i/>
          <w:sz w:val="20"/>
          <w:szCs w:val="20"/>
          <w:lang w:bidi="en-US"/>
        </w:rPr>
        <w:t>web</w:t>
      </w:r>
      <w:r w:rsidRPr="00E3559F">
        <w:rPr>
          <w:rFonts w:eastAsia="MS Mincho"/>
          <w:sz w:val="20"/>
          <w:szCs w:val="20"/>
          <w:lang w:bidi="en-US"/>
        </w:rPr>
        <w:t xml:space="preserve"> oficial del Estado.</w:t>
      </w:r>
      <w:r w:rsidRPr="00E3559F">
        <w:rPr>
          <w:rFonts w:eastAsia="MS Mincho"/>
          <w:i/>
          <w:sz w:val="20"/>
          <w:szCs w:val="20"/>
          <w:lang w:bidi="en-US"/>
        </w:rPr>
        <w:t xml:space="preserve"> </w:t>
      </w:r>
      <w:r w:rsidRPr="00E3559F">
        <w:rPr>
          <w:rFonts w:eastAsiaTheme="minorHAnsi" w:cs="Verdana"/>
          <w:sz w:val="20"/>
          <w:szCs w:val="20"/>
          <w:lang w:eastAsia="en-US"/>
        </w:rPr>
        <w:t xml:space="preserve">El Estado deberá informar de forma inmediata a este Tribunal una vez que proceda a realizar cada una </w:t>
      </w:r>
      <w:r w:rsidRPr="00E3559F">
        <w:rPr>
          <w:rFonts w:eastAsia="MS Mincho"/>
          <w:sz w:val="20"/>
          <w:szCs w:val="20"/>
          <w:lang w:bidi="en-US"/>
        </w:rPr>
        <w:t>de</w:t>
      </w:r>
      <w:r w:rsidRPr="00E3559F">
        <w:rPr>
          <w:rFonts w:eastAsiaTheme="minorHAnsi" w:cs="Verdana"/>
          <w:sz w:val="20"/>
          <w:szCs w:val="20"/>
          <w:lang w:eastAsia="en-US"/>
        </w:rPr>
        <w:t xml:space="preserve"> las publicaciones dispuestas, independientemente del plazo de un año para presentar su primer informe dispuesto en el punto resolutivo </w:t>
      </w:r>
      <w:r w:rsidR="007563AE" w:rsidRPr="00E3559F">
        <w:rPr>
          <w:rFonts w:eastAsiaTheme="minorHAnsi" w:cs="Verdana"/>
          <w:sz w:val="20"/>
          <w:szCs w:val="20"/>
          <w:lang w:eastAsia="en-US"/>
        </w:rPr>
        <w:t xml:space="preserve">6 </w:t>
      </w:r>
      <w:r w:rsidRPr="00E3559F">
        <w:rPr>
          <w:rFonts w:eastAsiaTheme="minorHAnsi" w:cs="Verdana"/>
          <w:sz w:val="20"/>
          <w:szCs w:val="20"/>
          <w:lang w:eastAsia="en-US"/>
        </w:rPr>
        <w:t>de la Sentencia.</w:t>
      </w:r>
    </w:p>
    <w:p w14:paraId="3BE011A9" w14:textId="3D49224D" w:rsidR="00A769FE" w:rsidRPr="00E3559F" w:rsidRDefault="00EF626B" w:rsidP="00A769FE">
      <w:pPr>
        <w:pStyle w:val="Ttulo3"/>
        <w:numPr>
          <w:ilvl w:val="0"/>
          <w:numId w:val="0"/>
        </w:numPr>
        <w:ind w:left="1152"/>
      </w:pPr>
      <w:bookmarkStart w:id="57" w:name="_Toc15064200"/>
      <w:bookmarkStart w:id="58" w:name="_Toc15933776"/>
      <w:bookmarkStart w:id="59" w:name="_Toc35011029"/>
      <w:bookmarkStart w:id="60" w:name="_Toc46250487"/>
      <w:r w:rsidRPr="00E3559F">
        <w:t>b</w:t>
      </w:r>
      <w:r w:rsidR="00A769FE" w:rsidRPr="00E3559F">
        <w:t xml:space="preserve">.2 </w:t>
      </w:r>
      <w:r w:rsidR="00A769FE" w:rsidRPr="00E3559F">
        <w:tab/>
        <w:t>Garantías de no repetición</w:t>
      </w:r>
      <w:bookmarkEnd w:id="57"/>
      <w:bookmarkEnd w:id="58"/>
      <w:bookmarkEnd w:id="59"/>
      <w:bookmarkEnd w:id="60"/>
    </w:p>
    <w:p w14:paraId="1E124B7A" w14:textId="0E51824B" w:rsidR="00A769FE" w:rsidRPr="00E3559F" w:rsidRDefault="00A769FE" w:rsidP="000B5E3C">
      <w:pPr>
        <w:numPr>
          <w:ilvl w:val="0"/>
          <w:numId w:val="1"/>
        </w:numPr>
        <w:tabs>
          <w:tab w:val="left" w:pos="0"/>
        </w:tabs>
        <w:spacing w:line="240" w:lineRule="auto"/>
        <w:ind w:left="0" w:firstLine="0"/>
        <w:textAlignment w:val="auto"/>
        <w:rPr>
          <w:rFonts w:cs="Arial"/>
          <w:sz w:val="20"/>
          <w:szCs w:val="20"/>
        </w:rPr>
      </w:pPr>
      <w:r w:rsidRPr="00E3559F">
        <w:rPr>
          <w:rFonts w:eastAsia="MS Mincho"/>
          <w:sz w:val="20"/>
          <w:szCs w:val="20"/>
          <w:lang w:bidi="en-US"/>
        </w:rPr>
        <w:t xml:space="preserve">La </w:t>
      </w:r>
      <w:r w:rsidRPr="00E3559F">
        <w:rPr>
          <w:rFonts w:eastAsia="MS Mincho" w:cs="Verdana"/>
          <w:b/>
          <w:i/>
          <w:sz w:val="20"/>
          <w:szCs w:val="20"/>
          <w:lang w:bidi="en-US"/>
        </w:rPr>
        <w:t>Comisión</w:t>
      </w:r>
      <w:r w:rsidRPr="00E3559F">
        <w:rPr>
          <w:rFonts w:eastAsia="MS Mincho"/>
          <w:sz w:val="20"/>
          <w:szCs w:val="20"/>
          <w:lang w:bidi="en-US"/>
        </w:rPr>
        <w:t xml:space="preserve"> solicitó a</w:t>
      </w:r>
      <w:r w:rsidRPr="00E3559F">
        <w:rPr>
          <w:sz w:val="20"/>
          <w:szCs w:val="20"/>
        </w:rPr>
        <w:t xml:space="preserve"> la Corte disponer las medidas legislativas necesarias para adecuar la legislación interna relativa al recurso de casación a los estándares sobre el derecho </w:t>
      </w:r>
      <w:r w:rsidR="00A27ABA" w:rsidRPr="00E3559F">
        <w:rPr>
          <w:sz w:val="20"/>
          <w:szCs w:val="20"/>
        </w:rPr>
        <w:t>consagrado</w:t>
      </w:r>
      <w:r w:rsidRPr="00E3559F">
        <w:rPr>
          <w:sz w:val="20"/>
          <w:szCs w:val="20"/>
        </w:rPr>
        <w:t xml:space="preserve"> en el artículo 8.2</w:t>
      </w:r>
      <w:r w:rsidR="00A27C6B" w:rsidRPr="00E3559F">
        <w:rPr>
          <w:sz w:val="20"/>
          <w:szCs w:val="20"/>
        </w:rPr>
        <w:t>.</w:t>
      </w:r>
      <w:r w:rsidRPr="00E3559F">
        <w:rPr>
          <w:sz w:val="20"/>
          <w:szCs w:val="20"/>
        </w:rPr>
        <w:t xml:space="preserve">h de la Convención Americana. Asimismo, solicitó que el Estado adopte las medidas legislativas necesarias para asegurar que las autoridades judiciales ejerzan un control de convencionalidad al </w:t>
      </w:r>
      <w:r w:rsidR="00A27ABA" w:rsidRPr="00E3559F">
        <w:rPr>
          <w:sz w:val="20"/>
          <w:szCs w:val="20"/>
        </w:rPr>
        <w:t>momento</w:t>
      </w:r>
      <w:r w:rsidRPr="00E3559F">
        <w:rPr>
          <w:sz w:val="20"/>
          <w:szCs w:val="20"/>
        </w:rPr>
        <w:t xml:space="preserve"> de resolver los recursos contra sentencias condenatorias. </w:t>
      </w:r>
      <w:r w:rsidR="000B5E3C" w:rsidRPr="00E3559F">
        <w:rPr>
          <w:rFonts w:cs="Arial"/>
          <w:sz w:val="20"/>
          <w:szCs w:val="20"/>
        </w:rPr>
        <w:t xml:space="preserve">En sus </w:t>
      </w:r>
      <w:r w:rsidR="00070EAD" w:rsidRPr="00E3559F">
        <w:rPr>
          <w:rFonts w:cs="Arial"/>
          <w:sz w:val="20"/>
          <w:szCs w:val="20"/>
        </w:rPr>
        <w:t>o</w:t>
      </w:r>
      <w:r w:rsidR="000B5E3C" w:rsidRPr="00E3559F">
        <w:rPr>
          <w:rFonts w:cs="Arial"/>
          <w:sz w:val="20"/>
          <w:szCs w:val="20"/>
        </w:rPr>
        <w:t xml:space="preserve">bservaciones </w:t>
      </w:r>
      <w:r w:rsidR="00070EAD" w:rsidRPr="00E3559F">
        <w:rPr>
          <w:rFonts w:cs="Arial"/>
          <w:sz w:val="20"/>
          <w:szCs w:val="20"/>
        </w:rPr>
        <w:t>f</w:t>
      </w:r>
      <w:r w:rsidR="000B5E3C" w:rsidRPr="00E3559F">
        <w:rPr>
          <w:rFonts w:cs="Arial"/>
          <w:sz w:val="20"/>
          <w:szCs w:val="20"/>
        </w:rPr>
        <w:t xml:space="preserve">inales </w:t>
      </w:r>
      <w:r w:rsidR="00070EAD" w:rsidRPr="00E3559F">
        <w:rPr>
          <w:rFonts w:cs="Arial"/>
          <w:sz w:val="20"/>
          <w:szCs w:val="20"/>
        </w:rPr>
        <w:t>e</w:t>
      </w:r>
      <w:r w:rsidR="000B5E3C" w:rsidRPr="00E3559F">
        <w:rPr>
          <w:rFonts w:cs="Arial"/>
          <w:sz w:val="20"/>
          <w:szCs w:val="20"/>
        </w:rPr>
        <w:t xml:space="preserve">scritas, la Comisión destacó que el </w:t>
      </w:r>
      <w:r w:rsidR="00A27ABA" w:rsidRPr="00E3559F">
        <w:rPr>
          <w:rFonts w:cs="Arial"/>
          <w:sz w:val="20"/>
          <w:szCs w:val="20"/>
        </w:rPr>
        <w:t>artículo</w:t>
      </w:r>
      <w:r w:rsidR="000B5E3C" w:rsidRPr="00E3559F">
        <w:rPr>
          <w:rFonts w:cs="Arial"/>
          <w:sz w:val="20"/>
          <w:szCs w:val="20"/>
        </w:rPr>
        <w:t xml:space="preserve"> 468 del Código Procesal Penal</w:t>
      </w:r>
      <w:r w:rsidR="00AE52A7" w:rsidRPr="00E3559F">
        <w:rPr>
          <w:rFonts w:cs="Arial"/>
          <w:sz w:val="20"/>
          <w:szCs w:val="20"/>
        </w:rPr>
        <w:t xml:space="preserve"> </w:t>
      </w:r>
      <w:r w:rsidR="000B5E3C" w:rsidRPr="00E3559F">
        <w:rPr>
          <w:rFonts w:cs="Arial"/>
          <w:sz w:val="20"/>
          <w:szCs w:val="20"/>
        </w:rPr>
        <w:t>de Córdoba no ha sufrido ninguna reforma y, por ello, continúa siendo incompatible con la Convención Americana.</w:t>
      </w:r>
      <w:r w:rsidR="000B5E3C" w:rsidRPr="00E3559F">
        <w:rPr>
          <w:b/>
          <w:sz w:val="20"/>
          <w:szCs w:val="20"/>
        </w:rPr>
        <w:t xml:space="preserve"> </w:t>
      </w:r>
    </w:p>
    <w:p w14:paraId="3EE63AF2" w14:textId="77777777" w:rsidR="00A769FE" w:rsidRPr="00E3559F" w:rsidRDefault="00A769FE" w:rsidP="00A769FE">
      <w:pPr>
        <w:tabs>
          <w:tab w:val="left" w:pos="567"/>
        </w:tabs>
        <w:spacing w:line="240" w:lineRule="auto"/>
        <w:textAlignment w:val="auto"/>
        <w:rPr>
          <w:rFonts w:eastAsia="MS Mincho"/>
          <w:sz w:val="20"/>
          <w:szCs w:val="20"/>
          <w:lang w:bidi="en-US"/>
        </w:rPr>
      </w:pPr>
    </w:p>
    <w:p w14:paraId="21703586" w14:textId="746014BC" w:rsidR="00A769FE" w:rsidRPr="00E3559F" w:rsidRDefault="00A769FE" w:rsidP="00C60448">
      <w:pPr>
        <w:numPr>
          <w:ilvl w:val="0"/>
          <w:numId w:val="1"/>
        </w:numPr>
        <w:tabs>
          <w:tab w:val="left" w:pos="0"/>
        </w:tabs>
        <w:spacing w:line="240" w:lineRule="auto"/>
        <w:ind w:left="0" w:firstLine="0"/>
        <w:textAlignment w:val="auto"/>
        <w:rPr>
          <w:rFonts w:eastAsia="MS Mincho"/>
          <w:sz w:val="20"/>
          <w:szCs w:val="20"/>
          <w:lang w:bidi="en-US"/>
        </w:rPr>
      </w:pPr>
      <w:r w:rsidRPr="00E3559F">
        <w:rPr>
          <w:rFonts w:cs="Arial"/>
          <w:sz w:val="20"/>
          <w:szCs w:val="20"/>
        </w:rPr>
        <w:t>Por su parte, e</w:t>
      </w:r>
      <w:r w:rsidRPr="00E3559F">
        <w:rPr>
          <w:rFonts w:eastAsia="MS Mincho"/>
          <w:sz w:val="20"/>
          <w:szCs w:val="20"/>
          <w:lang w:bidi="en-US"/>
        </w:rPr>
        <w:t xml:space="preserve">l </w:t>
      </w:r>
      <w:r w:rsidRPr="00E3559F">
        <w:rPr>
          <w:rFonts w:eastAsia="MS Mincho"/>
          <w:b/>
          <w:i/>
          <w:sz w:val="20"/>
          <w:szCs w:val="20"/>
          <w:lang w:bidi="en-US"/>
        </w:rPr>
        <w:t>Estado</w:t>
      </w:r>
      <w:r w:rsidRPr="00E3559F">
        <w:rPr>
          <w:rFonts w:eastAsia="MS Mincho"/>
          <w:sz w:val="20"/>
          <w:szCs w:val="20"/>
          <w:lang w:bidi="en-US"/>
        </w:rPr>
        <w:t xml:space="preserve"> indicó que en los últimos años ha venido desarrollando de forma ininterrumpida esfuerzos a nivel nacional y provincial para modernizar el procedimiento penal, adecuándolo a los principios consagrados en la </w:t>
      </w:r>
      <w:r w:rsidR="00A27ABA" w:rsidRPr="00E3559F">
        <w:rPr>
          <w:rFonts w:eastAsia="MS Mincho"/>
          <w:sz w:val="20"/>
          <w:szCs w:val="20"/>
          <w:lang w:bidi="en-US"/>
        </w:rPr>
        <w:t>Convención</w:t>
      </w:r>
      <w:r w:rsidRPr="00E3559F">
        <w:rPr>
          <w:rFonts w:eastAsia="MS Mincho"/>
          <w:sz w:val="20"/>
          <w:szCs w:val="20"/>
          <w:lang w:bidi="en-US"/>
        </w:rPr>
        <w:t xml:space="preserve"> Americana. Dentro de dichos esfuerzos, mencionó la Ley N</w:t>
      </w:r>
      <w:r w:rsidR="006D7CB9" w:rsidRPr="00E3559F">
        <w:rPr>
          <w:rFonts w:eastAsia="MS Mincho"/>
          <w:sz w:val="20"/>
          <w:szCs w:val="20"/>
          <w:lang w:bidi="en-US"/>
        </w:rPr>
        <w:t xml:space="preserve">o. </w:t>
      </w:r>
      <w:r w:rsidRPr="00E3559F">
        <w:rPr>
          <w:rFonts w:eastAsia="MS Mincho"/>
          <w:sz w:val="20"/>
          <w:szCs w:val="20"/>
          <w:lang w:bidi="en-US"/>
        </w:rPr>
        <w:t>10.547 de reforma al Código Procesal Penal, la cual introdu</w:t>
      </w:r>
      <w:r w:rsidR="00903D3B" w:rsidRPr="00E3559F">
        <w:rPr>
          <w:rFonts w:eastAsia="MS Mincho"/>
          <w:sz w:val="20"/>
          <w:szCs w:val="20"/>
          <w:lang w:bidi="en-US"/>
        </w:rPr>
        <w:t>jo</w:t>
      </w:r>
      <w:r w:rsidRPr="00E3559F">
        <w:rPr>
          <w:rFonts w:eastAsia="MS Mincho"/>
          <w:sz w:val="20"/>
          <w:szCs w:val="20"/>
          <w:lang w:bidi="en-US"/>
        </w:rPr>
        <w:t xml:space="preserve"> </w:t>
      </w:r>
      <w:r w:rsidR="00903D3B" w:rsidRPr="00E3559F">
        <w:rPr>
          <w:rFonts w:eastAsia="MS Mincho"/>
          <w:sz w:val="20"/>
          <w:szCs w:val="20"/>
          <w:lang w:bidi="en-US"/>
        </w:rPr>
        <w:t>múltiples reformas</w:t>
      </w:r>
      <w:r w:rsidRPr="00E3559F">
        <w:rPr>
          <w:rFonts w:eastAsia="MS Mincho"/>
          <w:sz w:val="20"/>
          <w:szCs w:val="20"/>
          <w:lang w:bidi="en-US"/>
        </w:rPr>
        <w:t xml:space="preserve">. Asimismo, sostuvo que en el año 2018 el Gobernador de la Provincia de Córdoba elevó a la legislatura Provincial un “Proyecto de reforma Parcial del </w:t>
      </w:r>
      <w:r w:rsidR="002D6698">
        <w:rPr>
          <w:rFonts w:eastAsia="MS Mincho"/>
          <w:sz w:val="20"/>
          <w:szCs w:val="20"/>
          <w:lang w:bidi="en-US"/>
        </w:rPr>
        <w:t>Código Procesal Penal” el cual</w:t>
      </w:r>
      <w:r w:rsidRPr="00E3559F">
        <w:rPr>
          <w:rFonts w:eastAsia="MS Mincho"/>
          <w:sz w:val="20"/>
          <w:szCs w:val="20"/>
          <w:lang w:bidi="en-US"/>
        </w:rPr>
        <w:t xml:space="preserve"> introduce cambios con respecto al diferimiento de la </w:t>
      </w:r>
      <w:r w:rsidR="00A27ABA" w:rsidRPr="00E3559F">
        <w:rPr>
          <w:rFonts w:eastAsia="MS Mincho"/>
          <w:sz w:val="20"/>
          <w:szCs w:val="20"/>
          <w:lang w:bidi="en-US"/>
        </w:rPr>
        <w:t>resolución</w:t>
      </w:r>
      <w:r w:rsidRPr="00E3559F">
        <w:rPr>
          <w:rFonts w:eastAsia="MS Mincho"/>
          <w:sz w:val="20"/>
          <w:szCs w:val="20"/>
          <w:lang w:bidi="en-US"/>
        </w:rPr>
        <w:t xml:space="preserve"> de los recursos interpuestos en la eta</w:t>
      </w:r>
      <w:r w:rsidR="006D7CB9" w:rsidRPr="00E3559F">
        <w:rPr>
          <w:rFonts w:eastAsia="MS Mincho"/>
          <w:sz w:val="20"/>
          <w:szCs w:val="20"/>
          <w:lang w:bidi="en-US"/>
        </w:rPr>
        <w:t>p</w:t>
      </w:r>
      <w:r w:rsidRPr="00E3559F">
        <w:rPr>
          <w:rFonts w:eastAsia="MS Mincho"/>
          <w:sz w:val="20"/>
          <w:szCs w:val="20"/>
          <w:lang w:bidi="en-US"/>
        </w:rPr>
        <w:t xml:space="preserve">a investigativa para el momento de su finalización. En el mismo sentido, indicó que para el transcurso del año 2019 se preveía la conclusión de la labor de la Comisión del Proyecto de Reforma integral del Código Procesal Penal de la Provincia de Córdoba, el cual se basa en la modernización y agilización de los procesos penales conforme a los estándares internacionales de derechos humanos y garantías procesales penales. </w:t>
      </w:r>
    </w:p>
    <w:p w14:paraId="32E2A4A2" w14:textId="77777777" w:rsidR="00F301BC" w:rsidRPr="00E3559F" w:rsidRDefault="00F301BC" w:rsidP="00F301BC">
      <w:pPr>
        <w:tabs>
          <w:tab w:val="left" w:pos="567"/>
        </w:tabs>
        <w:spacing w:line="240" w:lineRule="auto"/>
        <w:textAlignment w:val="auto"/>
        <w:rPr>
          <w:rFonts w:eastAsia="MS Mincho"/>
          <w:sz w:val="20"/>
          <w:szCs w:val="20"/>
          <w:lang w:bidi="en-US"/>
        </w:rPr>
      </w:pPr>
    </w:p>
    <w:p w14:paraId="3CEB7B00" w14:textId="31F9EC90" w:rsidR="00F301BC" w:rsidRPr="00E3559F" w:rsidRDefault="00F301BC" w:rsidP="00C60448">
      <w:pPr>
        <w:numPr>
          <w:ilvl w:val="0"/>
          <w:numId w:val="1"/>
        </w:numPr>
        <w:tabs>
          <w:tab w:val="left" w:pos="0"/>
        </w:tabs>
        <w:spacing w:line="240" w:lineRule="auto"/>
        <w:ind w:left="0" w:firstLine="0"/>
        <w:textAlignment w:val="auto"/>
        <w:rPr>
          <w:rFonts w:eastAsia="MS Mincho"/>
          <w:sz w:val="20"/>
          <w:szCs w:val="20"/>
          <w:lang w:bidi="en-US"/>
        </w:rPr>
      </w:pPr>
      <w:r w:rsidRPr="00E3559F">
        <w:rPr>
          <w:rFonts w:eastAsia="MS Mincho"/>
          <w:sz w:val="20"/>
          <w:szCs w:val="20"/>
          <w:lang w:bidi="en-US"/>
        </w:rPr>
        <w:t xml:space="preserve">Por otro lado, el Estado también alegó que en el año 2005 la </w:t>
      </w:r>
      <w:r w:rsidR="00353E9F" w:rsidRPr="00E3559F">
        <w:rPr>
          <w:rFonts w:eastAsia="MS Mincho"/>
          <w:sz w:val="20"/>
          <w:szCs w:val="20"/>
          <w:lang w:bidi="en-US"/>
        </w:rPr>
        <w:t>CSJN</w:t>
      </w:r>
      <w:r w:rsidRPr="00E3559F">
        <w:rPr>
          <w:rFonts w:eastAsia="MS Mincho"/>
          <w:sz w:val="20"/>
          <w:szCs w:val="20"/>
          <w:lang w:bidi="en-US"/>
        </w:rPr>
        <w:t xml:space="preserve"> emitió el fallo “Casal”, en virtud del cual se analizó el alcance del recurso de casación establecido en la legislación argentina a la luz de la </w:t>
      </w:r>
      <w:r w:rsidR="00A96C2D">
        <w:rPr>
          <w:rFonts w:eastAsia="MS Mincho"/>
          <w:sz w:val="20"/>
          <w:szCs w:val="20"/>
          <w:lang w:bidi="en-US"/>
        </w:rPr>
        <w:t>Convención Americana</w:t>
      </w:r>
      <w:r w:rsidRPr="00E3559F">
        <w:rPr>
          <w:rFonts w:eastAsia="MS Mincho"/>
          <w:sz w:val="20"/>
          <w:szCs w:val="20"/>
          <w:lang w:bidi="en-US"/>
        </w:rPr>
        <w:t xml:space="preserve"> y el Pacto Internacional de Derechos Civiles y Políticos. En dicho </w:t>
      </w:r>
      <w:r w:rsidRPr="00E3559F">
        <w:rPr>
          <w:rFonts w:eastAsia="MS Mincho"/>
          <w:sz w:val="20"/>
          <w:szCs w:val="20"/>
          <w:lang w:bidi="en-US"/>
        </w:rPr>
        <w:lastRenderedPageBreak/>
        <w:t>fallo se consideró que la</w:t>
      </w:r>
      <w:r w:rsidR="00353E9F" w:rsidRPr="00E3559F">
        <w:rPr>
          <w:rFonts w:eastAsia="MS Mincho"/>
          <w:sz w:val="20"/>
          <w:szCs w:val="20"/>
          <w:lang w:bidi="en-US"/>
        </w:rPr>
        <w:t xml:space="preserve"> </w:t>
      </w:r>
      <w:r w:rsidRPr="00E3559F">
        <w:rPr>
          <w:rFonts w:eastAsia="MS Mincho"/>
          <w:sz w:val="20"/>
          <w:szCs w:val="20"/>
          <w:lang w:bidi="en-US"/>
        </w:rPr>
        <w:t>Convención Americana establecía como una garantía a favor del inculpado el derecho de recurrir el fallo adverso ante un juez o tribunal superior (consagrada en el artículo 8.2.h de dicho instrumento internacional). Asimismo, entendió que el recurso de casación regulado en el artículo 456 del Código Procesal Penal de la Nación habilitaba a una revisión amplia de la sentencia. Según el Estado</w:t>
      </w:r>
      <w:r w:rsidR="00353E9F" w:rsidRPr="00E3559F">
        <w:rPr>
          <w:rFonts w:eastAsia="MS Mincho"/>
          <w:sz w:val="20"/>
          <w:szCs w:val="20"/>
          <w:lang w:bidi="en-US"/>
        </w:rPr>
        <w:t>,</w:t>
      </w:r>
      <w:r w:rsidRPr="00E3559F">
        <w:rPr>
          <w:rFonts w:eastAsia="MS Mincho"/>
          <w:sz w:val="20"/>
          <w:szCs w:val="20"/>
          <w:lang w:bidi="en-US"/>
        </w:rPr>
        <w:t xml:space="preserve"> la proyección de la doctrina legal relatada ha tenido su correspondiente impacto en todas la</w:t>
      </w:r>
      <w:r w:rsidR="00157D5B" w:rsidRPr="00E3559F">
        <w:rPr>
          <w:rFonts w:eastAsia="MS Mincho"/>
          <w:sz w:val="20"/>
          <w:szCs w:val="20"/>
          <w:lang w:bidi="en-US"/>
        </w:rPr>
        <w:t>s</w:t>
      </w:r>
      <w:r w:rsidRPr="00E3559F">
        <w:rPr>
          <w:rFonts w:eastAsia="MS Mincho"/>
          <w:sz w:val="20"/>
          <w:szCs w:val="20"/>
          <w:lang w:bidi="en-US"/>
        </w:rPr>
        <w:t xml:space="preserve"> provincias del Estado argentino. Así, los respectivos Tribunales superiores provinciales </w:t>
      </w:r>
      <w:r w:rsidR="00353E9F" w:rsidRPr="00E3559F">
        <w:rPr>
          <w:rFonts w:eastAsia="MS Mincho"/>
          <w:sz w:val="20"/>
          <w:szCs w:val="20"/>
          <w:lang w:bidi="en-US"/>
        </w:rPr>
        <w:t>habrían</w:t>
      </w:r>
      <w:r w:rsidRPr="00E3559F">
        <w:rPr>
          <w:rFonts w:eastAsia="MS Mincho"/>
          <w:sz w:val="20"/>
          <w:szCs w:val="20"/>
          <w:lang w:bidi="en-US"/>
        </w:rPr>
        <w:t xml:space="preserve"> sentado criterios de interpretación que </w:t>
      </w:r>
      <w:r w:rsidR="00353E9F" w:rsidRPr="00E3559F">
        <w:rPr>
          <w:rFonts w:eastAsia="MS Mincho"/>
          <w:sz w:val="20"/>
          <w:szCs w:val="20"/>
          <w:lang w:bidi="en-US"/>
        </w:rPr>
        <w:t>irían</w:t>
      </w:r>
      <w:r w:rsidRPr="00E3559F">
        <w:rPr>
          <w:rFonts w:eastAsia="MS Mincho"/>
          <w:sz w:val="20"/>
          <w:szCs w:val="20"/>
          <w:lang w:bidi="en-US"/>
        </w:rPr>
        <w:t xml:space="preserve"> en línea con lo preceptuado en el</w:t>
      </w:r>
      <w:r w:rsidR="00353E9F" w:rsidRPr="00E3559F">
        <w:rPr>
          <w:rFonts w:eastAsia="MS Mincho"/>
          <w:sz w:val="20"/>
          <w:szCs w:val="20"/>
          <w:lang w:bidi="en-US"/>
        </w:rPr>
        <w:t xml:space="preserve"> </w:t>
      </w:r>
      <w:r w:rsidR="00683542" w:rsidRPr="00E3559F">
        <w:rPr>
          <w:rFonts w:eastAsia="MS Mincho"/>
          <w:sz w:val="20"/>
          <w:szCs w:val="20"/>
          <w:lang w:bidi="en-US"/>
        </w:rPr>
        <w:t>“</w:t>
      </w:r>
      <w:r w:rsidRPr="00E3559F">
        <w:rPr>
          <w:rFonts w:eastAsia="MS Mincho"/>
          <w:sz w:val="20"/>
          <w:szCs w:val="20"/>
          <w:lang w:bidi="en-US"/>
        </w:rPr>
        <w:t>fallo Casal</w:t>
      </w:r>
      <w:r w:rsidR="00683542" w:rsidRPr="00E3559F">
        <w:rPr>
          <w:rFonts w:eastAsia="MS Mincho"/>
          <w:sz w:val="20"/>
          <w:szCs w:val="20"/>
          <w:lang w:bidi="en-US"/>
        </w:rPr>
        <w:t>”</w:t>
      </w:r>
      <w:r w:rsidRPr="00E3559F">
        <w:rPr>
          <w:rFonts w:eastAsia="MS Mincho"/>
          <w:sz w:val="20"/>
          <w:szCs w:val="20"/>
          <w:lang w:bidi="en-US"/>
        </w:rPr>
        <w:t xml:space="preserve"> y subsiguientes, acogiendo y replicando la amplitud de aquello que resulta revisable mediante el recurso de casación. </w:t>
      </w:r>
    </w:p>
    <w:p w14:paraId="68C226D3" w14:textId="77777777" w:rsidR="00A769FE" w:rsidRPr="00E3559F" w:rsidRDefault="00A769FE" w:rsidP="00A769FE">
      <w:pPr>
        <w:tabs>
          <w:tab w:val="left" w:pos="567"/>
        </w:tabs>
        <w:spacing w:line="240" w:lineRule="auto"/>
        <w:textAlignment w:val="auto"/>
        <w:rPr>
          <w:rFonts w:eastAsia="MS Mincho"/>
          <w:sz w:val="20"/>
          <w:szCs w:val="20"/>
          <w:lang w:bidi="en-US"/>
        </w:rPr>
      </w:pPr>
    </w:p>
    <w:p w14:paraId="4DC327ED" w14:textId="1F6CD56A" w:rsidR="00D7216C" w:rsidRPr="00E3559F" w:rsidRDefault="00F301BC" w:rsidP="00C60448">
      <w:pPr>
        <w:numPr>
          <w:ilvl w:val="0"/>
          <w:numId w:val="1"/>
        </w:numPr>
        <w:tabs>
          <w:tab w:val="left" w:pos="0"/>
        </w:tabs>
        <w:spacing w:line="240" w:lineRule="auto"/>
        <w:ind w:left="0" w:firstLine="0"/>
        <w:textAlignment w:val="auto"/>
        <w:rPr>
          <w:rFonts w:eastAsia="MS Mincho"/>
          <w:sz w:val="20"/>
          <w:szCs w:val="20"/>
          <w:lang w:bidi="en-US"/>
        </w:rPr>
      </w:pPr>
      <w:r w:rsidRPr="00E3559F">
        <w:rPr>
          <w:rFonts w:eastAsia="MS Mincho"/>
          <w:sz w:val="20"/>
          <w:szCs w:val="20"/>
          <w:lang w:bidi="en-US"/>
        </w:rPr>
        <w:t xml:space="preserve">La </w:t>
      </w:r>
      <w:r w:rsidRPr="00E3559F">
        <w:rPr>
          <w:rFonts w:eastAsia="MS Mincho"/>
          <w:b/>
          <w:bCs/>
          <w:i/>
          <w:iCs/>
          <w:sz w:val="20"/>
          <w:szCs w:val="20"/>
          <w:lang w:bidi="en-US"/>
        </w:rPr>
        <w:t>Corte</w:t>
      </w:r>
      <w:r w:rsidRPr="00E3559F">
        <w:rPr>
          <w:rFonts w:eastAsia="MS Mincho"/>
          <w:sz w:val="20"/>
          <w:szCs w:val="20"/>
          <w:lang w:bidi="en-US"/>
        </w:rPr>
        <w:t xml:space="preserve"> nota</w:t>
      </w:r>
      <w:r w:rsidR="009E2C82" w:rsidRPr="00E3559F">
        <w:rPr>
          <w:rFonts w:eastAsia="MS Mincho"/>
          <w:sz w:val="20"/>
          <w:szCs w:val="20"/>
          <w:lang w:bidi="en-US"/>
        </w:rPr>
        <w:t>,</w:t>
      </w:r>
      <w:r w:rsidRPr="00E3559F">
        <w:rPr>
          <w:rFonts w:eastAsia="MS Mincho"/>
          <w:sz w:val="20"/>
          <w:szCs w:val="20"/>
          <w:lang w:bidi="en-US"/>
        </w:rPr>
        <w:t xml:space="preserve"> en primer lugar</w:t>
      </w:r>
      <w:r w:rsidR="009E2C82" w:rsidRPr="00E3559F">
        <w:rPr>
          <w:rFonts w:eastAsia="MS Mincho"/>
          <w:sz w:val="20"/>
          <w:szCs w:val="20"/>
          <w:lang w:bidi="en-US"/>
        </w:rPr>
        <w:t>,</w:t>
      </w:r>
      <w:r w:rsidRPr="00E3559F">
        <w:rPr>
          <w:rFonts w:eastAsia="MS Mincho"/>
          <w:sz w:val="20"/>
          <w:szCs w:val="20"/>
          <w:lang w:bidi="en-US"/>
        </w:rPr>
        <w:t xml:space="preserve"> que</w:t>
      </w:r>
      <w:r w:rsidR="00353E9F" w:rsidRPr="00E3559F">
        <w:rPr>
          <w:rFonts w:eastAsia="MS Mincho"/>
          <w:sz w:val="20"/>
          <w:szCs w:val="20"/>
          <w:lang w:bidi="en-US"/>
        </w:rPr>
        <w:t xml:space="preserve"> </w:t>
      </w:r>
      <w:r w:rsidR="00D7216C" w:rsidRPr="00E3559F">
        <w:rPr>
          <w:rFonts w:eastAsia="MS Mincho"/>
          <w:sz w:val="20"/>
          <w:szCs w:val="20"/>
          <w:lang w:bidi="en-US"/>
        </w:rPr>
        <w:t xml:space="preserve">la reforma del CPPC indicada por el Estado -esto es, la </w:t>
      </w:r>
      <w:r w:rsidR="0047612F" w:rsidRPr="00E3559F">
        <w:rPr>
          <w:rFonts w:eastAsia="MS Mincho"/>
          <w:sz w:val="20"/>
          <w:szCs w:val="20"/>
          <w:lang w:bidi="en-US"/>
        </w:rPr>
        <w:t xml:space="preserve">producida a través de la aprobación de la </w:t>
      </w:r>
      <w:r w:rsidR="00D7216C" w:rsidRPr="00E3559F">
        <w:rPr>
          <w:rFonts w:eastAsia="MS Mincho"/>
          <w:sz w:val="20"/>
          <w:szCs w:val="20"/>
          <w:lang w:bidi="en-US"/>
        </w:rPr>
        <w:t>Ley No. 10.457</w:t>
      </w:r>
      <w:r w:rsidR="00D7216C" w:rsidRPr="00E3559F">
        <w:rPr>
          <w:rStyle w:val="Refdenotaalpie"/>
          <w:rFonts w:eastAsia="MS Mincho"/>
          <w:sz w:val="20"/>
          <w:szCs w:val="20"/>
          <w:lang w:bidi="en-US"/>
        </w:rPr>
        <w:footnoteReference w:id="64"/>
      </w:r>
      <w:r w:rsidR="00D7216C" w:rsidRPr="00E3559F">
        <w:rPr>
          <w:rFonts w:eastAsia="MS Mincho"/>
          <w:sz w:val="20"/>
          <w:szCs w:val="20"/>
          <w:lang w:bidi="en-US"/>
        </w:rPr>
        <w:t>-</w:t>
      </w:r>
      <w:r w:rsidR="00D12CC0" w:rsidRPr="00E3559F">
        <w:rPr>
          <w:rFonts w:eastAsia="MS Mincho"/>
          <w:sz w:val="20"/>
          <w:szCs w:val="20"/>
          <w:lang w:bidi="en-US"/>
        </w:rPr>
        <w:t xml:space="preserve"> </w:t>
      </w:r>
      <w:r w:rsidR="00D7216C" w:rsidRPr="00E3559F">
        <w:rPr>
          <w:rFonts w:eastAsia="MS Mincho"/>
          <w:sz w:val="20"/>
          <w:szCs w:val="20"/>
          <w:lang w:bidi="en-US"/>
        </w:rPr>
        <w:t>no contiene ninguna modificación del ámbito y contenido del recurso de casación</w:t>
      </w:r>
      <w:r w:rsidR="00903D3B" w:rsidRPr="00E3559F">
        <w:rPr>
          <w:rFonts w:eastAsia="MS Mincho"/>
          <w:sz w:val="20"/>
          <w:szCs w:val="20"/>
          <w:lang w:bidi="en-US"/>
        </w:rPr>
        <w:t>, sino que versa, tal y como lo indicó el Estado, sobre la introducción de la regulación de los principios de oportunidad; la posibilidad de que las partes cuenten con asistentes y consultores en el desarrollo del proceso; la utilización de domicilio electrónico; la posibilidad de reemplazar el registro de actas por registros audiovisuales; la oralidad del dictado de la prisión preventiva; la conversión de la acción pública en privada, y mayor participación de la víctima en el proceso penal. Por otro lado, la Corte observa que el Estado también mencion</w:t>
      </w:r>
      <w:r w:rsidR="002D6698">
        <w:rPr>
          <w:rFonts w:eastAsia="MS Mincho"/>
          <w:sz w:val="20"/>
          <w:szCs w:val="20"/>
          <w:lang w:bidi="en-US"/>
        </w:rPr>
        <w:t>ó</w:t>
      </w:r>
      <w:r w:rsidR="00903D3B" w:rsidRPr="00E3559F">
        <w:rPr>
          <w:rFonts w:eastAsia="MS Mincho"/>
          <w:sz w:val="20"/>
          <w:szCs w:val="20"/>
          <w:lang w:bidi="en-US"/>
        </w:rPr>
        <w:t xml:space="preserve"> una futura reforma del citado CPPC, sin desplegar ningún tipo de actividad probatoria con respecto a las modificaciones específicas </w:t>
      </w:r>
      <w:r w:rsidR="0047612F" w:rsidRPr="00E3559F">
        <w:rPr>
          <w:rFonts w:eastAsia="MS Mincho"/>
          <w:sz w:val="20"/>
          <w:szCs w:val="20"/>
          <w:lang w:bidi="en-US"/>
        </w:rPr>
        <w:t xml:space="preserve">que </w:t>
      </w:r>
      <w:r w:rsidR="008178E4" w:rsidRPr="00E3559F">
        <w:rPr>
          <w:rFonts w:eastAsia="MS Mincho"/>
          <w:sz w:val="20"/>
          <w:szCs w:val="20"/>
          <w:lang w:bidi="en-US"/>
        </w:rPr>
        <w:t>se</w:t>
      </w:r>
      <w:r w:rsidR="0047612F" w:rsidRPr="00E3559F">
        <w:rPr>
          <w:rFonts w:eastAsia="MS Mincho"/>
          <w:sz w:val="20"/>
          <w:szCs w:val="20"/>
          <w:lang w:bidi="en-US"/>
        </w:rPr>
        <w:t xml:space="preserve"> </w:t>
      </w:r>
      <w:r w:rsidR="008178E4" w:rsidRPr="00E3559F">
        <w:rPr>
          <w:rFonts w:eastAsia="MS Mincho"/>
          <w:sz w:val="20"/>
          <w:szCs w:val="20"/>
          <w:lang w:bidi="en-US"/>
        </w:rPr>
        <w:t>introducirían</w:t>
      </w:r>
      <w:r w:rsidR="0047612F" w:rsidRPr="00E3559F">
        <w:rPr>
          <w:rFonts w:eastAsia="MS Mincho"/>
          <w:sz w:val="20"/>
          <w:szCs w:val="20"/>
          <w:lang w:bidi="en-US"/>
        </w:rPr>
        <w:t xml:space="preserve"> </w:t>
      </w:r>
      <w:r w:rsidR="00903D3B" w:rsidRPr="00E3559F">
        <w:rPr>
          <w:rFonts w:eastAsia="MS Mincho"/>
          <w:sz w:val="20"/>
          <w:szCs w:val="20"/>
          <w:lang w:bidi="en-US"/>
        </w:rPr>
        <w:t>y si estas ya habrían entrado en vigor.</w:t>
      </w:r>
    </w:p>
    <w:p w14:paraId="362F0098" w14:textId="77777777" w:rsidR="00D7216C" w:rsidRPr="00E3559F" w:rsidRDefault="00D7216C" w:rsidP="00A7558E">
      <w:pPr>
        <w:tabs>
          <w:tab w:val="left" w:pos="567"/>
        </w:tabs>
        <w:spacing w:line="240" w:lineRule="auto"/>
        <w:textAlignment w:val="auto"/>
        <w:rPr>
          <w:rFonts w:eastAsia="MS Mincho"/>
          <w:sz w:val="20"/>
          <w:szCs w:val="20"/>
          <w:lang w:bidi="en-US"/>
        </w:rPr>
      </w:pPr>
    </w:p>
    <w:p w14:paraId="04C3F5C7" w14:textId="3A52F992" w:rsidR="00F301BC" w:rsidRPr="00E3559F" w:rsidRDefault="00903D3B" w:rsidP="00C60448">
      <w:pPr>
        <w:numPr>
          <w:ilvl w:val="0"/>
          <w:numId w:val="1"/>
        </w:numPr>
        <w:tabs>
          <w:tab w:val="left" w:pos="0"/>
        </w:tabs>
        <w:spacing w:line="240" w:lineRule="auto"/>
        <w:ind w:left="0" w:firstLine="0"/>
        <w:textAlignment w:val="auto"/>
        <w:rPr>
          <w:rFonts w:eastAsia="MS Mincho"/>
          <w:sz w:val="20"/>
          <w:szCs w:val="20"/>
          <w:lang w:bidi="en-US"/>
        </w:rPr>
      </w:pPr>
      <w:r w:rsidRPr="00E3559F">
        <w:rPr>
          <w:rFonts w:eastAsia="MS Mincho"/>
          <w:sz w:val="20"/>
          <w:szCs w:val="20"/>
          <w:lang w:bidi="en-US"/>
        </w:rPr>
        <w:t>En lo que respecta al mencionado “fallo Casal”</w:t>
      </w:r>
      <w:r w:rsidR="00D7216C" w:rsidRPr="00E3559F">
        <w:rPr>
          <w:rFonts w:eastAsia="MS Mincho"/>
          <w:sz w:val="20"/>
          <w:szCs w:val="20"/>
          <w:lang w:bidi="en-US"/>
        </w:rPr>
        <w:t>,</w:t>
      </w:r>
      <w:r w:rsidRPr="00E3559F">
        <w:rPr>
          <w:rFonts w:eastAsia="MS Mincho"/>
          <w:sz w:val="20"/>
          <w:szCs w:val="20"/>
          <w:lang w:bidi="en-US"/>
        </w:rPr>
        <w:t xml:space="preserve"> la Corte nota que, efectivamente,</w:t>
      </w:r>
      <w:r w:rsidR="00D7216C" w:rsidRPr="00E3559F">
        <w:rPr>
          <w:rFonts w:eastAsia="MS Mincho"/>
          <w:sz w:val="20"/>
          <w:szCs w:val="20"/>
          <w:lang w:bidi="en-US"/>
        </w:rPr>
        <w:t xml:space="preserve"> </w:t>
      </w:r>
      <w:r w:rsidR="00F301BC" w:rsidRPr="00E3559F">
        <w:rPr>
          <w:sz w:val="20"/>
          <w:szCs w:val="20"/>
          <w:lang w:val="es-ES"/>
        </w:rPr>
        <w:t>el 20 de septiembre de 2005 la CSJN emitió la sentencia conocida como “fallo Casal” mediante la cual se efectuó un análisis de la práctica judicial de los tribunales arge</w:t>
      </w:r>
      <w:r w:rsidR="00B1011B">
        <w:rPr>
          <w:sz w:val="20"/>
          <w:szCs w:val="20"/>
          <w:lang w:val="es-ES"/>
        </w:rPr>
        <w:t>ntinos y, especialmente, de la S</w:t>
      </w:r>
      <w:r w:rsidR="00F301BC" w:rsidRPr="00E3559F">
        <w:rPr>
          <w:sz w:val="20"/>
          <w:szCs w:val="20"/>
          <w:lang w:val="es-ES"/>
        </w:rPr>
        <w:t xml:space="preserve">ala de Casación Penal Nacional, respecto a la </w:t>
      </w:r>
      <w:r w:rsidR="00F301BC" w:rsidRPr="00E3559F">
        <w:rPr>
          <w:sz w:val="20"/>
          <w:szCs w:val="20"/>
        </w:rPr>
        <w:t>interpretación</w:t>
      </w:r>
      <w:r w:rsidR="00F301BC" w:rsidRPr="00E3559F">
        <w:rPr>
          <w:sz w:val="20"/>
          <w:szCs w:val="20"/>
          <w:lang w:val="es-ES"/>
        </w:rPr>
        <w:t xml:space="preserve"> de las normas que regulan el recurso de casación</w:t>
      </w:r>
      <w:r w:rsidR="00F301BC" w:rsidRPr="00E3559F">
        <w:rPr>
          <w:sz w:val="20"/>
          <w:szCs w:val="20"/>
          <w:vertAlign w:val="superscript"/>
          <w:lang w:val="es-ES"/>
        </w:rPr>
        <w:footnoteReference w:id="65"/>
      </w:r>
      <w:r w:rsidR="00F301BC" w:rsidRPr="00E3559F">
        <w:rPr>
          <w:sz w:val="20"/>
          <w:szCs w:val="20"/>
          <w:lang w:val="es-ES"/>
        </w:rPr>
        <w:t>. En dicho fallo se estableció que “(…) en síntesis, cabe entender que el art. 456 del Código Procesal Penal de la Nación</w:t>
      </w:r>
      <w:r w:rsidR="00F301BC" w:rsidRPr="00E3559F">
        <w:rPr>
          <w:rStyle w:val="Refdenotaalpie"/>
          <w:sz w:val="20"/>
          <w:szCs w:val="20"/>
          <w:lang w:val="es-ES"/>
        </w:rPr>
        <w:footnoteReference w:id="66"/>
      </w:r>
      <w:r w:rsidR="00F301BC" w:rsidRPr="00E3559F">
        <w:rPr>
          <w:sz w:val="20"/>
          <w:szCs w:val="20"/>
          <w:lang w:val="es-ES"/>
        </w:rPr>
        <w:t xml:space="preserve"> debe entenderse en el sentido de que habilita a una revisión amplia de la sentencia, todo lo extensa que sea posible al máximo esfuerzo de revisión de los jueces de casación, conforme a las posibilidades y constancias de cada caso particular y sin magnificar las cuestiones reservadas a la inmediación, sólo inevitables por imperio de la oralidad conforme a la naturaleza de las cosas”</w:t>
      </w:r>
      <w:r w:rsidR="00F301BC" w:rsidRPr="00E3559F">
        <w:rPr>
          <w:rStyle w:val="Refdenotaalpie"/>
          <w:sz w:val="20"/>
          <w:szCs w:val="20"/>
          <w:lang w:val="es-ES"/>
        </w:rPr>
        <w:footnoteReference w:id="67"/>
      </w:r>
      <w:r w:rsidR="00F301BC" w:rsidRPr="00E3559F">
        <w:rPr>
          <w:sz w:val="20"/>
          <w:szCs w:val="20"/>
          <w:lang w:val="es-ES"/>
        </w:rPr>
        <w:t>.</w:t>
      </w:r>
      <w:r w:rsidR="00D7216C" w:rsidRPr="00E3559F">
        <w:rPr>
          <w:sz w:val="20"/>
          <w:szCs w:val="20"/>
          <w:lang w:val="es-ES"/>
        </w:rPr>
        <w:t xml:space="preserve"> </w:t>
      </w:r>
      <w:r w:rsidR="00683542" w:rsidRPr="00E3559F">
        <w:rPr>
          <w:sz w:val="20"/>
          <w:szCs w:val="20"/>
          <w:lang w:val="es-ES"/>
        </w:rPr>
        <w:t xml:space="preserve">A pesar de que el Estado ha defendido que el referido “fallo Casal” habría fungido como criterio de interpretación acatado por los tribunales </w:t>
      </w:r>
      <w:r w:rsidR="00B866D7" w:rsidRPr="00E3559F">
        <w:rPr>
          <w:sz w:val="20"/>
          <w:szCs w:val="20"/>
          <w:lang w:val="es-ES"/>
        </w:rPr>
        <w:t xml:space="preserve">provinciales </w:t>
      </w:r>
      <w:r w:rsidR="00683542" w:rsidRPr="00E3559F">
        <w:rPr>
          <w:sz w:val="20"/>
          <w:szCs w:val="20"/>
          <w:lang w:val="es-ES"/>
        </w:rPr>
        <w:t xml:space="preserve">inferiores, la Corte advierte que </w:t>
      </w:r>
      <w:r w:rsidR="00D7216C" w:rsidRPr="00E3559F">
        <w:rPr>
          <w:sz w:val="20"/>
          <w:szCs w:val="20"/>
          <w:lang w:val="es-ES"/>
        </w:rPr>
        <w:t>no</w:t>
      </w:r>
      <w:r w:rsidR="00683542" w:rsidRPr="00E3559F">
        <w:rPr>
          <w:sz w:val="20"/>
          <w:szCs w:val="20"/>
          <w:lang w:val="es-ES"/>
        </w:rPr>
        <w:t xml:space="preserve"> se</w:t>
      </w:r>
      <w:r w:rsidR="00D7216C" w:rsidRPr="00E3559F">
        <w:rPr>
          <w:sz w:val="20"/>
          <w:szCs w:val="20"/>
          <w:lang w:val="es-ES"/>
        </w:rPr>
        <w:t xml:space="preserve"> ha desplegado la correspondiente prueba para acreditar que</w:t>
      </w:r>
      <w:r w:rsidR="00B866D7" w:rsidRPr="00E3559F">
        <w:rPr>
          <w:sz w:val="20"/>
          <w:szCs w:val="20"/>
          <w:lang w:val="es-ES"/>
        </w:rPr>
        <w:t>, efectivamente,</w:t>
      </w:r>
      <w:r w:rsidR="00D7216C" w:rsidRPr="00E3559F">
        <w:rPr>
          <w:sz w:val="20"/>
          <w:szCs w:val="20"/>
          <w:lang w:val="es-ES"/>
        </w:rPr>
        <w:t xml:space="preserve"> a raíz del “fallo Casal”</w:t>
      </w:r>
      <w:r w:rsidR="00683542" w:rsidRPr="00E3559F">
        <w:rPr>
          <w:sz w:val="20"/>
          <w:szCs w:val="20"/>
          <w:lang w:val="es-ES"/>
        </w:rPr>
        <w:t xml:space="preserve"> </w:t>
      </w:r>
      <w:r w:rsidR="00D7216C" w:rsidRPr="00E3559F">
        <w:rPr>
          <w:sz w:val="20"/>
          <w:szCs w:val="20"/>
          <w:lang w:val="es-ES"/>
        </w:rPr>
        <w:t xml:space="preserve">la práctica judicial </w:t>
      </w:r>
      <w:r w:rsidR="00683542" w:rsidRPr="00E3559F">
        <w:rPr>
          <w:sz w:val="20"/>
          <w:szCs w:val="20"/>
          <w:lang w:val="es-ES"/>
        </w:rPr>
        <w:t xml:space="preserve">interna </w:t>
      </w:r>
      <w:r w:rsidR="00D7216C" w:rsidRPr="00E3559F">
        <w:rPr>
          <w:sz w:val="20"/>
          <w:szCs w:val="20"/>
          <w:lang w:val="es-ES"/>
        </w:rPr>
        <w:t xml:space="preserve">ha provocado </w:t>
      </w:r>
      <w:r w:rsidR="00683542" w:rsidRPr="00E3559F">
        <w:rPr>
          <w:sz w:val="20"/>
          <w:szCs w:val="20"/>
          <w:lang w:val="es-ES"/>
        </w:rPr>
        <w:t xml:space="preserve">en la actualidad </w:t>
      </w:r>
      <w:r w:rsidR="00D7216C" w:rsidRPr="00E3559F">
        <w:rPr>
          <w:sz w:val="20"/>
          <w:szCs w:val="20"/>
          <w:lang w:val="es-ES"/>
        </w:rPr>
        <w:t>que</w:t>
      </w:r>
      <w:r w:rsidR="00683542" w:rsidRPr="00E3559F">
        <w:rPr>
          <w:sz w:val="20"/>
          <w:szCs w:val="20"/>
          <w:lang w:val="es-ES"/>
        </w:rPr>
        <w:t xml:space="preserve"> </w:t>
      </w:r>
      <w:r w:rsidR="00D7216C" w:rsidRPr="00E3559F">
        <w:rPr>
          <w:sz w:val="20"/>
          <w:szCs w:val="20"/>
          <w:lang w:val="es-ES"/>
        </w:rPr>
        <w:t xml:space="preserve">el recurso de casación </w:t>
      </w:r>
      <w:r w:rsidR="009E2C82" w:rsidRPr="00E3559F">
        <w:rPr>
          <w:sz w:val="20"/>
          <w:szCs w:val="20"/>
          <w:lang w:val="es-ES"/>
        </w:rPr>
        <w:t xml:space="preserve">contra una sentencia dictada en primera instancia </w:t>
      </w:r>
      <w:r w:rsidR="00D7216C" w:rsidRPr="00E3559F">
        <w:rPr>
          <w:sz w:val="20"/>
          <w:szCs w:val="20"/>
          <w:lang w:val="es-ES"/>
        </w:rPr>
        <w:t>cumpl</w:t>
      </w:r>
      <w:r w:rsidR="00683542" w:rsidRPr="00E3559F">
        <w:rPr>
          <w:sz w:val="20"/>
          <w:szCs w:val="20"/>
          <w:lang w:val="es-ES"/>
        </w:rPr>
        <w:t>a</w:t>
      </w:r>
      <w:r w:rsidR="00D7216C" w:rsidRPr="00E3559F">
        <w:rPr>
          <w:sz w:val="20"/>
          <w:szCs w:val="20"/>
          <w:lang w:val="es-ES"/>
        </w:rPr>
        <w:t xml:space="preserve"> con los estándares interamericanos en la materia</w:t>
      </w:r>
      <w:r w:rsidR="009E2C82" w:rsidRPr="00E3559F">
        <w:rPr>
          <w:sz w:val="20"/>
          <w:szCs w:val="20"/>
          <w:lang w:val="es-ES"/>
        </w:rPr>
        <w:t>, reiterados en el presente caso (</w:t>
      </w:r>
      <w:r w:rsidR="009E2C82" w:rsidRPr="00E3559F">
        <w:rPr>
          <w:i/>
          <w:iCs/>
          <w:sz w:val="20"/>
          <w:szCs w:val="20"/>
          <w:lang w:val="es-ES"/>
        </w:rPr>
        <w:t>supra</w:t>
      </w:r>
      <w:r w:rsidR="009E2C82" w:rsidRPr="00E3559F">
        <w:rPr>
          <w:sz w:val="20"/>
          <w:szCs w:val="20"/>
          <w:lang w:val="es-ES"/>
        </w:rPr>
        <w:t xml:space="preserve"> párr. </w:t>
      </w:r>
      <w:r w:rsidR="002D6698">
        <w:rPr>
          <w:sz w:val="20"/>
          <w:szCs w:val="20"/>
          <w:lang w:val="es-ES"/>
        </w:rPr>
        <w:t>43</w:t>
      </w:r>
      <w:r w:rsidR="004714A6" w:rsidRPr="00E3559F">
        <w:rPr>
          <w:sz w:val="20"/>
          <w:szCs w:val="20"/>
          <w:lang w:val="es-ES"/>
        </w:rPr>
        <w:t xml:space="preserve">). </w:t>
      </w:r>
    </w:p>
    <w:p w14:paraId="04A6AB15" w14:textId="77777777" w:rsidR="00D7216C" w:rsidRPr="00E3559F" w:rsidRDefault="00D7216C" w:rsidP="00D7216C">
      <w:pPr>
        <w:tabs>
          <w:tab w:val="left" w:pos="567"/>
        </w:tabs>
        <w:spacing w:line="240" w:lineRule="auto"/>
        <w:textAlignment w:val="auto"/>
        <w:rPr>
          <w:rFonts w:eastAsia="MS Mincho"/>
          <w:sz w:val="20"/>
          <w:szCs w:val="20"/>
          <w:lang w:bidi="en-US"/>
        </w:rPr>
      </w:pPr>
    </w:p>
    <w:p w14:paraId="2F58EB0C" w14:textId="19600EA9" w:rsidR="00F301BC" w:rsidRPr="00E3559F" w:rsidRDefault="00903D3B" w:rsidP="00C60448">
      <w:pPr>
        <w:numPr>
          <w:ilvl w:val="0"/>
          <w:numId w:val="1"/>
        </w:numPr>
        <w:tabs>
          <w:tab w:val="left" w:pos="0"/>
        </w:tabs>
        <w:spacing w:line="240" w:lineRule="auto"/>
        <w:ind w:left="0" w:firstLine="0"/>
        <w:textAlignment w:val="auto"/>
        <w:rPr>
          <w:rFonts w:eastAsia="MS Mincho"/>
          <w:sz w:val="20"/>
          <w:szCs w:val="20"/>
          <w:lang w:bidi="en-US"/>
        </w:rPr>
      </w:pPr>
      <w:r w:rsidRPr="00E3559F">
        <w:rPr>
          <w:rFonts w:eastAsia="MS Mincho"/>
          <w:sz w:val="20"/>
          <w:szCs w:val="20"/>
          <w:lang w:bidi="en-US"/>
        </w:rPr>
        <w:t>Por último</w:t>
      </w:r>
      <w:r w:rsidR="00F301BC" w:rsidRPr="00E3559F">
        <w:rPr>
          <w:rFonts w:eastAsia="MS Mincho"/>
          <w:sz w:val="20"/>
          <w:szCs w:val="20"/>
          <w:lang w:bidi="en-US"/>
        </w:rPr>
        <w:t>, l</w:t>
      </w:r>
      <w:r w:rsidR="00A769FE" w:rsidRPr="00E3559F">
        <w:rPr>
          <w:rFonts w:eastAsia="MS Mincho"/>
          <w:sz w:val="20"/>
          <w:szCs w:val="20"/>
          <w:lang w:bidi="en-US"/>
        </w:rPr>
        <w:t xml:space="preserve">a </w:t>
      </w:r>
      <w:r w:rsidR="00A769FE" w:rsidRPr="00E3559F">
        <w:rPr>
          <w:rFonts w:eastAsia="MS Mincho"/>
          <w:bCs/>
          <w:iCs/>
          <w:sz w:val="20"/>
          <w:szCs w:val="20"/>
          <w:lang w:bidi="en-US"/>
        </w:rPr>
        <w:t>Corte</w:t>
      </w:r>
      <w:r w:rsidR="00A769FE" w:rsidRPr="00E3559F">
        <w:rPr>
          <w:rFonts w:eastAsia="MS Mincho"/>
          <w:sz w:val="20"/>
          <w:szCs w:val="20"/>
          <w:lang w:bidi="en-US"/>
        </w:rPr>
        <w:t xml:space="preserve"> </w:t>
      </w:r>
      <w:r w:rsidR="00F301BC" w:rsidRPr="00E3559F">
        <w:rPr>
          <w:rFonts w:eastAsia="MS Mincho"/>
          <w:sz w:val="20"/>
          <w:szCs w:val="20"/>
          <w:lang w:bidi="en-US"/>
        </w:rPr>
        <w:t xml:space="preserve">advierte </w:t>
      </w:r>
      <w:r w:rsidR="00A769FE" w:rsidRPr="00E3559F">
        <w:rPr>
          <w:rFonts w:eastAsia="MS Mincho"/>
          <w:sz w:val="20"/>
          <w:szCs w:val="20"/>
          <w:lang w:bidi="en-US"/>
        </w:rPr>
        <w:t>que</w:t>
      </w:r>
      <w:r w:rsidR="00BF0AB5" w:rsidRPr="00E3559F">
        <w:rPr>
          <w:rFonts w:eastAsia="MS Mincho"/>
          <w:sz w:val="20"/>
          <w:szCs w:val="20"/>
          <w:lang w:bidi="en-US"/>
        </w:rPr>
        <w:t>,</w:t>
      </w:r>
      <w:r w:rsidR="00A769FE" w:rsidRPr="00E3559F">
        <w:rPr>
          <w:rFonts w:eastAsia="MS Mincho"/>
          <w:sz w:val="20"/>
          <w:szCs w:val="20"/>
          <w:lang w:bidi="en-US"/>
        </w:rPr>
        <w:t xml:space="preserve"> tanto en el caso </w:t>
      </w:r>
      <w:r w:rsidR="00A769FE" w:rsidRPr="00E3559F">
        <w:rPr>
          <w:rFonts w:eastAsia="MS Mincho"/>
          <w:i/>
          <w:sz w:val="20"/>
          <w:szCs w:val="20"/>
          <w:lang w:bidi="en-US"/>
        </w:rPr>
        <w:t>Mendoza y otros Vs. Argentina</w:t>
      </w:r>
      <w:r w:rsidR="00BF0AB5" w:rsidRPr="00E3559F">
        <w:rPr>
          <w:rFonts w:eastAsia="MS Mincho"/>
          <w:i/>
          <w:sz w:val="20"/>
          <w:szCs w:val="20"/>
          <w:lang w:bidi="en-US"/>
        </w:rPr>
        <w:t>,</w:t>
      </w:r>
      <w:r w:rsidR="00A769FE" w:rsidRPr="00E3559F">
        <w:rPr>
          <w:rFonts w:eastAsia="MS Mincho"/>
          <w:sz w:val="20"/>
          <w:szCs w:val="20"/>
          <w:lang w:bidi="en-US"/>
        </w:rPr>
        <w:t xml:space="preserve"> como en el caso </w:t>
      </w:r>
      <w:r w:rsidR="00A769FE" w:rsidRPr="00E3559F">
        <w:rPr>
          <w:rFonts w:eastAsia="MS Mincho"/>
          <w:i/>
          <w:sz w:val="20"/>
          <w:szCs w:val="20"/>
          <w:lang w:bidi="en-US"/>
        </w:rPr>
        <w:t>Gorigoitía Vs. Argentina,</w:t>
      </w:r>
      <w:r w:rsidR="006D7CB9" w:rsidRPr="00E3559F">
        <w:rPr>
          <w:rFonts w:eastAsia="MS Mincho"/>
          <w:i/>
          <w:sz w:val="20"/>
          <w:szCs w:val="20"/>
          <w:lang w:bidi="en-US"/>
        </w:rPr>
        <w:t xml:space="preserve"> </w:t>
      </w:r>
      <w:r w:rsidR="006D7CB9" w:rsidRPr="00E3559F">
        <w:rPr>
          <w:rFonts w:eastAsia="MS Mincho"/>
          <w:iCs/>
          <w:sz w:val="20"/>
          <w:szCs w:val="20"/>
          <w:lang w:bidi="en-US"/>
        </w:rPr>
        <w:t>concluyó que el Estado de Argentina incumplió con su obligación contenida en el artículo 2 de la Convención Americana</w:t>
      </w:r>
      <w:r w:rsidR="0025005F" w:rsidRPr="00E3559F">
        <w:rPr>
          <w:rFonts w:eastAsia="MS Mincho"/>
          <w:iCs/>
          <w:sz w:val="20"/>
          <w:szCs w:val="20"/>
          <w:lang w:bidi="en-US"/>
        </w:rPr>
        <w:t xml:space="preserve"> </w:t>
      </w:r>
      <w:r w:rsidR="002B3B97" w:rsidRPr="00E3559F">
        <w:rPr>
          <w:rFonts w:eastAsia="MS Mincho"/>
          <w:iCs/>
          <w:sz w:val="20"/>
          <w:szCs w:val="20"/>
          <w:lang w:bidi="en-US"/>
        </w:rPr>
        <w:t>en relación con el artículo</w:t>
      </w:r>
      <w:r w:rsidR="0025005F" w:rsidRPr="00E3559F">
        <w:rPr>
          <w:rFonts w:eastAsia="MS Mincho"/>
          <w:iCs/>
          <w:sz w:val="20"/>
          <w:szCs w:val="20"/>
          <w:lang w:bidi="en-US"/>
        </w:rPr>
        <w:t xml:space="preserve"> 8.2.</w:t>
      </w:r>
      <w:r w:rsidR="00A27C6B" w:rsidRPr="00E3559F">
        <w:rPr>
          <w:rFonts w:eastAsia="MS Mincho"/>
          <w:iCs/>
          <w:sz w:val="20"/>
          <w:szCs w:val="20"/>
          <w:lang w:bidi="en-US"/>
        </w:rPr>
        <w:t>h</w:t>
      </w:r>
      <w:r w:rsidR="002B3B97" w:rsidRPr="00E3559F">
        <w:rPr>
          <w:rFonts w:eastAsia="MS Mincho"/>
          <w:iCs/>
          <w:sz w:val="20"/>
          <w:szCs w:val="20"/>
          <w:lang w:bidi="en-US"/>
        </w:rPr>
        <w:t xml:space="preserve"> del mismo instrumento</w:t>
      </w:r>
      <w:r w:rsidR="006D7CB9" w:rsidRPr="00E3559F">
        <w:rPr>
          <w:rFonts w:eastAsia="MS Mincho"/>
          <w:iCs/>
          <w:sz w:val="20"/>
          <w:szCs w:val="20"/>
          <w:lang w:bidi="en-US"/>
        </w:rPr>
        <w:t xml:space="preserve">, en perjuicio de las </w:t>
      </w:r>
      <w:r w:rsidR="006D7CB9" w:rsidRPr="00E3559F">
        <w:rPr>
          <w:rFonts w:eastAsia="MS Mincho"/>
          <w:sz w:val="20"/>
          <w:szCs w:val="20"/>
          <w:lang w:bidi="en-US"/>
        </w:rPr>
        <w:t>víctimas</w:t>
      </w:r>
      <w:r w:rsidR="006D7CB9" w:rsidRPr="00E3559F">
        <w:rPr>
          <w:rFonts w:eastAsia="MS Mincho"/>
          <w:iCs/>
          <w:sz w:val="20"/>
          <w:szCs w:val="20"/>
          <w:lang w:bidi="en-US"/>
        </w:rPr>
        <w:t xml:space="preserve"> del caso en virtud de que </w:t>
      </w:r>
      <w:r w:rsidR="00BA57E6" w:rsidRPr="00E3559F">
        <w:rPr>
          <w:rFonts w:eastAsia="MS Mincho"/>
          <w:iCs/>
          <w:sz w:val="20"/>
          <w:szCs w:val="20"/>
          <w:lang w:bidi="en-US"/>
        </w:rPr>
        <w:t xml:space="preserve">la legislación procesal penal </w:t>
      </w:r>
      <w:r w:rsidR="006D7CB9" w:rsidRPr="00E3559F">
        <w:rPr>
          <w:rFonts w:eastAsia="MS Mincho"/>
          <w:iCs/>
          <w:sz w:val="20"/>
          <w:szCs w:val="20"/>
          <w:lang w:bidi="en-US"/>
        </w:rPr>
        <w:t xml:space="preserve">de la </w:t>
      </w:r>
      <w:r w:rsidR="000C3048" w:rsidRPr="00E3559F">
        <w:rPr>
          <w:rFonts w:eastAsia="MS Mincho"/>
          <w:iCs/>
          <w:sz w:val="20"/>
          <w:szCs w:val="20"/>
          <w:lang w:bidi="en-US"/>
        </w:rPr>
        <w:t>Provincia</w:t>
      </w:r>
      <w:r w:rsidR="006D7CB9" w:rsidRPr="00E3559F">
        <w:rPr>
          <w:rFonts w:eastAsia="MS Mincho"/>
          <w:iCs/>
          <w:sz w:val="20"/>
          <w:szCs w:val="20"/>
          <w:lang w:bidi="en-US"/>
        </w:rPr>
        <w:t xml:space="preserve"> de Mendoza </w:t>
      </w:r>
      <w:r w:rsidR="00BA57E6" w:rsidRPr="00E3559F">
        <w:rPr>
          <w:rFonts w:eastAsia="MS Mincho"/>
          <w:iCs/>
          <w:sz w:val="20"/>
          <w:szCs w:val="20"/>
          <w:lang w:bidi="en-US"/>
        </w:rPr>
        <w:t>(así como el artículo</w:t>
      </w:r>
      <w:r w:rsidR="006D7CB9" w:rsidRPr="00E3559F">
        <w:rPr>
          <w:rFonts w:eastAsia="MS Mincho"/>
          <w:iCs/>
          <w:sz w:val="20"/>
          <w:szCs w:val="20"/>
          <w:lang w:bidi="en-US"/>
        </w:rPr>
        <w:t xml:space="preserve"> 456 del Código Procesal Penal</w:t>
      </w:r>
      <w:r w:rsidR="00BA57E6" w:rsidRPr="00E3559F">
        <w:rPr>
          <w:rFonts w:eastAsia="MS Mincho"/>
          <w:iCs/>
          <w:sz w:val="20"/>
          <w:szCs w:val="20"/>
          <w:lang w:bidi="en-US"/>
        </w:rPr>
        <w:t xml:space="preserve"> en el </w:t>
      </w:r>
      <w:r w:rsidR="00BA57E6" w:rsidRPr="00E3559F">
        <w:rPr>
          <w:rFonts w:eastAsia="MS Mincho"/>
          <w:i/>
          <w:sz w:val="20"/>
          <w:szCs w:val="20"/>
          <w:lang w:bidi="en-US"/>
        </w:rPr>
        <w:t>Caso Mendoza y otros Vs. Argentina</w:t>
      </w:r>
      <w:r w:rsidR="00BA57E6" w:rsidRPr="00E3559F">
        <w:rPr>
          <w:rFonts w:eastAsia="MS Mincho"/>
          <w:iCs/>
          <w:sz w:val="20"/>
          <w:szCs w:val="20"/>
          <w:lang w:bidi="en-US"/>
        </w:rPr>
        <w:t>)</w:t>
      </w:r>
      <w:r w:rsidR="006D7CB9" w:rsidRPr="00E3559F">
        <w:rPr>
          <w:rFonts w:eastAsia="MS Mincho"/>
          <w:iCs/>
          <w:sz w:val="20"/>
          <w:szCs w:val="20"/>
          <w:lang w:bidi="en-US"/>
        </w:rPr>
        <w:t xml:space="preserve"> no permitía la revisión de cuestiones fácticas y/</w:t>
      </w:r>
      <w:r w:rsidR="00AE52A7" w:rsidRPr="00E3559F">
        <w:rPr>
          <w:rFonts w:eastAsia="MS Mincho"/>
          <w:iCs/>
          <w:sz w:val="20"/>
          <w:szCs w:val="20"/>
          <w:lang w:bidi="en-US"/>
        </w:rPr>
        <w:t>o</w:t>
      </w:r>
      <w:r w:rsidR="006D7CB9" w:rsidRPr="00E3559F">
        <w:rPr>
          <w:rFonts w:eastAsia="MS Mincho"/>
          <w:iCs/>
          <w:sz w:val="20"/>
          <w:szCs w:val="20"/>
          <w:lang w:bidi="en-US"/>
        </w:rPr>
        <w:t xml:space="preserve"> probatorias por un tribunal </w:t>
      </w:r>
      <w:r w:rsidR="006D7CB9" w:rsidRPr="00E3559F">
        <w:rPr>
          <w:rFonts w:eastAsia="MS Mincho"/>
          <w:iCs/>
          <w:sz w:val="20"/>
          <w:szCs w:val="20"/>
          <w:lang w:bidi="en-US"/>
        </w:rPr>
        <w:lastRenderedPageBreak/>
        <w:t>superior</w:t>
      </w:r>
      <w:r w:rsidR="006D7CB9" w:rsidRPr="00E3559F">
        <w:rPr>
          <w:rStyle w:val="Refdenotaalpie"/>
          <w:rFonts w:eastAsia="MS Mincho"/>
          <w:iCs/>
          <w:sz w:val="20"/>
          <w:szCs w:val="20"/>
          <w:lang w:bidi="en-US"/>
        </w:rPr>
        <w:footnoteReference w:id="68"/>
      </w:r>
      <w:r w:rsidR="006D7CB9" w:rsidRPr="00E3559F">
        <w:rPr>
          <w:rFonts w:eastAsia="MS Mincho"/>
          <w:iCs/>
          <w:sz w:val="20"/>
          <w:szCs w:val="20"/>
          <w:lang w:bidi="en-US"/>
        </w:rPr>
        <w:t xml:space="preserve">. </w:t>
      </w:r>
      <w:r w:rsidR="00BA57E6" w:rsidRPr="00E3559F">
        <w:rPr>
          <w:rFonts w:eastAsia="MS Mincho"/>
          <w:iCs/>
          <w:sz w:val="20"/>
          <w:szCs w:val="20"/>
          <w:lang w:bidi="en-US"/>
        </w:rPr>
        <w:t xml:space="preserve">En consecuencia, el Tribunal </w:t>
      </w:r>
      <w:r w:rsidR="00A769FE" w:rsidRPr="00E3559F">
        <w:rPr>
          <w:rFonts w:eastAsia="MS Mincho"/>
          <w:sz w:val="20"/>
          <w:szCs w:val="20"/>
          <w:lang w:bidi="en-US"/>
        </w:rPr>
        <w:t xml:space="preserve">ordenó al Estado “adecuar su ordenamiento </w:t>
      </w:r>
      <w:r w:rsidR="00BA57E6" w:rsidRPr="00E3559F">
        <w:rPr>
          <w:rFonts w:eastAsia="MS Mincho"/>
          <w:sz w:val="20"/>
          <w:szCs w:val="20"/>
          <w:lang w:bidi="en-US"/>
        </w:rPr>
        <w:t xml:space="preserve">jurídico interno de conformidad con </w:t>
      </w:r>
      <w:r w:rsidR="00A769FE" w:rsidRPr="00E3559F">
        <w:rPr>
          <w:rFonts w:eastAsia="MS Mincho"/>
          <w:sz w:val="20"/>
          <w:szCs w:val="20"/>
          <w:lang w:bidi="en-US"/>
        </w:rPr>
        <w:t xml:space="preserve">los parámetros </w:t>
      </w:r>
      <w:r w:rsidR="00BA57E6" w:rsidRPr="00E3559F">
        <w:rPr>
          <w:rFonts w:eastAsia="MS Mincho"/>
          <w:sz w:val="20"/>
          <w:szCs w:val="20"/>
          <w:lang w:bidi="en-US"/>
        </w:rPr>
        <w:t>establecidos en la Sentencia</w:t>
      </w:r>
      <w:r w:rsidR="00A769FE" w:rsidRPr="00E3559F">
        <w:rPr>
          <w:rFonts w:eastAsia="MS Mincho"/>
          <w:sz w:val="20"/>
          <w:szCs w:val="20"/>
          <w:lang w:bidi="en-US"/>
        </w:rPr>
        <w:t>”</w:t>
      </w:r>
      <w:r w:rsidR="00A769FE" w:rsidRPr="00E3559F">
        <w:rPr>
          <w:rStyle w:val="Refdenotaalpie"/>
          <w:rFonts w:eastAsia="MS Mincho"/>
          <w:sz w:val="20"/>
          <w:szCs w:val="20"/>
          <w:lang w:bidi="en-US"/>
        </w:rPr>
        <w:footnoteReference w:id="69"/>
      </w:r>
      <w:r w:rsidR="00A769FE" w:rsidRPr="00E3559F">
        <w:rPr>
          <w:rFonts w:eastAsia="MS Mincho"/>
          <w:sz w:val="20"/>
          <w:szCs w:val="20"/>
          <w:lang w:bidi="en-US"/>
        </w:rPr>
        <w:t xml:space="preserve">. </w:t>
      </w:r>
    </w:p>
    <w:p w14:paraId="02837B30" w14:textId="70ABC966" w:rsidR="00F301BC" w:rsidRPr="00E3559F" w:rsidRDefault="00F301BC" w:rsidP="00F301BC">
      <w:pPr>
        <w:tabs>
          <w:tab w:val="left" w:pos="567"/>
        </w:tabs>
        <w:spacing w:line="240" w:lineRule="auto"/>
        <w:textAlignment w:val="auto"/>
        <w:rPr>
          <w:rFonts w:eastAsia="MS Mincho"/>
          <w:sz w:val="20"/>
          <w:szCs w:val="20"/>
          <w:lang w:bidi="en-US"/>
        </w:rPr>
      </w:pPr>
    </w:p>
    <w:p w14:paraId="0B33DF34" w14:textId="5938A89D" w:rsidR="0025005F" w:rsidRPr="00E3559F" w:rsidRDefault="00BA57E6" w:rsidP="00C60448">
      <w:pPr>
        <w:numPr>
          <w:ilvl w:val="0"/>
          <w:numId w:val="1"/>
        </w:numPr>
        <w:tabs>
          <w:tab w:val="left" w:pos="0"/>
        </w:tabs>
        <w:spacing w:line="240" w:lineRule="auto"/>
        <w:ind w:left="0" w:firstLine="0"/>
        <w:textAlignment w:val="auto"/>
        <w:rPr>
          <w:rFonts w:eastAsia="MS Mincho"/>
          <w:sz w:val="20"/>
          <w:szCs w:val="20"/>
          <w:lang w:bidi="en-US"/>
        </w:rPr>
      </w:pPr>
      <w:r w:rsidRPr="00E3559F">
        <w:rPr>
          <w:rFonts w:eastAsia="MS Mincho"/>
          <w:sz w:val="20"/>
          <w:szCs w:val="20"/>
          <w:lang w:bidi="en-US"/>
        </w:rPr>
        <w:t>A la vista de lo anterior</w:t>
      </w:r>
      <w:r w:rsidR="00D7216C" w:rsidRPr="00E3559F">
        <w:rPr>
          <w:rFonts w:eastAsia="MS Mincho"/>
          <w:sz w:val="20"/>
          <w:szCs w:val="20"/>
          <w:lang w:bidi="en-US"/>
        </w:rPr>
        <w:t xml:space="preserve">, </w:t>
      </w:r>
      <w:r w:rsidR="000C3048" w:rsidRPr="00E3559F">
        <w:rPr>
          <w:rFonts w:eastAsia="MS Mincho"/>
          <w:sz w:val="20"/>
          <w:szCs w:val="20"/>
          <w:lang w:bidi="en-US"/>
        </w:rPr>
        <w:t xml:space="preserve">de la similitud del presente caso con los casos anteriormente citados, </w:t>
      </w:r>
      <w:r w:rsidR="00D7216C" w:rsidRPr="00E3559F">
        <w:rPr>
          <w:rFonts w:eastAsia="MS Mincho"/>
          <w:sz w:val="20"/>
          <w:szCs w:val="20"/>
          <w:lang w:bidi="en-US"/>
        </w:rPr>
        <w:t xml:space="preserve">y de la ausencia de prueba que acredite que la mencionada violación ha cesado, </w:t>
      </w:r>
      <w:r w:rsidR="000C3048" w:rsidRPr="00E3559F">
        <w:rPr>
          <w:rFonts w:eastAsia="MS Mincho"/>
          <w:sz w:val="20"/>
          <w:szCs w:val="20"/>
          <w:lang w:bidi="en-US"/>
        </w:rPr>
        <w:t xml:space="preserve">la Corte estima que el Estado debe, dentro de un plazo razonable, adecuar su ordenamiento </w:t>
      </w:r>
      <w:r w:rsidR="008178E4" w:rsidRPr="00E3559F">
        <w:rPr>
          <w:rFonts w:eastAsia="MS Mincho"/>
          <w:sz w:val="20"/>
          <w:szCs w:val="20"/>
          <w:lang w:bidi="en-US"/>
        </w:rPr>
        <w:t>jurídico</w:t>
      </w:r>
      <w:r w:rsidR="000C3048" w:rsidRPr="00E3559F">
        <w:rPr>
          <w:rFonts w:eastAsia="MS Mincho"/>
          <w:sz w:val="20"/>
          <w:szCs w:val="20"/>
          <w:lang w:bidi="en-US"/>
        </w:rPr>
        <w:t xml:space="preserve"> interno </w:t>
      </w:r>
      <w:r w:rsidR="005A2DFB" w:rsidRPr="00E3559F">
        <w:rPr>
          <w:rFonts w:eastAsia="MS Mincho"/>
          <w:sz w:val="20"/>
          <w:szCs w:val="20"/>
          <w:lang w:bidi="en-US"/>
        </w:rPr>
        <w:t>con respecto a la legislación procesal penal de la Provincia de Córd</w:t>
      </w:r>
      <w:r w:rsidR="00437485" w:rsidRPr="00E3559F">
        <w:rPr>
          <w:rFonts w:eastAsia="MS Mincho"/>
          <w:sz w:val="20"/>
          <w:szCs w:val="20"/>
          <w:lang w:bidi="en-US"/>
        </w:rPr>
        <w:t>o</w:t>
      </w:r>
      <w:r w:rsidR="005A2DFB" w:rsidRPr="00E3559F">
        <w:rPr>
          <w:rFonts w:eastAsia="MS Mincho"/>
          <w:sz w:val="20"/>
          <w:szCs w:val="20"/>
          <w:lang w:bidi="en-US"/>
        </w:rPr>
        <w:t xml:space="preserve">ba </w:t>
      </w:r>
      <w:r w:rsidR="000C3048" w:rsidRPr="00E3559F">
        <w:rPr>
          <w:rFonts w:eastAsia="MS Mincho"/>
          <w:sz w:val="20"/>
          <w:szCs w:val="20"/>
          <w:lang w:bidi="en-US"/>
        </w:rPr>
        <w:t xml:space="preserve">a los </w:t>
      </w:r>
      <w:r w:rsidR="008178E4" w:rsidRPr="00E3559F">
        <w:rPr>
          <w:rFonts w:eastAsia="MS Mincho"/>
          <w:sz w:val="20"/>
          <w:szCs w:val="20"/>
          <w:lang w:bidi="en-US"/>
        </w:rPr>
        <w:t>parámetros</w:t>
      </w:r>
      <w:r w:rsidR="000C3048" w:rsidRPr="00E3559F">
        <w:rPr>
          <w:rFonts w:eastAsia="MS Mincho"/>
          <w:sz w:val="20"/>
          <w:szCs w:val="20"/>
          <w:lang w:bidi="en-US"/>
        </w:rPr>
        <w:t xml:space="preserve"> establecidos en esta Sentencia sobre el derecho de recurrir del fallo ante el juez o tribunal superior</w:t>
      </w:r>
      <w:r w:rsidR="00A769FE" w:rsidRPr="00E3559F">
        <w:rPr>
          <w:rFonts w:eastAsia="MS Mincho"/>
          <w:sz w:val="20"/>
          <w:szCs w:val="20"/>
          <w:lang w:bidi="en-US"/>
        </w:rPr>
        <w:t>.</w:t>
      </w:r>
      <w:r w:rsidR="0025005F" w:rsidRPr="00E3559F">
        <w:rPr>
          <w:rFonts w:eastAsia="MS Mincho"/>
          <w:sz w:val="20"/>
          <w:szCs w:val="20"/>
          <w:lang w:bidi="en-US"/>
        </w:rPr>
        <w:t xml:space="preserve"> </w:t>
      </w:r>
    </w:p>
    <w:p w14:paraId="7A0CBDA8" w14:textId="3F483407" w:rsidR="00EF626B" w:rsidRPr="00E3559F" w:rsidRDefault="00EF626B" w:rsidP="00EF626B">
      <w:pPr>
        <w:pStyle w:val="Ttulo2"/>
        <w:ind w:left="1152" w:hanging="590"/>
      </w:pPr>
      <w:bookmarkStart w:id="61" w:name="_Toc46250488"/>
      <w:r w:rsidRPr="00E3559F">
        <w:t>Otras medidas solicitadas</w:t>
      </w:r>
      <w:bookmarkEnd w:id="61"/>
    </w:p>
    <w:p w14:paraId="7750C595" w14:textId="14D81D27" w:rsidR="00EF626B" w:rsidRPr="00E3559F" w:rsidRDefault="00EF626B" w:rsidP="00EF626B">
      <w:pPr>
        <w:numPr>
          <w:ilvl w:val="0"/>
          <w:numId w:val="1"/>
        </w:numPr>
        <w:tabs>
          <w:tab w:val="left" w:pos="567"/>
        </w:tabs>
        <w:spacing w:line="240" w:lineRule="auto"/>
        <w:ind w:left="0" w:firstLine="0"/>
        <w:textAlignment w:val="auto"/>
        <w:rPr>
          <w:rFonts w:eastAsia="MS Mincho"/>
          <w:sz w:val="20"/>
          <w:szCs w:val="20"/>
          <w:lang w:bidi="en-US"/>
        </w:rPr>
      </w:pPr>
      <w:r w:rsidRPr="00E3559F">
        <w:rPr>
          <w:rFonts w:eastAsia="MS Mincho"/>
          <w:sz w:val="20"/>
        </w:rPr>
        <w:t xml:space="preserve">La </w:t>
      </w:r>
      <w:r w:rsidRPr="00E3559F">
        <w:rPr>
          <w:rFonts w:eastAsia="MS Mincho"/>
          <w:b/>
          <w:i/>
          <w:sz w:val="20"/>
        </w:rPr>
        <w:t>Comisión</w:t>
      </w:r>
      <w:r w:rsidRPr="00E3559F">
        <w:rPr>
          <w:rFonts w:eastAsia="MS Mincho"/>
          <w:sz w:val="20"/>
        </w:rPr>
        <w:t xml:space="preserve"> solicitó que el Estado </w:t>
      </w:r>
      <w:r w:rsidR="00A96C2D">
        <w:rPr>
          <w:rFonts w:eastAsia="MS Mincho"/>
          <w:sz w:val="20"/>
        </w:rPr>
        <w:t>dispusiera</w:t>
      </w:r>
      <w:r w:rsidRPr="00E3559F">
        <w:rPr>
          <w:rFonts w:eastAsia="MS Mincho"/>
          <w:sz w:val="20"/>
        </w:rPr>
        <w:t xml:space="preserve"> las medidas necesarias para que, en caso de ser su voluntad, los señores del Valle </w:t>
      </w:r>
      <w:r w:rsidRPr="00E3559F">
        <w:rPr>
          <w:rFonts w:eastAsia="MS Mincho"/>
          <w:sz w:val="20"/>
          <w:szCs w:val="20"/>
          <w:lang w:bidi="en-US"/>
        </w:rPr>
        <w:t>Ambrosio</w:t>
      </w:r>
      <w:r w:rsidRPr="00E3559F">
        <w:rPr>
          <w:rFonts w:eastAsia="MS Mincho"/>
          <w:sz w:val="20"/>
        </w:rPr>
        <w:t xml:space="preserve"> y Domínguez Linares puedan interponer un recurso mediante el cual obtengan una revisión amplia de la sentencia condenatoria. </w:t>
      </w:r>
    </w:p>
    <w:p w14:paraId="46571E05" w14:textId="77777777" w:rsidR="00EF626B" w:rsidRPr="00E3559F" w:rsidRDefault="00EF626B" w:rsidP="00EF626B">
      <w:pPr>
        <w:tabs>
          <w:tab w:val="left" w:pos="567"/>
        </w:tabs>
        <w:spacing w:line="240" w:lineRule="auto"/>
        <w:textAlignment w:val="auto"/>
        <w:rPr>
          <w:rFonts w:eastAsia="MS Mincho"/>
          <w:sz w:val="20"/>
          <w:szCs w:val="20"/>
          <w:lang w:bidi="en-US"/>
        </w:rPr>
      </w:pPr>
    </w:p>
    <w:p w14:paraId="2D7A27CA" w14:textId="6D188091" w:rsidR="00EF626B" w:rsidRPr="00E3559F" w:rsidRDefault="00EF626B" w:rsidP="00EF626B">
      <w:pPr>
        <w:numPr>
          <w:ilvl w:val="0"/>
          <w:numId w:val="1"/>
        </w:numPr>
        <w:tabs>
          <w:tab w:val="left" w:pos="567"/>
        </w:tabs>
        <w:spacing w:line="240" w:lineRule="auto"/>
        <w:ind w:left="0" w:firstLine="0"/>
        <w:textAlignment w:val="auto"/>
        <w:rPr>
          <w:rFonts w:eastAsia="MS Mincho"/>
          <w:sz w:val="20"/>
        </w:rPr>
      </w:pPr>
      <w:r w:rsidRPr="00E3559F">
        <w:rPr>
          <w:rFonts w:eastAsia="MS Mincho"/>
          <w:sz w:val="20"/>
        </w:rPr>
        <w:t xml:space="preserve">El </w:t>
      </w:r>
      <w:r w:rsidRPr="00E3559F">
        <w:rPr>
          <w:rFonts w:eastAsia="MS Mincho"/>
          <w:b/>
          <w:i/>
          <w:sz w:val="20"/>
        </w:rPr>
        <w:t>Estado</w:t>
      </w:r>
      <w:r w:rsidRPr="00E3559F">
        <w:rPr>
          <w:rFonts w:eastAsia="MS Mincho"/>
          <w:sz w:val="20"/>
        </w:rPr>
        <w:t xml:space="preserve"> no presentó alegatos específicos sobre este punto. </w:t>
      </w:r>
    </w:p>
    <w:p w14:paraId="60092CB7" w14:textId="77777777" w:rsidR="00EF626B" w:rsidRPr="00E3559F" w:rsidRDefault="00EF626B" w:rsidP="00EF626B">
      <w:pPr>
        <w:tabs>
          <w:tab w:val="left" w:pos="567"/>
        </w:tabs>
        <w:spacing w:line="240" w:lineRule="auto"/>
        <w:textAlignment w:val="auto"/>
        <w:rPr>
          <w:rFonts w:eastAsia="MS Mincho"/>
          <w:sz w:val="20"/>
        </w:rPr>
      </w:pPr>
    </w:p>
    <w:p w14:paraId="7CA6C784" w14:textId="0D16D273" w:rsidR="00EF626B" w:rsidRPr="00E3559F" w:rsidRDefault="00EF626B" w:rsidP="00EF626B">
      <w:pPr>
        <w:numPr>
          <w:ilvl w:val="0"/>
          <w:numId w:val="1"/>
        </w:numPr>
        <w:tabs>
          <w:tab w:val="left" w:pos="567"/>
        </w:tabs>
        <w:spacing w:line="240" w:lineRule="auto"/>
        <w:ind w:left="0" w:firstLine="0"/>
        <w:textAlignment w:val="auto"/>
        <w:rPr>
          <w:rFonts w:eastAsia="MS Mincho"/>
          <w:sz w:val="20"/>
        </w:rPr>
      </w:pPr>
      <w:r w:rsidRPr="00E3559F">
        <w:rPr>
          <w:rFonts w:eastAsia="MS Mincho"/>
          <w:sz w:val="20"/>
        </w:rPr>
        <w:t xml:space="preserve">Este </w:t>
      </w:r>
      <w:r w:rsidRPr="00E3559F">
        <w:rPr>
          <w:rFonts w:eastAsia="MS Mincho"/>
          <w:b/>
          <w:i/>
          <w:sz w:val="20"/>
        </w:rPr>
        <w:t>Tribunal</w:t>
      </w:r>
      <w:r w:rsidRPr="00E3559F">
        <w:rPr>
          <w:rFonts w:eastAsia="MS Mincho"/>
          <w:sz w:val="20"/>
        </w:rPr>
        <w:t xml:space="preserve"> considera que la emisión de la presente Sentencia y las reparaciones ordenadas en la misma resultan suficientes y adecuadas y, por lo tanto, las referidas medidas no serán acordadas</w:t>
      </w:r>
      <w:r w:rsidR="00856C88">
        <w:rPr>
          <w:rFonts w:eastAsia="MS Mincho"/>
          <w:sz w:val="20"/>
        </w:rPr>
        <w:t>.</w:t>
      </w:r>
    </w:p>
    <w:p w14:paraId="2B65E9E7" w14:textId="146F9127" w:rsidR="00A769FE" w:rsidRPr="00E3559F" w:rsidRDefault="00A769FE" w:rsidP="00A769FE">
      <w:pPr>
        <w:pStyle w:val="Ttulo2"/>
      </w:pPr>
      <w:bookmarkStart w:id="62" w:name="_Toc514172669"/>
      <w:bookmarkStart w:id="63" w:name="_Toc476390741"/>
      <w:bookmarkStart w:id="64" w:name="_Toc495658701"/>
      <w:bookmarkStart w:id="65" w:name="_Toc15933778"/>
      <w:bookmarkStart w:id="66" w:name="_Toc35011031"/>
      <w:bookmarkStart w:id="67" w:name="_Toc46250489"/>
      <w:r w:rsidRPr="00E3559F">
        <w:t>Indemnizaciones compensatorias</w:t>
      </w:r>
      <w:bookmarkEnd w:id="62"/>
      <w:bookmarkEnd w:id="63"/>
      <w:bookmarkEnd w:id="64"/>
      <w:bookmarkEnd w:id="65"/>
      <w:bookmarkEnd w:id="66"/>
      <w:bookmarkEnd w:id="67"/>
    </w:p>
    <w:p w14:paraId="43010A09" w14:textId="77777777" w:rsidR="00761391" w:rsidRPr="00761391" w:rsidRDefault="00A769FE" w:rsidP="00A95B06">
      <w:pPr>
        <w:numPr>
          <w:ilvl w:val="0"/>
          <w:numId w:val="1"/>
        </w:numPr>
        <w:tabs>
          <w:tab w:val="left" w:pos="0"/>
        </w:tabs>
        <w:spacing w:line="240" w:lineRule="auto"/>
        <w:ind w:left="0" w:firstLine="0"/>
        <w:textAlignment w:val="auto"/>
        <w:rPr>
          <w:rFonts w:eastAsiaTheme="minorHAnsi"/>
          <w:sz w:val="20"/>
          <w:szCs w:val="20"/>
          <w:lang w:val="es-ES_tradnl" w:eastAsia="en-US"/>
        </w:rPr>
      </w:pPr>
      <w:r w:rsidRPr="00E3559F">
        <w:rPr>
          <w:rFonts w:eastAsia="MS Mincho"/>
          <w:bCs/>
          <w:sz w:val="20"/>
          <w:szCs w:val="20"/>
          <w:lang w:bidi="en-US"/>
        </w:rPr>
        <w:t xml:space="preserve">De manera general, la </w:t>
      </w:r>
      <w:r w:rsidRPr="00E3559F">
        <w:rPr>
          <w:rFonts w:eastAsia="MS Mincho"/>
          <w:b/>
          <w:bCs/>
          <w:i/>
          <w:sz w:val="20"/>
          <w:szCs w:val="20"/>
          <w:lang w:bidi="en-US"/>
        </w:rPr>
        <w:t>Comisión</w:t>
      </w:r>
      <w:r w:rsidRPr="00E3559F">
        <w:rPr>
          <w:rFonts w:eastAsia="MS Mincho"/>
          <w:bCs/>
          <w:sz w:val="20"/>
          <w:szCs w:val="20"/>
          <w:lang w:bidi="en-US"/>
        </w:rPr>
        <w:t xml:space="preserve"> solicitó que el Estado repare integralmente las violaciones de derechos humanos declaradas en su informe de fondo, incluyendo el daño material e inmaterial. </w:t>
      </w:r>
    </w:p>
    <w:p w14:paraId="528C861C" w14:textId="77777777" w:rsidR="00761391" w:rsidRPr="00761391" w:rsidRDefault="00761391" w:rsidP="00761391">
      <w:pPr>
        <w:tabs>
          <w:tab w:val="left" w:pos="0"/>
        </w:tabs>
        <w:spacing w:line="240" w:lineRule="auto"/>
        <w:textAlignment w:val="auto"/>
        <w:rPr>
          <w:rFonts w:eastAsiaTheme="minorHAnsi"/>
          <w:sz w:val="20"/>
          <w:szCs w:val="20"/>
          <w:lang w:val="es-ES_tradnl" w:eastAsia="en-US"/>
        </w:rPr>
      </w:pPr>
    </w:p>
    <w:p w14:paraId="4E41EB93" w14:textId="32F7412F" w:rsidR="00A769FE" w:rsidRPr="00E3559F" w:rsidRDefault="000B5E3C" w:rsidP="00A95B06">
      <w:pPr>
        <w:numPr>
          <w:ilvl w:val="0"/>
          <w:numId w:val="1"/>
        </w:numPr>
        <w:tabs>
          <w:tab w:val="left" w:pos="0"/>
        </w:tabs>
        <w:spacing w:line="240" w:lineRule="auto"/>
        <w:ind w:left="0" w:firstLine="0"/>
        <w:textAlignment w:val="auto"/>
        <w:rPr>
          <w:rFonts w:eastAsiaTheme="minorHAnsi"/>
          <w:sz w:val="20"/>
          <w:szCs w:val="20"/>
          <w:lang w:val="es-ES_tradnl" w:eastAsia="en-US"/>
        </w:rPr>
      </w:pPr>
      <w:r w:rsidRPr="00E3559F">
        <w:rPr>
          <w:rFonts w:eastAsia="MS Mincho"/>
          <w:sz w:val="20"/>
          <w:szCs w:val="20"/>
          <w:lang w:bidi="en-US"/>
        </w:rPr>
        <w:t xml:space="preserve">En sus </w:t>
      </w:r>
      <w:r w:rsidR="008178E4" w:rsidRPr="00E3559F">
        <w:rPr>
          <w:rFonts w:eastAsia="MS Mincho"/>
          <w:sz w:val="20"/>
          <w:szCs w:val="20"/>
          <w:lang w:bidi="en-US"/>
        </w:rPr>
        <w:t>observaciones</w:t>
      </w:r>
      <w:r w:rsidRPr="00E3559F">
        <w:rPr>
          <w:rFonts w:eastAsia="MS Mincho"/>
          <w:sz w:val="20"/>
          <w:szCs w:val="20"/>
          <w:lang w:bidi="en-US"/>
        </w:rPr>
        <w:t xml:space="preserve"> </w:t>
      </w:r>
      <w:r w:rsidR="00070EAD" w:rsidRPr="00E3559F">
        <w:rPr>
          <w:rFonts w:eastAsia="MS Mincho"/>
          <w:sz w:val="20"/>
          <w:szCs w:val="20"/>
          <w:lang w:bidi="en-US"/>
        </w:rPr>
        <w:t>f</w:t>
      </w:r>
      <w:r w:rsidRPr="00E3559F">
        <w:rPr>
          <w:rFonts w:eastAsia="MS Mincho"/>
          <w:sz w:val="20"/>
          <w:szCs w:val="20"/>
          <w:lang w:bidi="en-US"/>
        </w:rPr>
        <w:t xml:space="preserve">inales </w:t>
      </w:r>
      <w:r w:rsidR="00070EAD" w:rsidRPr="00E3559F">
        <w:rPr>
          <w:rFonts w:eastAsia="MS Mincho"/>
          <w:sz w:val="20"/>
          <w:szCs w:val="20"/>
          <w:lang w:bidi="en-US"/>
        </w:rPr>
        <w:t>e</w:t>
      </w:r>
      <w:r w:rsidRPr="00E3559F">
        <w:rPr>
          <w:rFonts w:eastAsia="MS Mincho"/>
          <w:sz w:val="20"/>
          <w:szCs w:val="20"/>
          <w:lang w:bidi="en-US"/>
        </w:rPr>
        <w:t>scritas, la Comisión</w:t>
      </w:r>
      <w:r w:rsidR="00633010" w:rsidRPr="00E3559F">
        <w:rPr>
          <w:rFonts w:eastAsia="MS Mincho"/>
          <w:sz w:val="20"/>
          <w:szCs w:val="20"/>
          <w:lang w:bidi="en-US"/>
        </w:rPr>
        <w:t xml:space="preserve"> se refirió al argumento esgrimido por el Estado, en virtud del cual solicitaba que se rechazara la petición indemnizatoria toda vez que la representación de las </w:t>
      </w:r>
      <w:r w:rsidR="00633010" w:rsidRPr="00E3559F">
        <w:rPr>
          <w:rFonts w:cs="Verdana"/>
          <w:bCs/>
          <w:iCs/>
          <w:sz w:val="20"/>
          <w:szCs w:val="20"/>
        </w:rPr>
        <w:t>presuntas</w:t>
      </w:r>
      <w:r w:rsidR="00633010" w:rsidRPr="00E3559F">
        <w:rPr>
          <w:rFonts w:eastAsia="MS Mincho"/>
          <w:sz w:val="20"/>
          <w:szCs w:val="20"/>
          <w:lang w:bidi="en-US"/>
        </w:rPr>
        <w:t xml:space="preserve"> víctimas no presentó dentro del plazo el </w:t>
      </w:r>
      <w:r w:rsidR="00A95B06" w:rsidRPr="00E3559F">
        <w:rPr>
          <w:rFonts w:eastAsia="MS Mincho"/>
          <w:sz w:val="20"/>
          <w:szCs w:val="20"/>
          <w:lang w:bidi="en-US"/>
        </w:rPr>
        <w:t>e</w:t>
      </w:r>
      <w:r w:rsidR="00633010" w:rsidRPr="00E3559F">
        <w:rPr>
          <w:rFonts w:eastAsia="MS Mincho"/>
          <w:sz w:val="20"/>
          <w:szCs w:val="20"/>
          <w:lang w:bidi="en-US"/>
        </w:rPr>
        <w:t xml:space="preserve">scrito de </w:t>
      </w:r>
      <w:r w:rsidR="00A95B06" w:rsidRPr="00E3559F">
        <w:rPr>
          <w:rFonts w:eastAsia="MS Mincho"/>
          <w:sz w:val="20"/>
          <w:szCs w:val="20"/>
          <w:lang w:bidi="en-US"/>
        </w:rPr>
        <w:t>s</w:t>
      </w:r>
      <w:r w:rsidR="00633010" w:rsidRPr="00E3559F">
        <w:rPr>
          <w:rFonts w:eastAsia="MS Mincho"/>
          <w:sz w:val="20"/>
          <w:szCs w:val="20"/>
          <w:lang w:bidi="en-US"/>
        </w:rPr>
        <w:t xml:space="preserve">olicitudes, </w:t>
      </w:r>
      <w:r w:rsidR="00A95B06" w:rsidRPr="00E3559F">
        <w:rPr>
          <w:rFonts w:eastAsia="MS Mincho"/>
          <w:sz w:val="20"/>
          <w:szCs w:val="20"/>
          <w:lang w:bidi="en-US"/>
        </w:rPr>
        <w:t>a</w:t>
      </w:r>
      <w:r w:rsidR="00633010" w:rsidRPr="00E3559F">
        <w:rPr>
          <w:rFonts w:eastAsia="MS Mincho"/>
          <w:sz w:val="20"/>
          <w:szCs w:val="20"/>
          <w:lang w:bidi="en-US"/>
        </w:rPr>
        <w:t xml:space="preserve">rgumentos y </w:t>
      </w:r>
      <w:r w:rsidR="00A95B06" w:rsidRPr="00E3559F">
        <w:rPr>
          <w:rFonts w:eastAsia="MS Mincho"/>
          <w:sz w:val="20"/>
          <w:szCs w:val="20"/>
          <w:lang w:bidi="en-US"/>
        </w:rPr>
        <w:t>p</w:t>
      </w:r>
      <w:r w:rsidR="00633010" w:rsidRPr="00E3559F">
        <w:rPr>
          <w:rFonts w:eastAsia="MS Mincho"/>
          <w:sz w:val="20"/>
          <w:szCs w:val="20"/>
          <w:lang w:bidi="en-US"/>
        </w:rPr>
        <w:t>ruebas. A este respecto, la Comisión señaló</w:t>
      </w:r>
      <w:r w:rsidR="00633010" w:rsidRPr="00E3559F">
        <w:rPr>
          <w:rFonts w:eastAsia="MS Mincho"/>
          <w:b/>
          <w:bCs/>
          <w:sz w:val="20"/>
          <w:szCs w:val="20"/>
          <w:lang w:bidi="en-US"/>
        </w:rPr>
        <w:t xml:space="preserve"> </w:t>
      </w:r>
      <w:r w:rsidR="00633010" w:rsidRPr="00E3559F">
        <w:rPr>
          <w:rFonts w:eastAsiaTheme="minorHAnsi"/>
          <w:sz w:val="20"/>
          <w:szCs w:val="20"/>
          <w:lang w:val="es-ES_tradnl" w:eastAsia="en-US"/>
        </w:rPr>
        <w:t>que las víctimas tienen el derecho a una reparación integral por las consecuencias de las violaciones cometidas en su perjuicio por el mismo Estado, de conformidad con el artículo 63.1 de la Convención Americana</w:t>
      </w:r>
      <w:r w:rsidR="00026DF3" w:rsidRPr="00E3559F">
        <w:rPr>
          <w:rFonts w:eastAsiaTheme="minorHAnsi"/>
          <w:sz w:val="20"/>
          <w:szCs w:val="20"/>
          <w:lang w:val="es-ES_tradnl" w:eastAsia="en-US"/>
        </w:rPr>
        <w:t>.</w:t>
      </w:r>
      <w:r w:rsidR="00633010" w:rsidRPr="00E3559F">
        <w:rPr>
          <w:rFonts w:eastAsia="MS Mincho"/>
          <w:b/>
          <w:bCs/>
          <w:sz w:val="20"/>
          <w:szCs w:val="20"/>
          <w:lang w:bidi="en-US"/>
        </w:rPr>
        <w:t xml:space="preserve"> </w:t>
      </w:r>
    </w:p>
    <w:p w14:paraId="030EBF7D" w14:textId="77777777" w:rsidR="002B3B97" w:rsidRPr="00E3559F" w:rsidRDefault="002B3B97" w:rsidP="00A769FE">
      <w:pPr>
        <w:tabs>
          <w:tab w:val="left" w:pos="567"/>
        </w:tabs>
        <w:spacing w:line="240" w:lineRule="auto"/>
        <w:textAlignment w:val="auto"/>
        <w:rPr>
          <w:rFonts w:cs="Arial"/>
          <w:sz w:val="20"/>
          <w:szCs w:val="20"/>
        </w:rPr>
      </w:pPr>
    </w:p>
    <w:p w14:paraId="1437A9E8" w14:textId="35B57098" w:rsidR="00A769FE" w:rsidRPr="00E3559F" w:rsidRDefault="00A769FE" w:rsidP="00A95B06">
      <w:pPr>
        <w:numPr>
          <w:ilvl w:val="0"/>
          <w:numId w:val="1"/>
        </w:numPr>
        <w:tabs>
          <w:tab w:val="left" w:pos="0"/>
        </w:tabs>
        <w:spacing w:line="240" w:lineRule="auto"/>
        <w:ind w:left="0" w:firstLine="0"/>
        <w:textAlignment w:val="auto"/>
        <w:rPr>
          <w:rFonts w:eastAsiaTheme="minorHAnsi"/>
          <w:sz w:val="20"/>
          <w:szCs w:val="20"/>
          <w:lang w:val="es-ES_tradnl" w:eastAsia="en-US"/>
        </w:rPr>
      </w:pPr>
      <w:r w:rsidRPr="00E3559F">
        <w:rPr>
          <w:rFonts w:eastAsia="MS Mincho"/>
          <w:sz w:val="20"/>
          <w:szCs w:val="20"/>
          <w:lang w:bidi="en-US"/>
        </w:rPr>
        <w:t xml:space="preserve">Por su parte, el </w:t>
      </w:r>
      <w:r w:rsidRPr="00E3559F">
        <w:rPr>
          <w:rFonts w:eastAsia="MS Mincho"/>
          <w:b/>
          <w:bCs/>
          <w:i/>
          <w:iCs/>
          <w:sz w:val="20"/>
          <w:szCs w:val="20"/>
          <w:lang w:bidi="en-US"/>
        </w:rPr>
        <w:t>Estado</w:t>
      </w:r>
      <w:r w:rsidRPr="00E3559F">
        <w:rPr>
          <w:rFonts w:eastAsia="MS Mincho"/>
          <w:bCs/>
          <w:iCs/>
          <w:sz w:val="20"/>
          <w:szCs w:val="20"/>
          <w:lang w:bidi="en-US"/>
        </w:rPr>
        <w:t xml:space="preserve"> </w:t>
      </w:r>
      <w:r w:rsidR="00070EAD" w:rsidRPr="00E3559F">
        <w:rPr>
          <w:rFonts w:eastAsia="MS Mincho"/>
          <w:bCs/>
          <w:iCs/>
          <w:sz w:val="20"/>
          <w:szCs w:val="20"/>
          <w:lang w:bidi="en-US"/>
        </w:rPr>
        <w:t>solicitó que no fuera</w:t>
      </w:r>
      <w:r w:rsidR="00070EAD" w:rsidRPr="00E3559F">
        <w:rPr>
          <w:rFonts w:eastAsia="MS Mincho"/>
          <w:b/>
          <w:i/>
          <w:sz w:val="20"/>
          <w:szCs w:val="20"/>
          <w:lang w:bidi="en-US"/>
        </w:rPr>
        <w:t xml:space="preserve"> </w:t>
      </w:r>
      <w:r w:rsidR="00070EAD" w:rsidRPr="00E3559F">
        <w:rPr>
          <w:rFonts w:eastAsia="MS Mincho"/>
          <w:sz w:val="20"/>
          <w:szCs w:val="20"/>
          <w:lang w:bidi="en-US"/>
        </w:rPr>
        <w:t>otorgada ninguna medida a este respecto, toda vez que la representación de las presuntas víctimas no presentó</w:t>
      </w:r>
      <w:r w:rsidRPr="00E3559F">
        <w:rPr>
          <w:rFonts w:eastAsia="MS Mincho"/>
          <w:sz w:val="20"/>
          <w:szCs w:val="20"/>
          <w:lang w:bidi="en-US"/>
        </w:rPr>
        <w:t xml:space="preserve"> </w:t>
      </w:r>
      <w:r w:rsidR="00070EAD" w:rsidRPr="00E3559F">
        <w:rPr>
          <w:rFonts w:eastAsia="MS Mincho"/>
          <w:sz w:val="20"/>
          <w:szCs w:val="20"/>
          <w:lang w:bidi="en-US"/>
        </w:rPr>
        <w:t xml:space="preserve">a tiempo </w:t>
      </w:r>
      <w:r w:rsidRPr="00E3559F">
        <w:rPr>
          <w:rFonts w:eastAsia="MS Mincho"/>
          <w:sz w:val="20"/>
          <w:szCs w:val="20"/>
          <w:lang w:bidi="en-US"/>
        </w:rPr>
        <w:t>su escrito de solicitudes</w:t>
      </w:r>
      <w:r w:rsidR="00A95B06" w:rsidRPr="00E3559F">
        <w:rPr>
          <w:rFonts w:eastAsia="MS Mincho"/>
          <w:sz w:val="20"/>
          <w:szCs w:val="20"/>
          <w:lang w:bidi="en-US"/>
        </w:rPr>
        <w:t>,</w:t>
      </w:r>
      <w:r w:rsidRPr="00E3559F">
        <w:rPr>
          <w:rFonts w:eastAsia="MS Mincho"/>
          <w:sz w:val="20"/>
          <w:szCs w:val="20"/>
          <w:lang w:bidi="en-US"/>
        </w:rPr>
        <w:t xml:space="preserve"> argumentos y prueba</w:t>
      </w:r>
      <w:r w:rsidR="00070EAD" w:rsidRPr="00E3559F">
        <w:rPr>
          <w:rFonts w:eastAsia="MS Mincho"/>
          <w:sz w:val="20"/>
          <w:szCs w:val="20"/>
          <w:lang w:bidi="en-US"/>
        </w:rPr>
        <w:t>s</w:t>
      </w:r>
      <w:r w:rsidRPr="00E3559F">
        <w:rPr>
          <w:rFonts w:eastAsia="MS Mincho"/>
          <w:sz w:val="20"/>
          <w:szCs w:val="20"/>
          <w:lang w:bidi="en-US"/>
        </w:rPr>
        <w:t>.</w:t>
      </w:r>
      <w:r w:rsidR="00070EAD" w:rsidRPr="00E3559F">
        <w:rPr>
          <w:rFonts w:eastAsia="MS Mincho"/>
          <w:sz w:val="20"/>
          <w:szCs w:val="20"/>
          <w:lang w:bidi="en-US"/>
        </w:rPr>
        <w:t xml:space="preserve"> </w:t>
      </w:r>
      <w:r w:rsidR="00070EAD" w:rsidRPr="00E3559F">
        <w:rPr>
          <w:rFonts w:eastAsia="MS Mincho"/>
          <w:bCs/>
          <w:sz w:val="20"/>
          <w:szCs w:val="20"/>
          <w:lang w:bidi="en-US"/>
        </w:rPr>
        <w:t>En sus alegatos finales escritos el Estado arguyó que,</w:t>
      </w:r>
      <w:r w:rsidR="00070EAD" w:rsidRPr="00E3559F">
        <w:rPr>
          <w:rFonts w:eastAsia="MS Mincho"/>
          <w:b/>
          <w:sz w:val="20"/>
          <w:szCs w:val="20"/>
          <w:lang w:bidi="en-US"/>
        </w:rPr>
        <w:t xml:space="preserve"> </w:t>
      </w:r>
      <w:r w:rsidR="00070EAD" w:rsidRPr="00E3559F">
        <w:rPr>
          <w:rFonts w:eastAsiaTheme="minorHAnsi"/>
          <w:sz w:val="20"/>
          <w:szCs w:val="20"/>
          <w:lang w:val="es-ES_tradnl" w:eastAsia="en-US"/>
        </w:rPr>
        <w:t>a la luz de lo dispuesto por el artículo 40 del Reglamento, toda “pretensión reparatoria” que las presuntas víctimas o sus representantes formulen fuera del plazo perentorio estipulado “se encuentra alcanzado por la regla de la preclusión procesal”.</w:t>
      </w:r>
      <w:r w:rsidR="00070EAD" w:rsidRPr="00E3559F">
        <w:rPr>
          <w:rFonts w:eastAsiaTheme="minorHAnsi"/>
          <w:b/>
          <w:bCs/>
          <w:sz w:val="20"/>
          <w:szCs w:val="20"/>
          <w:lang w:val="es-ES_tradnl" w:eastAsia="en-US"/>
        </w:rPr>
        <w:t xml:space="preserve"> </w:t>
      </w:r>
    </w:p>
    <w:p w14:paraId="5681BD96" w14:textId="77777777" w:rsidR="00A769FE" w:rsidRPr="00E3559F" w:rsidRDefault="00A769FE" w:rsidP="00A769FE">
      <w:pPr>
        <w:tabs>
          <w:tab w:val="left" w:pos="567"/>
        </w:tabs>
        <w:spacing w:line="240" w:lineRule="auto"/>
        <w:textAlignment w:val="auto"/>
        <w:rPr>
          <w:rFonts w:cs="Arial"/>
          <w:sz w:val="20"/>
          <w:szCs w:val="20"/>
        </w:rPr>
      </w:pPr>
    </w:p>
    <w:p w14:paraId="4A52FE4E" w14:textId="5C4EB8B9" w:rsidR="00A769FE" w:rsidRPr="00E3559F" w:rsidRDefault="00A769FE" w:rsidP="00C60448">
      <w:pPr>
        <w:numPr>
          <w:ilvl w:val="0"/>
          <w:numId w:val="1"/>
        </w:numPr>
        <w:tabs>
          <w:tab w:val="left" w:pos="0"/>
        </w:tabs>
        <w:spacing w:line="240" w:lineRule="auto"/>
        <w:ind w:left="0" w:firstLine="0"/>
        <w:textAlignment w:val="auto"/>
        <w:rPr>
          <w:rFonts w:eastAsia="Calibri"/>
          <w:b/>
          <w:i/>
          <w:sz w:val="20"/>
          <w:szCs w:val="20"/>
        </w:rPr>
      </w:pPr>
      <w:r w:rsidRPr="00E3559F">
        <w:rPr>
          <w:rFonts w:cs="Arial"/>
          <w:sz w:val="20"/>
          <w:szCs w:val="20"/>
        </w:rPr>
        <w:t>La</w:t>
      </w:r>
      <w:r w:rsidRPr="00E3559F">
        <w:rPr>
          <w:sz w:val="20"/>
          <w:szCs w:val="20"/>
        </w:rPr>
        <w:t xml:space="preserve"> </w:t>
      </w:r>
      <w:r w:rsidRPr="00E3559F">
        <w:rPr>
          <w:b/>
          <w:bCs/>
          <w:i/>
          <w:iCs/>
          <w:sz w:val="20"/>
          <w:szCs w:val="20"/>
        </w:rPr>
        <w:t>Corte</w:t>
      </w:r>
      <w:r w:rsidRPr="00E3559F">
        <w:rPr>
          <w:sz w:val="20"/>
          <w:szCs w:val="20"/>
        </w:rPr>
        <w:t xml:space="preserv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w:t>
      </w:r>
      <w:r w:rsidRPr="00E3559F">
        <w:rPr>
          <w:sz w:val="20"/>
          <w:szCs w:val="20"/>
        </w:rPr>
        <w:lastRenderedPageBreak/>
        <w:t>judicial y en términos de equidad</w:t>
      </w:r>
      <w:r w:rsidRPr="00E3559F">
        <w:rPr>
          <w:rFonts w:eastAsia="Calibri"/>
          <w:sz w:val="20"/>
          <w:szCs w:val="20"/>
          <w:vertAlign w:val="superscript"/>
        </w:rPr>
        <w:footnoteReference w:id="70"/>
      </w:r>
      <w:r w:rsidRPr="00E3559F">
        <w:rPr>
          <w:sz w:val="20"/>
          <w:szCs w:val="20"/>
        </w:rPr>
        <w:t>.</w:t>
      </w:r>
    </w:p>
    <w:p w14:paraId="6CF2D5DE" w14:textId="77777777" w:rsidR="00A769FE" w:rsidRPr="00E3559F" w:rsidRDefault="00A769FE" w:rsidP="00A769FE">
      <w:pPr>
        <w:tabs>
          <w:tab w:val="left" w:pos="567"/>
        </w:tabs>
        <w:spacing w:line="240" w:lineRule="auto"/>
        <w:textAlignment w:val="auto"/>
        <w:rPr>
          <w:rFonts w:eastAsia="Calibri"/>
          <w:b/>
          <w:i/>
          <w:sz w:val="20"/>
          <w:szCs w:val="20"/>
          <w:highlight w:val="yellow"/>
        </w:rPr>
      </w:pPr>
    </w:p>
    <w:p w14:paraId="3B039631" w14:textId="1D271E60" w:rsidR="00A769FE" w:rsidRPr="00E3559F" w:rsidRDefault="00A769FE" w:rsidP="00C60448">
      <w:pPr>
        <w:numPr>
          <w:ilvl w:val="0"/>
          <w:numId w:val="1"/>
        </w:numPr>
        <w:tabs>
          <w:tab w:val="left" w:pos="0"/>
        </w:tabs>
        <w:spacing w:line="240" w:lineRule="auto"/>
        <w:ind w:left="0" w:firstLine="0"/>
        <w:textAlignment w:val="auto"/>
        <w:rPr>
          <w:sz w:val="20"/>
          <w:szCs w:val="20"/>
        </w:rPr>
      </w:pPr>
      <w:r w:rsidRPr="00E3559F">
        <w:rPr>
          <w:sz w:val="20"/>
          <w:szCs w:val="20"/>
          <w:lang w:val="es-PE"/>
        </w:rPr>
        <w:t xml:space="preserve">Por ello, considerando </w:t>
      </w:r>
      <w:r w:rsidRPr="00E3559F">
        <w:rPr>
          <w:sz w:val="20"/>
          <w:szCs w:val="20"/>
        </w:rPr>
        <w:t>circunstancias del presente caso</w:t>
      </w:r>
      <w:r w:rsidR="002B3B97" w:rsidRPr="00E3559F">
        <w:rPr>
          <w:sz w:val="20"/>
          <w:szCs w:val="20"/>
        </w:rPr>
        <w:t xml:space="preserve"> y </w:t>
      </w:r>
      <w:r w:rsidRPr="00E3559F">
        <w:rPr>
          <w:sz w:val="20"/>
          <w:szCs w:val="20"/>
        </w:rPr>
        <w:t xml:space="preserve">las violaciones cometidas, el Tribunal pasa a fijar en equidad las indemnizaciones por daño inmaterial a favor de las víctimas. </w:t>
      </w:r>
    </w:p>
    <w:p w14:paraId="13A5A90D" w14:textId="77777777" w:rsidR="00A769FE" w:rsidRPr="00E3559F" w:rsidRDefault="00A769FE" w:rsidP="00A769FE">
      <w:pPr>
        <w:tabs>
          <w:tab w:val="left" w:pos="567"/>
        </w:tabs>
        <w:spacing w:line="240" w:lineRule="auto"/>
        <w:textAlignment w:val="auto"/>
        <w:rPr>
          <w:sz w:val="20"/>
          <w:szCs w:val="20"/>
        </w:rPr>
      </w:pPr>
    </w:p>
    <w:p w14:paraId="5702DBA5" w14:textId="30B8CFD9" w:rsidR="00CB0063" w:rsidRPr="00E3559F" w:rsidRDefault="00A769FE" w:rsidP="00C60448">
      <w:pPr>
        <w:numPr>
          <w:ilvl w:val="0"/>
          <w:numId w:val="1"/>
        </w:numPr>
        <w:tabs>
          <w:tab w:val="left" w:pos="0"/>
        </w:tabs>
        <w:spacing w:line="240" w:lineRule="auto"/>
        <w:ind w:left="0" w:firstLine="0"/>
        <w:textAlignment w:val="auto"/>
        <w:rPr>
          <w:sz w:val="20"/>
          <w:szCs w:val="20"/>
        </w:rPr>
      </w:pPr>
      <w:r w:rsidRPr="00E3559F">
        <w:rPr>
          <w:sz w:val="20"/>
          <w:szCs w:val="20"/>
        </w:rPr>
        <w:t>En función de ello, la Corte ordena, en equidad, el pago de la suma de USD$</w:t>
      </w:r>
      <w:r w:rsidR="00026DF3" w:rsidRPr="00E3559F">
        <w:rPr>
          <w:sz w:val="20"/>
          <w:szCs w:val="20"/>
        </w:rPr>
        <w:t>20,</w:t>
      </w:r>
      <w:r w:rsidR="00CB0063" w:rsidRPr="00E3559F">
        <w:rPr>
          <w:sz w:val="20"/>
          <w:szCs w:val="20"/>
        </w:rPr>
        <w:t>000</w:t>
      </w:r>
      <w:r w:rsidR="00026DF3" w:rsidRPr="00E3559F">
        <w:rPr>
          <w:sz w:val="20"/>
          <w:szCs w:val="20"/>
        </w:rPr>
        <w:t>.</w:t>
      </w:r>
      <w:r w:rsidR="00CB0063" w:rsidRPr="00E3559F">
        <w:rPr>
          <w:sz w:val="20"/>
          <w:szCs w:val="20"/>
        </w:rPr>
        <w:t>00 (</w:t>
      </w:r>
      <w:r w:rsidR="00B343DA" w:rsidRPr="00E3559F">
        <w:rPr>
          <w:sz w:val="20"/>
          <w:szCs w:val="20"/>
        </w:rPr>
        <w:t xml:space="preserve">veinte </w:t>
      </w:r>
      <w:r w:rsidRPr="00E3559F">
        <w:rPr>
          <w:sz w:val="20"/>
          <w:szCs w:val="20"/>
        </w:rPr>
        <w:t xml:space="preserve">mil dólares de </w:t>
      </w:r>
      <w:r w:rsidRPr="00E3559F">
        <w:rPr>
          <w:rFonts w:eastAsia="MS Mincho"/>
          <w:sz w:val="20"/>
          <w:szCs w:val="20"/>
          <w:lang w:bidi="en-US"/>
        </w:rPr>
        <w:t>los</w:t>
      </w:r>
      <w:r w:rsidRPr="00E3559F">
        <w:rPr>
          <w:sz w:val="20"/>
          <w:szCs w:val="20"/>
        </w:rPr>
        <w:t xml:space="preserve"> Estados Unidos de América), por concepto de daño inmaterial en favor del señor Julio César Ramón del Valle Ambrosio y el pago de la suma de </w:t>
      </w:r>
      <w:r w:rsidR="00026DF3" w:rsidRPr="00E3559F">
        <w:rPr>
          <w:sz w:val="20"/>
          <w:szCs w:val="20"/>
        </w:rPr>
        <w:t>USD$20,</w:t>
      </w:r>
      <w:r w:rsidR="00CB0063" w:rsidRPr="00E3559F">
        <w:rPr>
          <w:sz w:val="20"/>
          <w:szCs w:val="20"/>
        </w:rPr>
        <w:t>000</w:t>
      </w:r>
      <w:r w:rsidR="00026DF3" w:rsidRPr="00E3559F">
        <w:rPr>
          <w:sz w:val="20"/>
          <w:szCs w:val="20"/>
        </w:rPr>
        <w:t>.00</w:t>
      </w:r>
      <w:r w:rsidR="00CB0063" w:rsidRPr="00E3559F">
        <w:rPr>
          <w:sz w:val="20"/>
          <w:szCs w:val="20"/>
        </w:rPr>
        <w:t xml:space="preserve"> </w:t>
      </w:r>
      <w:r w:rsidR="00390233" w:rsidRPr="00E3559F">
        <w:rPr>
          <w:sz w:val="20"/>
          <w:szCs w:val="20"/>
        </w:rPr>
        <w:t>(</w:t>
      </w:r>
      <w:r w:rsidR="00B04D0D" w:rsidRPr="00E3559F">
        <w:rPr>
          <w:sz w:val="20"/>
          <w:szCs w:val="20"/>
        </w:rPr>
        <w:t>veinte</w:t>
      </w:r>
      <w:r w:rsidRPr="00E3559F">
        <w:rPr>
          <w:sz w:val="20"/>
          <w:szCs w:val="20"/>
        </w:rPr>
        <w:t xml:space="preserve"> mil dólares de los Estados Unidos de América), por concepto de daño inmaterial en favor del señor </w:t>
      </w:r>
      <w:r w:rsidRPr="00E3559F">
        <w:rPr>
          <w:rFonts w:eastAsiaTheme="minorHAnsi"/>
          <w:sz w:val="20"/>
          <w:szCs w:val="20"/>
          <w:lang w:eastAsia="en-US"/>
        </w:rPr>
        <w:t>Carlos Eduardo Domínguez Linares</w:t>
      </w:r>
      <w:r w:rsidRPr="00E3559F">
        <w:rPr>
          <w:sz w:val="20"/>
          <w:szCs w:val="20"/>
        </w:rPr>
        <w:t xml:space="preserve">. Los montos establecidos por la Corte </w:t>
      </w:r>
      <w:r w:rsidRPr="00E3559F">
        <w:rPr>
          <w:rFonts w:cs="Arial"/>
          <w:sz w:val="20"/>
          <w:szCs w:val="20"/>
        </w:rPr>
        <w:t>deberán</w:t>
      </w:r>
      <w:r w:rsidRPr="00E3559F">
        <w:rPr>
          <w:sz w:val="20"/>
          <w:szCs w:val="20"/>
        </w:rPr>
        <w:t xml:space="preserve"> ser entregados en el plazo de un año a partir de la notificación de la presente Sentencia.</w:t>
      </w:r>
    </w:p>
    <w:p w14:paraId="7B9237F5" w14:textId="7582F5DF" w:rsidR="00A769FE" w:rsidRPr="00E3559F" w:rsidRDefault="00A769FE" w:rsidP="00A769FE">
      <w:pPr>
        <w:pStyle w:val="Ttulo2"/>
      </w:pPr>
      <w:bookmarkStart w:id="68" w:name="_Toc514172672"/>
      <w:bookmarkStart w:id="69" w:name="_Toc476390746"/>
      <w:bookmarkStart w:id="70" w:name="_Toc495658704"/>
      <w:bookmarkStart w:id="71" w:name="_Toc15933781"/>
      <w:bookmarkStart w:id="72" w:name="_Toc35011034"/>
      <w:bookmarkStart w:id="73" w:name="_Toc46250490"/>
      <w:r w:rsidRPr="00E3559F">
        <w:t>Costas y Gastos</w:t>
      </w:r>
      <w:bookmarkEnd w:id="68"/>
      <w:bookmarkEnd w:id="69"/>
      <w:bookmarkEnd w:id="70"/>
      <w:bookmarkEnd w:id="71"/>
      <w:bookmarkEnd w:id="72"/>
      <w:bookmarkEnd w:id="73"/>
    </w:p>
    <w:p w14:paraId="3379A71E" w14:textId="77777777" w:rsidR="00A769FE" w:rsidRPr="00E3559F" w:rsidRDefault="00A769FE" w:rsidP="00C60448">
      <w:pPr>
        <w:numPr>
          <w:ilvl w:val="0"/>
          <w:numId w:val="1"/>
        </w:numPr>
        <w:tabs>
          <w:tab w:val="left" w:pos="0"/>
        </w:tabs>
        <w:spacing w:line="240" w:lineRule="auto"/>
        <w:ind w:left="0" w:firstLine="0"/>
        <w:textAlignment w:val="auto"/>
        <w:rPr>
          <w:sz w:val="20"/>
          <w:szCs w:val="20"/>
        </w:rPr>
      </w:pPr>
      <w:r w:rsidRPr="00E3559F">
        <w:rPr>
          <w:rFonts w:eastAsia="MS Mincho"/>
          <w:sz w:val="20"/>
          <w:szCs w:val="20"/>
          <w:lang w:bidi="en-US"/>
        </w:rPr>
        <w:t>La</w:t>
      </w:r>
      <w:r w:rsidRPr="00E3559F">
        <w:rPr>
          <w:rFonts w:eastAsia="MS Mincho"/>
          <w:b/>
          <w:i/>
          <w:sz w:val="20"/>
          <w:szCs w:val="20"/>
          <w:lang w:bidi="en-US"/>
        </w:rPr>
        <w:t xml:space="preserve"> Comisión</w:t>
      </w:r>
      <w:r w:rsidRPr="00E3559F">
        <w:rPr>
          <w:rFonts w:eastAsia="MS Mincho"/>
          <w:sz w:val="20"/>
          <w:szCs w:val="20"/>
          <w:lang w:bidi="en-US"/>
        </w:rPr>
        <w:t xml:space="preserve"> y el </w:t>
      </w:r>
      <w:r w:rsidRPr="00E3559F">
        <w:rPr>
          <w:rFonts w:eastAsia="MS Mincho"/>
          <w:b/>
          <w:i/>
          <w:sz w:val="20"/>
          <w:szCs w:val="20"/>
          <w:lang w:bidi="en-US"/>
        </w:rPr>
        <w:t>Estado</w:t>
      </w:r>
      <w:r w:rsidRPr="00E3559F">
        <w:rPr>
          <w:rFonts w:eastAsia="MS Mincho"/>
          <w:sz w:val="20"/>
          <w:szCs w:val="20"/>
          <w:lang w:bidi="en-US"/>
        </w:rPr>
        <w:t xml:space="preserve"> no presentaron alegatos sobre este punto.</w:t>
      </w:r>
    </w:p>
    <w:p w14:paraId="5D0D0024" w14:textId="77777777" w:rsidR="00A769FE" w:rsidRPr="00E3559F" w:rsidRDefault="00A769FE" w:rsidP="00A769FE">
      <w:pPr>
        <w:tabs>
          <w:tab w:val="left" w:pos="567"/>
        </w:tabs>
        <w:spacing w:line="240" w:lineRule="auto"/>
        <w:textAlignment w:val="auto"/>
        <w:rPr>
          <w:sz w:val="20"/>
          <w:szCs w:val="20"/>
        </w:rPr>
      </w:pPr>
    </w:p>
    <w:p w14:paraId="5B1D8A0F" w14:textId="13CD5C53" w:rsidR="00A769FE" w:rsidRPr="00E3559F" w:rsidRDefault="00A769FE" w:rsidP="00AE409D">
      <w:pPr>
        <w:numPr>
          <w:ilvl w:val="0"/>
          <w:numId w:val="1"/>
        </w:numPr>
        <w:tabs>
          <w:tab w:val="left" w:pos="0"/>
        </w:tabs>
        <w:spacing w:line="240" w:lineRule="auto"/>
        <w:ind w:left="708" w:hanging="708"/>
        <w:textAlignment w:val="auto"/>
        <w:rPr>
          <w:sz w:val="20"/>
          <w:szCs w:val="20"/>
        </w:rPr>
      </w:pPr>
      <w:r w:rsidRPr="00E3559F">
        <w:rPr>
          <w:rFonts w:cs="Verdana"/>
          <w:bCs/>
          <w:iCs/>
          <w:sz w:val="20"/>
          <w:szCs w:val="20"/>
        </w:rPr>
        <w:t xml:space="preserve">La </w:t>
      </w:r>
      <w:r w:rsidRPr="00E3559F">
        <w:rPr>
          <w:rFonts w:cs="Verdana"/>
          <w:b/>
          <w:i/>
          <w:sz w:val="20"/>
          <w:szCs w:val="20"/>
        </w:rPr>
        <w:t>Corte</w:t>
      </w:r>
      <w:r w:rsidRPr="00E3559F">
        <w:rPr>
          <w:rFonts w:cs="Verdana"/>
          <w:bCs/>
          <w:iCs/>
          <w:sz w:val="20"/>
          <w:szCs w:val="20"/>
        </w:rPr>
        <w:t xml:space="preserve"> </w:t>
      </w:r>
      <w:r w:rsidRPr="00E3559F">
        <w:rPr>
          <w:rFonts w:eastAsia="MS Mincho"/>
          <w:sz w:val="20"/>
          <w:szCs w:val="20"/>
          <w:lang w:bidi="en-US"/>
        </w:rPr>
        <w:t xml:space="preserve">ha señalado que “las pretensiones de las víctimas o sus representantes en materia de costas y gastos, y las pruebas que las sustentan, deben presentarse a la Corte en el primer momento procesal que se les </w:t>
      </w:r>
      <w:r w:rsidRPr="00E3559F">
        <w:rPr>
          <w:sz w:val="20"/>
          <w:szCs w:val="20"/>
        </w:rPr>
        <w:t>concede</w:t>
      </w:r>
      <w:r w:rsidRPr="00E3559F">
        <w:rPr>
          <w:rFonts w:eastAsia="MS Mincho"/>
          <w:sz w:val="20"/>
          <w:szCs w:val="20"/>
          <w:lang w:bidi="en-US"/>
        </w:rPr>
        <w:t>, esto es, en el escrito de solicitudes</w:t>
      </w:r>
      <w:r w:rsidR="002B7579" w:rsidRPr="00E3559F">
        <w:rPr>
          <w:rFonts w:eastAsia="MS Mincho"/>
          <w:sz w:val="20"/>
          <w:szCs w:val="20"/>
          <w:lang w:bidi="en-US"/>
        </w:rPr>
        <w:t>, argumentos y pruebas</w:t>
      </w:r>
      <w:r w:rsidRPr="00E3559F">
        <w:rPr>
          <w:rFonts w:eastAsia="MS Mincho"/>
          <w:sz w:val="20"/>
          <w:szCs w:val="20"/>
          <w:lang w:bidi="en-US"/>
        </w:rPr>
        <w:t>, sin perjuicio de que tales pretensiones se actualicen en un momento posterior, conforme a las nuevas costas y gastos en que se haya incurrido con ocasión del procedimiento ante esta Corte”</w:t>
      </w:r>
      <w:r w:rsidRPr="00E3559F">
        <w:rPr>
          <w:rFonts w:eastAsia="MS Mincho"/>
          <w:sz w:val="20"/>
          <w:szCs w:val="20"/>
          <w:vertAlign w:val="superscript"/>
          <w:lang w:bidi="en-US"/>
        </w:rPr>
        <w:footnoteReference w:id="71"/>
      </w:r>
      <w:r w:rsidRPr="00E3559F">
        <w:rPr>
          <w:rFonts w:eastAsia="MS Mincho"/>
          <w:sz w:val="20"/>
          <w:szCs w:val="20"/>
          <w:lang w:bidi="en-US"/>
        </w:rPr>
        <w:t xml:space="preserve">. </w:t>
      </w:r>
      <w:r w:rsidRPr="00E3559F">
        <w:rPr>
          <w:rFonts w:cs="Arial"/>
          <w:bCs/>
          <w:sz w:val="20"/>
          <w:szCs w:val="20"/>
          <w:lang w:val="es-PE"/>
        </w:rPr>
        <w:t xml:space="preserve">La Corte </w:t>
      </w:r>
      <w:r w:rsidR="00D11B91">
        <w:rPr>
          <w:rFonts w:cs="Arial"/>
          <w:bCs/>
          <w:sz w:val="20"/>
          <w:szCs w:val="20"/>
          <w:lang w:val="es-PE"/>
        </w:rPr>
        <w:t>reitera</w:t>
      </w:r>
      <w:r w:rsidRPr="00E3559F">
        <w:rPr>
          <w:rFonts w:cs="Arial"/>
          <w:bCs/>
          <w:sz w:val="20"/>
          <w:szCs w:val="20"/>
          <w:lang w:val="es-PE"/>
        </w:rPr>
        <w:t xml:space="preserve"> que en el presente caso </w:t>
      </w:r>
      <w:r w:rsidR="00390233" w:rsidRPr="00E3559F">
        <w:rPr>
          <w:rFonts w:cs="Arial"/>
          <w:bCs/>
          <w:sz w:val="20"/>
          <w:szCs w:val="20"/>
          <w:lang w:val="es-PE"/>
        </w:rPr>
        <w:t>los</w:t>
      </w:r>
      <w:r w:rsidRPr="00E3559F">
        <w:rPr>
          <w:rFonts w:cs="Arial"/>
          <w:bCs/>
          <w:sz w:val="20"/>
          <w:szCs w:val="20"/>
          <w:lang w:val="es-PE"/>
        </w:rPr>
        <w:t xml:space="preserve"> representantes solicitaron el reembolso de las costas generadas en sus alegatos finales escritos. La solicitud, por tanto, es extemporánea y debe ser rechazada.</w:t>
      </w:r>
    </w:p>
    <w:p w14:paraId="17465571" w14:textId="7072CE70" w:rsidR="00A769FE" w:rsidRPr="00E3559F" w:rsidRDefault="00A769FE" w:rsidP="00A769FE">
      <w:pPr>
        <w:pStyle w:val="Ttulo2"/>
      </w:pPr>
      <w:bookmarkStart w:id="74" w:name="_Toc514172674"/>
      <w:bookmarkStart w:id="75" w:name="_Toc476390748"/>
      <w:bookmarkStart w:id="76" w:name="_Toc495658706"/>
      <w:bookmarkStart w:id="77" w:name="_Toc15933783"/>
      <w:bookmarkStart w:id="78" w:name="_Toc35011035"/>
      <w:bookmarkStart w:id="79" w:name="_Toc46250491"/>
      <w:r w:rsidRPr="00E3559F">
        <w:t>Modalidad de cumplimiento de los pagos ordenados</w:t>
      </w:r>
      <w:bookmarkEnd w:id="74"/>
      <w:bookmarkEnd w:id="75"/>
      <w:bookmarkEnd w:id="76"/>
      <w:bookmarkEnd w:id="77"/>
      <w:bookmarkEnd w:id="78"/>
      <w:bookmarkEnd w:id="79"/>
    </w:p>
    <w:p w14:paraId="502F7CB1" w14:textId="775E5B5E" w:rsidR="002B3B97" w:rsidRPr="00E3559F" w:rsidRDefault="002B3B97" w:rsidP="00C60448">
      <w:pPr>
        <w:numPr>
          <w:ilvl w:val="0"/>
          <w:numId w:val="1"/>
        </w:numPr>
        <w:tabs>
          <w:tab w:val="left" w:pos="0"/>
        </w:tabs>
        <w:spacing w:line="240" w:lineRule="auto"/>
        <w:ind w:left="0" w:firstLine="0"/>
        <w:textAlignment w:val="auto"/>
        <w:rPr>
          <w:rFonts w:ascii="Times New Roman" w:hAnsi="Times New Roman"/>
          <w:lang w:val="es-ES" w:eastAsia="es-ES_tradnl"/>
        </w:rPr>
      </w:pPr>
      <w:r w:rsidRPr="00E3559F">
        <w:rPr>
          <w:sz w:val="20"/>
          <w:szCs w:val="20"/>
          <w:lang w:val="es-ES" w:eastAsia="es-ES_tradnl"/>
        </w:rPr>
        <w:t xml:space="preserve">El Estado </w:t>
      </w:r>
      <w:r w:rsidR="00A27ABA" w:rsidRPr="00E3559F">
        <w:rPr>
          <w:sz w:val="20"/>
          <w:szCs w:val="20"/>
          <w:lang w:val="es-ES" w:eastAsia="es-ES_tradnl"/>
        </w:rPr>
        <w:t>deberá</w:t>
      </w:r>
      <w:r w:rsidRPr="00E3559F">
        <w:rPr>
          <w:sz w:val="20"/>
          <w:szCs w:val="20"/>
          <w:lang w:val="es-ES" w:eastAsia="es-ES_tradnl"/>
        </w:rPr>
        <w:t xml:space="preserve">́ efectuar el pago de las indemnizaciones por concepto de </w:t>
      </w:r>
      <w:r w:rsidR="00A27ABA" w:rsidRPr="00E3559F">
        <w:rPr>
          <w:sz w:val="20"/>
          <w:szCs w:val="20"/>
          <w:lang w:val="es-ES" w:eastAsia="es-ES_tradnl"/>
        </w:rPr>
        <w:t>daño</w:t>
      </w:r>
      <w:r w:rsidRPr="00E3559F">
        <w:rPr>
          <w:sz w:val="20"/>
          <w:szCs w:val="20"/>
          <w:lang w:val="es-ES" w:eastAsia="es-ES_tradnl"/>
        </w:rPr>
        <w:t xml:space="preserve"> inmaterial </w:t>
      </w:r>
      <w:r w:rsidR="002C5C7C" w:rsidRPr="00E3559F">
        <w:rPr>
          <w:sz w:val="20"/>
          <w:szCs w:val="20"/>
          <w:lang w:val="es-ES" w:eastAsia="es-ES_tradnl"/>
        </w:rPr>
        <w:t>e</w:t>
      </w:r>
      <w:r w:rsidRPr="00E3559F">
        <w:rPr>
          <w:sz w:val="20"/>
          <w:szCs w:val="20"/>
          <w:lang w:val="es-ES" w:eastAsia="es-ES_tradnl"/>
        </w:rPr>
        <w:t xml:space="preserve">stablecidos en la presente Sentencia directamente a las personas indicadas en la misma, dentro del plazo de un </w:t>
      </w:r>
      <w:r w:rsidR="00A27ABA" w:rsidRPr="00E3559F">
        <w:rPr>
          <w:sz w:val="20"/>
          <w:szCs w:val="20"/>
          <w:lang w:val="es-ES" w:eastAsia="es-ES_tradnl"/>
        </w:rPr>
        <w:t>año</w:t>
      </w:r>
      <w:r w:rsidRPr="00E3559F">
        <w:rPr>
          <w:sz w:val="20"/>
          <w:szCs w:val="20"/>
          <w:lang w:val="es-ES" w:eastAsia="es-ES_tradnl"/>
        </w:rPr>
        <w:t xml:space="preserve">, contado a partir de la </w:t>
      </w:r>
      <w:r w:rsidR="00A27ABA" w:rsidRPr="00E3559F">
        <w:rPr>
          <w:sz w:val="20"/>
          <w:szCs w:val="20"/>
          <w:lang w:val="es-ES" w:eastAsia="es-ES_tradnl"/>
        </w:rPr>
        <w:t>notificación</w:t>
      </w:r>
      <w:r w:rsidRPr="00E3559F">
        <w:rPr>
          <w:sz w:val="20"/>
          <w:szCs w:val="20"/>
          <w:lang w:val="es-ES" w:eastAsia="es-ES_tradnl"/>
        </w:rPr>
        <w:t xml:space="preserve"> del presente fallo, en los </w:t>
      </w:r>
      <w:r w:rsidR="00A27ABA" w:rsidRPr="00E3559F">
        <w:rPr>
          <w:sz w:val="20"/>
          <w:szCs w:val="20"/>
          <w:lang w:val="es-ES" w:eastAsia="es-ES_tradnl"/>
        </w:rPr>
        <w:t>términos</w:t>
      </w:r>
      <w:r w:rsidRPr="00E3559F">
        <w:rPr>
          <w:sz w:val="20"/>
          <w:szCs w:val="20"/>
          <w:lang w:val="es-ES" w:eastAsia="es-ES_tradnl"/>
        </w:rPr>
        <w:t xml:space="preserve"> de los siguientes </w:t>
      </w:r>
      <w:r w:rsidR="00A27ABA" w:rsidRPr="00E3559F">
        <w:rPr>
          <w:sz w:val="20"/>
          <w:szCs w:val="20"/>
          <w:lang w:val="es-ES" w:eastAsia="es-ES_tradnl"/>
        </w:rPr>
        <w:t>párrafos</w:t>
      </w:r>
      <w:r w:rsidRPr="00E3559F">
        <w:rPr>
          <w:sz w:val="20"/>
          <w:szCs w:val="20"/>
          <w:lang w:val="es-ES" w:eastAsia="es-ES_tradnl"/>
        </w:rPr>
        <w:t xml:space="preserve">. </w:t>
      </w:r>
    </w:p>
    <w:p w14:paraId="5CDDF2A1" w14:textId="77777777" w:rsidR="00C60448" w:rsidRPr="00E3559F" w:rsidRDefault="00C60448" w:rsidP="00C60448">
      <w:pPr>
        <w:tabs>
          <w:tab w:val="left" w:pos="0"/>
        </w:tabs>
        <w:spacing w:line="240" w:lineRule="auto"/>
        <w:textAlignment w:val="auto"/>
        <w:rPr>
          <w:rFonts w:ascii="Times New Roman" w:hAnsi="Times New Roman"/>
          <w:lang w:val="es-ES" w:eastAsia="es-ES_tradnl"/>
        </w:rPr>
      </w:pPr>
    </w:p>
    <w:p w14:paraId="11BF3513" w14:textId="31DF0367" w:rsidR="00C60448" w:rsidRPr="00E3559F" w:rsidRDefault="00C60448" w:rsidP="00C60448">
      <w:pPr>
        <w:numPr>
          <w:ilvl w:val="0"/>
          <w:numId w:val="1"/>
        </w:numPr>
        <w:tabs>
          <w:tab w:val="left" w:pos="0"/>
        </w:tabs>
        <w:spacing w:line="240" w:lineRule="auto"/>
        <w:ind w:left="0" w:firstLine="0"/>
        <w:textAlignment w:val="auto"/>
        <w:rPr>
          <w:sz w:val="20"/>
          <w:szCs w:val="20"/>
          <w:lang w:val="es-ES" w:eastAsia="es-ES_tradnl"/>
        </w:rPr>
      </w:pPr>
      <w:r w:rsidRPr="00E3559F">
        <w:rPr>
          <w:sz w:val="20"/>
          <w:szCs w:val="20"/>
          <w:lang w:val="es-ES" w:eastAsia="es-ES_tradnl"/>
        </w:rPr>
        <w:t>En caso de que los beneficiarios hayan fallecido o fallezcan antes de que les sea entregada la cantidad respectiva, esta se entregará directamente a sus derechohabientes, conforme al derecho interno aplicable.</w:t>
      </w:r>
    </w:p>
    <w:p w14:paraId="348DB63A" w14:textId="77777777" w:rsidR="00BC31CE" w:rsidRPr="00E3559F" w:rsidRDefault="00BC31CE" w:rsidP="002B3B97">
      <w:pPr>
        <w:pStyle w:val="Prrafodelista"/>
        <w:widowControl/>
        <w:adjustRightInd/>
        <w:spacing w:line="240" w:lineRule="auto"/>
        <w:ind w:left="0" w:right="6"/>
        <w:contextualSpacing/>
        <w:textAlignment w:val="auto"/>
        <w:rPr>
          <w:rFonts w:eastAsia="Batang" w:cs="Times"/>
          <w:sz w:val="20"/>
          <w:szCs w:val="20"/>
          <w:lang w:val="es-ES"/>
        </w:rPr>
      </w:pPr>
    </w:p>
    <w:p w14:paraId="2BEC8A05" w14:textId="7889A7CD" w:rsidR="00BF0AB5" w:rsidRPr="00E3559F" w:rsidRDefault="00BF0AB5" w:rsidP="00C60448">
      <w:pPr>
        <w:numPr>
          <w:ilvl w:val="0"/>
          <w:numId w:val="1"/>
        </w:numPr>
        <w:tabs>
          <w:tab w:val="left" w:pos="0"/>
        </w:tabs>
        <w:spacing w:line="240" w:lineRule="auto"/>
        <w:ind w:left="0" w:firstLine="0"/>
        <w:textAlignment w:val="auto"/>
        <w:rPr>
          <w:rFonts w:eastAsia="Batang" w:cs="Times"/>
          <w:sz w:val="20"/>
          <w:szCs w:val="20"/>
        </w:rPr>
      </w:pPr>
      <w:r w:rsidRPr="00E3559F">
        <w:rPr>
          <w:sz w:val="20"/>
          <w:szCs w:val="20"/>
        </w:rPr>
        <w:t xml:space="preserve">El Estado debe cumplir sus obligaciones monetarias mediante el pago en dólares de los Estados Unidos de América </w:t>
      </w:r>
      <w:r w:rsidRPr="00E3559F">
        <w:rPr>
          <w:rFonts w:eastAsia="Calibri"/>
          <w:iCs/>
          <w:sz w:val="20"/>
          <w:szCs w:val="20"/>
          <w:lang w:val="es-ES"/>
        </w:rPr>
        <w:t xml:space="preserve">o, de no ser esto posible, en su equivalente en moneda argentina, utilizando para el cálculo respectivo la tasa más alta y más beneficiosa para las personas beneficiarias que permita su </w:t>
      </w:r>
      <w:r w:rsidRPr="00E3559F">
        <w:rPr>
          <w:sz w:val="20"/>
          <w:szCs w:val="20"/>
          <w:lang w:val="es-ES" w:eastAsia="es-ES_tradnl"/>
        </w:rPr>
        <w:t>ordenamiento</w:t>
      </w:r>
      <w:r w:rsidRPr="00E3559F">
        <w:rPr>
          <w:rFonts w:eastAsia="Calibri"/>
          <w:iCs/>
          <w:sz w:val="20"/>
          <w:szCs w:val="20"/>
          <w:lang w:val="es-ES"/>
        </w:rPr>
        <w:t xml:space="preserve"> interno, vigente al momento del pago. Durante la etapa de supervisión de cumplimento de la sentencia, la Corte podrá reajustar prudentemente el equivalente de estas cifras en moneda argentina, con el objeto de evitar que las variaciones cambiarias afecten sustancialmente el valor adquisitivo de esos montos.</w:t>
      </w:r>
    </w:p>
    <w:p w14:paraId="35AF9D26" w14:textId="77777777" w:rsidR="00A769FE" w:rsidRPr="00E3559F" w:rsidRDefault="00A769FE" w:rsidP="00A769FE">
      <w:pPr>
        <w:tabs>
          <w:tab w:val="left" w:pos="567"/>
        </w:tabs>
        <w:spacing w:line="240" w:lineRule="auto"/>
        <w:rPr>
          <w:rFonts w:eastAsia="MS Mincho"/>
          <w:sz w:val="20"/>
          <w:szCs w:val="20"/>
          <w:lang w:bidi="en-US"/>
        </w:rPr>
      </w:pPr>
    </w:p>
    <w:p w14:paraId="2D2C7FAA" w14:textId="098C28D0" w:rsidR="00A769FE" w:rsidRPr="00E3559F" w:rsidRDefault="00A769FE" w:rsidP="00C60448">
      <w:pPr>
        <w:numPr>
          <w:ilvl w:val="0"/>
          <w:numId w:val="1"/>
        </w:numPr>
        <w:tabs>
          <w:tab w:val="left" w:pos="0"/>
        </w:tabs>
        <w:spacing w:line="240" w:lineRule="auto"/>
        <w:ind w:left="0" w:firstLine="0"/>
        <w:textAlignment w:val="auto"/>
        <w:rPr>
          <w:rFonts w:eastAsia="MS Mincho"/>
          <w:sz w:val="20"/>
          <w:szCs w:val="20"/>
          <w:lang w:bidi="en-US"/>
        </w:rPr>
      </w:pPr>
      <w:r w:rsidRPr="00E3559F">
        <w:rPr>
          <w:rFonts w:eastAsia="MS Mincho"/>
          <w:sz w:val="20"/>
          <w:szCs w:val="20"/>
          <w:lang w:bidi="en-US"/>
        </w:rPr>
        <w:t xml:space="preserve">Si por causas atribuibles a los beneficiarios de las indemnizaciones o a sus derechohabientes no fuese posible el pago de las cantidades determinadas dentro del plazo indicado, el Estado </w:t>
      </w:r>
      <w:r w:rsidRPr="00E3559F">
        <w:rPr>
          <w:rFonts w:eastAsia="MS Mincho"/>
          <w:sz w:val="20"/>
          <w:szCs w:val="20"/>
          <w:lang w:bidi="en-US"/>
        </w:rPr>
        <w:lastRenderedPageBreak/>
        <w:t xml:space="preserve">consignará </w:t>
      </w:r>
      <w:r w:rsidRPr="00E3559F">
        <w:rPr>
          <w:sz w:val="20"/>
          <w:szCs w:val="20"/>
          <w:lang w:val="es-ES" w:eastAsia="es-ES_tradnl"/>
        </w:rPr>
        <w:t>dichos</w:t>
      </w:r>
      <w:r w:rsidRPr="00E3559F">
        <w:rPr>
          <w:rFonts w:eastAsia="MS Mincho"/>
          <w:sz w:val="20"/>
          <w:szCs w:val="20"/>
          <w:lang w:bidi="en-US"/>
        </w:rPr>
        <w:t xml:space="preserve"> montos a su favor en una cuenta o certificado de depósito en una institución financiera </w:t>
      </w:r>
      <w:r w:rsidR="00BF0AB5" w:rsidRPr="00E3559F">
        <w:rPr>
          <w:rFonts w:eastAsia="MS Mincho"/>
          <w:sz w:val="20"/>
          <w:szCs w:val="20"/>
          <w:lang w:bidi="en-US"/>
        </w:rPr>
        <w:t>argentina</w:t>
      </w:r>
      <w:r w:rsidRPr="00E3559F">
        <w:rPr>
          <w:rFonts w:eastAsia="MS Mincho"/>
          <w:sz w:val="20"/>
          <w:szCs w:val="20"/>
          <w:lang w:bidi="en-US"/>
        </w:rPr>
        <w:t xml:space="preserve">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1F2A73D4" w14:textId="77777777" w:rsidR="00A769FE" w:rsidRPr="00E3559F" w:rsidRDefault="00A769FE" w:rsidP="00A769FE">
      <w:pPr>
        <w:spacing w:line="240" w:lineRule="auto"/>
        <w:ind w:left="720"/>
        <w:rPr>
          <w:sz w:val="20"/>
          <w:szCs w:val="20"/>
          <w:lang w:eastAsia="x-none"/>
        </w:rPr>
      </w:pPr>
    </w:p>
    <w:p w14:paraId="3AAA420A" w14:textId="28F48D50" w:rsidR="00A769FE" w:rsidRPr="00E3559F" w:rsidRDefault="00A769FE" w:rsidP="00C60448">
      <w:pPr>
        <w:numPr>
          <w:ilvl w:val="0"/>
          <w:numId w:val="1"/>
        </w:numPr>
        <w:tabs>
          <w:tab w:val="left" w:pos="0"/>
        </w:tabs>
        <w:spacing w:line="240" w:lineRule="auto"/>
        <w:ind w:left="0" w:firstLine="0"/>
        <w:textAlignment w:val="auto"/>
        <w:rPr>
          <w:rFonts w:eastAsia="MS Mincho"/>
          <w:sz w:val="20"/>
          <w:szCs w:val="20"/>
          <w:lang w:bidi="en-US"/>
        </w:rPr>
      </w:pPr>
      <w:r w:rsidRPr="00E3559F">
        <w:rPr>
          <w:rFonts w:eastAsia="MS Mincho"/>
          <w:sz w:val="20"/>
          <w:szCs w:val="20"/>
          <w:lang w:bidi="en-US"/>
        </w:rPr>
        <w:t xml:space="preserve">Las cantidades asignadas en la presente Sentencia como indemnización deberán ser entregadas </w:t>
      </w:r>
      <w:r w:rsidR="00BF0AB5" w:rsidRPr="00E3559F">
        <w:rPr>
          <w:rFonts w:eastAsia="MS Mincho"/>
          <w:sz w:val="20"/>
          <w:szCs w:val="20"/>
          <w:lang w:bidi="en-US"/>
        </w:rPr>
        <w:t>de</w:t>
      </w:r>
      <w:r w:rsidRPr="00E3559F">
        <w:rPr>
          <w:rFonts w:eastAsia="MS Mincho"/>
          <w:sz w:val="20"/>
          <w:szCs w:val="20"/>
          <w:lang w:bidi="en-US"/>
        </w:rPr>
        <w:t xml:space="preserve"> forma íntegra, conforme a lo establecido en esta Sentencia, sin reducciones derivadas de eventuales cargas fiscales.</w:t>
      </w:r>
    </w:p>
    <w:p w14:paraId="30B4520D" w14:textId="77777777" w:rsidR="00A769FE" w:rsidRPr="00E3559F" w:rsidRDefault="00A769FE" w:rsidP="00A769FE">
      <w:pPr>
        <w:spacing w:line="240" w:lineRule="auto"/>
        <w:ind w:left="720"/>
        <w:rPr>
          <w:sz w:val="20"/>
          <w:szCs w:val="20"/>
          <w:lang w:eastAsia="x-none"/>
        </w:rPr>
      </w:pPr>
    </w:p>
    <w:p w14:paraId="4C4A85C0" w14:textId="36320CC5" w:rsidR="00A176E8" w:rsidRPr="00E3559F" w:rsidRDefault="00BF0AB5" w:rsidP="00B343DA">
      <w:pPr>
        <w:numPr>
          <w:ilvl w:val="0"/>
          <w:numId w:val="1"/>
        </w:numPr>
        <w:tabs>
          <w:tab w:val="left" w:pos="0"/>
        </w:tabs>
        <w:spacing w:line="240" w:lineRule="auto"/>
        <w:ind w:left="0" w:firstLine="0"/>
        <w:textAlignment w:val="auto"/>
        <w:rPr>
          <w:rFonts w:eastAsia="MS Mincho"/>
          <w:sz w:val="20"/>
          <w:szCs w:val="20"/>
          <w:lang w:bidi="en-US"/>
        </w:rPr>
      </w:pPr>
      <w:r w:rsidRPr="00E3559F">
        <w:rPr>
          <w:rFonts w:eastAsia="MS Mincho"/>
          <w:sz w:val="20"/>
          <w:szCs w:val="20"/>
          <w:lang w:bidi="en-US"/>
        </w:rPr>
        <w:t xml:space="preserve">En caso de que el Estado incurriera en mora deberá pagar un interés sobre la cantidad adeudada, correspondiente al interés bancario moratorio en la República Argentina. </w:t>
      </w:r>
    </w:p>
    <w:p w14:paraId="63E9F9A5" w14:textId="38031B39" w:rsidR="00A176E8" w:rsidRPr="00E3559F" w:rsidRDefault="00A27ABA" w:rsidP="00A95B06">
      <w:pPr>
        <w:pStyle w:val="Ttulo1"/>
      </w:pPr>
      <w:bookmarkStart w:id="80" w:name="_Toc24447115"/>
      <w:bookmarkStart w:id="81" w:name="_Toc33020829"/>
      <w:bookmarkStart w:id="82" w:name="_Toc46250492"/>
      <w:r w:rsidRPr="00E3559F">
        <w:t>VIII</w:t>
      </w:r>
      <w:r w:rsidR="00A176E8" w:rsidRPr="00E3559F">
        <w:br/>
        <w:t>PUNTOS RESOLUTIVOS</w:t>
      </w:r>
      <w:bookmarkEnd w:id="80"/>
      <w:bookmarkEnd w:id="81"/>
      <w:bookmarkEnd w:id="82"/>
    </w:p>
    <w:p w14:paraId="221B22EF" w14:textId="77777777" w:rsidR="00A176E8" w:rsidRPr="00E3559F" w:rsidRDefault="00A176E8" w:rsidP="00A176E8">
      <w:pPr>
        <w:tabs>
          <w:tab w:val="left" w:pos="720"/>
        </w:tabs>
        <w:spacing w:before="360" w:after="360" w:line="20" w:lineRule="atLeast"/>
        <w:ind w:right="-86"/>
        <w:contextualSpacing/>
        <w:rPr>
          <w:rFonts w:eastAsia="MS Mincho"/>
          <w:b/>
          <w:bCs/>
          <w:sz w:val="20"/>
          <w:szCs w:val="20"/>
          <w:lang w:bidi="en-US"/>
        </w:rPr>
      </w:pPr>
      <w:r w:rsidRPr="00E3559F">
        <w:rPr>
          <w:rFonts w:eastAsia="MS Mincho"/>
          <w:b/>
          <w:bCs/>
          <w:sz w:val="20"/>
          <w:szCs w:val="20"/>
          <w:lang w:bidi="en-US"/>
        </w:rPr>
        <w:t>LA CORTE</w:t>
      </w:r>
    </w:p>
    <w:p w14:paraId="0617E532" w14:textId="77777777" w:rsidR="00A176E8" w:rsidRPr="00E3559F" w:rsidRDefault="00A176E8" w:rsidP="00A176E8">
      <w:pPr>
        <w:tabs>
          <w:tab w:val="left" w:pos="720"/>
        </w:tabs>
        <w:spacing w:line="20" w:lineRule="atLeast"/>
        <w:ind w:right="-90"/>
        <w:contextualSpacing/>
        <w:rPr>
          <w:sz w:val="20"/>
          <w:szCs w:val="20"/>
        </w:rPr>
      </w:pPr>
    </w:p>
    <w:p w14:paraId="5DC075BF" w14:textId="77777777" w:rsidR="00A176E8" w:rsidRPr="00E3559F" w:rsidRDefault="00A176E8" w:rsidP="00A176E8">
      <w:pPr>
        <w:tabs>
          <w:tab w:val="left" w:pos="720"/>
        </w:tabs>
        <w:spacing w:before="360" w:after="360" w:line="20" w:lineRule="atLeast"/>
        <w:ind w:right="-86"/>
        <w:contextualSpacing/>
        <w:rPr>
          <w:rFonts w:eastAsia="MS Mincho"/>
          <w:b/>
          <w:bCs/>
          <w:sz w:val="20"/>
          <w:szCs w:val="20"/>
          <w:lang w:bidi="en-US"/>
        </w:rPr>
      </w:pPr>
      <w:r w:rsidRPr="00E3559F">
        <w:rPr>
          <w:rFonts w:eastAsia="MS Mincho"/>
          <w:b/>
          <w:bCs/>
          <w:sz w:val="20"/>
          <w:szCs w:val="20"/>
          <w:lang w:bidi="en-US"/>
        </w:rPr>
        <w:t>DECLARA,</w:t>
      </w:r>
    </w:p>
    <w:p w14:paraId="3B71FE46" w14:textId="77777777" w:rsidR="00A176E8" w:rsidRPr="00E3559F" w:rsidRDefault="00A176E8" w:rsidP="00A176E8">
      <w:pPr>
        <w:tabs>
          <w:tab w:val="left" w:pos="720"/>
        </w:tabs>
        <w:spacing w:line="20" w:lineRule="atLeast"/>
        <w:ind w:right="-90"/>
        <w:contextualSpacing/>
        <w:rPr>
          <w:kern w:val="2"/>
          <w:sz w:val="20"/>
          <w:szCs w:val="20"/>
        </w:rPr>
      </w:pPr>
    </w:p>
    <w:p w14:paraId="1F348DC3" w14:textId="1B0106DB" w:rsidR="00A176E8" w:rsidRPr="00E3559F" w:rsidRDefault="00A176E8" w:rsidP="00A176E8">
      <w:pPr>
        <w:tabs>
          <w:tab w:val="left" w:pos="720"/>
        </w:tabs>
        <w:spacing w:line="20" w:lineRule="atLeast"/>
        <w:ind w:right="-90"/>
        <w:contextualSpacing/>
        <w:rPr>
          <w:rFonts w:eastAsia="MS Mincho"/>
          <w:sz w:val="20"/>
          <w:szCs w:val="20"/>
          <w:lang w:bidi="en-US"/>
        </w:rPr>
      </w:pPr>
      <w:r w:rsidRPr="00E3559F">
        <w:rPr>
          <w:rFonts w:eastAsia="MS Mincho"/>
          <w:sz w:val="20"/>
          <w:szCs w:val="20"/>
          <w:lang w:bidi="en-US"/>
        </w:rPr>
        <w:t xml:space="preserve">Por </w:t>
      </w:r>
      <w:r w:rsidR="00B04D0D" w:rsidRPr="00E3559F">
        <w:rPr>
          <w:rFonts w:eastAsia="MS Mincho"/>
          <w:sz w:val="20"/>
          <w:szCs w:val="20"/>
          <w:lang w:bidi="en-US"/>
        </w:rPr>
        <w:t>unanimidad</w:t>
      </w:r>
      <w:r w:rsidRPr="00E3559F">
        <w:rPr>
          <w:rFonts w:eastAsia="MS Mincho"/>
          <w:sz w:val="20"/>
          <w:szCs w:val="20"/>
          <w:lang w:bidi="en-US"/>
        </w:rPr>
        <w:t xml:space="preserve"> que:</w:t>
      </w:r>
    </w:p>
    <w:p w14:paraId="3E2F2C82" w14:textId="77777777" w:rsidR="00A176E8" w:rsidRPr="00E3559F" w:rsidRDefault="00A176E8" w:rsidP="00A176E8">
      <w:pPr>
        <w:spacing w:line="20" w:lineRule="atLeast"/>
        <w:ind w:right="-90"/>
        <w:contextualSpacing/>
        <w:rPr>
          <w:rFonts w:eastAsia="MS Mincho"/>
          <w:sz w:val="20"/>
          <w:szCs w:val="20"/>
          <w:lang w:bidi="en-US"/>
        </w:rPr>
      </w:pPr>
    </w:p>
    <w:p w14:paraId="258EDD5C" w14:textId="3C0CCE97" w:rsidR="00124176" w:rsidRPr="00E3559F" w:rsidRDefault="00124176" w:rsidP="006B4DD6">
      <w:pPr>
        <w:pStyle w:val="Prrafodelista"/>
        <w:widowControl/>
        <w:numPr>
          <w:ilvl w:val="3"/>
          <w:numId w:val="8"/>
        </w:numPr>
        <w:adjustRightInd/>
        <w:spacing w:line="240" w:lineRule="auto"/>
        <w:ind w:left="0" w:firstLine="0"/>
        <w:contextualSpacing/>
        <w:textAlignment w:val="auto"/>
        <w:rPr>
          <w:rFonts w:cs="Verdana"/>
          <w:sz w:val="20"/>
          <w:szCs w:val="20"/>
        </w:rPr>
      </w:pPr>
      <w:r w:rsidRPr="00E3559F">
        <w:rPr>
          <w:sz w:val="20"/>
          <w:szCs w:val="20"/>
        </w:rPr>
        <w:t>E</w:t>
      </w:r>
      <w:r w:rsidRPr="00E3559F">
        <w:rPr>
          <w:rFonts w:cs="Verdana"/>
          <w:sz w:val="20"/>
          <w:szCs w:val="20"/>
        </w:rPr>
        <w:t xml:space="preserve">l Estado es responsable por la violación </w:t>
      </w:r>
      <w:r w:rsidR="00A96C2D">
        <w:rPr>
          <w:rFonts w:cs="Verdana"/>
          <w:sz w:val="20"/>
          <w:szCs w:val="20"/>
        </w:rPr>
        <w:t>del</w:t>
      </w:r>
      <w:r w:rsidRPr="00E3559F">
        <w:rPr>
          <w:rFonts w:cs="Verdana"/>
          <w:sz w:val="20"/>
          <w:szCs w:val="20"/>
        </w:rPr>
        <w:t xml:space="preserve"> derecho a recurrir el fallo contenido en el artículo 8.2.h de la Convención Americana</w:t>
      </w:r>
      <w:r w:rsidR="00A96C2D">
        <w:rPr>
          <w:rFonts w:cs="Verdana"/>
          <w:sz w:val="20"/>
          <w:szCs w:val="20"/>
        </w:rPr>
        <w:t xml:space="preserve"> sobre Derechos Humanos</w:t>
      </w:r>
      <w:r w:rsidRPr="00E3559F">
        <w:rPr>
          <w:rFonts w:cs="Verdana"/>
          <w:sz w:val="20"/>
          <w:szCs w:val="20"/>
        </w:rPr>
        <w:t xml:space="preserve">, en relación con </w:t>
      </w:r>
      <w:r w:rsidR="000F1FF3" w:rsidRPr="00E3559F">
        <w:rPr>
          <w:rFonts w:cs="Verdana"/>
          <w:sz w:val="20"/>
          <w:szCs w:val="20"/>
        </w:rPr>
        <w:t>los</w:t>
      </w:r>
      <w:r w:rsidRPr="00E3559F">
        <w:rPr>
          <w:rFonts w:cs="Verdana"/>
          <w:sz w:val="20"/>
          <w:szCs w:val="20"/>
        </w:rPr>
        <w:t xml:space="preserve"> artículo</w:t>
      </w:r>
      <w:r w:rsidR="000F1FF3" w:rsidRPr="00E3559F">
        <w:rPr>
          <w:rFonts w:cs="Verdana"/>
          <w:sz w:val="20"/>
          <w:szCs w:val="20"/>
        </w:rPr>
        <w:t>s</w:t>
      </w:r>
      <w:r w:rsidRPr="00E3559F">
        <w:rPr>
          <w:rFonts w:cs="Verdana"/>
          <w:sz w:val="20"/>
          <w:szCs w:val="20"/>
        </w:rPr>
        <w:t xml:space="preserve"> 1.1 </w:t>
      </w:r>
      <w:r w:rsidR="002E24BF" w:rsidRPr="00E3559F">
        <w:rPr>
          <w:rFonts w:cs="Verdana"/>
          <w:sz w:val="20"/>
          <w:szCs w:val="20"/>
        </w:rPr>
        <w:t xml:space="preserve">y 2 </w:t>
      </w:r>
      <w:r w:rsidRPr="00E3559F">
        <w:rPr>
          <w:rFonts w:cs="Verdana"/>
          <w:sz w:val="20"/>
          <w:szCs w:val="20"/>
        </w:rPr>
        <w:t>del mismo instrumento, en perjuicio de</w:t>
      </w:r>
      <w:r w:rsidR="00724921" w:rsidRPr="00E3559F">
        <w:rPr>
          <w:rFonts w:cs="Verdana"/>
          <w:sz w:val="20"/>
          <w:szCs w:val="20"/>
        </w:rPr>
        <w:t xml:space="preserve"> los señores </w:t>
      </w:r>
      <w:r w:rsidR="00724921" w:rsidRPr="00E3559F">
        <w:rPr>
          <w:sz w:val="20"/>
          <w:szCs w:val="20"/>
        </w:rPr>
        <w:t xml:space="preserve">Julio César Ramón del Valle Ambrosio y </w:t>
      </w:r>
      <w:r w:rsidR="00724921" w:rsidRPr="00E3559F">
        <w:rPr>
          <w:rFonts w:eastAsiaTheme="minorHAnsi"/>
          <w:sz w:val="20"/>
          <w:szCs w:val="20"/>
          <w:lang w:eastAsia="en-US"/>
        </w:rPr>
        <w:t xml:space="preserve">Carlos Eduardo Domínguez Linares, </w:t>
      </w:r>
      <w:r w:rsidRPr="00E3559F">
        <w:rPr>
          <w:rFonts w:cs="Verdana"/>
          <w:sz w:val="20"/>
          <w:szCs w:val="20"/>
        </w:rPr>
        <w:t xml:space="preserve">en los términos de los párrafos </w:t>
      </w:r>
      <w:r w:rsidR="00E324A8" w:rsidRPr="00E3559F">
        <w:rPr>
          <w:rFonts w:cs="Verdana"/>
          <w:sz w:val="20"/>
          <w:szCs w:val="20"/>
        </w:rPr>
        <w:t>42 a 54</w:t>
      </w:r>
      <w:r w:rsidR="003F3197" w:rsidRPr="00E3559F">
        <w:rPr>
          <w:rFonts w:cs="Verdana"/>
          <w:sz w:val="20"/>
          <w:szCs w:val="20"/>
        </w:rPr>
        <w:t xml:space="preserve"> </w:t>
      </w:r>
      <w:r w:rsidRPr="00E3559F">
        <w:rPr>
          <w:rFonts w:cs="Verdana"/>
          <w:sz w:val="20"/>
          <w:szCs w:val="20"/>
        </w:rPr>
        <w:t>de la presente Sentencia.</w:t>
      </w:r>
    </w:p>
    <w:p w14:paraId="2CA151A6" w14:textId="77777777" w:rsidR="00A176E8" w:rsidRPr="00E3559F" w:rsidRDefault="00A176E8" w:rsidP="00A176E8">
      <w:pPr>
        <w:tabs>
          <w:tab w:val="left" w:pos="720"/>
        </w:tabs>
        <w:spacing w:before="360" w:after="360" w:line="20" w:lineRule="atLeast"/>
        <w:ind w:right="-86"/>
        <w:contextualSpacing/>
        <w:rPr>
          <w:rFonts w:eastAsia="MS Mincho"/>
          <w:b/>
          <w:bCs/>
          <w:sz w:val="20"/>
          <w:szCs w:val="20"/>
          <w:lang w:bidi="en-US"/>
        </w:rPr>
      </w:pPr>
      <w:r w:rsidRPr="00E3559F">
        <w:rPr>
          <w:rFonts w:eastAsia="MS Mincho"/>
          <w:b/>
          <w:bCs/>
          <w:sz w:val="20"/>
          <w:szCs w:val="20"/>
          <w:lang w:bidi="en-US"/>
        </w:rPr>
        <w:t>Y DISPONE:</w:t>
      </w:r>
    </w:p>
    <w:p w14:paraId="43C62040" w14:textId="77777777" w:rsidR="00A176E8" w:rsidRPr="00E3559F" w:rsidRDefault="00A176E8" w:rsidP="00A176E8">
      <w:pPr>
        <w:tabs>
          <w:tab w:val="left" w:pos="720"/>
        </w:tabs>
        <w:spacing w:line="20" w:lineRule="atLeast"/>
        <w:ind w:right="-90"/>
        <w:contextualSpacing/>
        <w:rPr>
          <w:rFonts w:eastAsia="MS Mincho"/>
          <w:b/>
          <w:bCs/>
          <w:sz w:val="20"/>
          <w:szCs w:val="20"/>
          <w:lang w:bidi="en-US"/>
        </w:rPr>
      </w:pPr>
    </w:p>
    <w:p w14:paraId="22D01403" w14:textId="68EE5E2B" w:rsidR="00A176E8" w:rsidRPr="00E3559F" w:rsidRDefault="00A176E8" w:rsidP="00A176E8">
      <w:pPr>
        <w:tabs>
          <w:tab w:val="left" w:pos="720"/>
        </w:tabs>
        <w:spacing w:line="20" w:lineRule="atLeast"/>
        <w:ind w:right="-90"/>
        <w:contextualSpacing/>
        <w:rPr>
          <w:rFonts w:eastAsia="MS Mincho"/>
          <w:sz w:val="20"/>
          <w:szCs w:val="20"/>
          <w:lang w:bidi="en-US"/>
        </w:rPr>
      </w:pPr>
      <w:r w:rsidRPr="00E3559F">
        <w:rPr>
          <w:rFonts w:eastAsia="MS Mincho"/>
          <w:sz w:val="20"/>
          <w:szCs w:val="20"/>
          <w:lang w:bidi="en-US"/>
        </w:rPr>
        <w:t xml:space="preserve">Por </w:t>
      </w:r>
      <w:r w:rsidR="00B04D0D" w:rsidRPr="00E3559F">
        <w:rPr>
          <w:rFonts w:eastAsia="MS Mincho"/>
          <w:sz w:val="20"/>
          <w:szCs w:val="20"/>
          <w:lang w:bidi="en-US"/>
        </w:rPr>
        <w:t>unanimidad</w:t>
      </w:r>
      <w:r w:rsidRPr="00E3559F">
        <w:rPr>
          <w:rFonts w:eastAsia="MS Mincho"/>
          <w:sz w:val="20"/>
          <w:szCs w:val="20"/>
          <w:lang w:bidi="en-US"/>
        </w:rPr>
        <w:t xml:space="preserve"> que:</w:t>
      </w:r>
    </w:p>
    <w:p w14:paraId="239C8BFC" w14:textId="77777777" w:rsidR="00A176E8" w:rsidRPr="00E3559F" w:rsidRDefault="00A176E8" w:rsidP="00A176E8">
      <w:pPr>
        <w:tabs>
          <w:tab w:val="left" w:pos="720"/>
        </w:tabs>
        <w:spacing w:line="20" w:lineRule="atLeast"/>
        <w:ind w:right="-90"/>
        <w:contextualSpacing/>
        <w:rPr>
          <w:rFonts w:eastAsia="MS Mincho"/>
          <w:bCs/>
          <w:sz w:val="20"/>
          <w:szCs w:val="20"/>
          <w:lang w:bidi="en-US"/>
        </w:rPr>
      </w:pPr>
    </w:p>
    <w:p w14:paraId="47B314AB" w14:textId="77777777" w:rsidR="00A176E8" w:rsidRPr="00E3559F" w:rsidRDefault="00A176E8" w:rsidP="006B4DD6">
      <w:pPr>
        <w:pStyle w:val="Prrafodelista"/>
        <w:widowControl/>
        <w:numPr>
          <w:ilvl w:val="3"/>
          <w:numId w:val="8"/>
        </w:numPr>
        <w:adjustRightInd/>
        <w:spacing w:line="240" w:lineRule="auto"/>
        <w:ind w:left="0" w:firstLine="0"/>
        <w:contextualSpacing/>
        <w:textAlignment w:val="auto"/>
        <w:rPr>
          <w:bCs/>
          <w:sz w:val="20"/>
          <w:szCs w:val="20"/>
        </w:rPr>
      </w:pPr>
      <w:r w:rsidRPr="00E3559F">
        <w:rPr>
          <w:sz w:val="20"/>
          <w:szCs w:val="20"/>
        </w:rPr>
        <w:t>Esta</w:t>
      </w:r>
      <w:r w:rsidRPr="00E3559F">
        <w:rPr>
          <w:bCs/>
          <w:sz w:val="20"/>
          <w:szCs w:val="20"/>
        </w:rPr>
        <w:t xml:space="preserve"> Sentencia constituye, por sí misma, una forma de reparación.</w:t>
      </w:r>
    </w:p>
    <w:p w14:paraId="3C2CC0F5" w14:textId="77777777" w:rsidR="00A176E8" w:rsidRPr="00E3559F" w:rsidRDefault="00A176E8" w:rsidP="00A176E8">
      <w:pPr>
        <w:tabs>
          <w:tab w:val="left" w:pos="720"/>
        </w:tabs>
        <w:spacing w:line="20" w:lineRule="atLeast"/>
        <w:ind w:right="-90"/>
        <w:contextualSpacing/>
        <w:rPr>
          <w:bCs/>
          <w:sz w:val="20"/>
          <w:szCs w:val="20"/>
        </w:rPr>
      </w:pPr>
    </w:p>
    <w:p w14:paraId="5117731E" w14:textId="1BD01192" w:rsidR="00437485" w:rsidRPr="00E3559F" w:rsidRDefault="00A176E8" w:rsidP="006B4DD6">
      <w:pPr>
        <w:pStyle w:val="Prrafodelista"/>
        <w:widowControl/>
        <w:numPr>
          <w:ilvl w:val="3"/>
          <w:numId w:val="8"/>
        </w:numPr>
        <w:adjustRightInd/>
        <w:spacing w:line="240" w:lineRule="auto"/>
        <w:ind w:left="0" w:firstLine="0"/>
        <w:contextualSpacing/>
        <w:textAlignment w:val="auto"/>
        <w:rPr>
          <w:bCs/>
          <w:sz w:val="20"/>
          <w:szCs w:val="20"/>
        </w:rPr>
      </w:pPr>
      <w:r w:rsidRPr="00E3559F">
        <w:rPr>
          <w:bCs/>
          <w:sz w:val="20"/>
          <w:szCs w:val="20"/>
        </w:rPr>
        <w:t xml:space="preserve">El </w:t>
      </w:r>
      <w:r w:rsidRPr="00E3559F">
        <w:rPr>
          <w:sz w:val="20"/>
          <w:szCs w:val="20"/>
        </w:rPr>
        <w:t>Estado</w:t>
      </w:r>
      <w:r w:rsidRPr="00E3559F">
        <w:rPr>
          <w:bCs/>
          <w:sz w:val="20"/>
          <w:szCs w:val="20"/>
        </w:rPr>
        <w:t xml:space="preserve"> realizará las publicaciones indicadas en el párrafo </w:t>
      </w:r>
      <w:r w:rsidR="00E324A8" w:rsidRPr="00E3559F">
        <w:rPr>
          <w:bCs/>
          <w:sz w:val="20"/>
          <w:szCs w:val="20"/>
        </w:rPr>
        <w:t>63</w:t>
      </w:r>
      <w:r w:rsidR="003F3197" w:rsidRPr="00E3559F">
        <w:rPr>
          <w:bCs/>
          <w:sz w:val="20"/>
          <w:szCs w:val="20"/>
        </w:rPr>
        <w:t xml:space="preserve"> </w:t>
      </w:r>
      <w:r w:rsidRPr="00E3559F">
        <w:rPr>
          <w:bCs/>
          <w:sz w:val="20"/>
          <w:szCs w:val="20"/>
        </w:rPr>
        <w:t>de la presente Sentencia.</w:t>
      </w:r>
    </w:p>
    <w:p w14:paraId="287BA163" w14:textId="77777777" w:rsidR="00437485" w:rsidRPr="00E3559F" w:rsidRDefault="00437485" w:rsidP="00437485">
      <w:pPr>
        <w:tabs>
          <w:tab w:val="left" w:pos="720"/>
        </w:tabs>
        <w:spacing w:line="20" w:lineRule="atLeast"/>
        <w:ind w:right="-90"/>
        <w:contextualSpacing/>
        <w:rPr>
          <w:bCs/>
          <w:sz w:val="20"/>
          <w:szCs w:val="20"/>
        </w:rPr>
      </w:pPr>
    </w:p>
    <w:p w14:paraId="142B054C" w14:textId="2E1168B2" w:rsidR="00A176E8" w:rsidRPr="00E3559F" w:rsidRDefault="00437485" w:rsidP="006B4DD6">
      <w:pPr>
        <w:pStyle w:val="Prrafodelista"/>
        <w:widowControl/>
        <w:numPr>
          <w:ilvl w:val="3"/>
          <w:numId w:val="8"/>
        </w:numPr>
        <w:adjustRightInd/>
        <w:spacing w:line="240" w:lineRule="auto"/>
        <w:ind w:left="0" w:firstLine="0"/>
        <w:contextualSpacing/>
        <w:textAlignment w:val="auto"/>
        <w:rPr>
          <w:sz w:val="20"/>
          <w:szCs w:val="20"/>
        </w:rPr>
      </w:pPr>
      <w:r w:rsidRPr="00E3559F">
        <w:rPr>
          <w:sz w:val="20"/>
          <w:szCs w:val="20"/>
        </w:rPr>
        <w:t xml:space="preserve">El Estado </w:t>
      </w:r>
      <w:r w:rsidR="00B04D0D" w:rsidRPr="00E3559F">
        <w:rPr>
          <w:sz w:val="20"/>
          <w:szCs w:val="20"/>
        </w:rPr>
        <w:t>adecuará,</w:t>
      </w:r>
      <w:r w:rsidRPr="00E3559F">
        <w:rPr>
          <w:sz w:val="20"/>
          <w:szCs w:val="20"/>
        </w:rPr>
        <w:t xml:space="preserve"> dentro de un plazo razonable, su ordenamiento jurídico interno a los parámetros </w:t>
      </w:r>
      <w:r w:rsidRPr="00E3559F">
        <w:rPr>
          <w:bCs/>
          <w:sz w:val="20"/>
          <w:szCs w:val="20"/>
        </w:rPr>
        <w:t>establecidos</w:t>
      </w:r>
      <w:r w:rsidRPr="00E3559F">
        <w:rPr>
          <w:sz w:val="20"/>
          <w:szCs w:val="20"/>
        </w:rPr>
        <w:t xml:space="preserve"> en esta Sentencia sobre el derecho de recurrir del fallo ante el juez o tribunal superior, en los términos de lo dispuesto en </w:t>
      </w:r>
      <w:r w:rsidR="003F3197" w:rsidRPr="00E3559F">
        <w:rPr>
          <w:sz w:val="20"/>
          <w:szCs w:val="20"/>
        </w:rPr>
        <w:t>los párrafos</w:t>
      </w:r>
      <w:r w:rsidRPr="00E3559F">
        <w:rPr>
          <w:sz w:val="20"/>
          <w:szCs w:val="20"/>
        </w:rPr>
        <w:t xml:space="preserve"> </w:t>
      </w:r>
      <w:r w:rsidR="00E324A8" w:rsidRPr="00E3559F">
        <w:rPr>
          <w:sz w:val="20"/>
          <w:szCs w:val="20"/>
        </w:rPr>
        <w:t>67</w:t>
      </w:r>
      <w:r w:rsidR="003F3197" w:rsidRPr="00E3559F">
        <w:rPr>
          <w:sz w:val="20"/>
          <w:szCs w:val="20"/>
        </w:rPr>
        <w:t xml:space="preserve"> a </w:t>
      </w:r>
      <w:r w:rsidR="00E324A8" w:rsidRPr="00E3559F">
        <w:rPr>
          <w:sz w:val="20"/>
          <w:szCs w:val="20"/>
        </w:rPr>
        <w:t>70</w:t>
      </w:r>
      <w:r w:rsidR="003F3197" w:rsidRPr="00E3559F">
        <w:rPr>
          <w:sz w:val="20"/>
          <w:szCs w:val="20"/>
        </w:rPr>
        <w:t xml:space="preserve"> </w:t>
      </w:r>
      <w:r w:rsidRPr="00E3559F">
        <w:rPr>
          <w:sz w:val="20"/>
          <w:szCs w:val="20"/>
        </w:rPr>
        <w:t xml:space="preserve">de la presente Sentencia. </w:t>
      </w:r>
    </w:p>
    <w:p w14:paraId="2082B813" w14:textId="77777777" w:rsidR="00437485" w:rsidRPr="00E3559F" w:rsidRDefault="00437485" w:rsidP="00437485">
      <w:pPr>
        <w:tabs>
          <w:tab w:val="left" w:pos="720"/>
        </w:tabs>
        <w:spacing w:line="20" w:lineRule="atLeast"/>
        <w:ind w:right="-90"/>
        <w:contextualSpacing/>
        <w:rPr>
          <w:sz w:val="20"/>
          <w:szCs w:val="20"/>
        </w:rPr>
      </w:pPr>
    </w:p>
    <w:p w14:paraId="5176EE01" w14:textId="46D31B3F" w:rsidR="00A176E8" w:rsidRPr="00E3559F" w:rsidRDefault="00A176E8" w:rsidP="006B4DD6">
      <w:pPr>
        <w:pStyle w:val="Prrafodelista"/>
        <w:widowControl/>
        <w:numPr>
          <w:ilvl w:val="3"/>
          <w:numId w:val="8"/>
        </w:numPr>
        <w:adjustRightInd/>
        <w:spacing w:line="240" w:lineRule="auto"/>
        <w:ind w:left="0" w:firstLine="0"/>
        <w:contextualSpacing/>
        <w:textAlignment w:val="auto"/>
        <w:rPr>
          <w:bCs/>
          <w:sz w:val="20"/>
          <w:szCs w:val="20"/>
        </w:rPr>
      </w:pPr>
      <w:r w:rsidRPr="00E3559F">
        <w:rPr>
          <w:bCs/>
          <w:sz w:val="20"/>
          <w:szCs w:val="20"/>
        </w:rPr>
        <w:t xml:space="preserve">El Estado pagará las cantidades fijadas en el párrafo </w:t>
      </w:r>
      <w:r w:rsidR="00E324A8" w:rsidRPr="00E3559F">
        <w:rPr>
          <w:bCs/>
          <w:sz w:val="20"/>
          <w:szCs w:val="20"/>
        </w:rPr>
        <w:t>79</w:t>
      </w:r>
      <w:r w:rsidR="007563AE" w:rsidRPr="00E3559F">
        <w:rPr>
          <w:bCs/>
          <w:sz w:val="20"/>
          <w:szCs w:val="20"/>
        </w:rPr>
        <w:t xml:space="preserve"> </w:t>
      </w:r>
      <w:r w:rsidRPr="00E3559F">
        <w:rPr>
          <w:bCs/>
          <w:sz w:val="20"/>
          <w:szCs w:val="20"/>
        </w:rPr>
        <w:t xml:space="preserve">de la presente Sentencia por concepto de </w:t>
      </w:r>
      <w:r w:rsidRPr="00E3559F">
        <w:rPr>
          <w:sz w:val="20"/>
          <w:szCs w:val="20"/>
        </w:rPr>
        <w:t>indemnización</w:t>
      </w:r>
      <w:r w:rsidRPr="00E3559F">
        <w:rPr>
          <w:bCs/>
          <w:sz w:val="20"/>
          <w:szCs w:val="20"/>
        </w:rPr>
        <w:t xml:space="preserve"> </w:t>
      </w:r>
      <w:r w:rsidR="00A96C2D">
        <w:rPr>
          <w:bCs/>
          <w:sz w:val="20"/>
          <w:szCs w:val="20"/>
        </w:rPr>
        <w:t>del</w:t>
      </w:r>
      <w:r w:rsidRPr="00E3559F">
        <w:rPr>
          <w:bCs/>
          <w:sz w:val="20"/>
          <w:szCs w:val="20"/>
        </w:rPr>
        <w:t xml:space="preserve"> daño inmaterial.</w:t>
      </w:r>
    </w:p>
    <w:p w14:paraId="297FB40D" w14:textId="77777777" w:rsidR="00A176E8" w:rsidRPr="00E3559F" w:rsidRDefault="00A176E8" w:rsidP="00A176E8">
      <w:pPr>
        <w:tabs>
          <w:tab w:val="left" w:pos="720"/>
        </w:tabs>
        <w:spacing w:line="20" w:lineRule="atLeast"/>
        <w:ind w:right="-90"/>
        <w:contextualSpacing/>
        <w:rPr>
          <w:sz w:val="20"/>
          <w:szCs w:val="20"/>
        </w:rPr>
      </w:pPr>
    </w:p>
    <w:p w14:paraId="232B18D0" w14:textId="5A219E4C" w:rsidR="00A176E8" w:rsidRPr="00E3559F" w:rsidRDefault="00A176E8" w:rsidP="006B4DD6">
      <w:pPr>
        <w:pStyle w:val="Prrafodelista"/>
        <w:widowControl/>
        <w:numPr>
          <w:ilvl w:val="3"/>
          <w:numId w:val="8"/>
        </w:numPr>
        <w:adjustRightInd/>
        <w:spacing w:line="240" w:lineRule="auto"/>
        <w:ind w:left="0" w:firstLine="0"/>
        <w:contextualSpacing/>
        <w:textAlignment w:val="auto"/>
        <w:rPr>
          <w:rFonts w:eastAsia="MS Mincho"/>
          <w:bCs/>
          <w:sz w:val="20"/>
          <w:szCs w:val="20"/>
          <w:lang w:bidi="en-US"/>
        </w:rPr>
      </w:pPr>
      <w:r w:rsidRPr="00E3559F">
        <w:rPr>
          <w:bCs/>
          <w:sz w:val="20"/>
          <w:szCs w:val="20"/>
        </w:rPr>
        <w:t xml:space="preserve">El </w:t>
      </w:r>
      <w:r w:rsidRPr="00E3559F">
        <w:rPr>
          <w:sz w:val="20"/>
          <w:szCs w:val="20"/>
        </w:rPr>
        <w:t>Estado</w:t>
      </w:r>
      <w:r w:rsidRPr="00E3559F">
        <w:rPr>
          <w:bCs/>
          <w:sz w:val="20"/>
          <w:szCs w:val="20"/>
        </w:rPr>
        <w:t xml:space="preserve">, dentro del plazo de un año contado a partir de la notificación de esta Sentencia, rendirá al Tribunal un informe sobre las medidas adoptadas para cumplir con la misma, sin perjuicio de lo establecido en el párrafo </w:t>
      </w:r>
      <w:r w:rsidR="00E324A8" w:rsidRPr="00E3559F">
        <w:rPr>
          <w:bCs/>
          <w:sz w:val="20"/>
          <w:szCs w:val="20"/>
        </w:rPr>
        <w:t>63</w:t>
      </w:r>
      <w:r w:rsidR="007563AE" w:rsidRPr="00E3559F">
        <w:rPr>
          <w:bCs/>
          <w:sz w:val="20"/>
          <w:szCs w:val="20"/>
        </w:rPr>
        <w:t xml:space="preserve"> </w:t>
      </w:r>
      <w:r w:rsidRPr="00E3559F">
        <w:rPr>
          <w:bCs/>
          <w:sz w:val="20"/>
          <w:szCs w:val="20"/>
        </w:rPr>
        <w:t>de la presente Sentencia.</w:t>
      </w:r>
    </w:p>
    <w:p w14:paraId="47639EFB" w14:textId="77777777" w:rsidR="00A176E8" w:rsidRPr="00E3559F" w:rsidRDefault="00A176E8" w:rsidP="00A176E8">
      <w:pPr>
        <w:tabs>
          <w:tab w:val="left" w:pos="720"/>
        </w:tabs>
        <w:spacing w:line="20" w:lineRule="atLeast"/>
        <w:ind w:right="-90"/>
        <w:contextualSpacing/>
        <w:rPr>
          <w:rFonts w:eastAsia="MS Mincho"/>
          <w:bCs/>
          <w:sz w:val="20"/>
          <w:szCs w:val="20"/>
          <w:lang w:bidi="en-US"/>
        </w:rPr>
      </w:pPr>
    </w:p>
    <w:p w14:paraId="53D6DE98" w14:textId="77777777" w:rsidR="00A176E8" w:rsidRPr="00E3559F" w:rsidRDefault="00A176E8" w:rsidP="006B4DD6">
      <w:pPr>
        <w:pStyle w:val="Prrafodelista"/>
        <w:widowControl/>
        <w:numPr>
          <w:ilvl w:val="3"/>
          <w:numId w:val="8"/>
        </w:numPr>
        <w:adjustRightInd/>
        <w:spacing w:line="240" w:lineRule="auto"/>
        <w:ind w:left="0" w:firstLine="0"/>
        <w:contextualSpacing/>
        <w:textAlignment w:val="auto"/>
        <w:rPr>
          <w:b/>
          <w:bCs/>
          <w:sz w:val="20"/>
          <w:szCs w:val="20"/>
        </w:rPr>
      </w:pPr>
      <w:r w:rsidRPr="00E3559F">
        <w:rPr>
          <w:bCs/>
          <w:sz w:val="20"/>
          <w:szCs w:val="20"/>
        </w:rPr>
        <w:t xml:space="preserve">La Corte supervisará el cumplimiento íntegro de esta Sentencia, en ejercicio de sus atribuciones y en cumplimiento de sus deberes conforme a la Convención Americana sobre Derechos </w:t>
      </w:r>
      <w:r w:rsidRPr="00E3559F">
        <w:rPr>
          <w:sz w:val="20"/>
          <w:szCs w:val="20"/>
        </w:rPr>
        <w:t>Humanos</w:t>
      </w:r>
      <w:r w:rsidRPr="00E3559F">
        <w:rPr>
          <w:bCs/>
          <w:sz w:val="20"/>
          <w:szCs w:val="20"/>
        </w:rPr>
        <w:t>, y dará por concluido el presente caso una vez que el Estado haya dado cabal cumplimiento a lo dispuesto en la misma.</w:t>
      </w:r>
    </w:p>
    <w:p w14:paraId="75265E22" w14:textId="77777777" w:rsidR="00A176E8" w:rsidRPr="00E3559F" w:rsidRDefault="00A176E8" w:rsidP="00A176E8">
      <w:pPr>
        <w:tabs>
          <w:tab w:val="left" w:pos="720"/>
        </w:tabs>
        <w:spacing w:line="20" w:lineRule="atLeast"/>
        <w:ind w:right="-93"/>
        <w:contextualSpacing/>
        <w:rPr>
          <w:rFonts w:cs="Verdana"/>
          <w:sz w:val="20"/>
          <w:szCs w:val="20"/>
        </w:rPr>
      </w:pPr>
    </w:p>
    <w:p w14:paraId="4E884CFD" w14:textId="64E26665" w:rsidR="00A176E8" w:rsidRDefault="00A176E8" w:rsidP="00856C88">
      <w:pPr>
        <w:tabs>
          <w:tab w:val="left" w:pos="720"/>
        </w:tabs>
        <w:spacing w:line="20" w:lineRule="atLeast"/>
        <w:ind w:right="-93"/>
        <w:contextualSpacing/>
        <w:rPr>
          <w:rFonts w:cs="Verdana"/>
          <w:sz w:val="20"/>
          <w:szCs w:val="20"/>
        </w:rPr>
      </w:pPr>
      <w:r w:rsidRPr="00E3559F">
        <w:rPr>
          <w:rFonts w:cs="Verdana"/>
          <w:sz w:val="20"/>
          <w:szCs w:val="20"/>
        </w:rPr>
        <w:t xml:space="preserve">Redactada en español en San José, Costa Rica, el </w:t>
      </w:r>
      <w:r w:rsidR="007563AE" w:rsidRPr="00E3559F">
        <w:rPr>
          <w:rFonts w:cs="Verdana"/>
          <w:sz w:val="20"/>
          <w:szCs w:val="20"/>
        </w:rPr>
        <w:t xml:space="preserve">20 </w:t>
      </w:r>
      <w:r w:rsidRPr="00E3559F">
        <w:rPr>
          <w:rFonts w:cs="Verdana"/>
          <w:sz w:val="20"/>
          <w:szCs w:val="20"/>
        </w:rPr>
        <w:t xml:space="preserve">de </w:t>
      </w:r>
      <w:r w:rsidR="007563AE" w:rsidRPr="00E3559F">
        <w:rPr>
          <w:rFonts w:cs="Verdana"/>
          <w:sz w:val="20"/>
          <w:szCs w:val="20"/>
        </w:rPr>
        <w:t xml:space="preserve">julio </w:t>
      </w:r>
      <w:r w:rsidRPr="00E3559F">
        <w:rPr>
          <w:rFonts w:cs="Verdana"/>
          <w:sz w:val="20"/>
          <w:szCs w:val="20"/>
        </w:rPr>
        <w:t>de 2020.</w:t>
      </w:r>
    </w:p>
    <w:p w14:paraId="5C7F18D7" w14:textId="12E8DC61" w:rsidR="00F1610B" w:rsidRDefault="00F1610B" w:rsidP="00856C88">
      <w:pPr>
        <w:tabs>
          <w:tab w:val="left" w:pos="720"/>
        </w:tabs>
        <w:spacing w:line="20" w:lineRule="atLeast"/>
        <w:ind w:right="-93"/>
        <w:contextualSpacing/>
        <w:rPr>
          <w:rFonts w:cs="Verdana"/>
          <w:sz w:val="20"/>
          <w:szCs w:val="20"/>
        </w:rPr>
      </w:pPr>
    </w:p>
    <w:p w14:paraId="5A94D056" w14:textId="77777777" w:rsidR="00F1610B" w:rsidRDefault="00F1610B" w:rsidP="00F1610B">
      <w:pPr>
        <w:spacing w:line="240" w:lineRule="auto"/>
        <w:rPr>
          <w:sz w:val="20"/>
        </w:rPr>
      </w:pPr>
      <w:r>
        <w:rPr>
          <w:sz w:val="20"/>
        </w:rPr>
        <w:lastRenderedPageBreak/>
        <w:t xml:space="preserve">Corte IDH. </w:t>
      </w:r>
      <w:r w:rsidRPr="00433F2D">
        <w:rPr>
          <w:i/>
          <w:sz w:val="20"/>
        </w:rPr>
        <w:t>Caso</w:t>
      </w:r>
      <w:r>
        <w:rPr>
          <w:i/>
          <w:sz w:val="20"/>
        </w:rPr>
        <w:t xml:space="preserve"> Valle Ambrosio y otro Vs. Argentina</w:t>
      </w:r>
      <w:r>
        <w:rPr>
          <w:sz w:val="20"/>
        </w:rPr>
        <w:t>. Fondo y Reparaciones. Sentencia de 20 de julio de 2020.</w:t>
      </w:r>
    </w:p>
    <w:p w14:paraId="1A094BF6" w14:textId="77777777" w:rsidR="00F1610B" w:rsidRDefault="00F1610B" w:rsidP="00F1610B">
      <w:pPr>
        <w:spacing w:line="240" w:lineRule="auto"/>
        <w:rPr>
          <w:sz w:val="20"/>
        </w:rPr>
      </w:pPr>
    </w:p>
    <w:p w14:paraId="71B3D23D" w14:textId="77777777" w:rsidR="00F1610B" w:rsidRDefault="00F1610B" w:rsidP="00F1610B">
      <w:pPr>
        <w:spacing w:line="240" w:lineRule="auto"/>
        <w:rPr>
          <w:sz w:val="20"/>
        </w:rPr>
      </w:pPr>
    </w:p>
    <w:p w14:paraId="1A955F01" w14:textId="77777777" w:rsidR="00F1610B" w:rsidRDefault="00F1610B" w:rsidP="00F1610B">
      <w:pPr>
        <w:spacing w:line="240" w:lineRule="auto"/>
        <w:rPr>
          <w:sz w:val="20"/>
        </w:rPr>
      </w:pPr>
    </w:p>
    <w:p w14:paraId="6F6A721E" w14:textId="77777777" w:rsidR="00F1610B" w:rsidRDefault="00F1610B" w:rsidP="00F1610B">
      <w:pPr>
        <w:spacing w:line="240" w:lineRule="auto"/>
        <w:rPr>
          <w:sz w:val="20"/>
        </w:rPr>
      </w:pPr>
    </w:p>
    <w:p w14:paraId="61A8D10C" w14:textId="77777777" w:rsidR="00F1610B" w:rsidRDefault="00F1610B" w:rsidP="00F1610B">
      <w:pPr>
        <w:spacing w:line="240" w:lineRule="auto"/>
        <w:rPr>
          <w:sz w:val="20"/>
        </w:rPr>
      </w:pPr>
    </w:p>
    <w:p w14:paraId="2468A5C8" w14:textId="77777777" w:rsidR="00F1610B" w:rsidRDefault="00F1610B" w:rsidP="00F1610B">
      <w:pPr>
        <w:spacing w:line="240" w:lineRule="auto"/>
        <w:jc w:val="center"/>
        <w:rPr>
          <w:sz w:val="20"/>
        </w:rPr>
      </w:pPr>
      <w:r>
        <w:rPr>
          <w:sz w:val="20"/>
        </w:rPr>
        <w:t>Elizabeth Odio Benito</w:t>
      </w:r>
    </w:p>
    <w:p w14:paraId="5DACBD20" w14:textId="77777777" w:rsidR="00F1610B" w:rsidRDefault="00F1610B" w:rsidP="00F1610B">
      <w:pPr>
        <w:spacing w:line="240" w:lineRule="auto"/>
        <w:jc w:val="center"/>
        <w:rPr>
          <w:sz w:val="20"/>
        </w:rPr>
      </w:pPr>
      <w:r>
        <w:rPr>
          <w:sz w:val="20"/>
        </w:rPr>
        <w:t>Presidenta</w:t>
      </w:r>
    </w:p>
    <w:p w14:paraId="46E05BCD" w14:textId="77777777" w:rsidR="00F1610B" w:rsidRDefault="00F1610B" w:rsidP="00F1610B">
      <w:pPr>
        <w:spacing w:line="240" w:lineRule="auto"/>
        <w:rPr>
          <w:sz w:val="20"/>
        </w:rPr>
      </w:pPr>
    </w:p>
    <w:p w14:paraId="282EA5E2" w14:textId="77777777" w:rsidR="00F1610B" w:rsidRDefault="00F1610B" w:rsidP="00F1610B">
      <w:pPr>
        <w:spacing w:line="240" w:lineRule="auto"/>
        <w:rPr>
          <w:sz w:val="20"/>
        </w:rPr>
      </w:pPr>
    </w:p>
    <w:p w14:paraId="209EA3D9" w14:textId="77777777" w:rsidR="00F1610B" w:rsidRDefault="00F1610B" w:rsidP="00F1610B">
      <w:pPr>
        <w:spacing w:line="240" w:lineRule="auto"/>
        <w:rPr>
          <w:sz w:val="20"/>
        </w:rPr>
      </w:pPr>
    </w:p>
    <w:p w14:paraId="01008005" w14:textId="77777777" w:rsidR="00F1610B" w:rsidRDefault="00F1610B" w:rsidP="00F1610B">
      <w:pPr>
        <w:spacing w:line="240" w:lineRule="auto"/>
        <w:rPr>
          <w:sz w:val="20"/>
        </w:rPr>
      </w:pPr>
    </w:p>
    <w:p w14:paraId="0B3BFE89" w14:textId="77777777" w:rsidR="00F1610B" w:rsidRDefault="00F1610B" w:rsidP="00F1610B">
      <w:pPr>
        <w:spacing w:line="240" w:lineRule="auto"/>
        <w:rPr>
          <w:sz w:val="20"/>
        </w:rPr>
      </w:pPr>
    </w:p>
    <w:p w14:paraId="17A08286" w14:textId="77777777" w:rsidR="00F1610B" w:rsidRDefault="00F1610B" w:rsidP="00F1610B">
      <w:pPr>
        <w:spacing w:line="240" w:lineRule="auto"/>
        <w:rPr>
          <w:sz w:val="20"/>
        </w:rPr>
      </w:pPr>
      <w:r>
        <w:rPr>
          <w:sz w:val="20"/>
        </w:rPr>
        <w:t xml:space="preserve">L. Patricio Pazmiño Freire </w:t>
      </w:r>
      <w:r>
        <w:rPr>
          <w:sz w:val="20"/>
        </w:rPr>
        <w:tab/>
      </w:r>
      <w:r>
        <w:rPr>
          <w:sz w:val="20"/>
        </w:rPr>
        <w:tab/>
      </w:r>
      <w:r>
        <w:rPr>
          <w:sz w:val="20"/>
        </w:rPr>
        <w:tab/>
      </w:r>
      <w:r>
        <w:rPr>
          <w:sz w:val="20"/>
        </w:rPr>
        <w:tab/>
      </w:r>
      <w:r>
        <w:rPr>
          <w:sz w:val="20"/>
        </w:rPr>
        <w:tab/>
      </w:r>
      <w:r>
        <w:rPr>
          <w:sz w:val="20"/>
        </w:rPr>
        <w:tab/>
        <w:t xml:space="preserve">     Eduardo Vio Grossi</w:t>
      </w:r>
      <w:r w:rsidRPr="00AB3782">
        <w:rPr>
          <w:sz w:val="20"/>
        </w:rPr>
        <w:t xml:space="preserve"> </w:t>
      </w:r>
    </w:p>
    <w:p w14:paraId="03BC08DE" w14:textId="77777777" w:rsidR="00F1610B" w:rsidRDefault="00F1610B" w:rsidP="00F1610B">
      <w:pPr>
        <w:spacing w:line="240" w:lineRule="auto"/>
        <w:rPr>
          <w:sz w:val="20"/>
        </w:rPr>
      </w:pPr>
    </w:p>
    <w:p w14:paraId="5FACCEA0" w14:textId="77777777" w:rsidR="00F1610B" w:rsidRDefault="00F1610B" w:rsidP="00F1610B">
      <w:pPr>
        <w:spacing w:line="240" w:lineRule="auto"/>
        <w:rPr>
          <w:sz w:val="20"/>
        </w:rPr>
      </w:pPr>
    </w:p>
    <w:p w14:paraId="037FCB80" w14:textId="77777777" w:rsidR="00F1610B" w:rsidRDefault="00F1610B" w:rsidP="00F1610B">
      <w:pPr>
        <w:spacing w:line="240" w:lineRule="auto"/>
        <w:rPr>
          <w:sz w:val="20"/>
        </w:rPr>
      </w:pPr>
    </w:p>
    <w:p w14:paraId="58AE9091" w14:textId="77777777" w:rsidR="00F1610B" w:rsidRDefault="00F1610B" w:rsidP="00F1610B">
      <w:pPr>
        <w:spacing w:line="240" w:lineRule="auto"/>
        <w:rPr>
          <w:sz w:val="20"/>
        </w:rPr>
      </w:pPr>
    </w:p>
    <w:p w14:paraId="3BECE4D1" w14:textId="77777777" w:rsidR="00F1610B" w:rsidRDefault="00F1610B" w:rsidP="00F1610B">
      <w:pPr>
        <w:spacing w:line="240" w:lineRule="auto"/>
        <w:rPr>
          <w:sz w:val="20"/>
        </w:rPr>
      </w:pPr>
    </w:p>
    <w:p w14:paraId="0A12ED1C" w14:textId="77777777" w:rsidR="00F1610B" w:rsidRPr="00C42943" w:rsidRDefault="00F1610B" w:rsidP="00F1610B">
      <w:pPr>
        <w:spacing w:line="240" w:lineRule="auto"/>
        <w:rPr>
          <w:sz w:val="20"/>
          <w:szCs w:val="20"/>
        </w:rPr>
      </w:pPr>
      <w:r>
        <w:rPr>
          <w:sz w:val="20"/>
        </w:rPr>
        <w:t>Humberto Antonio Sierra Porto</w:t>
      </w:r>
      <w:r>
        <w:rPr>
          <w:sz w:val="20"/>
        </w:rPr>
        <w:tab/>
      </w:r>
      <w:r>
        <w:rPr>
          <w:sz w:val="20"/>
        </w:rPr>
        <w:tab/>
      </w:r>
      <w:r>
        <w:rPr>
          <w:sz w:val="20"/>
        </w:rPr>
        <w:tab/>
        <w:t xml:space="preserve">    </w:t>
      </w:r>
      <w:r w:rsidRPr="00C42943">
        <w:rPr>
          <w:sz w:val="20"/>
          <w:szCs w:val="20"/>
        </w:rPr>
        <w:t>Eduardo Ferrer Mac-</w:t>
      </w:r>
      <w:proofErr w:type="spellStart"/>
      <w:r w:rsidRPr="00C42943">
        <w:rPr>
          <w:sz w:val="20"/>
          <w:szCs w:val="20"/>
        </w:rPr>
        <w:t>Gregor</w:t>
      </w:r>
      <w:proofErr w:type="spellEnd"/>
      <w:r w:rsidRPr="00C42943">
        <w:rPr>
          <w:sz w:val="20"/>
          <w:szCs w:val="20"/>
        </w:rPr>
        <w:t xml:space="preserve"> </w:t>
      </w:r>
      <w:proofErr w:type="spellStart"/>
      <w:r w:rsidRPr="00C42943">
        <w:rPr>
          <w:sz w:val="20"/>
          <w:szCs w:val="20"/>
        </w:rPr>
        <w:t>Poisot</w:t>
      </w:r>
      <w:proofErr w:type="spellEnd"/>
    </w:p>
    <w:p w14:paraId="131F1415" w14:textId="77777777" w:rsidR="00F1610B" w:rsidRDefault="00F1610B" w:rsidP="00F1610B">
      <w:pPr>
        <w:spacing w:line="240" w:lineRule="auto"/>
        <w:rPr>
          <w:sz w:val="20"/>
        </w:rPr>
      </w:pPr>
    </w:p>
    <w:p w14:paraId="2A5212FE" w14:textId="77777777" w:rsidR="00F1610B" w:rsidRDefault="00F1610B" w:rsidP="00F1610B">
      <w:pPr>
        <w:spacing w:line="240" w:lineRule="auto"/>
        <w:rPr>
          <w:sz w:val="20"/>
        </w:rPr>
      </w:pPr>
    </w:p>
    <w:p w14:paraId="29AF57F1" w14:textId="77777777" w:rsidR="00F1610B" w:rsidRDefault="00F1610B" w:rsidP="00F1610B">
      <w:pPr>
        <w:spacing w:line="240" w:lineRule="auto"/>
        <w:rPr>
          <w:sz w:val="20"/>
        </w:rPr>
      </w:pPr>
    </w:p>
    <w:p w14:paraId="46CD7ED5" w14:textId="77777777" w:rsidR="00F1610B" w:rsidRDefault="00F1610B" w:rsidP="00F1610B">
      <w:pPr>
        <w:spacing w:line="240" w:lineRule="auto"/>
        <w:rPr>
          <w:sz w:val="20"/>
        </w:rPr>
      </w:pPr>
    </w:p>
    <w:p w14:paraId="548799C1" w14:textId="77777777" w:rsidR="00F1610B" w:rsidRDefault="00F1610B" w:rsidP="00F1610B">
      <w:pPr>
        <w:spacing w:line="240" w:lineRule="auto"/>
        <w:rPr>
          <w:sz w:val="20"/>
        </w:rPr>
      </w:pPr>
    </w:p>
    <w:p w14:paraId="71225BEC" w14:textId="77777777" w:rsidR="00F1610B" w:rsidRPr="005E5D0E" w:rsidRDefault="00F1610B" w:rsidP="00F1610B">
      <w:pPr>
        <w:spacing w:line="240" w:lineRule="auto"/>
        <w:jc w:val="center"/>
        <w:rPr>
          <w:sz w:val="20"/>
        </w:rPr>
      </w:pPr>
      <w:r>
        <w:rPr>
          <w:sz w:val="20"/>
        </w:rPr>
        <w:t xml:space="preserve">Ricardo </w:t>
      </w:r>
      <w:r w:rsidRPr="00433F2D">
        <w:rPr>
          <w:sz w:val="20"/>
        </w:rPr>
        <w:t>C.</w:t>
      </w:r>
      <w:r>
        <w:rPr>
          <w:sz w:val="20"/>
        </w:rPr>
        <w:t xml:space="preserve"> Pérez Manrique</w:t>
      </w:r>
    </w:p>
    <w:p w14:paraId="4E2D72A1" w14:textId="77777777" w:rsidR="00F1610B" w:rsidRDefault="00F1610B" w:rsidP="00F1610B">
      <w:pPr>
        <w:spacing w:line="240" w:lineRule="auto"/>
        <w:rPr>
          <w:sz w:val="20"/>
        </w:rPr>
      </w:pPr>
      <w:r>
        <w:rPr>
          <w:sz w:val="20"/>
        </w:rPr>
        <w:tab/>
      </w:r>
      <w:r>
        <w:rPr>
          <w:sz w:val="20"/>
        </w:rPr>
        <w:tab/>
      </w:r>
      <w:r>
        <w:rPr>
          <w:sz w:val="20"/>
        </w:rPr>
        <w:tab/>
      </w:r>
    </w:p>
    <w:p w14:paraId="40937B1B" w14:textId="77777777" w:rsidR="00F1610B" w:rsidRDefault="00F1610B" w:rsidP="00F1610B">
      <w:pPr>
        <w:spacing w:line="240" w:lineRule="auto"/>
        <w:rPr>
          <w:sz w:val="20"/>
        </w:rPr>
      </w:pPr>
    </w:p>
    <w:p w14:paraId="74E694DF" w14:textId="77777777" w:rsidR="00F1610B" w:rsidRDefault="00F1610B" w:rsidP="00F1610B">
      <w:pPr>
        <w:spacing w:line="240" w:lineRule="auto"/>
        <w:rPr>
          <w:sz w:val="20"/>
        </w:rPr>
      </w:pPr>
    </w:p>
    <w:p w14:paraId="4CEA1597" w14:textId="77777777" w:rsidR="00F1610B" w:rsidRDefault="00F1610B" w:rsidP="00F1610B">
      <w:pPr>
        <w:tabs>
          <w:tab w:val="left" w:pos="8460"/>
          <w:tab w:val="left" w:pos="8640"/>
        </w:tabs>
        <w:spacing w:line="240" w:lineRule="auto"/>
        <w:rPr>
          <w:sz w:val="20"/>
        </w:rPr>
      </w:pPr>
    </w:p>
    <w:p w14:paraId="4B4B0EF5" w14:textId="77777777" w:rsidR="00F1610B" w:rsidRPr="00274D2F" w:rsidRDefault="00F1610B" w:rsidP="00F1610B">
      <w:pPr>
        <w:tabs>
          <w:tab w:val="left" w:pos="8460"/>
          <w:tab w:val="left" w:pos="8640"/>
        </w:tabs>
        <w:spacing w:line="240" w:lineRule="auto"/>
        <w:rPr>
          <w:sz w:val="20"/>
        </w:rPr>
      </w:pPr>
    </w:p>
    <w:p w14:paraId="1989A353" w14:textId="77777777" w:rsidR="00F1610B" w:rsidRDefault="00F1610B" w:rsidP="00F1610B">
      <w:pPr>
        <w:tabs>
          <w:tab w:val="left" w:pos="8460"/>
          <w:tab w:val="left" w:pos="8640"/>
        </w:tabs>
        <w:spacing w:line="240" w:lineRule="auto"/>
        <w:jc w:val="center"/>
        <w:rPr>
          <w:sz w:val="20"/>
        </w:rPr>
      </w:pPr>
      <w:r>
        <w:rPr>
          <w:sz w:val="20"/>
        </w:rPr>
        <w:t>Pablo Saavedra Alessandri</w:t>
      </w:r>
    </w:p>
    <w:p w14:paraId="504B6438" w14:textId="77777777" w:rsidR="00F1610B" w:rsidRDefault="00F1610B" w:rsidP="00F1610B">
      <w:pPr>
        <w:tabs>
          <w:tab w:val="left" w:pos="8460"/>
          <w:tab w:val="left" w:pos="8640"/>
        </w:tabs>
        <w:spacing w:line="240" w:lineRule="auto"/>
        <w:jc w:val="center"/>
        <w:rPr>
          <w:sz w:val="20"/>
        </w:rPr>
      </w:pPr>
      <w:r>
        <w:rPr>
          <w:sz w:val="20"/>
        </w:rPr>
        <w:t>Secretario</w:t>
      </w:r>
    </w:p>
    <w:p w14:paraId="7750939A" w14:textId="77777777" w:rsidR="00F1610B" w:rsidRDefault="00F1610B" w:rsidP="00F1610B">
      <w:pPr>
        <w:tabs>
          <w:tab w:val="left" w:pos="8460"/>
          <w:tab w:val="left" w:pos="8640"/>
        </w:tabs>
        <w:spacing w:line="240" w:lineRule="auto"/>
        <w:rPr>
          <w:sz w:val="20"/>
        </w:rPr>
      </w:pPr>
    </w:p>
    <w:p w14:paraId="693B8449" w14:textId="77777777" w:rsidR="00F1610B" w:rsidRDefault="00F1610B" w:rsidP="00F1610B">
      <w:pPr>
        <w:spacing w:line="240" w:lineRule="auto"/>
        <w:rPr>
          <w:sz w:val="20"/>
        </w:rPr>
      </w:pPr>
    </w:p>
    <w:p w14:paraId="2B4EE2C6" w14:textId="77777777" w:rsidR="00F1610B" w:rsidRDefault="00F1610B" w:rsidP="00F1610B">
      <w:pPr>
        <w:tabs>
          <w:tab w:val="left" w:pos="8460"/>
          <w:tab w:val="left" w:pos="8640"/>
        </w:tabs>
        <w:spacing w:line="240" w:lineRule="auto"/>
        <w:rPr>
          <w:sz w:val="20"/>
        </w:rPr>
      </w:pPr>
      <w:r>
        <w:rPr>
          <w:sz w:val="20"/>
        </w:rPr>
        <w:t>Comuníquese y ejecútese,</w:t>
      </w:r>
    </w:p>
    <w:p w14:paraId="0C5EA23F" w14:textId="77777777" w:rsidR="00F1610B" w:rsidRDefault="00F1610B" w:rsidP="00F1610B">
      <w:pPr>
        <w:tabs>
          <w:tab w:val="left" w:pos="8460"/>
          <w:tab w:val="left" w:pos="8640"/>
        </w:tabs>
        <w:spacing w:line="240" w:lineRule="auto"/>
        <w:rPr>
          <w:sz w:val="20"/>
        </w:rPr>
      </w:pPr>
    </w:p>
    <w:p w14:paraId="2582F5F9" w14:textId="77777777" w:rsidR="00F1610B" w:rsidRDefault="00F1610B" w:rsidP="00F1610B">
      <w:pPr>
        <w:tabs>
          <w:tab w:val="left" w:pos="8460"/>
          <w:tab w:val="left" w:pos="8640"/>
        </w:tabs>
        <w:spacing w:line="240" w:lineRule="auto"/>
        <w:rPr>
          <w:sz w:val="20"/>
        </w:rPr>
      </w:pPr>
    </w:p>
    <w:p w14:paraId="2C2315F1" w14:textId="77777777" w:rsidR="00F1610B" w:rsidRDefault="00F1610B" w:rsidP="00F1610B">
      <w:pPr>
        <w:spacing w:line="240" w:lineRule="auto"/>
        <w:jc w:val="right"/>
        <w:rPr>
          <w:sz w:val="20"/>
        </w:rPr>
      </w:pPr>
      <w:r>
        <w:rPr>
          <w:sz w:val="20"/>
        </w:rPr>
        <w:t>Elizabeth Odio Benito</w:t>
      </w:r>
    </w:p>
    <w:p w14:paraId="590D9923" w14:textId="77777777" w:rsidR="00F1610B" w:rsidRDefault="00F1610B" w:rsidP="00F1610B">
      <w:pPr>
        <w:spacing w:line="240" w:lineRule="auto"/>
        <w:ind w:right="582"/>
        <w:jc w:val="right"/>
        <w:rPr>
          <w:sz w:val="20"/>
        </w:rPr>
      </w:pPr>
      <w:r>
        <w:rPr>
          <w:sz w:val="20"/>
        </w:rPr>
        <w:t>Presidenta</w:t>
      </w:r>
    </w:p>
    <w:p w14:paraId="79B8C4B4" w14:textId="77777777" w:rsidR="00F1610B" w:rsidRDefault="00F1610B" w:rsidP="00F1610B">
      <w:pPr>
        <w:tabs>
          <w:tab w:val="left" w:pos="8460"/>
          <w:tab w:val="left" w:pos="8640"/>
        </w:tabs>
        <w:spacing w:line="240" w:lineRule="auto"/>
        <w:rPr>
          <w:sz w:val="20"/>
        </w:rPr>
      </w:pPr>
    </w:p>
    <w:p w14:paraId="405F2A4C" w14:textId="77777777" w:rsidR="00F1610B" w:rsidRDefault="00F1610B" w:rsidP="00F1610B">
      <w:pPr>
        <w:tabs>
          <w:tab w:val="left" w:pos="8460"/>
          <w:tab w:val="left" w:pos="8640"/>
        </w:tabs>
        <w:spacing w:line="240" w:lineRule="auto"/>
        <w:rPr>
          <w:sz w:val="20"/>
        </w:rPr>
      </w:pPr>
    </w:p>
    <w:p w14:paraId="1DE677A9" w14:textId="77777777" w:rsidR="00F1610B" w:rsidRDefault="00F1610B" w:rsidP="00F1610B">
      <w:pPr>
        <w:tabs>
          <w:tab w:val="left" w:pos="8460"/>
          <w:tab w:val="left" w:pos="8640"/>
        </w:tabs>
        <w:spacing w:line="240" w:lineRule="auto"/>
        <w:rPr>
          <w:sz w:val="20"/>
        </w:rPr>
      </w:pPr>
    </w:p>
    <w:p w14:paraId="2D893DE7" w14:textId="77777777" w:rsidR="00F1610B" w:rsidRDefault="00F1610B" w:rsidP="00F1610B">
      <w:pPr>
        <w:tabs>
          <w:tab w:val="left" w:pos="8460"/>
          <w:tab w:val="left" w:pos="8640"/>
        </w:tabs>
        <w:spacing w:line="240" w:lineRule="auto"/>
        <w:rPr>
          <w:sz w:val="20"/>
        </w:rPr>
      </w:pPr>
      <w:r>
        <w:rPr>
          <w:sz w:val="20"/>
        </w:rPr>
        <w:t>Pablo Saavedra Alessandri</w:t>
      </w:r>
    </w:p>
    <w:p w14:paraId="0518808B" w14:textId="77777777" w:rsidR="00F1610B" w:rsidRDefault="00F1610B" w:rsidP="00F1610B">
      <w:pPr>
        <w:tabs>
          <w:tab w:val="left" w:pos="8640"/>
        </w:tabs>
        <w:spacing w:line="240" w:lineRule="auto"/>
        <w:ind w:left="720"/>
        <w:rPr>
          <w:sz w:val="20"/>
        </w:rPr>
      </w:pPr>
      <w:r>
        <w:rPr>
          <w:sz w:val="20"/>
        </w:rPr>
        <w:t xml:space="preserve">  Secretario</w:t>
      </w:r>
    </w:p>
    <w:p w14:paraId="1807FBC3" w14:textId="77777777" w:rsidR="00F1610B" w:rsidRDefault="00F1610B" w:rsidP="00F1610B">
      <w:pPr>
        <w:tabs>
          <w:tab w:val="left" w:pos="8640"/>
        </w:tabs>
        <w:spacing w:line="240" w:lineRule="auto"/>
        <w:rPr>
          <w:sz w:val="20"/>
        </w:rPr>
      </w:pPr>
    </w:p>
    <w:p w14:paraId="05522237" w14:textId="77777777" w:rsidR="00F1610B" w:rsidRDefault="00F1610B" w:rsidP="00F1610B">
      <w:pPr>
        <w:tabs>
          <w:tab w:val="left" w:pos="8460"/>
          <w:tab w:val="left" w:pos="8640"/>
        </w:tabs>
        <w:spacing w:line="240" w:lineRule="auto"/>
        <w:rPr>
          <w:sz w:val="20"/>
        </w:rPr>
      </w:pPr>
    </w:p>
    <w:p w14:paraId="3AF73833" w14:textId="77777777" w:rsidR="00F1610B" w:rsidRDefault="00F1610B" w:rsidP="00F1610B">
      <w:pPr>
        <w:tabs>
          <w:tab w:val="left" w:pos="8460"/>
          <w:tab w:val="left" w:pos="8640"/>
        </w:tabs>
        <w:spacing w:line="240" w:lineRule="auto"/>
        <w:rPr>
          <w:sz w:val="20"/>
        </w:rPr>
      </w:pPr>
    </w:p>
    <w:p w14:paraId="3933DA6A" w14:textId="77777777" w:rsidR="00F1610B" w:rsidRDefault="00F1610B" w:rsidP="00F1610B"/>
    <w:p w14:paraId="0A5B3AC6" w14:textId="77777777" w:rsidR="00F1610B" w:rsidRPr="00E3559F" w:rsidRDefault="00F1610B" w:rsidP="00856C88">
      <w:pPr>
        <w:tabs>
          <w:tab w:val="left" w:pos="720"/>
        </w:tabs>
        <w:spacing w:line="20" w:lineRule="atLeast"/>
        <w:ind w:right="-93"/>
        <w:contextualSpacing/>
        <w:rPr>
          <w:sz w:val="20"/>
          <w:szCs w:val="20"/>
        </w:rPr>
      </w:pPr>
    </w:p>
    <w:p w14:paraId="370C3E8A" w14:textId="77777777" w:rsidR="00CA0E0B" w:rsidRPr="00E3559F" w:rsidRDefault="00CA0E0B" w:rsidP="00D443EA">
      <w:pPr>
        <w:widowControl/>
        <w:tabs>
          <w:tab w:val="left" w:pos="567"/>
          <w:tab w:val="num" w:pos="12305"/>
        </w:tabs>
        <w:autoSpaceDE w:val="0"/>
        <w:autoSpaceDN w:val="0"/>
        <w:spacing w:line="240" w:lineRule="auto"/>
        <w:textAlignment w:val="auto"/>
        <w:rPr>
          <w:sz w:val="20"/>
          <w:szCs w:val="20"/>
        </w:rPr>
      </w:pPr>
    </w:p>
    <w:sectPr w:rsidR="00CA0E0B" w:rsidRPr="00E3559F" w:rsidSect="0015243B">
      <w:type w:val="continuous"/>
      <w:pgSz w:w="12240" w:h="15840" w:code="1"/>
      <w:pgMar w:top="1440" w:right="1080" w:bottom="547" w:left="108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D3324F" w14:textId="77777777" w:rsidR="00AB438F" w:rsidRDefault="00AB438F" w:rsidP="00833D5A">
      <w:pPr>
        <w:spacing w:line="240" w:lineRule="auto"/>
      </w:pPr>
      <w:r>
        <w:separator/>
      </w:r>
    </w:p>
    <w:p w14:paraId="1D3DB41A" w14:textId="77777777" w:rsidR="00AB438F" w:rsidRDefault="00AB438F"/>
  </w:endnote>
  <w:endnote w:type="continuationSeparator" w:id="0">
    <w:p w14:paraId="3998D351" w14:textId="77777777" w:rsidR="00AB438F" w:rsidRDefault="00AB438F" w:rsidP="00833D5A">
      <w:pPr>
        <w:spacing w:line="240" w:lineRule="auto"/>
      </w:pPr>
      <w:r>
        <w:continuationSeparator/>
      </w:r>
    </w:p>
    <w:p w14:paraId="36EF9847" w14:textId="77777777" w:rsidR="00AB438F" w:rsidRDefault="00AB43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Verdana Bold">
    <w:altName w:val="Times New Roman"/>
    <w:charset w:val="00"/>
    <w:family w:val="auto"/>
    <w:pitch w:val="variable"/>
    <w:sig w:usb0="00000001"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8"/>
        <w:szCs w:val="18"/>
      </w:rPr>
      <w:id w:val="1396474226"/>
      <w:docPartObj>
        <w:docPartGallery w:val="Page Numbers (Bottom of Page)"/>
        <w:docPartUnique/>
      </w:docPartObj>
    </w:sdtPr>
    <w:sdtEndPr>
      <w:rPr>
        <w:noProof/>
      </w:rPr>
    </w:sdtEndPr>
    <w:sdtContent>
      <w:p w14:paraId="1A6BA86E" w14:textId="7ACBA491" w:rsidR="000C754E" w:rsidRPr="00B47883" w:rsidRDefault="000C754E" w:rsidP="00B47883">
        <w:pPr>
          <w:pStyle w:val="Piedepgina"/>
          <w:spacing w:before="120"/>
          <w:jc w:val="center"/>
          <w:rPr>
            <w:sz w:val="18"/>
            <w:szCs w:val="18"/>
          </w:rPr>
        </w:pPr>
        <w:r w:rsidRPr="00B47883">
          <w:rPr>
            <w:sz w:val="18"/>
            <w:szCs w:val="18"/>
          </w:rPr>
          <w:fldChar w:fldCharType="begin"/>
        </w:r>
        <w:r w:rsidRPr="00B47883">
          <w:rPr>
            <w:sz w:val="18"/>
            <w:szCs w:val="18"/>
          </w:rPr>
          <w:instrText xml:space="preserve"> PAGE   \* MERGEFORMAT </w:instrText>
        </w:r>
        <w:r w:rsidRPr="00B47883">
          <w:rPr>
            <w:sz w:val="18"/>
            <w:szCs w:val="18"/>
          </w:rPr>
          <w:fldChar w:fldCharType="separate"/>
        </w:r>
        <w:r w:rsidR="0088552B">
          <w:rPr>
            <w:noProof/>
            <w:sz w:val="18"/>
            <w:szCs w:val="18"/>
          </w:rPr>
          <w:t>20</w:t>
        </w:r>
        <w:r w:rsidRPr="00B47883">
          <w:rPr>
            <w:noProof/>
            <w:sz w:val="18"/>
            <w:szCs w:val="18"/>
          </w:rPr>
          <w:fldChar w:fldCharType="end"/>
        </w:r>
      </w:p>
    </w:sdtContent>
  </w:sdt>
  <w:p w14:paraId="440FCD34" w14:textId="77777777" w:rsidR="000C754E" w:rsidRPr="00B47883" w:rsidRDefault="000C754E">
    <w:pPr>
      <w:pStyle w:val="Piedepgina"/>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6DAF91" w14:textId="77777777" w:rsidR="00AB438F" w:rsidRDefault="00AB438F" w:rsidP="00833D5A">
      <w:pPr>
        <w:spacing w:line="240" w:lineRule="auto"/>
      </w:pPr>
      <w:r>
        <w:separator/>
      </w:r>
    </w:p>
    <w:p w14:paraId="38F51036" w14:textId="77777777" w:rsidR="00AB438F" w:rsidRDefault="00AB438F"/>
  </w:footnote>
  <w:footnote w:type="continuationSeparator" w:id="0">
    <w:p w14:paraId="246E6385" w14:textId="77777777" w:rsidR="00AB438F" w:rsidRDefault="00AB438F" w:rsidP="00833D5A">
      <w:pPr>
        <w:spacing w:line="240" w:lineRule="auto"/>
      </w:pPr>
      <w:r>
        <w:continuationSeparator/>
      </w:r>
    </w:p>
    <w:p w14:paraId="39ECB21E" w14:textId="77777777" w:rsidR="00AB438F" w:rsidRDefault="00AB438F"/>
  </w:footnote>
  <w:footnote w:id="1">
    <w:p w14:paraId="3808D689" w14:textId="4DE235DE" w:rsidR="000C754E" w:rsidRPr="00E3559F" w:rsidRDefault="000C754E" w:rsidP="00555231">
      <w:pPr>
        <w:pStyle w:val="Textonotapie"/>
        <w:spacing w:before="40" w:after="40"/>
        <w:rPr>
          <w:sz w:val="16"/>
          <w:szCs w:val="16"/>
        </w:rPr>
      </w:pPr>
      <w:r w:rsidRPr="00E3559F">
        <w:rPr>
          <w:rStyle w:val="Refdenotaalpie"/>
          <w:sz w:val="16"/>
          <w:szCs w:val="16"/>
        </w:rPr>
        <w:t>*</w:t>
      </w:r>
      <w:r w:rsidRPr="00E3559F">
        <w:rPr>
          <w:sz w:val="16"/>
          <w:szCs w:val="16"/>
        </w:rPr>
        <w:t xml:space="preserve"> </w:t>
      </w:r>
      <w:r w:rsidRPr="00E3559F">
        <w:rPr>
          <w:sz w:val="16"/>
          <w:szCs w:val="16"/>
        </w:rPr>
        <w:tab/>
        <w:t>El Juez Eugenio Raúl Zaffaroni, de nacionalidad argentina, no participó en la tramitación del presente caso ni en la deliberación y firma de esta Sentencia, de conformidad con lo dispuesto en los artículos 19.1 y 19.2 del Reglamento de la Corte.</w:t>
      </w:r>
    </w:p>
  </w:footnote>
  <w:footnote w:id="2">
    <w:p w14:paraId="55CCE792" w14:textId="15A4D038"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lang w:val="es-CR"/>
        </w:rPr>
        <w:footnoteRef/>
      </w:r>
      <w:r w:rsidRPr="00E3559F">
        <w:rPr>
          <w:sz w:val="16"/>
          <w:szCs w:val="16"/>
          <w:lang w:val="es-CR"/>
        </w:rPr>
        <w:t xml:space="preserve"> </w:t>
      </w:r>
      <w:r w:rsidRPr="00E3559F">
        <w:rPr>
          <w:sz w:val="16"/>
          <w:szCs w:val="16"/>
          <w:lang w:val="es-CR"/>
        </w:rPr>
        <w:tab/>
        <w:t xml:space="preserve">El mismo fue notificado a las partes el 6 de septiembre de 2013. En dicho informe, la Comisión decidió que </w:t>
      </w:r>
      <w:r>
        <w:rPr>
          <w:sz w:val="16"/>
          <w:szCs w:val="16"/>
          <w:lang w:val="es-CR"/>
        </w:rPr>
        <w:t>ambas peticiones</w:t>
      </w:r>
      <w:r w:rsidRPr="00E3559F">
        <w:rPr>
          <w:sz w:val="16"/>
          <w:szCs w:val="16"/>
          <w:lang w:val="es-CR"/>
        </w:rPr>
        <w:t xml:space="preserve"> era</w:t>
      </w:r>
      <w:r>
        <w:rPr>
          <w:sz w:val="16"/>
          <w:szCs w:val="16"/>
          <w:lang w:val="es-CR"/>
        </w:rPr>
        <w:t>n</w:t>
      </w:r>
      <w:r w:rsidRPr="00E3559F">
        <w:rPr>
          <w:sz w:val="16"/>
          <w:szCs w:val="16"/>
          <w:lang w:val="es-CR"/>
        </w:rPr>
        <w:t xml:space="preserve"> admisible</w:t>
      </w:r>
      <w:r>
        <w:rPr>
          <w:sz w:val="16"/>
          <w:szCs w:val="16"/>
          <w:lang w:val="es-CR"/>
        </w:rPr>
        <w:t>s</w:t>
      </w:r>
      <w:r w:rsidRPr="00E3559F">
        <w:rPr>
          <w:sz w:val="16"/>
          <w:szCs w:val="16"/>
          <w:lang w:val="es-CR"/>
        </w:rPr>
        <w:t xml:space="preserve"> respecto de la presunta violación del derecho reconocido en el artículo 8.2.h de la Convención Americana en concordancia con los artículos 1.1 y 2 de la misma. </w:t>
      </w:r>
      <w:r w:rsidRPr="00B1011B">
        <w:rPr>
          <w:sz w:val="16"/>
          <w:szCs w:val="16"/>
          <w:lang w:val="es-CR"/>
        </w:rPr>
        <w:t>Además</w:t>
      </w:r>
      <w:r w:rsidRPr="00E3559F">
        <w:rPr>
          <w:sz w:val="16"/>
          <w:szCs w:val="16"/>
          <w:lang w:val="es-CR"/>
        </w:rPr>
        <w:t xml:space="preserve">, decidió que en la etapa de fondo analizaría la presunta violación de los artículos 7, 8 y 25 de la Convención Americana. </w:t>
      </w:r>
      <w:r w:rsidRPr="0088552B">
        <w:rPr>
          <w:i/>
          <w:sz w:val="16"/>
          <w:szCs w:val="16"/>
          <w:lang w:val="es-CR"/>
        </w:rPr>
        <w:t>Cfr</w:t>
      </w:r>
      <w:r>
        <w:rPr>
          <w:sz w:val="16"/>
          <w:szCs w:val="16"/>
          <w:lang w:val="es-CR"/>
        </w:rPr>
        <w:t xml:space="preserve">. </w:t>
      </w:r>
      <w:r w:rsidRPr="00E3559F">
        <w:rPr>
          <w:sz w:val="16"/>
          <w:szCs w:val="16"/>
          <w:lang w:val="es-CR"/>
        </w:rPr>
        <w:t xml:space="preserve">Informe de Admisibilidad No. 35/13, </w:t>
      </w:r>
      <w:r w:rsidRPr="00E3559F">
        <w:rPr>
          <w:i/>
          <w:sz w:val="16"/>
          <w:szCs w:val="16"/>
          <w:lang w:val="es-CR"/>
        </w:rPr>
        <w:t>Posadas y otros Vs. Argentina</w:t>
      </w:r>
      <w:r w:rsidRPr="00E3559F">
        <w:rPr>
          <w:sz w:val="16"/>
          <w:szCs w:val="16"/>
          <w:lang w:val="es-CR"/>
        </w:rPr>
        <w:t xml:space="preserve">, </w:t>
      </w:r>
      <w:r>
        <w:rPr>
          <w:sz w:val="16"/>
          <w:szCs w:val="16"/>
          <w:lang w:val="es-CR"/>
        </w:rPr>
        <w:t xml:space="preserve">de </w:t>
      </w:r>
      <w:r w:rsidRPr="00E3559F">
        <w:rPr>
          <w:sz w:val="16"/>
          <w:szCs w:val="16"/>
          <w:lang w:val="es-CR"/>
        </w:rPr>
        <w:t>11 de julio de 2013.</w:t>
      </w:r>
    </w:p>
  </w:footnote>
  <w:footnote w:id="3">
    <w:p w14:paraId="1A78AA10" w14:textId="6F97ED20"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t xml:space="preserve">La Comisión concluyó que el Estado de Argentina era responsable por </w:t>
      </w:r>
      <w:r w:rsidRPr="00E3559F">
        <w:rPr>
          <w:rFonts w:eastAsiaTheme="minorHAnsi"/>
          <w:sz w:val="16"/>
          <w:szCs w:val="16"/>
          <w:lang w:eastAsia="en-US"/>
        </w:rPr>
        <w:t>la violación de los derechos a recurrir el fallo y a la protección judicial consagrados en los artículos 8.2.h y 25.1 de la Convención Americana en relación con las obligaciones establecidas en los artículos 1.1 y 2 del mismo instrumento, en perjuicio de Julio César Ramón del Valle Ambrosio y Carlos Eduardo Domínguez Linares</w:t>
      </w:r>
      <w:r w:rsidRPr="00E3559F">
        <w:rPr>
          <w:sz w:val="16"/>
          <w:szCs w:val="16"/>
        </w:rPr>
        <w:t xml:space="preserve">. </w:t>
      </w:r>
    </w:p>
  </w:footnote>
  <w:footnote w:id="4">
    <w:p w14:paraId="3F2C964B" w14:textId="5752EFFF"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lang w:val="es-CR"/>
        </w:rPr>
        <w:footnoteRef/>
      </w:r>
      <w:r w:rsidRPr="00E3559F">
        <w:rPr>
          <w:sz w:val="16"/>
          <w:szCs w:val="16"/>
          <w:lang w:val="es-CR"/>
        </w:rPr>
        <w:t xml:space="preserve"> </w:t>
      </w:r>
      <w:r w:rsidRPr="00E3559F">
        <w:rPr>
          <w:sz w:val="16"/>
          <w:szCs w:val="16"/>
          <w:lang w:val="es-CR"/>
        </w:rPr>
        <w:tab/>
        <w:t>La Comisión designó, como sus delegados ante la Corte, al Comisionado Luis Ernesto Vargas Silva y al Secretario Ejecutivo Paulo Abrão. Asimismo, designó como asesoras legales a la señora Silvia Serrano Guzmán, entonces abogada de la Secretaría Ejecutiva, así como al señor Piero Vásquez Agüero, abogado de la Secretaría Ejecutiva</w:t>
      </w:r>
      <w:r>
        <w:rPr>
          <w:sz w:val="16"/>
          <w:szCs w:val="16"/>
          <w:lang w:val="es-CR"/>
        </w:rPr>
        <w:t>.</w:t>
      </w:r>
    </w:p>
  </w:footnote>
  <w:footnote w:id="5">
    <w:p w14:paraId="2C8E8C9F" w14:textId="1F7749E6"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lang w:val="es-CR"/>
        </w:rPr>
        <w:footnoteRef/>
      </w:r>
      <w:r w:rsidRPr="00E3559F">
        <w:rPr>
          <w:sz w:val="16"/>
          <w:szCs w:val="16"/>
          <w:lang w:val="es-CR"/>
        </w:rPr>
        <w:t xml:space="preserve"> </w:t>
      </w:r>
      <w:r w:rsidRPr="00E3559F">
        <w:rPr>
          <w:sz w:val="16"/>
          <w:szCs w:val="16"/>
          <w:lang w:val="es-CR"/>
        </w:rPr>
        <w:tab/>
        <w:t>La señora María Isabel Rúa y l</w:t>
      </w:r>
      <w:r>
        <w:rPr>
          <w:sz w:val="16"/>
          <w:szCs w:val="16"/>
          <w:lang w:val="es-CR"/>
        </w:rPr>
        <w:t>os señores Gonzalo Eduardo Rúa y Ramiro Hernán Rúa</w:t>
      </w:r>
      <w:r w:rsidRPr="00E3559F">
        <w:rPr>
          <w:sz w:val="16"/>
          <w:szCs w:val="16"/>
          <w:lang w:val="es-CR"/>
        </w:rPr>
        <w:t xml:space="preserve"> ejercieron la representación de los señores Carlos Eduardo Domínguez Linares y Julio César Ramón del Valle Ambrosio hasta el 18 de febrero de 2020. A partir de dicha fecha, los señores Juan Carlos Vega y Víctor Rodolfo Pérsico asumieron </w:t>
      </w:r>
      <w:r>
        <w:rPr>
          <w:sz w:val="16"/>
          <w:szCs w:val="16"/>
          <w:lang w:val="es-CR"/>
        </w:rPr>
        <w:t>la</w:t>
      </w:r>
      <w:r w:rsidRPr="00E3559F">
        <w:rPr>
          <w:sz w:val="16"/>
          <w:szCs w:val="16"/>
          <w:lang w:val="es-CR"/>
        </w:rPr>
        <w:t xml:space="preserve"> representación letrada</w:t>
      </w:r>
      <w:r>
        <w:rPr>
          <w:sz w:val="16"/>
          <w:szCs w:val="16"/>
          <w:lang w:val="es-CR"/>
        </w:rPr>
        <w:t xml:space="preserve"> de las presuntas víctimas</w:t>
      </w:r>
      <w:r w:rsidRPr="00E3559F">
        <w:rPr>
          <w:sz w:val="16"/>
          <w:szCs w:val="16"/>
          <w:lang w:val="es-CR"/>
        </w:rPr>
        <w:t xml:space="preserve">. </w:t>
      </w:r>
    </w:p>
  </w:footnote>
  <w:footnote w:id="6">
    <w:p w14:paraId="0347D2AE" w14:textId="5485FCC2"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lang w:val="es-CR"/>
        </w:rPr>
        <w:footnoteRef/>
      </w:r>
      <w:r w:rsidRPr="00E3559F">
        <w:rPr>
          <w:sz w:val="16"/>
          <w:szCs w:val="16"/>
          <w:lang w:val="es-CR"/>
        </w:rPr>
        <w:t xml:space="preserve"> </w:t>
      </w:r>
      <w:r w:rsidRPr="00E3559F">
        <w:rPr>
          <w:sz w:val="16"/>
          <w:szCs w:val="16"/>
          <w:lang w:val="es-CR"/>
        </w:rPr>
        <w:tab/>
        <w:t xml:space="preserve">Según las constancias respectivas, el escrito de sometimiento del caso fue notificado a la representación de las presuntas víctimas mediante comunicación de 29 de octubre de 2018 y el 21 de diciembre de 2018 fue despachada vía </w:t>
      </w:r>
      <w:r w:rsidRPr="00E3559F">
        <w:rPr>
          <w:i/>
          <w:sz w:val="16"/>
          <w:szCs w:val="16"/>
          <w:lang w:val="es-CR"/>
        </w:rPr>
        <w:t>courier</w:t>
      </w:r>
      <w:r w:rsidRPr="00E3559F">
        <w:rPr>
          <w:sz w:val="16"/>
          <w:szCs w:val="16"/>
          <w:lang w:val="es-CR"/>
        </w:rPr>
        <w:t xml:space="preserve"> junto con la totalidad de los anexos, los cuales fueron recibidos por dicha representación el 27 de diciembre de 2017. El escrito de la representación de las presuntas víctimas, y sus anexos, fue</w:t>
      </w:r>
      <w:r w:rsidR="001B6DD9">
        <w:rPr>
          <w:sz w:val="16"/>
          <w:szCs w:val="16"/>
          <w:lang w:val="es-CR"/>
        </w:rPr>
        <w:t>ron</w:t>
      </w:r>
      <w:r w:rsidRPr="00E3559F">
        <w:rPr>
          <w:sz w:val="16"/>
          <w:szCs w:val="16"/>
          <w:lang w:val="es-CR"/>
        </w:rPr>
        <w:t xml:space="preserve"> recibido</w:t>
      </w:r>
      <w:r w:rsidR="001B6DD9">
        <w:rPr>
          <w:sz w:val="16"/>
          <w:szCs w:val="16"/>
          <w:lang w:val="es-CR"/>
        </w:rPr>
        <w:t>s</w:t>
      </w:r>
      <w:r w:rsidRPr="00E3559F">
        <w:rPr>
          <w:sz w:val="16"/>
          <w:szCs w:val="16"/>
          <w:lang w:val="es-CR"/>
        </w:rPr>
        <w:t xml:space="preserve"> por la Corte mediante comunicacion</w:t>
      </w:r>
      <w:r w:rsidR="001B6DD9">
        <w:rPr>
          <w:sz w:val="16"/>
          <w:szCs w:val="16"/>
          <w:lang w:val="es-CR"/>
        </w:rPr>
        <w:t>es de 10 y 15 de marzo de 2019. T</w:t>
      </w:r>
      <w:r w:rsidRPr="00E3559F">
        <w:rPr>
          <w:sz w:val="16"/>
          <w:szCs w:val="16"/>
          <w:lang w:val="es-CR"/>
        </w:rPr>
        <w:t xml:space="preserve">omando en cuenta que el período de vacaciones de fin de año del Tribunal que inició el 21 de diciembre de 2018 y finalizó el 7 de enero de 2019, el plazo para la presentación del escrito de solicitudes, argumentos y pruebas </w:t>
      </w:r>
      <w:r w:rsidR="001B6DD9">
        <w:rPr>
          <w:sz w:val="16"/>
          <w:szCs w:val="16"/>
          <w:lang w:val="es-CR"/>
        </w:rPr>
        <w:t>comenzó</w:t>
      </w:r>
      <w:r w:rsidRPr="00E3559F">
        <w:rPr>
          <w:sz w:val="16"/>
          <w:szCs w:val="16"/>
          <w:lang w:val="es-CR"/>
        </w:rPr>
        <w:t xml:space="preserve"> a contar </w:t>
      </w:r>
      <w:r w:rsidR="001B6DD9">
        <w:rPr>
          <w:sz w:val="16"/>
          <w:szCs w:val="16"/>
          <w:lang w:val="es-CR"/>
        </w:rPr>
        <w:t>a partir d</w:t>
      </w:r>
      <w:r w:rsidRPr="00E3559F">
        <w:rPr>
          <w:sz w:val="16"/>
          <w:szCs w:val="16"/>
          <w:lang w:val="es-CR"/>
        </w:rPr>
        <w:t xml:space="preserve">el 7 de enero de 2019 y venció el 7 de marzo del mismo año, por lo que dicho escrito fue presentado fuera del plazo procesal establecido en el artículo 40 del Reglamento de la Corte. </w:t>
      </w:r>
    </w:p>
  </w:footnote>
  <w:footnote w:id="7">
    <w:p w14:paraId="6CA48874" w14:textId="14F41E01" w:rsidR="000C754E" w:rsidRPr="00E3559F" w:rsidRDefault="000C754E" w:rsidP="00555231">
      <w:pPr>
        <w:pStyle w:val="Textonotapie"/>
        <w:tabs>
          <w:tab w:val="left" w:pos="567"/>
        </w:tabs>
        <w:spacing w:before="40" w:after="40"/>
        <w:rPr>
          <w:strike/>
          <w:sz w:val="16"/>
          <w:szCs w:val="16"/>
          <w:lang w:val="es-CR"/>
        </w:rPr>
      </w:pPr>
      <w:r w:rsidRPr="00E3559F">
        <w:rPr>
          <w:rStyle w:val="Refdenotaalpie"/>
          <w:sz w:val="16"/>
          <w:szCs w:val="16"/>
          <w:lang w:val="es-CR"/>
        </w:rPr>
        <w:footnoteRef/>
      </w:r>
      <w:r w:rsidRPr="00E3559F">
        <w:rPr>
          <w:sz w:val="16"/>
          <w:szCs w:val="16"/>
          <w:lang w:val="es-CR"/>
        </w:rPr>
        <w:t xml:space="preserve"> </w:t>
      </w:r>
      <w:r w:rsidRPr="00E3559F">
        <w:rPr>
          <w:sz w:val="16"/>
          <w:szCs w:val="16"/>
          <w:lang w:val="es-CR"/>
        </w:rPr>
        <w:tab/>
      </w:r>
      <w:r w:rsidRPr="00E3559F">
        <w:rPr>
          <w:i/>
          <w:sz w:val="16"/>
          <w:szCs w:val="16"/>
          <w:lang w:val="es-CR"/>
        </w:rPr>
        <w:t>Cfr</w:t>
      </w:r>
      <w:r w:rsidRPr="00E3559F">
        <w:rPr>
          <w:sz w:val="16"/>
          <w:szCs w:val="16"/>
          <w:lang w:val="es-CR"/>
        </w:rPr>
        <w:t xml:space="preserve">. </w:t>
      </w:r>
      <w:r w:rsidRPr="00E3559F">
        <w:rPr>
          <w:i/>
          <w:sz w:val="16"/>
          <w:szCs w:val="16"/>
          <w:lang w:val="es-CR"/>
        </w:rPr>
        <w:t>Caso Valle Ambrosio y otro Vs. Argentina</w:t>
      </w:r>
      <w:r w:rsidRPr="00E3559F">
        <w:rPr>
          <w:sz w:val="16"/>
          <w:szCs w:val="16"/>
          <w:lang w:val="es-CR"/>
        </w:rPr>
        <w:t>. Resolución de la Presidenta de la Corte Interamericana de Derechos Humanos de 6 de marzo de 2020.</w:t>
      </w:r>
    </w:p>
  </w:footnote>
  <w:footnote w:id="8">
    <w:p w14:paraId="22627E07" w14:textId="5C2D8F09" w:rsidR="000C754E" w:rsidRPr="00E3559F" w:rsidRDefault="000C754E" w:rsidP="00555231">
      <w:pPr>
        <w:pStyle w:val="Textonotapie"/>
        <w:tabs>
          <w:tab w:val="left" w:pos="567"/>
        </w:tabs>
        <w:spacing w:before="40" w:after="40"/>
        <w:rPr>
          <w:rFonts w:eastAsiaTheme="minorHAnsi"/>
          <w:sz w:val="16"/>
          <w:szCs w:val="16"/>
        </w:rPr>
      </w:pPr>
      <w:r w:rsidRPr="00E3559F">
        <w:rPr>
          <w:rStyle w:val="Refdenotaalpie"/>
          <w:sz w:val="16"/>
          <w:szCs w:val="16"/>
        </w:rPr>
        <w:footnoteRef/>
      </w:r>
      <w:r w:rsidRPr="00E3559F">
        <w:rPr>
          <w:sz w:val="16"/>
          <w:szCs w:val="16"/>
        </w:rPr>
        <w:t xml:space="preserve"> </w:t>
      </w:r>
      <w:r w:rsidRPr="00E3559F">
        <w:rPr>
          <w:sz w:val="16"/>
          <w:szCs w:val="16"/>
        </w:rPr>
        <w:tab/>
        <w:t xml:space="preserve">Disponible aquí: </w:t>
      </w:r>
      <w:hyperlink r:id="rId1" w:history="1">
        <w:r w:rsidRPr="008608F3">
          <w:rPr>
            <w:rStyle w:val="Hipervnculo"/>
            <w:sz w:val="16"/>
            <w:szCs w:val="16"/>
          </w:rPr>
          <w:t>http://www.corteidh.or.cr/docs/comunicados/cp_18_2020.pdf</w:t>
        </w:r>
      </w:hyperlink>
      <w:r w:rsidR="00856C88">
        <w:rPr>
          <w:rStyle w:val="Hipervnculo"/>
          <w:color w:val="auto"/>
          <w:sz w:val="16"/>
          <w:szCs w:val="16"/>
        </w:rPr>
        <w:t xml:space="preserve"> </w:t>
      </w:r>
    </w:p>
  </w:footnote>
  <w:footnote w:id="9">
    <w:p w14:paraId="43BD45A7" w14:textId="41D21C39"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t xml:space="preserve">Disponible aquí: </w:t>
      </w:r>
      <w:hyperlink r:id="rId2" w:history="1">
        <w:r w:rsidRPr="008608F3">
          <w:rPr>
            <w:rStyle w:val="Hipervnculo"/>
            <w:sz w:val="16"/>
            <w:szCs w:val="16"/>
          </w:rPr>
          <w:t>http://www.corteidh.or.cr/docs/comunicados/cp_28_2020.pdf</w:t>
        </w:r>
      </w:hyperlink>
      <w:r>
        <w:rPr>
          <w:rStyle w:val="Hipervnculo"/>
          <w:color w:val="auto"/>
          <w:sz w:val="16"/>
          <w:szCs w:val="16"/>
        </w:rPr>
        <w:t xml:space="preserve"> </w:t>
      </w:r>
    </w:p>
  </w:footnote>
  <w:footnote w:id="10">
    <w:p w14:paraId="4E7E1013" w14:textId="0D789FD5" w:rsidR="000C754E" w:rsidRPr="00E3559F" w:rsidRDefault="000C754E" w:rsidP="00555231">
      <w:pPr>
        <w:pStyle w:val="Textonotapie"/>
        <w:tabs>
          <w:tab w:val="left" w:pos="567"/>
        </w:tabs>
        <w:spacing w:before="40" w:after="40"/>
        <w:rPr>
          <w:rFonts w:cs="Calibri"/>
          <w:sz w:val="16"/>
          <w:szCs w:val="16"/>
          <w:lang w:val="es-ES" w:eastAsia="es-ES_tradnl"/>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sz w:val="16"/>
          <w:szCs w:val="16"/>
          <w:lang w:val="es-AR" w:eastAsia="es-ES_tradnl"/>
        </w:rPr>
        <w:t>Debido a las circunstancias excepcionales ocasionadas por la pandemia COVID-19, esta Sentencia fue deliberada y aprobada durante el 135 Período Ordinario de Sesiones, el cual se llevó a cabo de forma no presencial utilizando medios tecnológicos de conformidad con lo establecido en el Reglamento de la Corte.</w:t>
      </w:r>
    </w:p>
  </w:footnote>
  <w:footnote w:id="11">
    <w:p w14:paraId="7331AA3E" w14:textId="34945343"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E3559F">
        <w:rPr>
          <w:i/>
          <w:sz w:val="16"/>
          <w:szCs w:val="16"/>
        </w:rPr>
        <w:t>Cfr.</w:t>
      </w:r>
      <w:r w:rsidRPr="00E3559F">
        <w:rPr>
          <w:sz w:val="16"/>
          <w:szCs w:val="16"/>
        </w:rPr>
        <w:t xml:space="preserve"> </w:t>
      </w:r>
      <w:r w:rsidRPr="00E3559F">
        <w:rPr>
          <w:i/>
          <w:sz w:val="16"/>
          <w:szCs w:val="16"/>
        </w:rPr>
        <w:t xml:space="preserve">Caso Familia Barrios Vs. Venezuela. Fondo, Reparaciones y Costas. </w:t>
      </w:r>
      <w:r w:rsidRPr="00E3559F">
        <w:rPr>
          <w:sz w:val="16"/>
          <w:szCs w:val="16"/>
        </w:rPr>
        <w:t xml:space="preserve">Sentencia de 24 de noviembre de 2011. Serie C No. 237, párrs. 17 y 18, y </w:t>
      </w:r>
      <w:r w:rsidRPr="00E3559F">
        <w:rPr>
          <w:rStyle w:val="Textoennegrita"/>
          <w:b w:val="0"/>
          <w:i/>
          <w:sz w:val="16"/>
          <w:szCs w:val="16"/>
          <w:shd w:val="clear" w:color="auto" w:fill="FFFFFF"/>
        </w:rPr>
        <w:t>Caso Azul Rojas Marín y otra Vs. Perú. Excepciones Preliminares, Fondo, Reparaciones y Costas.</w:t>
      </w:r>
      <w:r w:rsidRPr="00E3559F">
        <w:rPr>
          <w:rStyle w:val="Textoennegrita"/>
          <w:b w:val="0"/>
          <w:sz w:val="16"/>
          <w:szCs w:val="16"/>
          <w:shd w:val="clear" w:color="auto" w:fill="FFFFFF"/>
        </w:rPr>
        <w:t xml:space="preserve"> Sentencia de 12 de marzo de 2020. Serie C No. 402, párr. 34</w:t>
      </w:r>
      <w:r w:rsidRPr="00E3559F">
        <w:rPr>
          <w:rStyle w:val="Textoennegrita"/>
          <w:b w:val="0"/>
          <w:i/>
          <w:sz w:val="16"/>
          <w:szCs w:val="16"/>
          <w:shd w:val="clear" w:color="auto" w:fill="FFFFFF"/>
        </w:rPr>
        <w:t>.</w:t>
      </w:r>
    </w:p>
  </w:footnote>
  <w:footnote w:id="12">
    <w:p w14:paraId="6ED10600"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Arial"/>
          <w:sz w:val="16"/>
          <w:szCs w:val="16"/>
        </w:rPr>
        <w:t xml:space="preserve">Peritaje rendido por Alberto Bovino dentro del </w:t>
      </w:r>
      <w:r w:rsidRPr="00E3559F">
        <w:rPr>
          <w:rFonts w:cs="Arial"/>
          <w:i/>
          <w:sz w:val="16"/>
          <w:szCs w:val="16"/>
        </w:rPr>
        <w:t>caso Mendoza y otros Vs. Argentina</w:t>
      </w:r>
      <w:r w:rsidRPr="00E3559F">
        <w:rPr>
          <w:rFonts w:cs="Arial"/>
          <w:sz w:val="16"/>
          <w:szCs w:val="16"/>
        </w:rPr>
        <w:t xml:space="preserve"> sobre “El alcance a recurrir la sentencia penal condenatoria”.</w:t>
      </w:r>
      <w:r w:rsidRPr="00E3559F">
        <w:rPr>
          <w:rFonts w:cs="Arial"/>
          <w:sz w:val="16"/>
          <w:szCs w:val="16"/>
        </w:rPr>
        <w:tab/>
      </w:r>
    </w:p>
  </w:footnote>
  <w:footnote w:id="13">
    <w:p w14:paraId="63E018C5"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Arial"/>
          <w:sz w:val="16"/>
          <w:szCs w:val="16"/>
        </w:rPr>
        <w:t xml:space="preserve">Peritaje rendido por Alberto Bovino dentro del </w:t>
      </w:r>
      <w:r w:rsidRPr="00E3559F">
        <w:rPr>
          <w:rFonts w:cs="Arial"/>
          <w:i/>
          <w:sz w:val="16"/>
          <w:szCs w:val="16"/>
        </w:rPr>
        <w:t>caso Amhrein y otros Vs. Costa Rica</w:t>
      </w:r>
      <w:r w:rsidRPr="00E3559F">
        <w:rPr>
          <w:rFonts w:cs="Arial"/>
          <w:sz w:val="16"/>
          <w:szCs w:val="16"/>
        </w:rPr>
        <w:t xml:space="preserve"> sobre “Estándares sobre derecho a recurrir”.</w:t>
      </w:r>
    </w:p>
  </w:footnote>
  <w:footnote w:id="14">
    <w:p w14:paraId="272337A0"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lang w:val="es-CR"/>
        </w:rPr>
        <w:t>Cfr</w:t>
      </w:r>
      <w:r w:rsidRPr="00E3559F">
        <w:rPr>
          <w:sz w:val="16"/>
          <w:szCs w:val="16"/>
          <w:lang w:val="es-CR"/>
        </w:rPr>
        <w:t xml:space="preserve">. </w:t>
      </w:r>
      <w:r w:rsidRPr="00E3559F">
        <w:rPr>
          <w:i/>
          <w:sz w:val="16"/>
          <w:szCs w:val="16"/>
          <w:lang w:val="es-CR"/>
        </w:rPr>
        <w:t>Caso Valle Ambrosio y otro Vs. Argentina</w:t>
      </w:r>
      <w:r w:rsidRPr="00E3559F">
        <w:rPr>
          <w:sz w:val="16"/>
          <w:szCs w:val="16"/>
          <w:lang w:val="es-CR"/>
        </w:rPr>
        <w:t>. Resolución de la Presidenta de la Corte Interamericana de Derechos Humanos de 6 de marzo de 2020, Considerandos 13 y 14.</w:t>
      </w:r>
    </w:p>
  </w:footnote>
  <w:footnote w:id="15">
    <w:p w14:paraId="6F6A6752" w14:textId="023ACFEB"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iCs/>
          <w:sz w:val="16"/>
          <w:szCs w:val="16"/>
        </w:rPr>
        <w:t>Cfr</w:t>
      </w:r>
      <w:r w:rsidRPr="00E3559F">
        <w:rPr>
          <w:sz w:val="16"/>
          <w:szCs w:val="16"/>
        </w:rPr>
        <w:t>. Notas de Secretaría de 12 de marzo de 2020, CDH-15-2018/049, CDH-15-2018/050, CDH-15-2018/051 y CDH-15-2018/052.</w:t>
      </w:r>
    </w:p>
  </w:footnote>
  <w:footnote w:id="16">
    <w:p w14:paraId="19665A8F" w14:textId="2916D0DB"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sz w:val="16"/>
          <w:szCs w:val="16"/>
          <w:lang w:eastAsia="en-US"/>
        </w:rPr>
        <w:t>Cfr</w:t>
      </w:r>
      <w:r w:rsidRPr="00E3559F">
        <w:rPr>
          <w:rFonts w:cs="Calibri"/>
          <w:sz w:val="16"/>
          <w:szCs w:val="16"/>
          <w:lang w:eastAsia="en-US"/>
        </w:rPr>
        <w:t>. Requerimiento de elevación a juicio, Fiscal de Instrucción de 7° Turno, 20 de diciembre de 1996 (expediente de prueba, folio 141).</w:t>
      </w:r>
    </w:p>
  </w:footnote>
  <w:footnote w:id="17">
    <w:p w14:paraId="05BA5554" w14:textId="460B9739"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 xml:space="preserve">Cfr. </w:t>
      </w:r>
      <w:r w:rsidRPr="00E3559F">
        <w:rPr>
          <w:rFonts w:cs="Calibri"/>
          <w:sz w:val="16"/>
          <w:szCs w:val="16"/>
          <w:lang w:eastAsia="en-US"/>
        </w:rPr>
        <w:t>Sentencia no. 47, dictada por la Cámara Novena del Crimen de Córdoba, de 23 de diciembre de 1997 (expediente de prueba, folio 642).</w:t>
      </w:r>
    </w:p>
  </w:footnote>
  <w:footnote w:id="18">
    <w:p w14:paraId="7F33452C"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Recurso de casación interpuesto por la defensa del señor Eduardo Domínguez Linares (expediente de prueba, folios 651, 653, 655 y 661). Ver también, Auto interlocutorio no. 7, Cámara Novena del Crimen de Córdoba, de 5 de marzo de 1998 (expediente de prueba, folios 680 y 681).</w:t>
      </w:r>
    </w:p>
  </w:footnote>
  <w:footnote w:id="19">
    <w:p w14:paraId="5085CF5A" w14:textId="0F8DB17D"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Auto interlocutorio no. 7, Cámara Novena del Crimen de Córdoba, de 5 de marzo de 1998 (expediente de prueba, folio 683).</w:t>
      </w:r>
    </w:p>
  </w:footnote>
  <w:footnote w:id="20">
    <w:p w14:paraId="59F276A1" w14:textId="304E41C1" w:rsidR="000C754E" w:rsidRPr="00E3559F" w:rsidRDefault="000C754E" w:rsidP="00E3559F">
      <w:pPr>
        <w:pStyle w:val="Textonotapie"/>
        <w:tabs>
          <w:tab w:val="left" w:pos="567"/>
        </w:tabs>
        <w:spacing w:before="40" w:after="40"/>
        <w:rPr>
          <w:sz w:val="16"/>
          <w:szCs w:val="16"/>
          <w:lang w:val="es-ES"/>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sz w:val="16"/>
          <w:szCs w:val="16"/>
        </w:rPr>
        <w:t>. Auto no. 396, de 17 de diciembre de 1998, que declara inadmisible el recurso de casación interpuesto por el señor Domínguez Linares (expediente de prueba, folios 692 y 693).</w:t>
      </w:r>
    </w:p>
  </w:footnote>
  <w:footnote w:id="21">
    <w:p w14:paraId="1CE41553" w14:textId="453D5DDB" w:rsidR="000C754E" w:rsidRPr="00E3559F" w:rsidRDefault="000C754E" w:rsidP="00555231">
      <w:pPr>
        <w:pStyle w:val="Textonotapie"/>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sz w:val="16"/>
          <w:szCs w:val="16"/>
        </w:rPr>
        <w:t>. Auto no. 396, de 17 de diciembre de 1998, que declara inadmisible el recurso de casación interpuesto por el señor Domínguez Linares (expediente de prueba, folios 705 a 709).</w:t>
      </w:r>
    </w:p>
  </w:footnote>
  <w:footnote w:id="22">
    <w:p w14:paraId="37B8E85A" w14:textId="032D4661" w:rsidR="000C754E" w:rsidRPr="00E3559F" w:rsidRDefault="000C754E" w:rsidP="00555231">
      <w:pPr>
        <w:widowControl/>
        <w:adjustRightInd/>
        <w:spacing w:before="40" w:after="40" w:line="240" w:lineRule="auto"/>
        <w:textAlignment w:val="auto"/>
        <w:rPr>
          <w:rFonts w:cs="Calibri"/>
          <w:sz w:val="16"/>
          <w:szCs w:val="16"/>
          <w:lang w:eastAsia="en-US"/>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sz w:val="16"/>
          <w:szCs w:val="16"/>
          <w:lang w:eastAsia="en-US"/>
        </w:rPr>
        <w:t>Cfr</w:t>
      </w:r>
      <w:r w:rsidRPr="00E3559F">
        <w:rPr>
          <w:rFonts w:cs="Calibri"/>
          <w:sz w:val="16"/>
          <w:szCs w:val="16"/>
          <w:lang w:eastAsia="en-US"/>
        </w:rPr>
        <w:t>. Recurso Extraordinario interpuesto ante la Sala Penal del Tribunal Superior de Justicia de Córdoba por la defensa del señor Domínguez Linares, de 5 de febrero de 1999 (expediente de prueba folios 761 a 780)</w:t>
      </w:r>
      <w:r>
        <w:rPr>
          <w:rFonts w:cs="Calibri"/>
          <w:sz w:val="16"/>
          <w:szCs w:val="16"/>
          <w:lang w:eastAsia="en-US"/>
        </w:rPr>
        <w:t>.</w:t>
      </w:r>
    </w:p>
  </w:footnote>
  <w:footnote w:id="23">
    <w:p w14:paraId="1C462150" w14:textId="4653B09E" w:rsidR="000C754E" w:rsidRPr="00E3559F" w:rsidRDefault="000C754E" w:rsidP="00555231">
      <w:pPr>
        <w:pStyle w:val="Textonotapie"/>
        <w:spacing w:before="40" w:after="40"/>
        <w:rPr>
          <w:sz w:val="16"/>
          <w:szCs w:val="16"/>
          <w:lang w:val="es-CR"/>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lang w:val="es-CR"/>
        </w:rPr>
        <w:t>Cfr</w:t>
      </w:r>
      <w:r w:rsidRPr="00E3559F">
        <w:rPr>
          <w:sz w:val="16"/>
          <w:szCs w:val="16"/>
          <w:lang w:val="es-CR"/>
        </w:rPr>
        <w:t xml:space="preserve">. Auto no. 222, de 16 de junio de 1999, dictado por la Sala Penal del Tribunal Superior de justicia de la Provincia de Córdoba que declara inadmisible el recurso extraordinario interpuesto por la defensa del señor Domínguez Linares (expediente de prueba, folios 783 a 792). En particular, la referida resolución señaló lo siguiente (expediente de prueba, folios </w:t>
      </w:r>
      <w:r w:rsidRPr="00E3559F">
        <w:rPr>
          <w:sz w:val="16"/>
          <w:szCs w:val="16"/>
        </w:rPr>
        <w:t>786, 787 y 792)</w:t>
      </w:r>
      <w:r w:rsidRPr="00E3559F">
        <w:rPr>
          <w:sz w:val="16"/>
          <w:szCs w:val="16"/>
          <w:lang w:val="es-CR"/>
        </w:rPr>
        <w:t xml:space="preserve">: </w:t>
      </w:r>
    </w:p>
    <w:p w14:paraId="5A33C7C1" w14:textId="69437AAB" w:rsidR="000C754E" w:rsidRPr="00E3559F" w:rsidRDefault="000C754E" w:rsidP="00555231">
      <w:pPr>
        <w:widowControl/>
        <w:adjustRightInd/>
        <w:spacing w:before="40" w:after="40" w:line="240" w:lineRule="auto"/>
        <w:ind w:left="810" w:right="720"/>
        <w:textAlignment w:val="auto"/>
        <w:rPr>
          <w:sz w:val="16"/>
          <w:szCs w:val="16"/>
        </w:rPr>
      </w:pPr>
      <w:r w:rsidRPr="00E3559F">
        <w:rPr>
          <w:sz w:val="16"/>
          <w:szCs w:val="16"/>
        </w:rPr>
        <w:t xml:space="preserve">La doctrina de la arbitrariedad, elaborada por la Corte suprema de Justicia ha establecido reiteradamente que </w:t>
      </w:r>
      <w:r w:rsidRPr="00E3559F">
        <w:rPr>
          <w:rFonts w:cs="Calibri"/>
          <w:sz w:val="16"/>
          <w:szCs w:val="16"/>
          <w:lang w:eastAsia="en-US"/>
        </w:rPr>
        <w:t>esta</w:t>
      </w:r>
      <w:r w:rsidRPr="00E3559F">
        <w:rPr>
          <w:sz w:val="16"/>
          <w:szCs w:val="16"/>
        </w:rPr>
        <w:t xml:space="preserve"> vía recursiva no tiene por objeto la corrección en tercera instancia de decisiones que a criterio de los impugnantes se estimen equivocadas, sino que está dirigida a la revisión de los pronunciamientos </w:t>
      </w:r>
      <w:r w:rsidRPr="00E3559F">
        <w:rPr>
          <w:rFonts w:cs="Calibri"/>
          <w:sz w:val="16"/>
          <w:szCs w:val="16"/>
          <w:lang w:eastAsia="en-US"/>
        </w:rPr>
        <w:t>en</w:t>
      </w:r>
      <w:r w:rsidRPr="00E3559F">
        <w:rPr>
          <w:sz w:val="16"/>
          <w:szCs w:val="16"/>
        </w:rPr>
        <w:t xml:space="preserve"> los que se advierta la inexistencia de las calidades mínimas para que el acto impugnado </w:t>
      </w:r>
      <w:r w:rsidRPr="00E3559F">
        <w:rPr>
          <w:sz w:val="16"/>
          <w:szCs w:val="16"/>
          <w:lang w:eastAsia="en-US"/>
        </w:rPr>
        <w:t>constituya</w:t>
      </w:r>
      <w:r w:rsidRPr="00E3559F">
        <w:rPr>
          <w:sz w:val="16"/>
          <w:szCs w:val="16"/>
        </w:rPr>
        <w:t xml:space="preserve"> una resolución judicial […] </w:t>
      </w:r>
    </w:p>
    <w:p w14:paraId="338A02AA" w14:textId="0E9EBA9B" w:rsidR="000C754E" w:rsidRPr="00E3559F" w:rsidRDefault="000C754E" w:rsidP="00555231">
      <w:pPr>
        <w:widowControl/>
        <w:adjustRightInd/>
        <w:spacing w:before="40" w:after="40" w:line="240" w:lineRule="auto"/>
        <w:ind w:left="810" w:right="720"/>
        <w:textAlignment w:val="auto"/>
        <w:rPr>
          <w:sz w:val="16"/>
          <w:szCs w:val="16"/>
        </w:rPr>
      </w:pPr>
      <w:r w:rsidRPr="00E3559F">
        <w:rPr>
          <w:sz w:val="16"/>
          <w:szCs w:val="16"/>
        </w:rPr>
        <w:t xml:space="preserve">Cuando se trata de la interpretación de derecho común o local, no basta para abrir la jurisdicción excepcional la mera invocación de la arbitrariedad adoptada en la resolución recurrida, si ella no viene precedida de una crítica razonada de todos y cada uno de los argumentos en los que se sustenta la conclusión que los agravia […] En el caso, el escrito no es sino una reiteración condensada de los agravios que </w:t>
      </w:r>
      <w:r w:rsidRPr="00E3559F">
        <w:rPr>
          <w:sz w:val="16"/>
          <w:szCs w:val="16"/>
          <w:lang w:eastAsia="en-US"/>
        </w:rPr>
        <w:t>fueron</w:t>
      </w:r>
      <w:r w:rsidRPr="00E3559F">
        <w:rPr>
          <w:sz w:val="16"/>
          <w:szCs w:val="16"/>
        </w:rPr>
        <w:t xml:space="preserve"> traídos a conocimiento de esta Sala por vía del recurso de casación […] pero con una inhábil crítica en relación a los fundamentos proporcionados en la sentencia que los rechazó. […]</w:t>
      </w:r>
    </w:p>
    <w:p w14:paraId="012918E8" w14:textId="07ED44D8" w:rsidR="000C754E" w:rsidRPr="00E3559F" w:rsidRDefault="000C754E" w:rsidP="00555231">
      <w:pPr>
        <w:widowControl/>
        <w:adjustRightInd/>
        <w:spacing w:before="40" w:after="40" w:line="240" w:lineRule="auto"/>
        <w:ind w:left="810" w:right="720"/>
        <w:textAlignment w:val="auto"/>
        <w:rPr>
          <w:sz w:val="16"/>
          <w:szCs w:val="16"/>
        </w:rPr>
      </w:pPr>
      <w:r w:rsidRPr="00E3559F">
        <w:rPr>
          <w:sz w:val="16"/>
          <w:szCs w:val="16"/>
        </w:rPr>
        <w:t xml:space="preserve">En suma, el intento del recurrente traduce el solo designio de lograr un nuevo examen, en tercera instancia, de una resolución con la cual discrepa y a la que se discute la interpretación de cuestiones de derecho común, presentadas sin una idónea fundamentación que atienda a todos y cada uno de los argumentos del fallo que ataca. </w:t>
      </w:r>
    </w:p>
    <w:p w14:paraId="08DB22D4" w14:textId="65E2C0BD" w:rsidR="000C754E" w:rsidRPr="00E3559F" w:rsidRDefault="000C754E" w:rsidP="00555231">
      <w:pPr>
        <w:widowControl/>
        <w:adjustRightInd/>
        <w:spacing w:before="40" w:after="40" w:line="240" w:lineRule="auto"/>
        <w:ind w:left="810" w:right="720"/>
        <w:textAlignment w:val="auto"/>
        <w:rPr>
          <w:sz w:val="16"/>
          <w:szCs w:val="16"/>
        </w:rPr>
      </w:pPr>
      <w:r w:rsidRPr="00E3559F">
        <w:rPr>
          <w:sz w:val="16"/>
          <w:szCs w:val="16"/>
        </w:rPr>
        <w:t xml:space="preserve">Como ya se ha dicho, pues, esa intención hace errar al quejoso respecto del objeto impugnable del remedio </w:t>
      </w:r>
      <w:r w:rsidRPr="00E3559F">
        <w:rPr>
          <w:rFonts w:cs="Calibri"/>
          <w:sz w:val="16"/>
          <w:szCs w:val="16"/>
          <w:lang w:eastAsia="en-US"/>
        </w:rPr>
        <w:t>procesal</w:t>
      </w:r>
      <w:r w:rsidRPr="00E3559F">
        <w:rPr>
          <w:sz w:val="16"/>
          <w:szCs w:val="16"/>
        </w:rPr>
        <w:t xml:space="preserve"> del art. 14 Ley No. 48 y se materializa en una pretensión que excede la acotada y excepcional competencia de la Excma. C.S.J.N. con lo cual el recurso deviene improcedente.</w:t>
      </w:r>
    </w:p>
  </w:footnote>
  <w:footnote w:id="24">
    <w:p w14:paraId="2ED19F8B" w14:textId="11676398" w:rsidR="000C754E" w:rsidRPr="00E3559F" w:rsidRDefault="000C754E" w:rsidP="00555231">
      <w:pPr>
        <w:widowControl/>
        <w:adjustRightInd/>
        <w:spacing w:before="40" w:after="40" w:line="240" w:lineRule="auto"/>
        <w:textAlignment w:val="auto"/>
        <w:rPr>
          <w:rFonts w:cs="Calibri"/>
          <w:sz w:val="16"/>
          <w:szCs w:val="16"/>
          <w:lang w:eastAsia="en-US"/>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sz w:val="16"/>
          <w:szCs w:val="16"/>
        </w:rPr>
        <w:t xml:space="preserve">. Recurso de queja interpuesto por la defensa del señor del Valle Ambrosio, de (expediente de prueba, folios 796 a 836), y </w:t>
      </w:r>
      <w:r w:rsidRPr="00E3559F">
        <w:rPr>
          <w:rFonts w:cs="Calibri"/>
          <w:sz w:val="16"/>
          <w:szCs w:val="16"/>
          <w:lang w:eastAsia="en-US"/>
        </w:rPr>
        <w:t>Sentencia dictada por la Corte Suprema de Justicia de la Nación, de 21 de marzo de 2000, por la que se declara inadmisible el recurso de queja interpuesto por la defensa del señor Domínguez Linares (expediente de prueba, folio 840). En particular, dicha resolución indicó lo siguiente (expediente de prueba, folio 840):</w:t>
      </w:r>
    </w:p>
    <w:p w14:paraId="636D3DCF" w14:textId="0B1C8F76" w:rsidR="000C754E" w:rsidRPr="00E3559F" w:rsidRDefault="000C754E" w:rsidP="00555231">
      <w:pPr>
        <w:widowControl/>
        <w:adjustRightInd/>
        <w:spacing w:before="40" w:after="40" w:line="240" w:lineRule="auto"/>
        <w:ind w:left="810" w:right="720"/>
        <w:textAlignment w:val="auto"/>
        <w:rPr>
          <w:rFonts w:cs="Calibri"/>
          <w:sz w:val="16"/>
          <w:szCs w:val="16"/>
          <w:lang w:eastAsia="en-US"/>
        </w:rPr>
      </w:pPr>
      <w:r w:rsidRPr="00E3559F">
        <w:rPr>
          <w:sz w:val="16"/>
          <w:szCs w:val="16"/>
        </w:rPr>
        <w:t>Considerando</w:t>
      </w:r>
      <w:r w:rsidRPr="00E3559F">
        <w:rPr>
          <w:rFonts w:cs="Calibri"/>
          <w:sz w:val="16"/>
          <w:szCs w:val="16"/>
          <w:lang w:eastAsia="en-US"/>
        </w:rPr>
        <w:t>:</w:t>
      </w:r>
      <w:r w:rsidRPr="00E3559F">
        <w:rPr>
          <w:rFonts w:cs="Calibri"/>
          <w:sz w:val="16"/>
          <w:szCs w:val="16"/>
          <w:lang w:eastAsia="en-US"/>
        </w:rPr>
        <w:tab/>
      </w:r>
    </w:p>
    <w:p w14:paraId="2BC43BE5" w14:textId="47090E97" w:rsidR="000C754E" w:rsidRPr="00E3559F" w:rsidRDefault="000C754E" w:rsidP="00555231">
      <w:pPr>
        <w:widowControl/>
        <w:adjustRightInd/>
        <w:spacing w:before="40" w:after="40" w:line="240" w:lineRule="auto"/>
        <w:ind w:left="810" w:right="720"/>
        <w:textAlignment w:val="auto"/>
        <w:rPr>
          <w:rFonts w:cs="Calibri"/>
          <w:sz w:val="16"/>
          <w:szCs w:val="16"/>
          <w:lang w:eastAsia="en-US"/>
        </w:rPr>
      </w:pPr>
      <w:r w:rsidRPr="00E3559F">
        <w:rPr>
          <w:rFonts w:cs="Calibri"/>
          <w:sz w:val="16"/>
          <w:szCs w:val="16"/>
          <w:lang w:eastAsia="en-US"/>
        </w:rPr>
        <w:t xml:space="preserve">Que el recurso extraordinario, cuya denegación motiva la presente queja, es inadmisible (art. 200 del Código Procesal </w:t>
      </w:r>
      <w:r w:rsidRPr="00E3559F">
        <w:rPr>
          <w:sz w:val="16"/>
          <w:szCs w:val="16"/>
        </w:rPr>
        <w:t>Civil</w:t>
      </w:r>
      <w:r w:rsidRPr="00E3559F">
        <w:rPr>
          <w:rFonts w:cs="Calibri"/>
          <w:sz w:val="16"/>
          <w:szCs w:val="16"/>
          <w:lang w:eastAsia="en-US"/>
        </w:rPr>
        <w:t xml:space="preserve"> y </w:t>
      </w:r>
      <w:r w:rsidRPr="00E3559F">
        <w:rPr>
          <w:sz w:val="16"/>
          <w:szCs w:val="16"/>
        </w:rPr>
        <w:t>Comercial</w:t>
      </w:r>
      <w:r w:rsidRPr="00E3559F">
        <w:rPr>
          <w:rFonts w:cs="Calibri"/>
          <w:sz w:val="16"/>
          <w:szCs w:val="16"/>
          <w:lang w:eastAsia="en-US"/>
        </w:rPr>
        <w:t xml:space="preserve"> de la Nación). Por ello, se desestima la queja. </w:t>
      </w:r>
    </w:p>
  </w:footnote>
  <w:footnote w:id="25">
    <w:p w14:paraId="06A0AF2A" w14:textId="0E333D46" w:rsidR="000C754E" w:rsidRPr="00E3559F" w:rsidRDefault="000C754E" w:rsidP="00555231">
      <w:pPr>
        <w:pStyle w:val="Textonotapie"/>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t xml:space="preserve">Dicho artículo estipula lo siguiente: </w:t>
      </w:r>
    </w:p>
    <w:p w14:paraId="29CF0E94" w14:textId="5EC26EA9"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Artículo 406.- Normas para la Deliberación. El Tribunal resolverá todas las cuestiones que hubieran sido objeto del juicio, fijándolas, si fuere posible, en el siguiente orden: las incidentales que hubieran sido diferidas (384), las relativas a la existencia del hecho delictuoso, con discriminación de las circunstancias jurídicamente relevantes; la participación del imputado, calificación legal y sanción aplicable; la restitución o indemnización demandada y costas.</w:t>
      </w:r>
    </w:p>
    <w:p w14:paraId="076F0EFF" w14:textId="77777777"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Las cuestiones planteadas serán resueltas sucesivamente, por mayoría de votos, valorándose los actos del debate conforme al artículo 193.</w:t>
      </w:r>
    </w:p>
    <w:p w14:paraId="7219D016" w14:textId="4040054E"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Los Jueces y jurados votarán sobre cada una de ellas, cualquiera que fuere el sentido de sus votos anteriores.</w:t>
      </w:r>
    </w:p>
    <w:p w14:paraId="2D6D3ABF" w14:textId="731857CD"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En caso de duda sobre las cuestiones de hecho se estará a lo más favorable al imputado.</w:t>
      </w:r>
    </w:p>
    <w:p w14:paraId="33BFB81E" w14:textId="54408A59"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Si en la votación sobre las sanciones que correspondan se emitieren más de dos opiniones, se aplicará el término medio.</w:t>
      </w:r>
    </w:p>
  </w:footnote>
  <w:footnote w:id="26">
    <w:p w14:paraId="757010A7" w14:textId="4B51C9E3" w:rsidR="000C754E" w:rsidRPr="00E3559F" w:rsidRDefault="000C754E" w:rsidP="00555231">
      <w:pPr>
        <w:pStyle w:val="Textonotapie"/>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t>Dicho artículo estipula lo siguiente:</w:t>
      </w:r>
    </w:p>
    <w:p w14:paraId="7AE33B08" w14:textId="3E2C9B8D"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Artículo 413.- Nulidad. La sentencia será nula:</w:t>
      </w:r>
    </w:p>
    <w:p w14:paraId="4F567766" w14:textId="1BC14075"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w:t>
      </w:r>
    </w:p>
    <w:p w14:paraId="0A79F425" w14:textId="31DCFB1D"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4) Si faltare o fuere contradictoria la fundamentación de la mayoría del Tribunal, o no se hubieran observado en ella las reglas de la sana crítica racional, con respecto a elementos probatorios de valor decisivo.</w:t>
      </w:r>
    </w:p>
    <w:p w14:paraId="741FEC18" w14:textId="072E9DDD"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w:t>
      </w:r>
    </w:p>
  </w:footnote>
  <w:footnote w:id="27">
    <w:p w14:paraId="07B1420B" w14:textId="3D33571B"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xml:space="preserve">. Auto interlocutorio no. 7, Cámara Novena del Crimen de Córdoba, de 5 de marzo de 1998 (expediente de prueba, folio 678), y Auto no. 391, Sala Penal del Tribunal Superior de Justicia de Córdoba, de 17 de diciembre de 1998 (expediente de prueba, folio </w:t>
      </w:r>
      <w:r w:rsidR="00A96C2D">
        <w:rPr>
          <w:rFonts w:cs="Calibri"/>
          <w:sz w:val="16"/>
          <w:szCs w:val="16"/>
          <w:lang w:eastAsia="en-US"/>
        </w:rPr>
        <w:t>1219</w:t>
      </w:r>
      <w:r w:rsidRPr="00E3559F">
        <w:rPr>
          <w:rFonts w:cs="Calibri"/>
          <w:sz w:val="16"/>
          <w:szCs w:val="16"/>
          <w:lang w:eastAsia="en-US"/>
        </w:rPr>
        <w:t>).</w:t>
      </w:r>
    </w:p>
  </w:footnote>
  <w:footnote w:id="28">
    <w:p w14:paraId="363F5412" w14:textId="69D62A43"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rPr>
        <w:footnoteRef/>
      </w:r>
      <w:r w:rsidRPr="00E3559F">
        <w:rPr>
          <w:sz w:val="16"/>
          <w:szCs w:val="16"/>
        </w:rPr>
        <w:t xml:space="preserve"> </w:t>
      </w:r>
      <w:r w:rsidRPr="00E3559F">
        <w:rPr>
          <w:sz w:val="16"/>
          <w:szCs w:val="16"/>
          <w:lang w:val="es-CR"/>
        </w:rPr>
        <w:tab/>
      </w:r>
      <w:r w:rsidRPr="00E3559F">
        <w:rPr>
          <w:rFonts w:cs="Calibri"/>
          <w:i/>
          <w:iCs/>
          <w:sz w:val="16"/>
          <w:szCs w:val="16"/>
          <w:lang w:val="es-CR" w:eastAsia="en-US"/>
        </w:rPr>
        <w:t>Cfr</w:t>
      </w:r>
      <w:r w:rsidRPr="00E3559F">
        <w:rPr>
          <w:rFonts w:cs="Calibri"/>
          <w:sz w:val="16"/>
          <w:szCs w:val="16"/>
          <w:lang w:val="es-CR" w:eastAsia="en-US"/>
        </w:rPr>
        <w:t>. Auto interlocutorio</w:t>
      </w:r>
      <w:r w:rsidRPr="00E3559F">
        <w:rPr>
          <w:rFonts w:cs="Calibri"/>
          <w:sz w:val="16"/>
          <w:szCs w:val="16"/>
          <w:lang w:eastAsia="en-US"/>
        </w:rPr>
        <w:t xml:space="preserve"> no. 7, Cámara Novena del Crim</w:t>
      </w:r>
      <w:r w:rsidRPr="00E3559F">
        <w:rPr>
          <w:rFonts w:cs="Calibri"/>
          <w:sz w:val="16"/>
          <w:szCs w:val="16"/>
          <w:lang w:val="es-CR" w:eastAsia="en-US"/>
        </w:rPr>
        <w:t>en de Córdoba, de 5 de marzo</w:t>
      </w:r>
      <w:r w:rsidRPr="00E3559F">
        <w:rPr>
          <w:rFonts w:cs="Calibri"/>
          <w:sz w:val="16"/>
          <w:szCs w:val="16"/>
          <w:lang w:eastAsia="en-US"/>
        </w:rPr>
        <w:t xml:space="preserve"> </w:t>
      </w:r>
      <w:r w:rsidRPr="00E3559F">
        <w:rPr>
          <w:rFonts w:cs="Calibri"/>
          <w:sz w:val="16"/>
          <w:szCs w:val="16"/>
          <w:lang w:val="es-CR" w:eastAsia="en-US"/>
        </w:rPr>
        <w:t xml:space="preserve">de 1998 </w:t>
      </w:r>
      <w:r w:rsidRPr="00E3559F">
        <w:rPr>
          <w:rFonts w:cs="Calibri"/>
          <w:sz w:val="16"/>
          <w:szCs w:val="16"/>
          <w:lang w:eastAsia="en-US"/>
        </w:rPr>
        <w:t>(expediente de prueba, folio 683)</w:t>
      </w:r>
      <w:r w:rsidRPr="00E3559F">
        <w:rPr>
          <w:rFonts w:cs="Calibri"/>
          <w:sz w:val="16"/>
          <w:szCs w:val="16"/>
          <w:lang w:val="es-CR" w:eastAsia="en-US"/>
        </w:rPr>
        <w:t>.</w:t>
      </w:r>
      <w:r w:rsidRPr="00E3559F">
        <w:rPr>
          <w:sz w:val="16"/>
          <w:szCs w:val="16"/>
          <w:highlight w:val="yellow"/>
        </w:rPr>
        <w:t xml:space="preserve"> </w:t>
      </w:r>
    </w:p>
  </w:footnote>
  <w:footnote w:id="29">
    <w:p w14:paraId="401DD0D1" w14:textId="71F0B91C"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Auto no. 391, Sala Penal del Tribunal Superior de Justicia de Córdoba, de 17 de diciembre de 1998 (expediente de prueba, folios 1246 y 1247).</w:t>
      </w:r>
    </w:p>
  </w:footnote>
  <w:footnote w:id="30">
    <w:p w14:paraId="4A84EE44" w14:textId="5E4AE354"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Auto no. 391, Sala Penal del Tribunal Superior de Justicia de Córdoba, de 17 de diciembre de 1998 (expediente de prueba, folios 1247 y 1248).</w:t>
      </w:r>
    </w:p>
  </w:footnote>
  <w:footnote w:id="31">
    <w:p w14:paraId="7A82704C" w14:textId="17F39D8D"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Auto no. 391, Sala Penal del Tribunal Superior de Justicia de Córdoba, de 17 de diciembre de 1998 (expediente de prueba, folio 1249).</w:t>
      </w:r>
    </w:p>
  </w:footnote>
  <w:footnote w:id="32">
    <w:p w14:paraId="690DAD50"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t xml:space="preserve">Hecho alegado por la Comisión (expediente de Fondo, folio 13) y </w:t>
      </w:r>
      <w:r w:rsidRPr="00E3559F">
        <w:rPr>
          <w:rFonts w:cs="Calibri"/>
          <w:sz w:val="16"/>
          <w:szCs w:val="16"/>
          <w:lang w:eastAsia="en-US"/>
        </w:rPr>
        <w:t>confirmado por el Estado en su escrito de Contestación (expediente de Fondo, folio 230).</w:t>
      </w:r>
    </w:p>
  </w:footnote>
  <w:footnote w:id="33">
    <w:p w14:paraId="64C72E32" w14:textId="63F4EA30"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val="es-CR" w:eastAsia="en-US"/>
        </w:rPr>
        <w:t>Cfr</w:t>
      </w:r>
      <w:r w:rsidRPr="00E3559F">
        <w:rPr>
          <w:rFonts w:cs="Calibri"/>
          <w:sz w:val="16"/>
          <w:szCs w:val="16"/>
          <w:lang w:val="es-CR" w:eastAsia="en-US"/>
        </w:rPr>
        <w:t xml:space="preserve">. </w:t>
      </w:r>
      <w:r w:rsidRPr="00E3559F">
        <w:rPr>
          <w:rFonts w:cs="Calibri"/>
          <w:sz w:val="16"/>
          <w:szCs w:val="16"/>
          <w:lang w:eastAsia="en-US"/>
        </w:rPr>
        <w:t>Auto no. 220, Sala Penal del Tribunal Superior de Justicia de Córdoba, de 16 de junio de 1999 (expediente de prueba, folios 1250 a 1261).</w:t>
      </w:r>
    </w:p>
  </w:footnote>
  <w:footnote w:id="34">
    <w:p w14:paraId="1D43DE70" w14:textId="4AFDD22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xml:space="preserve"> Recurso de queja interpuesto por la defensa del señor del Valle Ambrosio (expediente de prueba, folios 796 a 836). Respecto a la inadmisibilidad del recurso: es un hecho indicado por la Comisión en su Informe de Fondo (expediente de Fondo, folio 14) y confirmado por el Estado en su escrito de Contestación (expediente de Fondo, folio 231).</w:t>
      </w:r>
    </w:p>
  </w:footnote>
  <w:footnote w:id="35">
    <w:p w14:paraId="34CC268A" w14:textId="060328A1"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sz w:val="16"/>
          <w:szCs w:val="16"/>
        </w:rPr>
        <w:t>. Código Procesal Penal de la Provincia de Córdoba, Ley No. 8.123, artículo 455.</w:t>
      </w:r>
    </w:p>
  </w:footnote>
  <w:footnote w:id="36">
    <w:p w14:paraId="7469CEB9" w14:textId="0AB13F92"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Ídem</w:t>
      </w:r>
      <w:r w:rsidRPr="00E3559F">
        <w:rPr>
          <w:sz w:val="16"/>
          <w:szCs w:val="16"/>
        </w:rPr>
        <w:t>.</w:t>
      </w:r>
    </w:p>
  </w:footnote>
  <w:footnote w:id="37">
    <w:p w14:paraId="1C0CE524" w14:textId="528F1718"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t>Artículo</w:t>
      </w:r>
      <w:r w:rsidR="00A96C2D">
        <w:rPr>
          <w:sz w:val="16"/>
          <w:szCs w:val="16"/>
        </w:rPr>
        <w:t>s</w:t>
      </w:r>
      <w:r w:rsidRPr="00E3559F">
        <w:rPr>
          <w:sz w:val="16"/>
          <w:szCs w:val="16"/>
        </w:rPr>
        <w:t xml:space="preserve"> 8.2.h, 25 y 2 de la Convención Americana sobre Derechos Humanos.</w:t>
      </w:r>
    </w:p>
  </w:footnote>
  <w:footnote w:id="38">
    <w:p w14:paraId="723A763F" w14:textId="0B8C9CE8" w:rsidR="000C754E" w:rsidRPr="00E3559F" w:rsidRDefault="000C754E" w:rsidP="00555231">
      <w:pPr>
        <w:pStyle w:val="Textonotapie"/>
        <w:tabs>
          <w:tab w:val="left" w:pos="567"/>
        </w:tabs>
        <w:spacing w:before="40" w:after="40"/>
        <w:rPr>
          <w:b/>
          <w:sz w:val="16"/>
          <w:szCs w:val="16"/>
          <w:lang w:val="es-CR"/>
        </w:rPr>
      </w:pPr>
      <w:r w:rsidRPr="00E3559F">
        <w:rPr>
          <w:rStyle w:val="Refdenotaalpie"/>
          <w:rFonts w:eastAsiaTheme="majorEastAsia"/>
          <w:sz w:val="16"/>
          <w:szCs w:val="16"/>
        </w:rPr>
        <w:footnoteRef/>
      </w:r>
      <w:r w:rsidRPr="00E3559F">
        <w:rPr>
          <w:sz w:val="16"/>
          <w:szCs w:val="16"/>
          <w:lang w:val="es-CR"/>
        </w:rPr>
        <w:t xml:space="preserve"> </w:t>
      </w:r>
      <w:r w:rsidRPr="00E3559F">
        <w:rPr>
          <w:sz w:val="16"/>
          <w:szCs w:val="16"/>
          <w:lang w:val="es-CR"/>
        </w:rPr>
        <w:tab/>
      </w:r>
      <w:r w:rsidRPr="00E3559F">
        <w:rPr>
          <w:i/>
          <w:sz w:val="16"/>
          <w:szCs w:val="16"/>
          <w:lang w:val="es-CR"/>
        </w:rPr>
        <w:t>Cfr.</w:t>
      </w:r>
      <w:r w:rsidRPr="00E3559F">
        <w:rPr>
          <w:sz w:val="16"/>
          <w:szCs w:val="16"/>
          <w:lang w:val="es-CR"/>
        </w:rPr>
        <w:t xml:space="preserve"> </w:t>
      </w:r>
      <w:r w:rsidRPr="00E3559F">
        <w:rPr>
          <w:rStyle w:val="Textoennegrita"/>
          <w:b w:val="0"/>
          <w:i/>
          <w:sz w:val="16"/>
          <w:szCs w:val="16"/>
          <w:shd w:val="clear" w:color="auto" w:fill="FFFFFF"/>
        </w:rPr>
        <w:t>Caso Herrera Ulloa Vs. Costa Rica. Excepciones Preliminares, Fondo, Reparaciones y Costas.</w:t>
      </w:r>
      <w:r w:rsidRPr="00E3559F">
        <w:rPr>
          <w:rStyle w:val="Textoennegrita"/>
          <w:b w:val="0"/>
          <w:sz w:val="16"/>
          <w:szCs w:val="16"/>
          <w:shd w:val="clear" w:color="auto" w:fill="FFFFFF"/>
        </w:rPr>
        <w:t xml:space="preserve"> Sentencia de 2 de julio de 2004. Serie C No. 107</w:t>
      </w:r>
      <w:r w:rsidRPr="00A96C2D">
        <w:rPr>
          <w:i/>
          <w:sz w:val="16"/>
          <w:szCs w:val="16"/>
          <w:lang w:val="es-CR"/>
        </w:rPr>
        <w:t>,</w:t>
      </w:r>
      <w:r w:rsidRPr="00E3559F">
        <w:rPr>
          <w:b/>
          <w:sz w:val="16"/>
          <w:szCs w:val="16"/>
          <w:lang w:val="es-CR"/>
        </w:rPr>
        <w:t xml:space="preserve"> </w:t>
      </w:r>
      <w:r w:rsidRPr="00E3559F">
        <w:rPr>
          <w:sz w:val="16"/>
          <w:szCs w:val="16"/>
          <w:lang w:val="es-CR"/>
        </w:rPr>
        <w:t>párr. 158, y</w:t>
      </w:r>
      <w:r w:rsidRPr="00E3559F">
        <w:rPr>
          <w:b/>
          <w:i/>
          <w:sz w:val="16"/>
          <w:szCs w:val="16"/>
          <w:lang w:val="es-CR"/>
        </w:rPr>
        <w:t xml:space="preserve"> </w:t>
      </w:r>
      <w:r w:rsidRPr="00E3559F">
        <w:rPr>
          <w:rStyle w:val="Textoennegrita"/>
          <w:b w:val="0"/>
          <w:i/>
          <w:sz w:val="16"/>
          <w:szCs w:val="16"/>
          <w:shd w:val="clear" w:color="auto" w:fill="FFFFFF"/>
        </w:rPr>
        <w:t xml:space="preserve">Caso Gorigoitía Vs. Argentina. Excepción Preliminar, Fondo, Reparaciones y Costas. </w:t>
      </w:r>
      <w:r w:rsidRPr="00E3559F">
        <w:rPr>
          <w:rStyle w:val="Textoennegrita"/>
          <w:b w:val="0"/>
          <w:iCs/>
          <w:sz w:val="16"/>
          <w:szCs w:val="16"/>
          <w:shd w:val="clear" w:color="auto" w:fill="FFFFFF"/>
        </w:rPr>
        <w:t>Sentencia de 2 de septiembre de 2019. Serie C No. 382,</w:t>
      </w:r>
      <w:r w:rsidRPr="00E3559F">
        <w:rPr>
          <w:rStyle w:val="Textoennegrita"/>
          <w:b w:val="0"/>
          <w:i/>
          <w:sz w:val="16"/>
          <w:szCs w:val="16"/>
          <w:shd w:val="clear" w:color="auto" w:fill="FFFFFF"/>
        </w:rPr>
        <w:t xml:space="preserve"> </w:t>
      </w:r>
      <w:r w:rsidRPr="00E3559F">
        <w:rPr>
          <w:rStyle w:val="Textoennegrita"/>
          <w:b w:val="0"/>
          <w:iCs/>
          <w:sz w:val="16"/>
          <w:szCs w:val="16"/>
          <w:shd w:val="clear" w:color="auto" w:fill="FFFFFF"/>
        </w:rPr>
        <w:t>párr. 47</w:t>
      </w:r>
      <w:r w:rsidRPr="00E3559F">
        <w:rPr>
          <w:rStyle w:val="Textoennegrita"/>
          <w:b w:val="0"/>
          <w:sz w:val="16"/>
          <w:szCs w:val="16"/>
          <w:shd w:val="clear" w:color="auto" w:fill="FFFFFF"/>
        </w:rPr>
        <w:t>.</w:t>
      </w:r>
    </w:p>
  </w:footnote>
  <w:footnote w:id="39">
    <w:p w14:paraId="47D73EC1" w14:textId="5323E539" w:rsidR="000C754E" w:rsidRPr="00E3559F" w:rsidRDefault="000C754E" w:rsidP="00555231">
      <w:pPr>
        <w:pStyle w:val="Textonotapie"/>
        <w:tabs>
          <w:tab w:val="left" w:pos="567"/>
        </w:tabs>
        <w:spacing w:before="40" w:after="40"/>
        <w:rPr>
          <w:b/>
          <w:sz w:val="16"/>
          <w:szCs w:val="16"/>
          <w:lang w:val="es-CR"/>
        </w:rPr>
      </w:pPr>
      <w:r w:rsidRPr="00E3559F">
        <w:rPr>
          <w:rStyle w:val="Refdenotaalpie"/>
          <w:rFonts w:eastAsiaTheme="majorEastAsia"/>
          <w:sz w:val="16"/>
          <w:szCs w:val="16"/>
        </w:rPr>
        <w:footnoteRef/>
      </w:r>
      <w:r w:rsidRPr="00E3559F">
        <w:rPr>
          <w:sz w:val="16"/>
          <w:szCs w:val="16"/>
          <w:lang w:val="es-CR"/>
        </w:rPr>
        <w:t xml:space="preserve"> </w:t>
      </w:r>
      <w:r w:rsidRPr="00E3559F">
        <w:rPr>
          <w:sz w:val="16"/>
          <w:szCs w:val="16"/>
          <w:lang w:val="es-CR"/>
        </w:rPr>
        <w:tab/>
      </w:r>
      <w:r w:rsidRPr="00E3559F">
        <w:rPr>
          <w:i/>
          <w:sz w:val="16"/>
          <w:szCs w:val="16"/>
          <w:lang w:val="es-CR"/>
        </w:rPr>
        <w:t>Cfr.</w:t>
      </w:r>
      <w:r w:rsidRPr="00E3559F">
        <w:rPr>
          <w:sz w:val="16"/>
          <w:szCs w:val="16"/>
          <w:lang w:val="es-CR"/>
        </w:rPr>
        <w:t xml:space="preserve"> </w:t>
      </w:r>
      <w:r w:rsidRPr="00E3559F">
        <w:rPr>
          <w:i/>
          <w:sz w:val="16"/>
          <w:szCs w:val="16"/>
          <w:lang w:val="es-CR"/>
        </w:rPr>
        <w:t>Caso Mohamed Vs. Argentina. Excepción Preliminar, Fondo, Reparaciones y Costas</w:t>
      </w:r>
      <w:r w:rsidRPr="00E3559F">
        <w:rPr>
          <w:sz w:val="16"/>
          <w:szCs w:val="16"/>
          <w:lang w:val="es-CR"/>
        </w:rPr>
        <w:t xml:space="preserve">. Sentencia de 23 noviembre de 2012. Serie C No. 255, párrs. 92 y 93, y </w:t>
      </w:r>
      <w:r w:rsidRPr="00E3559F">
        <w:rPr>
          <w:rStyle w:val="Textoennegrita"/>
          <w:b w:val="0"/>
          <w:i/>
          <w:sz w:val="16"/>
          <w:szCs w:val="16"/>
          <w:shd w:val="clear" w:color="auto" w:fill="FFFFFF"/>
        </w:rPr>
        <w:t xml:space="preserve">Caso Gorigoitía Vs. Argentina, supra, </w:t>
      </w:r>
      <w:r w:rsidRPr="00E3559F">
        <w:rPr>
          <w:rStyle w:val="Textoennegrita"/>
          <w:b w:val="0"/>
          <w:iCs/>
          <w:sz w:val="16"/>
          <w:szCs w:val="16"/>
          <w:shd w:val="clear" w:color="auto" w:fill="FFFFFF"/>
        </w:rPr>
        <w:t>párr. 47</w:t>
      </w:r>
      <w:r w:rsidRPr="00E3559F">
        <w:rPr>
          <w:rStyle w:val="Textoennegrita"/>
          <w:b w:val="0"/>
          <w:sz w:val="16"/>
          <w:szCs w:val="16"/>
          <w:shd w:val="clear" w:color="auto" w:fill="FFFFFF"/>
        </w:rPr>
        <w:t>.</w:t>
      </w:r>
    </w:p>
  </w:footnote>
  <w:footnote w:id="40">
    <w:p w14:paraId="278F534C" w14:textId="65537F47" w:rsidR="000C754E" w:rsidRPr="00E3559F" w:rsidRDefault="000C754E" w:rsidP="00555231">
      <w:pPr>
        <w:pStyle w:val="Textonotapie"/>
        <w:tabs>
          <w:tab w:val="left" w:pos="567"/>
        </w:tabs>
        <w:spacing w:before="40" w:after="40"/>
        <w:rPr>
          <w:b/>
          <w:sz w:val="16"/>
          <w:szCs w:val="16"/>
          <w:lang w:val="es-CR"/>
        </w:rPr>
      </w:pPr>
      <w:r w:rsidRPr="00E3559F">
        <w:rPr>
          <w:rStyle w:val="Refdenotaalpie"/>
          <w:rFonts w:eastAsiaTheme="majorEastAsia"/>
          <w:sz w:val="16"/>
          <w:szCs w:val="16"/>
        </w:rPr>
        <w:footnoteRef/>
      </w:r>
      <w:r w:rsidRPr="00E3559F">
        <w:rPr>
          <w:sz w:val="16"/>
          <w:szCs w:val="16"/>
          <w:lang w:val="es-CR"/>
        </w:rPr>
        <w:t xml:space="preserve"> </w:t>
      </w:r>
      <w:r w:rsidRPr="00E3559F">
        <w:rPr>
          <w:sz w:val="16"/>
          <w:szCs w:val="16"/>
          <w:lang w:val="es-CR"/>
        </w:rPr>
        <w:tab/>
      </w:r>
      <w:r w:rsidRPr="00E3559F">
        <w:rPr>
          <w:i/>
          <w:sz w:val="16"/>
          <w:szCs w:val="16"/>
          <w:lang w:val="es-CR"/>
        </w:rPr>
        <w:t>Cfr.</w:t>
      </w:r>
      <w:r w:rsidRPr="00E3559F">
        <w:rPr>
          <w:sz w:val="16"/>
          <w:szCs w:val="16"/>
          <w:lang w:val="es-CR"/>
        </w:rPr>
        <w:t xml:space="preserve"> </w:t>
      </w:r>
      <w:r w:rsidRPr="00E3559F">
        <w:rPr>
          <w:i/>
          <w:sz w:val="16"/>
          <w:szCs w:val="16"/>
          <w:lang w:val="es-CR"/>
        </w:rPr>
        <w:t xml:space="preserve">Caso Baena Ricardo y otros Vs. Panamá. Fondo, Reparaciones y Costas. </w:t>
      </w:r>
      <w:r w:rsidRPr="00E3559F">
        <w:rPr>
          <w:sz w:val="16"/>
          <w:szCs w:val="16"/>
          <w:lang w:val="es-CR"/>
        </w:rPr>
        <w:t xml:space="preserve">Sentencia de 2 de febrero de 2001. Serie C No. 72, párr. 107, y </w:t>
      </w:r>
      <w:r w:rsidRPr="00E3559F">
        <w:rPr>
          <w:i/>
          <w:iCs/>
          <w:sz w:val="16"/>
          <w:szCs w:val="16"/>
          <w:lang w:val="es-CR"/>
        </w:rPr>
        <w:t>Caso</w:t>
      </w:r>
      <w:r w:rsidRPr="00E3559F">
        <w:rPr>
          <w:sz w:val="16"/>
          <w:szCs w:val="16"/>
          <w:lang w:val="es-CR"/>
        </w:rPr>
        <w:t xml:space="preserve"> </w:t>
      </w:r>
      <w:r w:rsidRPr="00E3559F">
        <w:rPr>
          <w:rStyle w:val="Textoennegrita"/>
          <w:b w:val="0"/>
          <w:i/>
          <w:sz w:val="16"/>
          <w:szCs w:val="16"/>
          <w:shd w:val="clear" w:color="auto" w:fill="FFFFFF"/>
        </w:rPr>
        <w:t>Montesinos Mejía Vs. Ecuador. Excepciones Preliminares, Fondo, Reparaciones y Costas.</w:t>
      </w:r>
      <w:r w:rsidRPr="00E3559F">
        <w:rPr>
          <w:rStyle w:val="Textoennegrita"/>
          <w:b w:val="0"/>
          <w:sz w:val="16"/>
          <w:szCs w:val="16"/>
          <w:shd w:val="clear" w:color="auto" w:fill="FFFFFF"/>
        </w:rPr>
        <w:t xml:space="preserve"> Sentencia de 27 de enero de 2020, párr. 175.</w:t>
      </w:r>
    </w:p>
  </w:footnote>
  <w:footnote w:id="41">
    <w:p w14:paraId="407B54A4" w14:textId="50A5FB13" w:rsidR="000C754E" w:rsidRPr="00E3559F" w:rsidRDefault="000C754E" w:rsidP="00555231">
      <w:pPr>
        <w:pStyle w:val="Textonotapie"/>
        <w:tabs>
          <w:tab w:val="left" w:pos="567"/>
        </w:tabs>
        <w:spacing w:before="40" w:after="40"/>
        <w:rPr>
          <w:b/>
          <w:sz w:val="16"/>
          <w:szCs w:val="16"/>
          <w:lang w:val="es-CR"/>
        </w:rPr>
      </w:pPr>
      <w:r w:rsidRPr="00E3559F">
        <w:rPr>
          <w:rStyle w:val="Refdenotaalpie"/>
          <w:rFonts w:eastAsiaTheme="majorEastAsia"/>
          <w:sz w:val="16"/>
          <w:szCs w:val="16"/>
        </w:rPr>
        <w:footnoteRef/>
      </w:r>
      <w:r w:rsidRPr="00E3559F">
        <w:rPr>
          <w:sz w:val="16"/>
          <w:szCs w:val="16"/>
          <w:lang w:val="es-CR"/>
        </w:rPr>
        <w:t xml:space="preserve"> </w:t>
      </w:r>
      <w:r w:rsidRPr="00E3559F">
        <w:rPr>
          <w:sz w:val="16"/>
          <w:szCs w:val="16"/>
          <w:lang w:val="es-CR"/>
        </w:rPr>
        <w:tab/>
      </w:r>
      <w:r w:rsidRPr="00E3559F">
        <w:rPr>
          <w:i/>
          <w:sz w:val="16"/>
          <w:szCs w:val="16"/>
          <w:lang w:val="es-CR"/>
        </w:rPr>
        <w:t xml:space="preserve">Cfr. </w:t>
      </w:r>
      <w:r w:rsidRPr="00E3559F">
        <w:rPr>
          <w:rStyle w:val="Textoennegrita"/>
          <w:b w:val="0"/>
          <w:i/>
          <w:sz w:val="16"/>
          <w:szCs w:val="16"/>
          <w:shd w:val="clear" w:color="auto" w:fill="FFFFFF"/>
        </w:rPr>
        <w:t>Caso Zegarra Marín Vs. Perú. Excepciones Preliminares, Fondo, Reparaciones y Costas.</w:t>
      </w:r>
      <w:r w:rsidRPr="00E3559F">
        <w:rPr>
          <w:rStyle w:val="Textoennegrita"/>
          <w:b w:val="0"/>
          <w:sz w:val="16"/>
          <w:szCs w:val="16"/>
          <w:shd w:val="clear" w:color="auto" w:fill="FFFFFF"/>
        </w:rPr>
        <w:t xml:space="preserve"> Sentencia de 15 de febrero de 2017. Serie C No. 331</w:t>
      </w:r>
      <w:r w:rsidRPr="00E3559F">
        <w:rPr>
          <w:i/>
          <w:sz w:val="16"/>
          <w:szCs w:val="16"/>
          <w:lang w:val="es-CR"/>
        </w:rPr>
        <w:t>,</w:t>
      </w:r>
      <w:r w:rsidRPr="00E3559F">
        <w:rPr>
          <w:sz w:val="16"/>
          <w:szCs w:val="16"/>
          <w:lang w:val="es-CR"/>
        </w:rPr>
        <w:t xml:space="preserve"> párr. 171, y </w:t>
      </w:r>
      <w:r w:rsidRPr="00E3559F">
        <w:rPr>
          <w:rStyle w:val="Textoennegrita"/>
          <w:b w:val="0"/>
          <w:i/>
          <w:sz w:val="16"/>
          <w:szCs w:val="16"/>
          <w:shd w:val="clear" w:color="auto" w:fill="FFFFFF"/>
        </w:rPr>
        <w:t xml:space="preserve">Caso Montesinos Mejía Vs. Ecuador, supra, </w:t>
      </w:r>
      <w:r w:rsidRPr="00E3559F">
        <w:rPr>
          <w:rStyle w:val="Textoennegrita"/>
          <w:b w:val="0"/>
          <w:sz w:val="16"/>
          <w:szCs w:val="16"/>
          <w:shd w:val="clear" w:color="auto" w:fill="FFFFFF"/>
        </w:rPr>
        <w:t>párr. 176.</w:t>
      </w:r>
    </w:p>
  </w:footnote>
  <w:footnote w:id="42">
    <w:p w14:paraId="566ADCBC" w14:textId="7A8C0384" w:rsidR="000C754E" w:rsidRPr="00E3559F" w:rsidRDefault="000C754E" w:rsidP="00555231">
      <w:pPr>
        <w:pStyle w:val="Textonotapie"/>
        <w:tabs>
          <w:tab w:val="left" w:pos="567"/>
        </w:tabs>
        <w:spacing w:before="40" w:after="40"/>
        <w:rPr>
          <w:sz w:val="16"/>
          <w:szCs w:val="16"/>
          <w:lang w:val="pt-PT"/>
        </w:rPr>
      </w:pPr>
      <w:r w:rsidRPr="00E3559F">
        <w:rPr>
          <w:rStyle w:val="Refdenotaalpie"/>
          <w:rFonts w:eastAsiaTheme="majorEastAsia"/>
          <w:spacing w:val="-4"/>
          <w:sz w:val="16"/>
          <w:szCs w:val="16"/>
        </w:rPr>
        <w:footnoteRef/>
      </w:r>
      <w:r w:rsidRPr="00E3559F">
        <w:rPr>
          <w:sz w:val="16"/>
          <w:szCs w:val="16"/>
          <w:lang w:val="es-CR"/>
        </w:rPr>
        <w:t xml:space="preserve"> </w:t>
      </w:r>
      <w:r w:rsidRPr="00E3559F">
        <w:rPr>
          <w:sz w:val="16"/>
          <w:szCs w:val="16"/>
          <w:lang w:val="es-CR"/>
        </w:rPr>
        <w:tab/>
      </w:r>
      <w:r w:rsidRPr="00E3559F">
        <w:rPr>
          <w:i/>
          <w:sz w:val="16"/>
          <w:szCs w:val="16"/>
          <w:lang w:val="es-CR"/>
        </w:rPr>
        <w:t>Cfr.</w:t>
      </w:r>
      <w:r w:rsidRPr="00E3559F">
        <w:rPr>
          <w:sz w:val="16"/>
          <w:szCs w:val="16"/>
          <w:lang w:val="es-CR"/>
        </w:rPr>
        <w:t xml:space="preserve"> </w:t>
      </w:r>
      <w:r w:rsidRPr="00E3559F">
        <w:rPr>
          <w:rStyle w:val="Textoennegrita"/>
          <w:b w:val="0"/>
          <w:i/>
          <w:sz w:val="16"/>
          <w:szCs w:val="16"/>
          <w:shd w:val="clear" w:color="auto" w:fill="FFFFFF"/>
        </w:rPr>
        <w:t xml:space="preserve">Caso Herrera Ulloa Vs. Costa Rica, supra, </w:t>
      </w:r>
      <w:r w:rsidRPr="00E3559F">
        <w:rPr>
          <w:sz w:val="16"/>
          <w:szCs w:val="16"/>
          <w:lang w:val="es-CR"/>
        </w:rPr>
        <w:t>párrs. 161, 164 y 165, y</w:t>
      </w:r>
      <w:r>
        <w:rPr>
          <w:rStyle w:val="Textoennegrita"/>
          <w:b w:val="0"/>
          <w:i/>
          <w:sz w:val="16"/>
          <w:szCs w:val="16"/>
          <w:shd w:val="clear" w:color="auto" w:fill="FFFFFF"/>
        </w:rPr>
        <w:t xml:space="preserve"> Caso Rui</w:t>
      </w:r>
      <w:r w:rsidRPr="00E3559F">
        <w:rPr>
          <w:rStyle w:val="Textoennegrita"/>
          <w:b w:val="0"/>
          <w:i/>
          <w:sz w:val="16"/>
          <w:szCs w:val="16"/>
          <w:shd w:val="clear" w:color="auto" w:fill="FFFFFF"/>
        </w:rPr>
        <w:t>z Fuentes y otra Vs. Guatemala. Excepción Preliminar Fondo, Reparaciones y Costas.</w:t>
      </w:r>
      <w:r w:rsidRPr="00E3559F">
        <w:rPr>
          <w:rStyle w:val="Textoennegrita"/>
          <w:b w:val="0"/>
          <w:sz w:val="16"/>
          <w:szCs w:val="16"/>
          <w:shd w:val="clear" w:color="auto" w:fill="FFFFFF"/>
        </w:rPr>
        <w:t xml:space="preserve"> Sentencia de 10 de octubre de 2019</w:t>
      </w:r>
      <w:r w:rsidRPr="00E3559F">
        <w:rPr>
          <w:rStyle w:val="Textoennegrita"/>
          <w:b w:val="0"/>
          <w:iCs/>
          <w:sz w:val="16"/>
          <w:szCs w:val="16"/>
          <w:shd w:val="clear" w:color="auto" w:fill="FFFFFF"/>
        </w:rPr>
        <w:t>,</w:t>
      </w:r>
      <w:r w:rsidRPr="00E3559F">
        <w:rPr>
          <w:rStyle w:val="Textoennegrita"/>
          <w:b w:val="0"/>
          <w:i/>
          <w:sz w:val="16"/>
          <w:szCs w:val="16"/>
          <w:shd w:val="clear" w:color="auto" w:fill="FFFFFF"/>
        </w:rPr>
        <w:t xml:space="preserve"> </w:t>
      </w:r>
      <w:r w:rsidRPr="00E3559F">
        <w:rPr>
          <w:rStyle w:val="Textoennegrita"/>
          <w:b w:val="0"/>
          <w:iCs/>
          <w:sz w:val="16"/>
          <w:szCs w:val="16"/>
          <w:shd w:val="clear" w:color="auto" w:fill="FFFFFF"/>
        </w:rPr>
        <w:t>párr. 158</w:t>
      </w:r>
      <w:r w:rsidRPr="00E3559F">
        <w:rPr>
          <w:sz w:val="16"/>
          <w:szCs w:val="16"/>
          <w:lang w:val="es-CR"/>
        </w:rPr>
        <w:t>.</w:t>
      </w:r>
    </w:p>
  </w:footnote>
  <w:footnote w:id="43">
    <w:p w14:paraId="1B62DD5F"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Recurso de casación interpuesto por la defensa del señor Eduardo Domínguez Linares (expediente de prueba, folios 651, 653, 655 y 661). Ver también, Auto interlocutorio no. 7, Cámara Novena del Crimen de Córdoba, de 5 de marzo de 1998 (expediente de prueba, folios 680 y 681).</w:t>
      </w:r>
    </w:p>
  </w:footnote>
  <w:footnote w:id="44">
    <w:p w14:paraId="379ED9EA"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Recurso de casación interpuesto por la defensa del señor Eduardo Domínguez Linares (expediente de prueba, folios 651, 653, 655 y 661). Ver también, Auto interlocutorio no. 7, Cámara Novena del Crimen de Córdoba, de 5 de marzo de 1998 (expediente de prueba, folios 680 y 681).</w:t>
      </w:r>
    </w:p>
  </w:footnote>
  <w:footnote w:id="45">
    <w:p w14:paraId="596D9D4E"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sz w:val="16"/>
          <w:szCs w:val="16"/>
        </w:rPr>
        <w:t>. Auto no. 396, de 17 de diciembre de 1998, que declara inadmisible el recurso de casación interpuesto por el señor Domínguez Linares (expediente de prueba</w:t>
      </w:r>
      <w:r w:rsidRPr="00E3559F">
        <w:rPr>
          <w:rFonts w:cs="Calibri"/>
          <w:sz w:val="16"/>
          <w:szCs w:val="16"/>
          <w:lang w:eastAsia="en-US"/>
        </w:rPr>
        <w:t>, folio 693).</w:t>
      </w:r>
    </w:p>
  </w:footnote>
  <w:footnote w:id="46">
    <w:p w14:paraId="7F3BA4E4" w14:textId="1893692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sz w:val="16"/>
          <w:szCs w:val="16"/>
        </w:rPr>
        <w:t>. Auto no. 396, de 17 de diciembre de 1998, que declara inadmisible el recurso de casación interpuesto por el señor Domínguez Linares (expediente de prueba</w:t>
      </w:r>
      <w:r w:rsidRPr="00E3559F">
        <w:rPr>
          <w:rFonts w:cs="Calibri"/>
          <w:sz w:val="16"/>
          <w:szCs w:val="16"/>
          <w:lang w:eastAsia="en-US"/>
        </w:rPr>
        <w:t>, folio 692).</w:t>
      </w:r>
    </w:p>
  </w:footnote>
  <w:footnote w:id="47">
    <w:p w14:paraId="07E262E1" w14:textId="1C5826D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sz w:val="16"/>
          <w:szCs w:val="16"/>
        </w:rPr>
        <w:t>. Auto no. 396, de 17 de diciembre de 1998, que declara inadmisible el recurso de casación interpuesto por el señor Domínguez Linares (expediente de prueba, folios 692 y 693)</w:t>
      </w:r>
    </w:p>
  </w:footnote>
  <w:footnote w:id="48">
    <w:p w14:paraId="154E0650" w14:textId="141F42FB"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sz w:val="16"/>
          <w:szCs w:val="16"/>
        </w:rPr>
        <w:t>. Auto no. 396, de 17 de diciembre de 1998, que declara inadmisible el recurso de casación interpuesto por el señor Domínguez Linares (expediente de prueba, folio 705).</w:t>
      </w:r>
    </w:p>
  </w:footnote>
  <w:footnote w:id="49">
    <w:p w14:paraId="4D456EDA" w14:textId="15F0B125"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t>Dicho artículo estipula lo siguiente:</w:t>
      </w:r>
    </w:p>
    <w:p w14:paraId="3DB566EE" w14:textId="06D3F71B"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Artículo 406.- Normas para la Deliberación. El Tribunal resolverá todas las cuestiones que hubieran sido objeto del juicio, fijándolas, si fuere posible, en el siguiente orden: las incidentales que hubieran sido diferidas (384), las relativas a la existencia del hecho delictuoso, con discriminación de las circunstancias jurídicamente relevantes; la participación del imputado, calificación legal y sanción aplicable; la restitución o indemnización demandada y costas.</w:t>
      </w:r>
    </w:p>
    <w:p w14:paraId="2A309874" w14:textId="12F64F3E"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Las cuestiones planteadas serán resueltas sucesivamente, por mayoría de votos, valorándose los actos del debate conforme al artículo 193.</w:t>
      </w:r>
    </w:p>
    <w:p w14:paraId="5A7D33C9" w14:textId="5653587A"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Los Jueces y jurados votarán sobre cada una de ellas, cualquiera que fuere el sentido de sus votos anteriores.</w:t>
      </w:r>
    </w:p>
    <w:p w14:paraId="641A9ABF" w14:textId="5676118B"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En caso de duda sobre las cuestiones de hecho se estará a lo más favorable al imputado.</w:t>
      </w:r>
    </w:p>
    <w:p w14:paraId="44A2D6E1" w14:textId="783B2015" w:rsidR="000C754E" w:rsidRPr="00E3559F" w:rsidRDefault="000C754E" w:rsidP="00555231">
      <w:pPr>
        <w:widowControl/>
        <w:adjustRightInd/>
        <w:spacing w:before="40" w:after="40" w:line="240" w:lineRule="auto"/>
        <w:ind w:left="810" w:right="720"/>
        <w:textAlignment w:val="auto"/>
        <w:rPr>
          <w:sz w:val="16"/>
          <w:szCs w:val="16"/>
          <w:lang w:eastAsia="en-US"/>
        </w:rPr>
      </w:pPr>
      <w:r w:rsidRPr="00E3559F">
        <w:rPr>
          <w:sz w:val="16"/>
          <w:szCs w:val="16"/>
          <w:lang w:eastAsia="en-US"/>
        </w:rPr>
        <w:t>Si en la votación sobre las sanciones que correspondan se emitieren más de dos opiniones, se aplicará el término medio.</w:t>
      </w:r>
    </w:p>
  </w:footnote>
  <w:footnote w:id="50">
    <w:p w14:paraId="26733A6C" w14:textId="75C2702C"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rFonts w:cs="Calibri"/>
          <w:i/>
          <w:iCs/>
          <w:sz w:val="16"/>
          <w:szCs w:val="16"/>
          <w:lang w:eastAsia="en-US"/>
        </w:rPr>
        <w:t>Cfr</w:t>
      </w:r>
      <w:r w:rsidRPr="00E3559F">
        <w:rPr>
          <w:rFonts w:cs="Calibri"/>
          <w:sz w:val="16"/>
          <w:szCs w:val="16"/>
          <w:lang w:eastAsia="en-US"/>
        </w:rPr>
        <w:t>. Auto interlocutorio no. 7, Cámara Novena del Crimen de Córdoba, de 5 de marzo de 1998 (expediente de prueba, folio 678).</w:t>
      </w:r>
    </w:p>
  </w:footnote>
  <w:footnote w:id="51">
    <w:p w14:paraId="38BDC727" w14:textId="4C19EB61"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iCs/>
          <w:sz w:val="16"/>
          <w:szCs w:val="16"/>
        </w:rPr>
        <w:t>Cfr</w:t>
      </w:r>
      <w:r w:rsidRPr="00E3559F">
        <w:rPr>
          <w:sz w:val="16"/>
          <w:szCs w:val="16"/>
        </w:rPr>
        <w:t xml:space="preserve">. </w:t>
      </w:r>
      <w:r w:rsidRPr="00E3559F">
        <w:rPr>
          <w:rFonts w:cs="Calibri"/>
          <w:sz w:val="16"/>
          <w:szCs w:val="16"/>
          <w:lang w:eastAsia="en-US"/>
        </w:rPr>
        <w:t>Auto no. 391, Sala Penal del Tribunal Superior de Justicia de Córdoba, de 17 de diciembre de 1998 (expediente de prueba, folio 1229).</w:t>
      </w:r>
    </w:p>
  </w:footnote>
  <w:footnote w:id="52">
    <w:p w14:paraId="73A5661D" w14:textId="70A29802"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i/>
          <w:iCs/>
          <w:sz w:val="16"/>
          <w:szCs w:val="16"/>
        </w:rPr>
        <w:t xml:space="preserve"> </w:t>
      </w:r>
      <w:r w:rsidRPr="00E3559F">
        <w:rPr>
          <w:i/>
          <w:iCs/>
          <w:sz w:val="16"/>
          <w:szCs w:val="16"/>
        </w:rPr>
        <w:tab/>
        <w:t>Cfr</w:t>
      </w:r>
      <w:r w:rsidRPr="00E3559F">
        <w:rPr>
          <w:sz w:val="16"/>
          <w:szCs w:val="16"/>
        </w:rPr>
        <w:t xml:space="preserve">. </w:t>
      </w:r>
      <w:r w:rsidRPr="00E3559F">
        <w:rPr>
          <w:rFonts w:cs="Calibri"/>
          <w:sz w:val="16"/>
          <w:szCs w:val="16"/>
          <w:lang w:eastAsia="en-US"/>
        </w:rPr>
        <w:t>Auto no. 391, Sala Penal del Tribunal Superior de Justicia de Córdoba, de 17 de diciembre de 1998 (expediente de prueba, folio 1236).</w:t>
      </w:r>
    </w:p>
  </w:footnote>
  <w:footnote w:id="53">
    <w:p w14:paraId="03027D93" w14:textId="48A78B01"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rPr>
        <w:footnoteRef/>
      </w:r>
      <w:r w:rsidRPr="00E3559F">
        <w:rPr>
          <w:sz w:val="16"/>
          <w:szCs w:val="16"/>
        </w:rPr>
        <w:t xml:space="preserve"> </w:t>
      </w:r>
      <w:r w:rsidRPr="00E3559F">
        <w:rPr>
          <w:sz w:val="16"/>
          <w:szCs w:val="16"/>
        </w:rPr>
        <w:tab/>
      </w:r>
      <w:r w:rsidRPr="00E3559F">
        <w:rPr>
          <w:i/>
          <w:iCs/>
          <w:sz w:val="16"/>
          <w:szCs w:val="16"/>
        </w:rPr>
        <w:t>Cfr</w:t>
      </w:r>
      <w:r w:rsidRPr="00E3559F">
        <w:rPr>
          <w:sz w:val="16"/>
          <w:szCs w:val="16"/>
        </w:rPr>
        <w:t xml:space="preserve">. </w:t>
      </w:r>
      <w:r w:rsidRPr="00E3559F">
        <w:rPr>
          <w:rFonts w:cs="Calibri"/>
          <w:sz w:val="16"/>
          <w:szCs w:val="16"/>
          <w:lang w:eastAsia="en-US"/>
        </w:rPr>
        <w:t>Auto no. 391, Sala Penal del Tribunal Superior de Justicia de Córdoba, de 17 de diciembre de 1998 (expediente de prueba, folios 1218 a 1249).</w:t>
      </w:r>
    </w:p>
  </w:footnote>
  <w:footnote w:id="54">
    <w:p w14:paraId="2E4DFCFD" w14:textId="357D39A0" w:rsidR="000C754E" w:rsidRPr="00E3559F" w:rsidRDefault="000C754E" w:rsidP="00555231">
      <w:pPr>
        <w:pStyle w:val="Textonotapie"/>
        <w:tabs>
          <w:tab w:val="left" w:pos="567"/>
        </w:tabs>
        <w:spacing w:before="40" w:after="40"/>
        <w:rPr>
          <w:b/>
          <w:bCs/>
          <w:sz w:val="16"/>
          <w:szCs w:val="16"/>
        </w:rPr>
      </w:pPr>
      <w:r w:rsidRPr="00E3559F">
        <w:rPr>
          <w:rStyle w:val="Refdenotaalpie"/>
          <w:bCs/>
          <w:sz w:val="16"/>
          <w:szCs w:val="16"/>
        </w:rPr>
        <w:footnoteRef/>
      </w:r>
      <w:r w:rsidRPr="00E3559F">
        <w:rPr>
          <w:b/>
          <w:bCs/>
          <w:sz w:val="16"/>
          <w:szCs w:val="16"/>
        </w:rPr>
        <w:t xml:space="preserve"> </w:t>
      </w:r>
      <w:r w:rsidRPr="00E3559F">
        <w:rPr>
          <w:b/>
          <w:bCs/>
          <w:i/>
          <w:sz w:val="16"/>
          <w:szCs w:val="16"/>
        </w:rPr>
        <w:tab/>
      </w:r>
      <w:r w:rsidRPr="00E3559F">
        <w:rPr>
          <w:i/>
          <w:sz w:val="16"/>
          <w:szCs w:val="16"/>
        </w:rPr>
        <w:t>Cfr</w:t>
      </w:r>
      <w:r w:rsidRPr="00E3559F">
        <w:rPr>
          <w:b/>
          <w:bCs/>
          <w:i/>
          <w:sz w:val="16"/>
          <w:szCs w:val="16"/>
        </w:rPr>
        <w:t xml:space="preserve">. </w:t>
      </w:r>
      <w:r w:rsidRPr="00E3559F">
        <w:rPr>
          <w:rStyle w:val="Textoennegrita"/>
          <w:b w:val="0"/>
          <w:i/>
          <w:sz w:val="16"/>
          <w:szCs w:val="16"/>
          <w:shd w:val="clear" w:color="auto" w:fill="FFFFFF"/>
        </w:rPr>
        <w:t>Caso Mendoza y otros Vs. Argentina. Excepciones Preliminares, Fondo y Reparaciones.</w:t>
      </w:r>
      <w:r w:rsidRPr="00E3559F">
        <w:rPr>
          <w:rStyle w:val="Textoennegrita"/>
          <w:b w:val="0"/>
          <w:sz w:val="16"/>
          <w:szCs w:val="16"/>
          <w:shd w:val="clear" w:color="auto" w:fill="FFFFFF"/>
        </w:rPr>
        <w:t xml:space="preserve"> Sentencia de 14 de mayo de 2013. Serie C No. 260, Punto Resolutivo 12 y párrs. 301 a 303.</w:t>
      </w:r>
    </w:p>
  </w:footnote>
  <w:footnote w:id="55">
    <w:p w14:paraId="00EF3DC5" w14:textId="713FE2E9" w:rsidR="000C754E" w:rsidRPr="00E3559F" w:rsidRDefault="000C754E" w:rsidP="00555231">
      <w:pPr>
        <w:pStyle w:val="Textonotapie"/>
        <w:tabs>
          <w:tab w:val="left" w:pos="567"/>
        </w:tabs>
        <w:spacing w:before="40" w:after="40"/>
        <w:rPr>
          <w:sz w:val="16"/>
          <w:szCs w:val="16"/>
          <w:lang w:val="es-ES"/>
        </w:rPr>
      </w:pPr>
      <w:r w:rsidRPr="00E3559F">
        <w:rPr>
          <w:rStyle w:val="Refdenotaalpie"/>
          <w:sz w:val="16"/>
          <w:szCs w:val="16"/>
        </w:rPr>
        <w:footnoteRef/>
      </w:r>
      <w:r w:rsidRPr="00E3559F">
        <w:rPr>
          <w:sz w:val="16"/>
          <w:szCs w:val="16"/>
        </w:rPr>
        <w:t xml:space="preserve"> </w:t>
      </w:r>
      <w:r w:rsidRPr="00E3559F">
        <w:rPr>
          <w:sz w:val="16"/>
          <w:szCs w:val="16"/>
        </w:rPr>
        <w:tab/>
      </w:r>
      <w:r w:rsidRPr="00E3559F">
        <w:rPr>
          <w:i/>
          <w:iCs/>
          <w:sz w:val="16"/>
          <w:szCs w:val="16"/>
        </w:rPr>
        <w:t xml:space="preserve">Cfr. </w:t>
      </w:r>
      <w:r w:rsidRPr="00E3559F">
        <w:rPr>
          <w:rStyle w:val="Textoennegrita"/>
          <w:b w:val="0"/>
          <w:i/>
          <w:iCs/>
          <w:sz w:val="16"/>
          <w:szCs w:val="16"/>
          <w:shd w:val="clear" w:color="auto" w:fill="FFFFFF"/>
        </w:rPr>
        <w:t>Caso Gorigoitía Vs. Argentina, supra</w:t>
      </w:r>
      <w:r w:rsidRPr="00E3559F">
        <w:rPr>
          <w:rStyle w:val="Textoennegrita"/>
          <w:b w:val="0"/>
          <w:sz w:val="16"/>
          <w:szCs w:val="16"/>
          <w:shd w:val="clear" w:color="auto" w:fill="FFFFFF"/>
        </w:rPr>
        <w:t>, Punto Resolutivo 3 y párrs. 55 y 56.</w:t>
      </w:r>
    </w:p>
  </w:footnote>
  <w:footnote w:id="56">
    <w:p w14:paraId="42062137" w14:textId="4EBF43E7"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rPr>
        <w:footnoteRef/>
      </w:r>
      <w:r w:rsidRPr="00E3559F">
        <w:rPr>
          <w:sz w:val="16"/>
          <w:szCs w:val="16"/>
        </w:rPr>
        <w:t xml:space="preserve"> </w:t>
      </w:r>
      <w:r w:rsidRPr="00E3559F">
        <w:rPr>
          <w:sz w:val="16"/>
          <w:szCs w:val="16"/>
          <w:lang w:val="es-CR"/>
        </w:rPr>
        <w:tab/>
      </w:r>
      <w:r w:rsidRPr="00E3559F">
        <w:rPr>
          <w:i/>
          <w:sz w:val="16"/>
          <w:szCs w:val="16"/>
          <w:lang w:val="es-CR"/>
        </w:rPr>
        <w:t>Cfr.</w:t>
      </w:r>
      <w:r w:rsidRPr="00E3559F">
        <w:rPr>
          <w:sz w:val="16"/>
          <w:szCs w:val="16"/>
          <w:lang w:val="es-CR"/>
        </w:rPr>
        <w:t xml:space="preserve"> </w:t>
      </w:r>
      <w:r w:rsidRPr="00E3559F">
        <w:rPr>
          <w:bCs/>
          <w:i/>
          <w:iCs/>
          <w:sz w:val="16"/>
          <w:szCs w:val="16"/>
          <w:lang w:val="es-CR"/>
        </w:rPr>
        <w:t>Caso Mendoza y otros Vs. Argentina,</w:t>
      </w:r>
      <w:r>
        <w:rPr>
          <w:bCs/>
          <w:i/>
          <w:iCs/>
          <w:sz w:val="16"/>
          <w:szCs w:val="16"/>
          <w:lang w:val="es-CR"/>
        </w:rPr>
        <w:t xml:space="preserve"> </w:t>
      </w:r>
      <w:r w:rsidRPr="00E3559F">
        <w:rPr>
          <w:bCs/>
          <w:i/>
          <w:iCs/>
          <w:sz w:val="16"/>
          <w:szCs w:val="16"/>
          <w:lang w:val="es-CR"/>
        </w:rPr>
        <w:t xml:space="preserve">supra, </w:t>
      </w:r>
      <w:r w:rsidRPr="00E3559F">
        <w:rPr>
          <w:bCs/>
          <w:sz w:val="16"/>
          <w:szCs w:val="16"/>
          <w:lang w:val="es-CR"/>
        </w:rPr>
        <w:t xml:space="preserve">párr. 253, </w:t>
      </w:r>
      <w:r w:rsidRPr="00E3559F">
        <w:rPr>
          <w:i/>
          <w:iCs/>
          <w:sz w:val="16"/>
          <w:szCs w:val="16"/>
          <w:lang w:val="es-CR"/>
        </w:rPr>
        <w:t>Caso Mohamed Vs. Argentina, supra,</w:t>
      </w:r>
      <w:r>
        <w:rPr>
          <w:i/>
          <w:iCs/>
          <w:sz w:val="16"/>
          <w:szCs w:val="16"/>
          <w:lang w:val="es-CR"/>
        </w:rPr>
        <w:t xml:space="preserve"> </w:t>
      </w:r>
      <w:r w:rsidRPr="00E3559F">
        <w:rPr>
          <w:sz w:val="16"/>
          <w:szCs w:val="16"/>
          <w:lang w:val="es-CR"/>
        </w:rPr>
        <w:t xml:space="preserve">párr. 159, </w:t>
      </w:r>
      <w:r w:rsidRPr="00E3559F">
        <w:rPr>
          <w:i/>
          <w:sz w:val="16"/>
          <w:szCs w:val="16"/>
        </w:rPr>
        <w:t>Caso Gorigoitía Vs. Argentina, supra</w:t>
      </w:r>
      <w:r w:rsidRPr="00E3559F">
        <w:rPr>
          <w:sz w:val="16"/>
          <w:szCs w:val="16"/>
        </w:rPr>
        <w:t>, párr. 51.</w:t>
      </w:r>
    </w:p>
  </w:footnote>
  <w:footnote w:id="57">
    <w:p w14:paraId="00351785" w14:textId="77777777"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rPr>
        <w:footnoteRef/>
      </w:r>
      <w:r w:rsidRPr="00E3559F">
        <w:rPr>
          <w:sz w:val="16"/>
          <w:szCs w:val="16"/>
        </w:rPr>
        <w:t xml:space="preserve"> </w:t>
      </w:r>
      <w:r w:rsidRPr="00E3559F">
        <w:rPr>
          <w:sz w:val="16"/>
          <w:szCs w:val="16"/>
          <w:lang w:val="es-CR"/>
        </w:rPr>
        <w:tab/>
      </w:r>
      <w:r w:rsidRPr="00E3559F">
        <w:rPr>
          <w:i/>
          <w:sz w:val="16"/>
          <w:szCs w:val="16"/>
          <w:lang w:val="es-CR"/>
        </w:rPr>
        <w:t xml:space="preserve">Cfr. </w:t>
      </w:r>
      <w:r w:rsidRPr="00E3559F">
        <w:rPr>
          <w:sz w:val="16"/>
          <w:szCs w:val="16"/>
          <w:lang w:val="es-CR"/>
        </w:rPr>
        <w:t xml:space="preserve">Peritaje de Alberto Bovino (transmitido del </w:t>
      </w:r>
      <w:r w:rsidRPr="00E3559F">
        <w:rPr>
          <w:i/>
          <w:iCs/>
          <w:sz w:val="16"/>
          <w:szCs w:val="16"/>
          <w:lang w:val="es-CR"/>
        </w:rPr>
        <w:t>Caso Mendoza y otros Vs. Argentina.</w:t>
      </w:r>
      <w:r w:rsidRPr="00E3559F">
        <w:rPr>
          <w:bCs/>
          <w:i/>
          <w:iCs/>
          <w:sz w:val="16"/>
          <w:szCs w:val="16"/>
          <w:lang w:val="es-CR"/>
        </w:rPr>
        <w:t xml:space="preserve"> Excepciones Preliminares, Fondo y Reparaciones.</w:t>
      </w:r>
      <w:r w:rsidRPr="00E3559F">
        <w:rPr>
          <w:bCs/>
          <w:sz w:val="16"/>
          <w:szCs w:val="16"/>
          <w:lang w:val="es-CR"/>
        </w:rPr>
        <w:t xml:space="preserve"> Sentencia de 14 de mayo de 2013. Serie C No. 26</w:t>
      </w:r>
      <w:r w:rsidRPr="00E3559F">
        <w:rPr>
          <w:sz w:val="16"/>
          <w:szCs w:val="16"/>
          <w:lang w:val="es-CR"/>
        </w:rPr>
        <w:t xml:space="preserve"> párr. 253).</w:t>
      </w:r>
    </w:p>
  </w:footnote>
  <w:footnote w:id="58">
    <w:p w14:paraId="46D81CED" w14:textId="3978ED9F" w:rsidR="000C754E" w:rsidRPr="00E3559F" w:rsidRDefault="000C754E" w:rsidP="00555231">
      <w:pPr>
        <w:pStyle w:val="Textonotapie"/>
        <w:tabs>
          <w:tab w:val="left" w:pos="567"/>
        </w:tabs>
        <w:spacing w:before="40" w:after="40"/>
        <w:rPr>
          <w:sz w:val="16"/>
          <w:szCs w:val="16"/>
          <w:lang w:eastAsia="es-PE"/>
        </w:rPr>
      </w:pPr>
      <w:r w:rsidRPr="00E3559F">
        <w:rPr>
          <w:rStyle w:val="Refdenotaalpie"/>
          <w:rFonts w:eastAsia="Calibri"/>
          <w:sz w:val="16"/>
          <w:szCs w:val="16"/>
        </w:rPr>
        <w:footnoteRef/>
      </w:r>
      <w:r w:rsidRPr="00E3559F">
        <w:rPr>
          <w:sz w:val="16"/>
          <w:szCs w:val="16"/>
        </w:rPr>
        <w:t xml:space="preserve"> </w:t>
      </w:r>
      <w:r w:rsidRPr="00E3559F">
        <w:rPr>
          <w:sz w:val="16"/>
          <w:szCs w:val="16"/>
        </w:rPr>
        <w:tab/>
      </w:r>
      <w:r w:rsidRPr="00E3559F">
        <w:rPr>
          <w:i/>
          <w:sz w:val="16"/>
          <w:szCs w:val="16"/>
          <w:lang w:eastAsia="es-PE"/>
        </w:rPr>
        <w:t>Cfr. Caso Velásquez Rodríguez Vs. Honduras. Reparaciones y Costas</w:t>
      </w:r>
      <w:r w:rsidRPr="00E3559F">
        <w:rPr>
          <w:sz w:val="16"/>
          <w:szCs w:val="16"/>
          <w:lang w:eastAsia="es-PE"/>
        </w:rPr>
        <w:t xml:space="preserve">. Sentencia de 21 de julio de 1989. Serie C No. 7, párr. 25, y </w:t>
      </w:r>
      <w:r w:rsidRPr="00E3559F">
        <w:rPr>
          <w:i/>
          <w:sz w:val="16"/>
          <w:szCs w:val="16"/>
          <w:lang w:eastAsia="es-PE"/>
        </w:rPr>
        <w:t>Caso Azul Rojas Marín y otra Vs. Perú, supra</w:t>
      </w:r>
      <w:r w:rsidRPr="00E3559F">
        <w:rPr>
          <w:sz w:val="16"/>
          <w:szCs w:val="16"/>
          <w:lang w:eastAsia="es-PE"/>
        </w:rPr>
        <w:t>,</w:t>
      </w:r>
      <w:r w:rsidRPr="00E3559F">
        <w:rPr>
          <w:i/>
          <w:sz w:val="16"/>
          <w:szCs w:val="16"/>
          <w:lang w:eastAsia="es-PE"/>
        </w:rPr>
        <w:t xml:space="preserve"> </w:t>
      </w:r>
      <w:r w:rsidRPr="00E3559F">
        <w:rPr>
          <w:sz w:val="16"/>
          <w:szCs w:val="16"/>
          <w:lang w:eastAsia="es-PE"/>
        </w:rPr>
        <w:t>párr. 224.</w:t>
      </w:r>
    </w:p>
  </w:footnote>
  <w:footnote w:id="59">
    <w:p w14:paraId="6BDA7F5F" w14:textId="1FB16DAE" w:rsidR="000C754E" w:rsidRPr="00E3559F" w:rsidRDefault="000C754E" w:rsidP="00555231">
      <w:pPr>
        <w:pStyle w:val="Textonotapie"/>
        <w:tabs>
          <w:tab w:val="left" w:pos="567"/>
        </w:tabs>
        <w:spacing w:before="40" w:after="40"/>
        <w:rPr>
          <w:sz w:val="16"/>
          <w:szCs w:val="16"/>
          <w:lang w:eastAsia="es-PE"/>
        </w:rPr>
      </w:pPr>
      <w:r w:rsidRPr="00E3559F">
        <w:rPr>
          <w:rStyle w:val="Refdenotaalpie"/>
          <w:rFonts w:eastAsia="MS Mincho"/>
          <w:sz w:val="16"/>
          <w:szCs w:val="16"/>
        </w:rPr>
        <w:footnoteRef/>
      </w:r>
      <w:r w:rsidRPr="00E3559F">
        <w:rPr>
          <w:sz w:val="16"/>
          <w:szCs w:val="16"/>
        </w:rPr>
        <w:t xml:space="preserve"> </w:t>
      </w:r>
      <w:r w:rsidRPr="00E3559F">
        <w:rPr>
          <w:sz w:val="16"/>
          <w:szCs w:val="16"/>
        </w:rPr>
        <w:tab/>
      </w:r>
      <w:r w:rsidRPr="00E3559F">
        <w:rPr>
          <w:i/>
          <w:sz w:val="16"/>
          <w:szCs w:val="16"/>
          <w:lang w:eastAsia="es-PE"/>
        </w:rPr>
        <w:t>Cfr. Caso Velásquez Rodríguez Vs. Honduras</w:t>
      </w:r>
      <w:r w:rsidRPr="00E3559F">
        <w:rPr>
          <w:sz w:val="16"/>
          <w:szCs w:val="16"/>
          <w:lang w:eastAsia="es-PE"/>
        </w:rPr>
        <w:t xml:space="preserve">. Reparaciones y Costas, </w:t>
      </w:r>
      <w:r w:rsidRPr="00E3559F">
        <w:rPr>
          <w:i/>
          <w:sz w:val="16"/>
          <w:szCs w:val="16"/>
          <w:lang w:eastAsia="es-PE"/>
        </w:rPr>
        <w:t>supra</w:t>
      </w:r>
      <w:r w:rsidRPr="00E3559F">
        <w:rPr>
          <w:sz w:val="16"/>
          <w:szCs w:val="16"/>
          <w:lang w:eastAsia="es-PE"/>
        </w:rPr>
        <w:t xml:space="preserve">, párrs. 25 y 26, y </w:t>
      </w:r>
      <w:r w:rsidRPr="00E3559F">
        <w:rPr>
          <w:i/>
          <w:sz w:val="16"/>
          <w:szCs w:val="16"/>
          <w:lang w:eastAsia="es-PE"/>
        </w:rPr>
        <w:t>Caso Jenkins Vs. Argentina</w:t>
      </w:r>
      <w:r w:rsidRPr="00E3559F">
        <w:rPr>
          <w:rStyle w:val="Textoennegrita"/>
          <w:b w:val="0"/>
          <w:i/>
          <w:sz w:val="16"/>
          <w:szCs w:val="16"/>
          <w:shd w:val="clear" w:color="auto" w:fill="FFFFFF"/>
        </w:rPr>
        <w:t>. Excepciones Preliminares, Fondo, Reparaciones y Costas.</w:t>
      </w:r>
      <w:r w:rsidRPr="00E3559F">
        <w:rPr>
          <w:rStyle w:val="Textoennegrita"/>
          <w:b w:val="0"/>
          <w:sz w:val="16"/>
          <w:szCs w:val="16"/>
          <w:shd w:val="clear" w:color="auto" w:fill="FFFFFF"/>
        </w:rPr>
        <w:t xml:space="preserve"> Sentencia de 26 de noviembre de 2019. Serie C No. 397</w:t>
      </w:r>
      <w:r w:rsidRPr="00E3559F">
        <w:rPr>
          <w:sz w:val="16"/>
          <w:szCs w:val="16"/>
          <w:lang w:eastAsia="es-PE"/>
        </w:rPr>
        <w:t>,</w:t>
      </w:r>
      <w:r w:rsidRPr="00E3559F">
        <w:rPr>
          <w:i/>
          <w:sz w:val="16"/>
          <w:szCs w:val="16"/>
          <w:lang w:eastAsia="es-PE"/>
        </w:rPr>
        <w:t xml:space="preserve"> </w:t>
      </w:r>
      <w:r w:rsidRPr="00E3559F">
        <w:rPr>
          <w:sz w:val="16"/>
          <w:szCs w:val="16"/>
          <w:lang w:eastAsia="es-PE"/>
        </w:rPr>
        <w:t>párr. 123.</w:t>
      </w:r>
    </w:p>
  </w:footnote>
  <w:footnote w:id="60">
    <w:p w14:paraId="38554018" w14:textId="76DF7A7A" w:rsidR="000C754E" w:rsidRPr="00E3559F" w:rsidRDefault="000C754E" w:rsidP="00555231">
      <w:pPr>
        <w:pStyle w:val="Textonotapie"/>
        <w:tabs>
          <w:tab w:val="left" w:pos="567"/>
        </w:tabs>
        <w:spacing w:before="40" w:after="40"/>
        <w:rPr>
          <w:rFonts w:cs="Courier New"/>
          <w:bCs/>
          <w:sz w:val="16"/>
          <w:szCs w:val="16"/>
          <w:lang w:eastAsia="en-US"/>
        </w:rPr>
      </w:pPr>
      <w:r w:rsidRPr="00E3559F">
        <w:rPr>
          <w:rStyle w:val="Refdenotaalpie"/>
          <w:rFonts w:eastAsia="Calibri"/>
          <w:sz w:val="16"/>
          <w:szCs w:val="16"/>
        </w:rPr>
        <w:footnoteRef/>
      </w:r>
      <w:r w:rsidRPr="00E3559F">
        <w:rPr>
          <w:sz w:val="16"/>
          <w:szCs w:val="16"/>
        </w:rPr>
        <w:t xml:space="preserve"> </w:t>
      </w:r>
      <w:r w:rsidRPr="00E3559F">
        <w:rPr>
          <w:sz w:val="16"/>
          <w:szCs w:val="16"/>
        </w:rPr>
        <w:tab/>
      </w:r>
      <w:r w:rsidRPr="00E3559F">
        <w:rPr>
          <w:i/>
          <w:sz w:val="16"/>
          <w:szCs w:val="16"/>
        </w:rPr>
        <w:t>Cfr.</w:t>
      </w:r>
      <w:r w:rsidRPr="00E3559F">
        <w:rPr>
          <w:bCs/>
          <w:i/>
          <w:sz w:val="16"/>
          <w:szCs w:val="16"/>
        </w:rPr>
        <w:t xml:space="preserve"> Caso de la Masacre de Las Dos Erres Vs. Guatemala. Excepción Preliminar, Fondo, Reparaciones y Costas. </w:t>
      </w:r>
      <w:r w:rsidRPr="00E3559F">
        <w:rPr>
          <w:bCs/>
          <w:sz w:val="16"/>
          <w:szCs w:val="16"/>
        </w:rPr>
        <w:t>Sentencia de 24 de noviembre de 2009. Serie C No. 211</w:t>
      </w:r>
      <w:r w:rsidRPr="00E3559F">
        <w:rPr>
          <w:sz w:val="16"/>
          <w:szCs w:val="16"/>
        </w:rPr>
        <w:t xml:space="preserve">, párr. 226, y </w:t>
      </w:r>
      <w:r w:rsidRPr="00E3559F">
        <w:rPr>
          <w:i/>
          <w:sz w:val="16"/>
          <w:szCs w:val="16"/>
          <w:lang w:eastAsia="es-PE"/>
        </w:rPr>
        <w:t>Caso Jenkins Vs. Argentina</w:t>
      </w:r>
      <w:r w:rsidRPr="00E3559F">
        <w:rPr>
          <w:sz w:val="16"/>
          <w:szCs w:val="16"/>
          <w:lang w:eastAsia="es-PE"/>
        </w:rPr>
        <w:t xml:space="preserve">, </w:t>
      </w:r>
      <w:r w:rsidRPr="00E3559F">
        <w:rPr>
          <w:i/>
          <w:sz w:val="16"/>
          <w:szCs w:val="16"/>
          <w:lang w:eastAsia="es-PE"/>
        </w:rPr>
        <w:t>supra,</w:t>
      </w:r>
      <w:r w:rsidRPr="00E3559F">
        <w:rPr>
          <w:sz w:val="16"/>
          <w:szCs w:val="16"/>
          <w:lang w:eastAsia="es-PE"/>
        </w:rPr>
        <w:t xml:space="preserve"> párr. 123.</w:t>
      </w:r>
    </w:p>
  </w:footnote>
  <w:footnote w:id="61">
    <w:p w14:paraId="3988B7CE" w14:textId="10561A77" w:rsidR="000C754E" w:rsidRPr="00E3559F" w:rsidRDefault="000C754E" w:rsidP="00555231">
      <w:pPr>
        <w:pStyle w:val="Textonotapie"/>
        <w:tabs>
          <w:tab w:val="left" w:pos="567"/>
        </w:tabs>
        <w:spacing w:before="40" w:after="40"/>
        <w:rPr>
          <w:rFonts w:cstheme="minorBidi"/>
          <w:bCs/>
          <w:sz w:val="16"/>
          <w:szCs w:val="16"/>
        </w:rPr>
      </w:pPr>
      <w:r w:rsidRPr="00E3559F">
        <w:rPr>
          <w:rStyle w:val="Refdenotaalpie"/>
          <w:rFonts w:eastAsia="Calibri"/>
          <w:sz w:val="16"/>
          <w:szCs w:val="16"/>
        </w:rPr>
        <w:footnoteRef/>
      </w:r>
      <w:r w:rsidRPr="00E3559F">
        <w:rPr>
          <w:sz w:val="16"/>
          <w:szCs w:val="16"/>
        </w:rPr>
        <w:t xml:space="preserve"> </w:t>
      </w:r>
      <w:r w:rsidRPr="00E3559F">
        <w:rPr>
          <w:sz w:val="16"/>
          <w:szCs w:val="16"/>
        </w:rPr>
        <w:tab/>
      </w:r>
      <w:r w:rsidRPr="00E3559F">
        <w:rPr>
          <w:i/>
          <w:sz w:val="16"/>
          <w:szCs w:val="16"/>
        </w:rPr>
        <w:t>Cfr. Caso Ticona Estrada Vs. Bolivia. Fondo, Reparaciones y Costas</w:t>
      </w:r>
      <w:r w:rsidRPr="00E3559F">
        <w:rPr>
          <w:sz w:val="16"/>
          <w:szCs w:val="16"/>
        </w:rPr>
        <w:t xml:space="preserve">. Sentencia de 27 de noviembre de 2008. Serie C No. 191, párr. 110, y </w:t>
      </w:r>
      <w:r w:rsidRPr="00E3559F">
        <w:rPr>
          <w:i/>
          <w:sz w:val="16"/>
          <w:szCs w:val="16"/>
          <w:lang w:eastAsia="es-PE"/>
        </w:rPr>
        <w:t>Caso Azul Rojas Marín y otra Vs. Perú, supra</w:t>
      </w:r>
      <w:r w:rsidRPr="00E3559F">
        <w:rPr>
          <w:sz w:val="16"/>
          <w:szCs w:val="16"/>
          <w:lang w:eastAsia="es-PE"/>
        </w:rPr>
        <w:t>,</w:t>
      </w:r>
      <w:r w:rsidRPr="00E3559F">
        <w:rPr>
          <w:i/>
          <w:sz w:val="16"/>
          <w:szCs w:val="16"/>
          <w:lang w:eastAsia="es-PE"/>
        </w:rPr>
        <w:t xml:space="preserve"> </w:t>
      </w:r>
      <w:r w:rsidRPr="00E3559F">
        <w:rPr>
          <w:sz w:val="16"/>
          <w:szCs w:val="16"/>
          <w:lang w:eastAsia="es-PE"/>
        </w:rPr>
        <w:t>párr. 224.</w:t>
      </w:r>
    </w:p>
  </w:footnote>
  <w:footnote w:id="62">
    <w:p w14:paraId="4D002091" w14:textId="688FEFE7" w:rsidR="000C754E" w:rsidRPr="00E3559F" w:rsidRDefault="000C754E" w:rsidP="00555231">
      <w:pPr>
        <w:pStyle w:val="Textonotapie"/>
        <w:tabs>
          <w:tab w:val="left" w:pos="567"/>
        </w:tabs>
        <w:spacing w:before="40" w:after="40"/>
        <w:rPr>
          <w:sz w:val="16"/>
          <w:szCs w:val="16"/>
          <w:lang w:eastAsia="es-PE"/>
        </w:rPr>
      </w:pPr>
      <w:r w:rsidRPr="00E3559F">
        <w:rPr>
          <w:rStyle w:val="Refdenotaalpie"/>
          <w:rFonts w:eastAsia="Calibri"/>
          <w:sz w:val="16"/>
          <w:szCs w:val="16"/>
        </w:rPr>
        <w:footnoteRef/>
      </w:r>
      <w:r w:rsidRPr="00E3559F">
        <w:rPr>
          <w:rFonts w:cs="Verdana"/>
          <w:bCs/>
          <w:sz w:val="16"/>
          <w:szCs w:val="16"/>
        </w:rPr>
        <w:tab/>
      </w:r>
      <w:r w:rsidRPr="00E3559F">
        <w:rPr>
          <w:i/>
          <w:sz w:val="16"/>
          <w:szCs w:val="16"/>
        </w:rPr>
        <w:t>Cfr.</w:t>
      </w:r>
      <w:r w:rsidRPr="00E3559F">
        <w:rPr>
          <w:bCs/>
          <w:i/>
          <w:sz w:val="16"/>
          <w:szCs w:val="16"/>
        </w:rPr>
        <w:t xml:space="preserve"> Caso Velásquez Rodríguez Vs. Honduras. </w:t>
      </w:r>
      <w:r w:rsidRPr="00E3559F">
        <w:rPr>
          <w:i/>
          <w:sz w:val="16"/>
          <w:szCs w:val="16"/>
        </w:rPr>
        <w:t>Reparaciones y Costas, supra</w:t>
      </w:r>
      <w:r w:rsidRPr="00E3559F">
        <w:rPr>
          <w:sz w:val="16"/>
          <w:szCs w:val="16"/>
        </w:rPr>
        <w:t xml:space="preserve">, párrs. 25 a 27, y </w:t>
      </w:r>
      <w:r w:rsidRPr="00E3559F">
        <w:rPr>
          <w:i/>
          <w:sz w:val="16"/>
          <w:szCs w:val="16"/>
          <w:lang w:eastAsia="es-PE"/>
        </w:rPr>
        <w:t>Caso Jenkins Vs. Argentina</w:t>
      </w:r>
      <w:r w:rsidRPr="00E3559F">
        <w:rPr>
          <w:sz w:val="16"/>
          <w:szCs w:val="16"/>
          <w:lang w:eastAsia="es-PE"/>
        </w:rPr>
        <w:t>,</w:t>
      </w:r>
      <w:r w:rsidRPr="00E3559F">
        <w:rPr>
          <w:i/>
          <w:sz w:val="16"/>
          <w:szCs w:val="16"/>
          <w:lang w:eastAsia="es-PE"/>
        </w:rPr>
        <w:t xml:space="preserve"> </w:t>
      </w:r>
      <w:r w:rsidRPr="00E3559F">
        <w:rPr>
          <w:sz w:val="16"/>
          <w:szCs w:val="16"/>
          <w:lang w:eastAsia="es-PE"/>
        </w:rPr>
        <w:t>párr. 125.</w:t>
      </w:r>
    </w:p>
  </w:footnote>
  <w:footnote w:id="63">
    <w:p w14:paraId="18943C34" w14:textId="0A6AB4C4" w:rsidR="000C754E" w:rsidRPr="00E3559F" w:rsidRDefault="000C754E" w:rsidP="00555231">
      <w:pPr>
        <w:tabs>
          <w:tab w:val="left" w:pos="567"/>
        </w:tabs>
        <w:spacing w:before="40" w:after="40" w:line="240" w:lineRule="auto"/>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Cfr. Caso Comunidad Indígena Yakye Axa Vs. Paraguay. Fondo Reparaciones y Costas.</w:t>
      </w:r>
      <w:r w:rsidRPr="00E3559F">
        <w:rPr>
          <w:sz w:val="16"/>
          <w:szCs w:val="16"/>
        </w:rPr>
        <w:t xml:space="preserve"> Sentencia 17 de junio de 2005. Serie C No. 125, párr. 227, y </w:t>
      </w:r>
      <w:r w:rsidRPr="00E3559F">
        <w:rPr>
          <w:rStyle w:val="Textoennegrita"/>
          <w:b w:val="0"/>
          <w:i/>
          <w:sz w:val="16"/>
          <w:szCs w:val="16"/>
          <w:shd w:val="clear" w:color="auto" w:fill="FFFFFF"/>
        </w:rPr>
        <w:t>Caso Jenkins Vs. Argentina, supra</w:t>
      </w:r>
      <w:r w:rsidRPr="00E3559F">
        <w:rPr>
          <w:rStyle w:val="Textoennegrita"/>
          <w:b w:val="0"/>
          <w:sz w:val="16"/>
          <w:szCs w:val="16"/>
          <w:shd w:val="clear" w:color="auto" w:fill="FFFFFF"/>
        </w:rPr>
        <w:t xml:space="preserve">, párr. 134. </w:t>
      </w:r>
    </w:p>
  </w:footnote>
  <w:footnote w:id="64">
    <w:p w14:paraId="03CFC48A" w14:textId="1E308BBE" w:rsidR="000C754E" w:rsidRPr="00E3559F" w:rsidRDefault="000C754E" w:rsidP="00555231">
      <w:pPr>
        <w:tabs>
          <w:tab w:val="left" w:pos="567"/>
        </w:tabs>
        <w:spacing w:before="40" w:after="40" w:line="240" w:lineRule="auto"/>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iCs/>
          <w:sz w:val="16"/>
          <w:szCs w:val="16"/>
        </w:rPr>
        <w:t>Cfr</w:t>
      </w:r>
      <w:r w:rsidRPr="00E3559F">
        <w:rPr>
          <w:sz w:val="16"/>
          <w:szCs w:val="16"/>
        </w:rPr>
        <w:t xml:space="preserve">. Ley No. 10.457, en virtud de la cual se modifica el Código Procesal Penal de la Provincia de Córdoba, Boletín Oficial de la Provincia de Córdoba de 16 de junio de 2017, disponible aquí: </w:t>
      </w:r>
      <w:hyperlink r:id="rId3" w:history="1">
        <w:r w:rsidRPr="008608F3">
          <w:rPr>
            <w:rStyle w:val="Hipervnculo"/>
            <w:sz w:val="16"/>
            <w:szCs w:val="16"/>
          </w:rPr>
          <w:t>https://boletinoficial.cba.gov.ar/wp-content/4p96humuzp/2017/06/1_Secc_16062017_EXTRAODINARIA.pdf</w:t>
        </w:r>
      </w:hyperlink>
      <w:r w:rsidRPr="00E3559F">
        <w:rPr>
          <w:sz w:val="16"/>
          <w:szCs w:val="16"/>
        </w:rPr>
        <w:t xml:space="preserve"> </w:t>
      </w:r>
    </w:p>
  </w:footnote>
  <w:footnote w:id="65">
    <w:p w14:paraId="38ABB4A4"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 xml:space="preserve">Cfr. </w:t>
      </w:r>
      <w:r w:rsidRPr="00E3559F">
        <w:rPr>
          <w:sz w:val="16"/>
          <w:szCs w:val="16"/>
        </w:rPr>
        <w:t xml:space="preserve">Sentencia de la Corte Suprema de Justicia de la Nación dictada en la causa “Casal, Matías Eugenio y otros s/ robo simple en grado de tentativa”, de20 de septiembre de 2005. </w:t>
      </w:r>
    </w:p>
  </w:footnote>
  <w:footnote w:id="66">
    <w:p w14:paraId="2E3DCE7F" w14:textId="77777777" w:rsidR="000C754E" w:rsidRPr="00E3559F" w:rsidRDefault="000C754E" w:rsidP="00555231">
      <w:pPr>
        <w:pStyle w:val="Textonotapie"/>
        <w:tabs>
          <w:tab w:val="left" w:pos="567"/>
        </w:tabs>
        <w:spacing w:before="40" w:after="40"/>
        <w:rPr>
          <w:sz w:val="16"/>
          <w:szCs w:val="16"/>
          <w:lang w:val="es-CR"/>
        </w:rPr>
      </w:pPr>
      <w:r w:rsidRPr="00E3559F">
        <w:rPr>
          <w:rStyle w:val="Refdenotaalpie"/>
          <w:sz w:val="16"/>
          <w:szCs w:val="16"/>
        </w:rPr>
        <w:footnoteRef/>
      </w:r>
      <w:r w:rsidRPr="00E3559F">
        <w:rPr>
          <w:sz w:val="16"/>
          <w:szCs w:val="16"/>
        </w:rPr>
        <w:t xml:space="preserve"> </w:t>
      </w:r>
      <w:r w:rsidRPr="00E3559F">
        <w:rPr>
          <w:sz w:val="16"/>
          <w:szCs w:val="16"/>
        </w:rPr>
        <w:tab/>
      </w:r>
      <w:r w:rsidRPr="00E3559F">
        <w:rPr>
          <w:sz w:val="16"/>
          <w:szCs w:val="16"/>
          <w:lang w:val="es-CR"/>
        </w:rPr>
        <w:t>El artículo 456 del Código Procesal Penal de la Nación tiene un contenido casi idéntico a</w:t>
      </w:r>
      <w:r w:rsidRPr="00E3559F">
        <w:rPr>
          <w:sz w:val="16"/>
          <w:szCs w:val="16"/>
        </w:rPr>
        <w:t>l ya citado artículo 468 del CPPC.</w:t>
      </w:r>
    </w:p>
  </w:footnote>
  <w:footnote w:id="67">
    <w:p w14:paraId="1427AC97" w14:textId="77777777" w:rsidR="000C754E" w:rsidRPr="00E3559F" w:rsidRDefault="000C754E" w:rsidP="00555231">
      <w:pPr>
        <w:pStyle w:val="Textonotapie"/>
        <w:tabs>
          <w:tab w:val="left" w:pos="567"/>
        </w:tabs>
        <w:spacing w:before="40" w:after="40"/>
        <w:rPr>
          <w:sz w:val="16"/>
          <w:szCs w:val="16"/>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 xml:space="preserve">Cfr. </w:t>
      </w:r>
      <w:r w:rsidRPr="00E3559F">
        <w:rPr>
          <w:sz w:val="16"/>
          <w:szCs w:val="16"/>
        </w:rPr>
        <w:t>Sentencia de la Corte Suprema de Justicia de la Nación dictada en la causa “Casal, Matías Eugenio y otros s/ robo simple en grado de tentativa”, de20 de septiembre de 2005.</w:t>
      </w:r>
    </w:p>
  </w:footnote>
  <w:footnote w:id="68">
    <w:p w14:paraId="46506D0B" w14:textId="3C94A8D1" w:rsidR="000C754E" w:rsidRPr="00E3559F" w:rsidRDefault="000C754E" w:rsidP="00555231">
      <w:pPr>
        <w:pStyle w:val="Textonotapie"/>
        <w:tabs>
          <w:tab w:val="left" w:pos="567"/>
        </w:tabs>
        <w:spacing w:before="40" w:after="40"/>
        <w:rPr>
          <w:sz w:val="16"/>
          <w:szCs w:val="16"/>
          <w:lang w:eastAsia="es-PE"/>
        </w:rPr>
      </w:pPr>
      <w:r w:rsidRPr="00E3559F">
        <w:rPr>
          <w:rStyle w:val="Refdenotaalpie"/>
          <w:sz w:val="16"/>
          <w:szCs w:val="16"/>
        </w:rPr>
        <w:footnoteRef/>
      </w:r>
      <w:r w:rsidRPr="00E3559F">
        <w:rPr>
          <w:sz w:val="16"/>
          <w:szCs w:val="16"/>
        </w:rPr>
        <w:t xml:space="preserve"> </w:t>
      </w:r>
      <w:r w:rsidRPr="00E3559F">
        <w:rPr>
          <w:sz w:val="16"/>
          <w:szCs w:val="16"/>
        </w:rPr>
        <w:tab/>
      </w:r>
      <w:r w:rsidRPr="00E3559F">
        <w:rPr>
          <w:i/>
          <w:iCs/>
          <w:sz w:val="16"/>
          <w:szCs w:val="16"/>
          <w:lang w:val="es-ES" w:eastAsia="es-ES_tradnl"/>
        </w:rPr>
        <w:t>Cfr. Caso Mendoza y otros Vs. Argentina, supra</w:t>
      </w:r>
      <w:r w:rsidRPr="00E3559F">
        <w:rPr>
          <w:sz w:val="16"/>
          <w:szCs w:val="16"/>
          <w:lang w:val="es-ES" w:eastAsia="es-ES_tradnl"/>
        </w:rPr>
        <w:t xml:space="preserve">, párrs. 301-303 y Punto Resolutivo 22, y </w:t>
      </w:r>
      <w:r w:rsidRPr="00E3559F">
        <w:rPr>
          <w:i/>
          <w:sz w:val="16"/>
          <w:szCs w:val="16"/>
          <w:lang w:eastAsia="es-PE"/>
        </w:rPr>
        <w:t>Caso Gorigoitía Vs. Argentina, supra</w:t>
      </w:r>
      <w:r w:rsidRPr="00E3559F">
        <w:rPr>
          <w:sz w:val="16"/>
          <w:szCs w:val="16"/>
          <w:lang w:eastAsia="es-PE"/>
        </w:rPr>
        <w:t>,</w:t>
      </w:r>
      <w:r w:rsidRPr="00E3559F">
        <w:rPr>
          <w:i/>
          <w:sz w:val="16"/>
          <w:szCs w:val="16"/>
          <w:lang w:eastAsia="es-PE"/>
        </w:rPr>
        <w:t xml:space="preserve"> </w:t>
      </w:r>
      <w:r w:rsidRPr="00E3559F">
        <w:rPr>
          <w:sz w:val="16"/>
          <w:szCs w:val="16"/>
          <w:lang w:eastAsia="es-PE"/>
        </w:rPr>
        <w:t>párrs. 56 y 58</w:t>
      </w:r>
      <w:r w:rsidRPr="00E3559F">
        <w:rPr>
          <w:iCs/>
          <w:sz w:val="16"/>
          <w:szCs w:val="16"/>
          <w:lang w:eastAsia="es-PE"/>
        </w:rPr>
        <w:t xml:space="preserve"> y Punto Resolutivo 3</w:t>
      </w:r>
      <w:r w:rsidRPr="00E3559F">
        <w:rPr>
          <w:sz w:val="16"/>
          <w:szCs w:val="16"/>
          <w:lang w:eastAsia="es-PE"/>
        </w:rPr>
        <w:t>.</w:t>
      </w:r>
    </w:p>
  </w:footnote>
  <w:footnote w:id="69">
    <w:p w14:paraId="09D667BE" w14:textId="150C525B" w:rsidR="000C754E" w:rsidRPr="00E3559F" w:rsidRDefault="000C754E" w:rsidP="00555231">
      <w:pPr>
        <w:tabs>
          <w:tab w:val="left" w:pos="567"/>
        </w:tabs>
        <w:spacing w:before="40" w:after="40" w:line="240" w:lineRule="auto"/>
        <w:rPr>
          <w:sz w:val="16"/>
          <w:szCs w:val="16"/>
          <w:lang w:val="es-ES" w:eastAsia="en-US"/>
        </w:rPr>
      </w:pPr>
      <w:r w:rsidRPr="00E3559F">
        <w:rPr>
          <w:rStyle w:val="Refdenotaalpie"/>
          <w:sz w:val="16"/>
          <w:szCs w:val="16"/>
        </w:rPr>
        <w:footnoteRef/>
      </w:r>
      <w:r w:rsidRPr="00E3559F">
        <w:rPr>
          <w:sz w:val="16"/>
          <w:szCs w:val="16"/>
        </w:rPr>
        <w:t xml:space="preserve"> </w:t>
      </w:r>
      <w:r w:rsidRPr="00E3559F">
        <w:rPr>
          <w:sz w:val="16"/>
          <w:szCs w:val="16"/>
        </w:rPr>
        <w:tab/>
      </w:r>
      <w:r w:rsidRPr="00E3559F">
        <w:rPr>
          <w:i/>
          <w:sz w:val="16"/>
          <w:szCs w:val="16"/>
        </w:rPr>
        <w:t xml:space="preserve">Cfr. </w:t>
      </w:r>
      <w:r w:rsidRPr="00E3559F">
        <w:rPr>
          <w:bCs/>
          <w:i/>
          <w:sz w:val="16"/>
          <w:szCs w:val="16"/>
          <w:lang w:val="es-ES" w:eastAsia="en-US"/>
        </w:rPr>
        <w:t>Caso Mendoza y otros Vs. Argentina, supra</w:t>
      </w:r>
      <w:r w:rsidRPr="00E3559F">
        <w:rPr>
          <w:bCs/>
          <w:sz w:val="16"/>
          <w:szCs w:val="16"/>
          <w:lang w:val="es-ES" w:eastAsia="en-US"/>
        </w:rPr>
        <w:t>, párr. 331 y Punto Resolutivo 22, y</w:t>
      </w:r>
      <w:r w:rsidRPr="00E3559F">
        <w:rPr>
          <w:sz w:val="16"/>
          <w:szCs w:val="16"/>
          <w:lang w:val="es-ES" w:eastAsia="en-US"/>
        </w:rPr>
        <w:t xml:space="preserve"> </w:t>
      </w:r>
      <w:r w:rsidRPr="00E3559F">
        <w:rPr>
          <w:bCs/>
          <w:i/>
          <w:sz w:val="16"/>
          <w:szCs w:val="16"/>
          <w:lang w:val="es-ES" w:eastAsia="en-US"/>
        </w:rPr>
        <w:t>Caso Gorigoitía Vs. Argentina, supra</w:t>
      </w:r>
      <w:r w:rsidRPr="00E3559F">
        <w:rPr>
          <w:bCs/>
          <w:sz w:val="16"/>
          <w:szCs w:val="16"/>
          <w:lang w:val="es-ES" w:eastAsia="en-US"/>
        </w:rPr>
        <w:t xml:space="preserve">, párr. 73 y punto Resolutivo 9. </w:t>
      </w:r>
    </w:p>
  </w:footnote>
  <w:footnote w:id="70">
    <w:p w14:paraId="31CAEEEC" w14:textId="07E647E3" w:rsidR="000C754E" w:rsidRPr="00E3559F" w:rsidRDefault="000C754E" w:rsidP="00555231">
      <w:pPr>
        <w:tabs>
          <w:tab w:val="left" w:pos="567"/>
        </w:tabs>
        <w:spacing w:before="40" w:after="40" w:line="240" w:lineRule="auto"/>
        <w:rPr>
          <w:sz w:val="16"/>
          <w:szCs w:val="16"/>
        </w:rPr>
      </w:pPr>
      <w:r w:rsidRPr="00E3559F">
        <w:rPr>
          <w:rStyle w:val="Refdenotaalpie"/>
          <w:rFonts w:eastAsia="Calibri"/>
          <w:sz w:val="16"/>
          <w:szCs w:val="16"/>
        </w:rPr>
        <w:footnoteRef/>
      </w:r>
      <w:r w:rsidRPr="00E3559F">
        <w:rPr>
          <w:sz w:val="16"/>
          <w:szCs w:val="16"/>
        </w:rPr>
        <w:t xml:space="preserve"> </w:t>
      </w:r>
      <w:r w:rsidRPr="00E3559F">
        <w:rPr>
          <w:sz w:val="16"/>
          <w:szCs w:val="16"/>
        </w:rPr>
        <w:tab/>
      </w:r>
      <w:r w:rsidRPr="00E3559F">
        <w:rPr>
          <w:i/>
          <w:sz w:val="16"/>
          <w:szCs w:val="16"/>
        </w:rPr>
        <w:t>Cfr. Caso de los “Niños de la Calle” (Villagrán Morales y otros) Vs. Guatemala</w:t>
      </w:r>
      <w:r w:rsidRPr="00E3559F">
        <w:rPr>
          <w:sz w:val="16"/>
          <w:szCs w:val="16"/>
        </w:rPr>
        <w:t xml:space="preserve">. </w:t>
      </w:r>
      <w:r w:rsidRPr="00E3559F">
        <w:rPr>
          <w:i/>
          <w:sz w:val="16"/>
          <w:szCs w:val="16"/>
        </w:rPr>
        <w:t xml:space="preserve">Reparaciones y Costas, supra, </w:t>
      </w:r>
      <w:r w:rsidRPr="00E3559F">
        <w:rPr>
          <w:sz w:val="16"/>
          <w:szCs w:val="16"/>
        </w:rPr>
        <w:t xml:space="preserve">párr. 84, y </w:t>
      </w:r>
      <w:r w:rsidRPr="00E3559F">
        <w:rPr>
          <w:rStyle w:val="Textoennegrita"/>
          <w:b w:val="0"/>
          <w:i/>
          <w:sz w:val="16"/>
          <w:szCs w:val="16"/>
          <w:shd w:val="clear" w:color="auto" w:fill="FFFFFF"/>
        </w:rPr>
        <w:t xml:space="preserve">Caso Carranza Alarcón Vs. Ecuador. Excepciones Preliminares, Fondo, Reparaciones y Costas. </w:t>
      </w:r>
      <w:r w:rsidRPr="00E3559F">
        <w:rPr>
          <w:rStyle w:val="Textoennegrita"/>
          <w:b w:val="0"/>
          <w:sz w:val="16"/>
          <w:szCs w:val="16"/>
          <w:shd w:val="clear" w:color="auto" w:fill="FFFFFF"/>
        </w:rPr>
        <w:t>Sentencia de 3 de febrero de 2020. Serie C No. 399, párr. 108.</w:t>
      </w:r>
    </w:p>
  </w:footnote>
  <w:footnote w:id="71">
    <w:p w14:paraId="291DC4A8" w14:textId="340A8041" w:rsidR="000C754E" w:rsidRPr="00E3559F" w:rsidRDefault="000C754E" w:rsidP="0088552B">
      <w:pPr>
        <w:tabs>
          <w:tab w:val="left" w:pos="567"/>
        </w:tabs>
        <w:spacing w:before="40" w:after="40" w:line="240" w:lineRule="auto"/>
        <w:rPr>
          <w:sz w:val="16"/>
          <w:szCs w:val="16"/>
        </w:rPr>
      </w:pPr>
      <w:r w:rsidRPr="00E3559F">
        <w:rPr>
          <w:rStyle w:val="Refdenotaalpie"/>
          <w:rFonts w:eastAsia="Calibri"/>
          <w:sz w:val="16"/>
          <w:szCs w:val="16"/>
        </w:rPr>
        <w:footnoteRef/>
      </w:r>
      <w:r w:rsidRPr="00E3559F">
        <w:rPr>
          <w:sz w:val="16"/>
          <w:szCs w:val="16"/>
        </w:rPr>
        <w:tab/>
      </w:r>
      <w:r w:rsidRPr="00E3559F">
        <w:rPr>
          <w:i/>
          <w:sz w:val="16"/>
          <w:szCs w:val="16"/>
        </w:rPr>
        <w:t xml:space="preserve">Cfr. </w:t>
      </w:r>
      <w:r w:rsidRPr="00E3559F">
        <w:rPr>
          <w:sz w:val="16"/>
          <w:szCs w:val="16"/>
        </w:rPr>
        <w:t xml:space="preserve">Artículo 40.d del Reglamento de la Corte. Véase también, </w:t>
      </w:r>
      <w:r w:rsidRPr="00E3559F">
        <w:rPr>
          <w:rFonts w:eastAsia="Calibri"/>
          <w:bCs/>
          <w:i/>
          <w:sz w:val="16"/>
          <w:szCs w:val="16"/>
          <w:shd w:val="clear" w:color="auto" w:fill="FFFFFF"/>
        </w:rPr>
        <w:t>Caso Garrido y Baigorria Vs. Argentina. Reparaciones y Costas, supra</w:t>
      </w:r>
      <w:r w:rsidRPr="00E3559F">
        <w:rPr>
          <w:sz w:val="16"/>
          <w:szCs w:val="16"/>
        </w:rPr>
        <w:t xml:space="preserve">, párrs. 79 y 82, y </w:t>
      </w:r>
      <w:r w:rsidRPr="00E3559F">
        <w:rPr>
          <w:i/>
          <w:sz w:val="16"/>
          <w:szCs w:val="16"/>
        </w:rPr>
        <w:t>Caso Coc Max y otros (Masacre de Xamán) Vs. Guatemala</w:t>
      </w:r>
      <w:r w:rsidRPr="00E3559F">
        <w:rPr>
          <w:sz w:val="16"/>
          <w:szCs w:val="16"/>
        </w:rPr>
        <w:t xml:space="preserve">. </w:t>
      </w:r>
      <w:r w:rsidRPr="00E3559F">
        <w:rPr>
          <w:rFonts w:cs="Arial"/>
          <w:i/>
          <w:sz w:val="16"/>
          <w:shd w:val="clear" w:color="auto" w:fill="FFFFFF"/>
        </w:rPr>
        <w:t>Fondo, Reparaciones y Costas</w:t>
      </w:r>
      <w:r w:rsidRPr="00E3559F">
        <w:rPr>
          <w:rFonts w:cs="Arial"/>
          <w:sz w:val="16"/>
          <w:shd w:val="clear" w:color="auto" w:fill="FFFFFF"/>
        </w:rPr>
        <w:t>. Sentencia de 22 de agosto de 2018. Serie C No. 356</w:t>
      </w:r>
      <w:r w:rsidRPr="00E3559F">
        <w:rPr>
          <w:sz w:val="16"/>
          <w:szCs w:val="16"/>
        </w:rPr>
        <w:t>, párr. 194.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792B4" w14:textId="19E74EE3" w:rsidR="000C754E" w:rsidRDefault="000C754E">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36A7656C"/>
    <w:multiLevelType w:val="hybridMultilevel"/>
    <w:tmpl w:val="FE50DD7A"/>
    <w:lvl w:ilvl="0" w:tplc="3BD24E3A">
      <w:start w:val="1"/>
      <w:numFmt w:val="decimal"/>
      <w:lvlText w:val="A.%1."/>
      <w:lvlJc w:val="left"/>
      <w:pPr>
        <w:ind w:left="1353" w:hanging="360"/>
      </w:pPr>
      <w:rPr>
        <w:rFonts w:hint="default"/>
        <w:b/>
        <w:i w:val="0"/>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48BA8498">
      <w:start w:val="1"/>
      <w:numFmt w:val="decimal"/>
      <w:lvlText w:val="%4."/>
      <w:lvlJc w:val="left"/>
      <w:pPr>
        <w:ind w:left="2596" w:hanging="360"/>
      </w:pPr>
      <w:rPr>
        <w:rFonts w:ascii="Verdana" w:hAnsi="Verdana" w:hint="default"/>
        <w:b w:val="0"/>
        <w:bCs w:val="0"/>
        <w:i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4A5A34C0"/>
    <w:multiLevelType w:val="hybridMultilevel"/>
    <w:tmpl w:val="1562A86E"/>
    <w:lvl w:ilvl="0" w:tplc="ECAC0394">
      <w:start w:val="1"/>
      <w:numFmt w:val="upperLetter"/>
      <w:pStyle w:val="Ttulo2"/>
      <w:lvlText w:val="%1."/>
      <w:lvlJc w:val="left"/>
      <w:pPr>
        <w:ind w:left="1147" w:hanging="585"/>
      </w:pPr>
      <w:rPr>
        <w:rFonts w:hint="default"/>
      </w:rPr>
    </w:lvl>
    <w:lvl w:ilvl="1" w:tplc="140A0019" w:tentative="1">
      <w:start w:val="1"/>
      <w:numFmt w:val="lowerLetter"/>
      <w:lvlText w:val="%2."/>
      <w:lvlJc w:val="left"/>
      <w:pPr>
        <w:ind w:left="1642" w:hanging="360"/>
      </w:pPr>
    </w:lvl>
    <w:lvl w:ilvl="2" w:tplc="140A001B" w:tentative="1">
      <w:start w:val="1"/>
      <w:numFmt w:val="lowerRoman"/>
      <w:lvlText w:val="%3."/>
      <w:lvlJc w:val="right"/>
      <w:pPr>
        <w:ind w:left="2362" w:hanging="180"/>
      </w:pPr>
    </w:lvl>
    <w:lvl w:ilvl="3" w:tplc="140A000F" w:tentative="1">
      <w:start w:val="1"/>
      <w:numFmt w:val="decimal"/>
      <w:lvlText w:val="%4."/>
      <w:lvlJc w:val="left"/>
      <w:pPr>
        <w:ind w:left="3082" w:hanging="360"/>
      </w:pPr>
    </w:lvl>
    <w:lvl w:ilvl="4" w:tplc="140A0019" w:tentative="1">
      <w:start w:val="1"/>
      <w:numFmt w:val="lowerLetter"/>
      <w:lvlText w:val="%5."/>
      <w:lvlJc w:val="left"/>
      <w:pPr>
        <w:ind w:left="3802" w:hanging="360"/>
      </w:pPr>
    </w:lvl>
    <w:lvl w:ilvl="5" w:tplc="140A001B" w:tentative="1">
      <w:start w:val="1"/>
      <w:numFmt w:val="lowerRoman"/>
      <w:lvlText w:val="%6."/>
      <w:lvlJc w:val="right"/>
      <w:pPr>
        <w:ind w:left="4522" w:hanging="180"/>
      </w:pPr>
    </w:lvl>
    <w:lvl w:ilvl="6" w:tplc="140A000F" w:tentative="1">
      <w:start w:val="1"/>
      <w:numFmt w:val="decimal"/>
      <w:lvlText w:val="%7."/>
      <w:lvlJc w:val="left"/>
      <w:pPr>
        <w:ind w:left="5242" w:hanging="360"/>
      </w:pPr>
    </w:lvl>
    <w:lvl w:ilvl="7" w:tplc="140A0019" w:tentative="1">
      <w:start w:val="1"/>
      <w:numFmt w:val="lowerLetter"/>
      <w:lvlText w:val="%8."/>
      <w:lvlJc w:val="left"/>
      <w:pPr>
        <w:ind w:left="5962" w:hanging="360"/>
      </w:pPr>
    </w:lvl>
    <w:lvl w:ilvl="8" w:tplc="140A001B" w:tentative="1">
      <w:start w:val="1"/>
      <w:numFmt w:val="lowerRoman"/>
      <w:lvlText w:val="%9."/>
      <w:lvlJc w:val="right"/>
      <w:pPr>
        <w:ind w:left="6682" w:hanging="180"/>
      </w:pPr>
    </w:lvl>
  </w:abstractNum>
  <w:abstractNum w:abstractNumId="6"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354707"/>
    <w:multiLevelType w:val="hybridMultilevel"/>
    <w:tmpl w:val="D658A5F6"/>
    <w:lvl w:ilvl="0" w:tplc="E878CDC4">
      <w:start w:val="1"/>
      <w:numFmt w:val="decimal"/>
      <w:lvlText w:val="%1."/>
      <w:lvlJc w:val="left"/>
      <w:pPr>
        <w:ind w:left="730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7"/>
  </w:num>
  <w:num w:numId="2">
    <w:abstractNumId w:val="0"/>
  </w:num>
  <w:num w:numId="3">
    <w:abstractNumId w:val="1"/>
  </w:num>
  <w:num w:numId="4">
    <w:abstractNumId w:val="6"/>
  </w:num>
  <w:num w:numId="5">
    <w:abstractNumId w:val="4"/>
  </w:num>
  <w:num w:numId="6">
    <w:abstractNumId w:val="2"/>
  </w:num>
  <w:num w:numId="7">
    <w:abstractNumId w:val="5"/>
  </w:num>
  <w:num w:numId="8">
    <w:abstractNumId w:val="3"/>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D5A"/>
    <w:rsid w:val="000013C4"/>
    <w:rsid w:val="0000216B"/>
    <w:rsid w:val="00004CA5"/>
    <w:rsid w:val="00005674"/>
    <w:rsid w:val="000057B2"/>
    <w:rsid w:val="000060F7"/>
    <w:rsid w:val="00006191"/>
    <w:rsid w:val="000065D4"/>
    <w:rsid w:val="000066F6"/>
    <w:rsid w:val="00006F24"/>
    <w:rsid w:val="0000748D"/>
    <w:rsid w:val="000075D9"/>
    <w:rsid w:val="00010074"/>
    <w:rsid w:val="00010713"/>
    <w:rsid w:val="0001079E"/>
    <w:rsid w:val="00011243"/>
    <w:rsid w:val="000119D9"/>
    <w:rsid w:val="00011B52"/>
    <w:rsid w:val="00013CDD"/>
    <w:rsid w:val="000145B1"/>
    <w:rsid w:val="00014C38"/>
    <w:rsid w:val="000150BB"/>
    <w:rsid w:val="000152F8"/>
    <w:rsid w:val="00015C24"/>
    <w:rsid w:val="00015C89"/>
    <w:rsid w:val="00015D01"/>
    <w:rsid w:val="00015E97"/>
    <w:rsid w:val="00017FB2"/>
    <w:rsid w:val="000219C2"/>
    <w:rsid w:val="00022935"/>
    <w:rsid w:val="00022EFC"/>
    <w:rsid w:val="00023A4C"/>
    <w:rsid w:val="00023C79"/>
    <w:rsid w:val="00023D25"/>
    <w:rsid w:val="00023DD8"/>
    <w:rsid w:val="000248ED"/>
    <w:rsid w:val="00025297"/>
    <w:rsid w:val="0002534F"/>
    <w:rsid w:val="00025B68"/>
    <w:rsid w:val="00026DF3"/>
    <w:rsid w:val="00026EB0"/>
    <w:rsid w:val="0002702C"/>
    <w:rsid w:val="00027F4E"/>
    <w:rsid w:val="000302FF"/>
    <w:rsid w:val="000307C5"/>
    <w:rsid w:val="00031B06"/>
    <w:rsid w:val="00033061"/>
    <w:rsid w:val="00033407"/>
    <w:rsid w:val="00033D3F"/>
    <w:rsid w:val="00034096"/>
    <w:rsid w:val="00035149"/>
    <w:rsid w:val="0003516E"/>
    <w:rsid w:val="000353F2"/>
    <w:rsid w:val="00036060"/>
    <w:rsid w:val="0003622E"/>
    <w:rsid w:val="0003688E"/>
    <w:rsid w:val="00036ECB"/>
    <w:rsid w:val="00037672"/>
    <w:rsid w:val="000377EF"/>
    <w:rsid w:val="00040E00"/>
    <w:rsid w:val="00040F1D"/>
    <w:rsid w:val="0004216E"/>
    <w:rsid w:val="0004271F"/>
    <w:rsid w:val="00042AEA"/>
    <w:rsid w:val="000437D3"/>
    <w:rsid w:val="00044E42"/>
    <w:rsid w:val="00046D65"/>
    <w:rsid w:val="0004777D"/>
    <w:rsid w:val="00047DCB"/>
    <w:rsid w:val="00047DD6"/>
    <w:rsid w:val="00047F6F"/>
    <w:rsid w:val="00050831"/>
    <w:rsid w:val="00050A16"/>
    <w:rsid w:val="00050E74"/>
    <w:rsid w:val="000529DE"/>
    <w:rsid w:val="00052E3A"/>
    <w:rsid w:val="00052EF0"/>
    <w:rsid w:val="00052FB4"/>
    <w:rsid w:val="000535E0"/>
    <w:rsid w:val="00054807"/>
    <w:rsid w:val="00056701"/>
    <w:rsid w:val="0005756C"/>
    <w:rsid w:val="00057611"/>
    <w:rsid w:val="0005766E"/>
    <w:rsid w:val="00060934"/>
    <w:rsid w:val="00060BEC"/>
    <w:rsid w:val="000622DD"/>
    <w:rsid w:val="00062341"/>
    <w:rsid w:val="00063252"/>
    <w:rsid w:val="0006358C"/>
    <w:rsid w:val="0006421B"/>
    <w:rsid w:val="00064278"/>
    <w:rsid w:val="00064DB0"/>
    <w:rsid w:val="0006563B"/>
    <w:rsid w:val="0006564C"/>
    <w:rsid w:val="00065BE5"/>
    <w:rsid w:val="000678D0"/>
    <w:rsid w:val="00067956"/>
    <w:rsid w:val="000707F1"/>
    <w:rsid w:val="00070EAD"/>
    <w:rsid w:val="00070F7A"/>
    <w:rsid w:val="00071411"/>
    <w:rsid w:val="00072C3E"/>
    <w:rsid w:val="00073696"/>
    <w:rsid w:val="000736FB"/>
    <w:rsid w:val="00073A0C"/>
    <w:rsid w:val="00073A7F"/>
    <w:rsid w:val="00073AD4"/>
    <w:rsid w:val="00073CEA"/>
    <w:rsid w:val="0007543A"/>
    <w:rsid w:val="00075902"/>
    <w:rsid w:val="00075BE0"/>
    <w:rsid w:val="000761D6"/>
    <w:rsid w:val="00076CA9"/>
    <w:rsid w:val="00076D0F"/>
    <w:rsid w:val="0007793F"/>
    <w:rsid w:val="00080917"/>
    <w:rsid w:val="00081AA6"/>
    <w:rsid w:val="00081F12"/>
    <w:rsid w:val="00082EEC"/>
    <w:rsid w:val="00083381"/>
    <w:rsid w:val="000844E9"/>
    <w:rsid w:val="000846D3"/>
    <w:rsid w:val="000876F6"/>
    <w:rsid w:val="00091056"/>
    <w:rsid w:val="000912D6"/>
    <w:rsid w:val="00092EE7"/>
    <w:rsid w:val="00094210"/>
    <w:rsid w:val="00094C95"/>
    <w:rsid w:val="00095517"/>
    <w:rsid w:val="000958F1"/>
    <w:rsid w:val="0009788A"/>
    <w:rsid w:val="000A01F8"/>
    <w:rsid w:val="000A0A5C"/>
    <w:rsid w:val="000A1014"/>
    <w:rsid w:val="000A137A"/>
    <w:rsid w:val="000A154C"/>
    <w:rsid w:val="000A3602"/>
    <w:rsid w:val="000A3B04"/>
    <w:rsid w:val="000A3CB7"/>
    <w:rsid w:val="000A46D9"/>
    <w:rsid w:val="000A4902"/>
    <w:rsid w:val="000A5CBC"/>
    <w:rsid w:val="000A63C3"/>
    <w:rsid w:val="000A63FD"/>
    <w:rsid w:val="000A71C6"/>
    <w:rsid w:val="000A74A9"/>
    <w:rsid w:val="000B045C"/>
    <w:rsid w:val="000B054A"/>
    <w:rsid w:val="000B0FF3"/>
    <w:rsid w:val="000B196F"/>
    <w:rsid w:val="000B21B2"/>
    <w:rsid w:val="000B37EE"/>
    <w:rsid w:val="000B3E8C"/>
    <w:rsid w:val="000B44B4"/>
    <w:rsid w:val="000B44D3"/>
    <w:rsid w:val="000B4B2C"/>
    <w:rsid w:val="000B5710"/>
    <w:rsid w:val="000B5809"/>
    <w:rsid w:val="000B5E3C"/>
    <w:rsid w:val="000B6780"/>
    <w:rsid w:val="000B6A40"/>
    <w:rsid w:val="000B6AE8"/>
    <w:rsid w:val="000B7969"/>
    <w:rsid w:val="000B7C8E"/>
    <w:rsid w:val="000C10E7"/>
    <w:rsid w:val="000C3048"/>
    <w:rsid w:val="000C3751"/>
    <w:rsid w:val="000C375D"/>
    <w:rsid w:val="000C391B"/>
    <w:rsid w:val="000C40D9"/>
    <w:rsid w:val="000C4C35"/>
    <w:rsid w:val="000C4E98"/>
    <w:rsid w:val="000C55A0"/>
    <w:rsid w:val="000C56AE"/>
    <w:rsid w:val="000C5787"/>
    <w:rsid w:val="000C6E44"/>
    <w:rsid w:val="000C754E"/>
    <w:rsid w:val="000C78F9"/>
    <w:rsid w:val="000C79A0"/>
    <w:rsid w:val="000D02F4"/>
    <w:rsid w:val="000D08C9"/>
    <w:rsid w:val="000D0A93"/>
    <w:rsid w:val="000D1A8F"/>
    <w:rsid w:val="000D2B22"/>
    <w:rsid w:val="000D32D0"/>
    <w:rsid w:val="000D38BD"/>
    <w:rsid w:val="000D4369"/>
    <w:rsid w:val="000D44BB"/>
    <w:rsid w:val="000D492A"/>
    <w:rsid w:val="000D6188"/>
    <w:rsid w:val="000D6D73"/>
    <w:rsid w:val="000E04B9"/>
    <w:rsid w:val="000E0660"/>
    <w:rsid w:val="000E1DAF"/>
    <w:rsid w:val="000E1E5E"/>
    <w:rsid w:val="000E2128"/>
    <w:rsid w:val="000E2677"/>
    <w:rsid w:val="000E4099"/>
    <w:rsid w:val="000E42B1"/>
    <w:rsid w:val="000E43FA"/>
    <w:rsid w:val="000E770C"/>
    <w:rsid w:val="000E7AA5"/>
    <w:rsid w:val="000F061F"/>
    <w:rsid w:val="000F08F5"/>
    <w:rsid w:val="000F0BE5"/>
    <w:rsid w:val="000F0EA0"/>
    <w:rsid w:val="000F12EA"/>
    <w:rsid w:val="000F1D4A"/>
    <w:rsid w:val="000F1FF3"/>
    <w:rsid w:val="000F3072"/>
    <w:rsid w:val="000F32F3"/>
    <w:rsid w:val="000F398D"/>
    <w:rsid w:val="000F3A2D"/>
    <w:rsid w:val="000F40D5"/>
    <w:rsid w:val="000F43A8"/>
    <w:rsid w:val="000F44DC"/>
    <w:rsid w:val="000F64F4"/>
    <w:rsid w:val="000F670E"/>
    <w:rsid w:val="000F6998"/>
    <w:rsid w:val="000F751C"/>
    <w:rsid w:val="000F7AD4"/>
    <w:rsid w:val="000F7C16"/>
    <w:rsid w:val="00100403"/>
    <w:rsid w:val="0010044D"/>
    <w:rsid w:val="0010121D"/>
    <w:rsid w:val="001013A9"/>
    <w:rsid w:val="001028F3"/>
    <w:rsid w:val="00102B3B"/>
    <w:rsid w:val="001037AF"/>
    <w:rsid w:val="00104168"/>
    <w:rsid w:val="001044F0"/>
    <w:rsid w:val="0010513D"/>
    <w:rsid w:val="00106410"/>
    <w:rsid w:val="001065D3"/>
    <w:rsid w:val="00107357"/>
    <w:rsid w:val="00107A54"/>
    <w:rsid w:val="00110598"/>
    <w:rsid w:val="00112729"/>
    <w:rsid w:val="00113A46"/>
    <w:rsid w:val="0011573D"/>
    <w:rsid w:val="0011607E"/>
    <w:rsid w:val="00116B13"/>
    <w:rsid w:val="00117DD1"/>
    <w:rsid w:val="00120623"/>
    <w:rsid w:val="00120905"/>
    <w:rsid w:val="0012098C"/>
    <w:rsid w:val="00120EE2"/>
    <w:rsid w:val="00121D96"/>
    <w:rsid w:val="00121F1E"/>
    <w:rsid w:val="00121F48"/>
    <w:rsid w:val="0012229D"/>
    <w:rsid w:val="001228C1"/>
    <w:rsid w:val="00123029"/>
    <w:rsid w:val="00123D5C"/>
    <w:rsid w:val="00124176"/>
    <w:rsid w:val="00124228"/>
    <w:rsid w:val="00124B94"/>
    <w:rsid w:val="00124C0A"/>
    <w:rsid w:val="00126862"/>
    <w:rsid w:val="00126AF5"/>
    <w:rsid w:val="00126FE2"/>
    <w:rsid w:val="00127088"/>
    <w:rsid w:val="00127D3A"/>
    <w:rsid w:val="00130729"/>
    <w:rsid w:val="001307CB"/>
    <w:rsid w:val="00130B34"/>
    <w:rsid w:val="00130FE4"/>
    <w:rsid w:val="001319EF"/>
    <w:rsid w:val="0013206D"/>
    <w:rsid w:val="00132903"/>
    <w:rsid w:val="00132D04"/>
    <w:rsid w:val="00134281"/>
    <w:rsid w:val="001343EE"/>
    <w:rsid w:val="0013488A"/>
    <w:rsid w:val="00135293"/>
    <w:rsid w:val="00136B42"/>
    <w:rsid w:val="001406EF"/>
    <w:rsid w:val="00140896"/>
    <w:rsid w:val="00141068"/>
    <w:rsid w:val="0014173B"/>
    <w:rsid w:val="0014311E"/>
    <w:rsid w:val="0014406B"/>
    <w:rsid w:val="001447DE"/>
    <w:rsid w:val="001448A3"/>
    <w:rsid w:val="00144FA3"/>
    <w:rsid w:val="001458EB"/>
    <w:rsid w:val="00145DDC"/>
    <w:rsid w:val="00145F74"/>
    <w:rsid w:val="001468CE"/>
    <w:rsid w:val="00147A52"/>
    <w:rsid w:val="0015067E"/>
    <w:rsid w:val="0015243B"/>
    <w:rsid w:val="00152ADF"/>
    <w:rsid w:val="001537CB"/>
    <w:rsid w:val="00153ECC"/>
    <w:rsid w:val="00154B0D"/>
    <w:rsid w:val="0015605B"/>
    <w:rsid w:val="001562F3"/>
    <w:rsid w:val="00157362"/>
    <w:rsid w:val="00157D5B"/>
    <w:rsid w:val="00157F6E"/>
    <w:rsid w:val="00161121"/>
    <w:rsid w:val="001628E5"/>
    <w:rsid w:val="00162D4A"/>
    <w:rsid w:val="001654CD"/>
    <w:rsid w:val="00165892"/>
    <w:rsid w:val="00166CD6"/>
    <w:rsid w:val="00167C5B"/>
    <w:rsid w:val="001702C0"/>
    <w:rsid w:val="00170C72"/>
    <w:rsid w:val="00170CB2"/>
    <w:rsid w:val="001717EB"/>
    <w:rsid w:val="001734EC"/>
    <w:rsid w:val="001738E3"/>
    <w:rsid w:val="0017394C"/>
    <w:rsid w:val="001745CA"/>
    <w:rsid w:val="001746FB"/>
    <w:rsid w:val="00176377"/>
    <w:rsid w:val="00177A7B"/>
    <w:rsid w:val="001801E2"/>
    <w:rsid w:val="0018080F"/>
    <w:rsid w:val="0018152C"/>
    <w:rsid w:val="001821FB"/>
    <w:rsid w:val="00182C38"/>
    <w:rsid w:val="0018438F"/>
    <w:rsid w:val="001849BA"/>
    <w:rsid w:val="001849E1"/>
    <w:rsid w:val="0018508D"/>
    <w:rsid w:val="00186015"/>
    <w:rsid w:val="00186067"/>
    <w:rsid w:val="00186CD7"/>
    <w:rsid w:val="001870DC"/>
    <w:rsid w:val="00187212"/>
    <w:rsid w:val="00187A72"/>
    <w:rsid w:val="00190ED5"/>
    <w:rsid w:val="001913F3"/>
    <w:rsid w:val="00191B71"/>
    <w:rsid w:val="00192513"/>
    <w:rsid w:val="00192C3D"/>
    <w:rsid w:val="001930E0"/>
    <w:rsid w:val="00193149"/>
    <w:rsid w:val="0019317C"/>
    <w:rsid w:val="00193F2F"/>
    <w:rsid w:val="0019420B"/>
    <w:rsid w:val="001944B8"/>
    <w:rsid w:val="00194724"/>
    <w:rsid w:val="00195CC2"/>
    <w:rsid w:val="00195D49"/>
    <w:rsid w:val="00196CD7"/>
    <w:rsid w:val="00196EEB"/>
    <w:rsid w:val="00197079"/>
    <w:rsid w:val="00197242"/>
    <w:rsid w:val="00197B49"/>
    <w:rsid w:val="00197DAE"/>
    <w:rsid w:val="001A15D9"/>
    <w:rsid w:val="001A1895"/>
    <w:rsid w:val="001A1D28"/>
    <w:rsid w:val="001A2CB5"/>
    <w:rsid w:val="001A30D4"/>
    <w:rsid w:val="001A37B9"/>
    <w:rsid w:val="001A3F78"/>
    <w:rsid w:val="001A423E"/>
    <w:rsid w:val="001A5DF6"/>
    <w:rsid w:val="001A75C1"/>
    <w:rsid w:val="001A78BB"/>
    <w:rsid w:val="001A7F10"/>
    <w:rsid w:val="001B0C4B"/>
    <w:rsid w:val="001B14E8"/>
    <w:rsid w:val="001B1B0D"/>
    <w:rsid w:val="001B207F"/>
    <w:rsid w:val="001B2088"/>
    <w:rsid w:val="001B3AF9"/>
    <w:rsid w:val="001B51E0"/>
    <w:rsid w:val="001B5550"/>
    <w:rsid w:val="001B55A7"/>
    <w:rsid w:val="001B6DD9"/>
    <w:rsid w:val="001B7177"/>
    <w:rsid w:val="001B7560"/>
    <w:rsid w:val="001B7763"/>
    <w:rsid w:val="001C042E"/>
    <w:rsid w:val="001C114C"/>
    <w:rsid w:val="001C26E2"/>
    <w:rsid w:val="001C45D9"/>
    <w:rsid w:val="001C48C0"/>
    <w:rsid w:val="001C4BBD"/>
    <w:rsid w:val="001C5B16"/>
    <w:rsid w:val="001C6C44"/>
    <w:rsid w:val="001C6E60"/>
    <w:rsid w:val="001D0068"/>
    <w:rsid w:val="001D0959"/>
    <w:rsid w:val="001D0ACA"/>
    <w:rsid w:val="001D405A"/>
    <w:rsid w:val="001D4164"/>
    <w:rsid w:val="001D422B"/>
    <w:rsid w:val="001D427D"/>
    <w:rsid w:val="001D5713"/>
    <w:rsid w:val="001D58A5"/>
    <w:rsid w:val="001E0ACE"/>
    <w:rsid w:val="001E1004"/>
    <w:rsid w:val="001E1177"/>
    <w:rsid w:val="001E11A2"/>
    <w:rsid w:val="001E155B"/>
    <w:rsid w:val="001E17AD"/>
    <w:rsid w:val="001E25D3"/>
    <w:rsid w:val="001E276D"/>
    <w:rsid w:val="001E308D"/>
    <w:rsid w:val="001E320B"/>
    <w:rsid w:val="001E4FB6"/>
    <w:rsid w:val="001E5887"/>
    <w:rsid w:val="001E65CF"/>
    <w:rsid w:val="001F0BF8"/>
    <w:rsid w:val="001F22F6"/>
    <w:rsid w:val="001F29D5"/>
    <w:rsid w:val="001F480C"/>
    <w:rsid w:val="001F5C74"/>
    <w:rsid w:val="001F6712"/>
    <w:rsid w:val="001F6FA6"/>
    <w:rsid w:val="0020011A"/>
    <w:rsid w:val="002006AC"/>
    <w:rsid w:val="002009A5"/>
    <w:rsid w:val="00200BB6"/>
    <w:rsid w:val="00201195"/>
    <w:rsid w:val="00201EA7"/>
    <w:rsid w:val="002023DD"/>
    <w:rsid w:val="00203BA6"/>
    <w:rsid w:val="002042ED"/>
    <w:rsid w:val="00204840"/>
    <w:rsid w:val="00204A55"/>
    <w:rsid w:val="00204D8D"/>
    <w:rsid w:val="0020592E"/>
    <w:rsid w:val="00206ABC"/>
    <w:rsid w:val="00210AB5"/>
    <w:rsid w:val="00211AEF"/>
    <w:rsid w:val="002122F1"/>
    <w:rsid w:val="00212522"/>
    <w:rsid w:val="002138FA"/>
    <w:rsid w:val="00213907"/>
    <w:rsid w:val="00213D67"/>
    <w:rsid w:val="0021501D"/>
    <w:rsid w:val="00215176"/>
    <w:rsid w:val="002152A0"/>
    <w:rsid w:val="00215B98"/>
    <w:rsid w:val="00215F5E"/>
    <w:rsid w:val="0021609F"/>
    <w:rsid w:val="00216132"/>
    <w:rsid w:val="002164DF"/>
    <w:rsid w:val="00217017"/>
    <w:rsid w:val="00217558"/>
    <w:rsid w:val="00217709"/>
    <w:rsid w:val="00217C67"/>
    <w:rsid w:val="00217F79"/>
    <w:rsid w:val="00220A3D"/>
    <w:rsid w:val="0022106F"/>
    <w:rsid w:val="00221175"/>
    <w:rsid w:val="002240B1"/>
    <w:rsid w:val="00224143"/>
    <w:rsid w:val="002246AD"/>
    <w:rsid w:val="00224BE1"/>
    <w:rsid w:val="002252B4"/>
    <w:rsid w:val="002254A2"/>
    <w:rsid w:val="002257B0"/>
    <w:rsid w:val="0022660A"/>
    <w:rsid w:val="0022697E"/>
    <w:rsid w:val="002269FD"/>
    <w:rsid w:val="00227A8C"/>
    <w:rsid w:val="002319CF"/>
    <w:rsid w:val="00231F17"/>
    <w:rsid w:val="0023277C"/>
    <w:rsid w:val="0023330E"/>
    <w:rsid w:val="00233A21"/>
    <w:rsid w:val="00233BC0"/>
    <w:rsid w:val="0023533F"/>
    <w:rsid w:val="00235B47"/>
    <w:rsid w:val="00235CEA"/>
    <w:rsid w:val="00236EFE"/>
    <w:rsid w:val="00237A50"/>
    <w:rsid w:val="00240080"/>
    <w:rsid w:val="002409A6"/>
    <w:rsid w:val="00240B08"/>
    <w:rsid w:val="00241AE5"/>
    <w:rsid w:val="0024270E"/>
    <w:rsid w:val="00242A22"/>
    <w:rsid w:val="00242B93"/>
    <w:rsid w:val="00242BBD"/>
    <w:rsid w:val="00242F6B"/>
    <w:rsid w:val="00243474"/>
    <w:rsid w:val="002435E6"/>
    <w:rsid w:val="0024363F"/>
    <w:rsid w:val="00243B51"/>
    <w:rsid w:val="0024432A"/>
    <w:rsid w:val="00244674"/>
    <w:rsid w:val="00244AAC"/>
    <w:rsid w:val="00244AC9"/>
    <w:rsid w:val="00244F5A"/>
    <w:rsid w:val="00245330"/>
    <w:rsid w:val="00245590"/>
    <w:rsid w:val="002456B2"/>
    <w:rsid w:val="0024686B"/>
    <w:rsid w:val="00246AB6"/>
    <w:rsid w:val="00246DC5"/>
    <w:rsid w:val="00247535"/>
    <w:rsid w:val="002479A4"/>
    <w:rsid w:val="00247B97"/>
    <w:rsid w:val="0025005F"/>
    <w:rsid w:val="002500CE"/>
    <w:rsid w:val="002505EE"/>
    <w:rsid w:val="002516A3"/>
    <w:rsid w:val="00251948"/>
    <w:rsid w:val="00254858"/>
    <w:rsid w:val="00254AF1"/>
    <w:rsid w:val="002553C7"/>
    <w:rsid w:val="0025561C"/>
    <w:rsid w:val="002557EF"/>
    <w:rsid w:val="0025643C"/>
    <w:rsid w:val="002569F7"/>
    <w:rsid w:val="00257426"/>
    <w:rsid w:val="002602DB"/>
    <w:rsid w:val="00260BBB"/>
    <w:rsid w:val="0026108D"/>
    <w:rsid w:val="00261223"/>
    <w:rsid w:val="00261651"/>
    <w:rsid w:val="00262041"/>
    <w:rsid w:val="00262554"/>
    <w:rsid w:val="002632BC"/>
    <w:rsid w:val="002637B8"/>
    <w:rsid w:val="00263C8A"/>
    <w:rsid w:val="00263ED1"/>
    <w:rsid w:val="002645A7"/>
    <w:rsid w:val="002645E3"/>
    <w:rsid w:val="00264E96"/>
    <w:rsid w:val="002651E1"/>
    <w:rsid w:val="00266E05"/>
    <w:rsid w:val="00266F0F"/>
    <w:rsid w:val="00267460"/>
    <w:rsid w:val="00270207"/>
    <w:rsid w:val="0027153A"/>
    <w:rsid w:val="002719F1"/>
    <w:rsid w:val="002720F1"/>
    <w:rsid w:val="0027277A"/>
    <w:rsid w:val="00272A7E"/>
    <w:rsid w:val="002735DF"/>
    <w:rsid w:val="00273B5B"/>
    <w:rsid w:val="00274172"/>
    <w:rsid w:val="00274768"/>
    <w:rsid w:val="00276649"/>
    <w:rsid w:val="002774DC"/>
    <w:rsid w:val="00277F1C"/>
    <w:rsid w:val="00280235"/>
    <w:rsid w:val="002808D1"/>
    <w:rsid w:val="002810A0"/>
    <w:rsid w:val="0028159D"/>
    <w:rsid w:val="0028162C"/>
    <w:rsid w:val="0028174D"/>
    <w:rsid w:val="002820AA"/>
    <w:rsid w:val="002831D5"/>
    <w:rsid w:val="002834AC"/>
    <w:rsid w:val="002834B1"/>
    <w:rsid w:val="0028350E"/>
    <w:rsid w:val="0028383B"/>
    <w:rsid w:val="00283CC1"/>
    <w:rsid w:val="0028471D"/>
    <w:rsid w:val="00284755"/>
    <w:rsid w:val="00284F37"/>
    <w:rsid w:val="002853FA"/>
    <w:rsid w:val="0028652F"/>
    <w:rsid w:val="00286955"/>
    <w:rsid w:val="00286AC9"/>
    <w:rsid w:val="00286FFB"/>
    <w:rsid w:val="0028700E"/>
    <w:rsid w:val="00290169"/>
    <w:rsid w:val="00290A9C"/>
    <w:rsid w:val="002913C3"/>
    <w:rsid w:val="00291D81"/>
    <w:rsid w:val="00291EB4"/>
    <w:rsid w:val="00293026"/>
    <w:rsid w:val="002937EE"/>
    <w:rsid w:val="002946C7"/>
    <w:rsid w:val="0029495B"/>
    <w:rsid w:val="002961B3"/>
    <w:rsid w:val="00296490"/>
    <w:rsid w:val="00296B86"/>
    <w:rsid w:val="00297054"/>
    <w:rsid w:val="00297A71"/>
    <w:rsid w:val="002A0F50"/>
    <w:rsid w:val="002A1125"/>
    <w:rsid w:val="002A14C2"/>
    <w:rsid w:val="002A1702"/>
    <w:rsid w:val="002A213B"/>
    <w:rsid w:val="002A229A"/>
    <w:rsid w:val="002A2BD7"/>
    <w:rsid w:val="002A3438"/>
    <w:rsid w:val="002A4192"/>
    <w:rsid w:val="002A4980"/>
    <w:rsid w:val="002A50D3"/>
    <w:rsid w:val="002A5715"/>
    <w:rsid w:val="002A5C1E"/>
    <w:rsid w:val="002A5FA3"/>
    <w:rsid w:val="002A74AD"/>
    <w:rsid w:val="002A7893"/>
    <w:rsid w:val="002B0613"/>
    <w:rsid w:val="002B07DA"/>
    <w:rsid w:val="002B132B"/>
    <w:rsid w:val="002B269F"/>
    <w:rsid w:val="002B303F"/>
    <w:rsid w:val="002B356D"/>
    <w:rsid w:val="002B39B0"/>
    <w:rsid w:val="002B3B97"/>
    <w:rsid w:val="002B3DA1"/>
    <w:rsid w:val="002B45FC"/>
    <w:rsid w:val="002B4C93"/>
    <w:rsid w:val="002B4E71"/>
    <w:rsid w:val="002B53B7"/>
    <w:rsid w:val="002B5842"/>
    <w:rsid w:val="002B619C"/>
    <w:rsid w:val="002B6893"/>
    <w:rsid w:val="002B7579"/>
    <w:rsid w:val="002B772D"/>
    <w:rsid w:val="002C010F"/>
    <w:rsid w:val="002C074B"/>
    <w:rsid w:val="002C1451"/>
    <w:rsid w:val="002C1488"/>
    <w:rsid w:val="002C1C60"/>
    <w:rsid w:val="002C28CF"/>
    <w:rsid w:val="002C2C9C"/>
    <w:rsid w:val="002C30DC"/>
    <w:rsid w:val="002C32D9"/>
    <w:rsid w:val="002C35F9"/>
    <w:rsid w:val="002C362C"/>
    <w:rsid w:val="002C3B61"/>
    <w:rsid w:val="002C4320"/>
    <w:rsid w:val="002C4E99"/>
    <w:rsid w:val="002C5C7C"/>
    <w:rsid w:val="002C5F8C"/>
    <w:rsid w:val="002C623F"/>
    <w:rsid w:val="002C6760"/>
    <w:rsid w:val="002C7B98"/>
    <w:rsid w:val="002D0905"/>
    <w:rsid w:val="002D1857"/>
    <w:rsid w:val="002D1E2A"/>
    <w:rsid w:val="002D27C8"/>
    <w:rsid w:val="002D4310"/>
    <w:rsid w:val="002D55D5"/>
    <w:rsid w:val="002D5CDE"/>
    <w:rsid w:val="002D65EA"/>
    <w:rsid w:val="002D6698"/>
    <w:rsid w:val="002D7408"/>
    <w:rsid w:val="002D7A62"/>
    <w:rsid w:val="002E0C93"/>
    <w:rsid w:val="002E122C"/>
    <w:rsid w:val="002E1750"/>
    <w:rsid w:val="002E24BF"/>
    <w:rsid w:val="002E2C16"/>
    <w:rsid w:val="002E2F8E"/>
    <w:rsid w:val="002E5285"/>
    <w:rsid w:val="002E57CC"/>
    <w:rsid w:val="002E580B"/>
    <w:rsid w:val="002E5CE8"/>
    <w:rsid w:val="002F068E"/>
    <w:rsid w:val="002F1F61"/>
    <w:rsid w:val="002F31FE"/>
    <w:rsid w:val="002F3C17"/>
    <w:rsid w:val="002F3CED"/>
    <w:rsid w:val="002F3E97"/>
    <w:rsid w:val="002F4643"/>
    <w:rsid w:val="002F4E12"/>
    <w:rsid w:val="002F4F08"/>
    <w:rsid w:val="002F659E"/>
    <w:rsid w:val="002F68E5"/>
    <w:rsid w:val="002F6FF1"/>
    <w:rsid w:val="002F7699"/>
    <w:rsid w:val="002F7E29"/>
    <w:rsid w:val="00301093"/>
    <w:rsid w:val="003010AD"/>
    <w:rsid w:val="00301247"/>
    <w:rsid w:val="00301F76"/>
    <w:rsid w:val="0030209E"/>
    <w:rsid w:val="0030240D"/>
    <w:rsid w:val="00303C70"/>
    <w:rsid w:val="003049D9"/>
    <w:rsid w:val="0030534F"/>
    <w:rsid w:val="00305F36"/>
    <w:rsid w:val="00306181"/>
    <w:rsid w:val="00306310"/>
    <w:rsid w:val="00306431"/>
    <w:rsid w:val="00306F5D"/>
    <w:rsid w:val="003074AD"/>
    <w:rsid w:val="00310B1C"/>
    <w:rsid w:val="00310CFF"/>
    <w:rsid w:val="003115BA"/>
    <w:rsid w:val="00314070"/>
    <w:rsid w:val="00315276"/>
    <w:rsid w:val="0031673B"/>
    <w:rsid w:val="00317299"/>
    <w:rsid w:val="00321381"/>
    <w:rsid w:val="00321EFA"/>
    <w:rsid w:val="003238E4"/>
    <w:rsid w:val="00324E53"/>
    <w:rsid w:val="00324EC8"/>
    <w:rsid w:val="00326050"/>
    <w:rsid w:val="00326EAD"/>
    <w:rsid w:val="00327774"/>
    <w:rsid w:val="00327B35"/>
    <w:rsid w:val="003303B6"/>
    <w:rsid w:val="003308A6"/>
    <w:rsid w:val="00330FC5"/>
    <w:rsid w:val="003317DA"/>
    <w:rsid w:val="0033222A"/>
    <w:rsid w:val="00332333"/>
    <w:rsid w:val="00332EA2"/>
    <w:rsid w:val="003336E4"/>
    <w:rsid w:val="00333A82"/>
    <w:rsid w:val="0033473D"/>
    <w:rsid w:val="003354C4"/>
    <w:rsid w:val="0033619F"/>
    <w:rsid w:val="00337C35"/>
    <w:rsid w:val="00340B46"/>
    <w:rsid w:val="00340D28"/>
    <w:rsid w:val="00341AF9"/>
    <w:rsid w:val="003423ED"/>
    <w:rsid w:val="003426B1"/>
    <w:rsid w:val="003426D4"/>
    <w:rsid w:val="00342CE6"/>
    <w:rsid w:val="00344A86"/>
    <w:rsid w:val="00345E0C"/>
    <w:rsid w:val="0034637D"/>
    <w:rsid w:val="003477D4"/>
    <w:rsid w:val="00347D38"/>
    <w:rsid w:val="00350B6D"/>
    <w:rsid w:val="00351080"/>
    <w:rsid w:val="00351636"/>
    <w:rsid w:val="00351D4D"/>
    <w:rsid w:val="003529C9"/>
    <w:rsid w:val="00352E46"/>
    <w:rsid w:val="00353775"/>
    <w:rsid w:val="00353E9F"/>
    <w:rsid w:val="003544DD"/>
    <w:rsid w:val="00354747"/>
    <w:rsid w:val="003551E7"/>
    <w:rsid w:val="003556D6"/>
    <w:rsid w:val="0035665D"/>
    <w:rsid w:val="00356691"/>
    <w:rsid w:val="003567F4"/>
    <w:rsid w:val="00356804"/>
    <w:rsid w:val="00357582"/>
    <w:rsid w:val="003600BD"/>
    <w:rsid w:val="00360581"/>
    <w:rsid w:val="003607B3"/>
    <w:rsid w:val="003608A0"/>
    <w:rsid w:val="00360CA2"/>
    <w:rsid w:val="00362181"/>
    <w:rsid w:val="003623A0"/>
    <w:rsid w:val="0036328E"/>
    <w:rsid w:val="003638DC"/>
    <w:rsid w:val="003645D3"/>
    <w:rsid w:val="003655ED"/>
    <w:rsid w:val="00365A6E"/>
    <w:rsid w:val="00365B72"/>
    <w:rsid w:val="00365BC5"/>
    <w:rsid w:val="00366AE9"/>
    <w:rsid w:val="00367583"/>
    <w:rsid w:val="00371219"/>
    <w:rsid w:val="003726F8"/>
    <w:rsid w:val="003731C6"/>
    <w:rsid w:val="003745D4"/>
    <w:rsid w:val="0037622F"/>
    <w:rsid w:val="0037689D"/>
    <w:rsid w:val="003769D9"/>
    <w:rsid w:val="00377181"/>
    <w:rsid w:val="003775FA"/>
    <w:rsid w:val="0037770C"/>
    <w:rsid w:val="00380806"/>
    <w:rsid w:val="00381FEB"/>
    <w:rsid w:val="00382126"/>
    <w:rsid w:val="00382EE2"/>
    <w:rsid w:val="00383B36"/>
    <w:rsid w:val="0038419D"/>
    <w:rsid w:val="00384244"/>
    <w:rsid w:val="00384310"/>
    <w:rsid w:val="003848FC"/>
    <w:rsid w:val="003852C7"/>
    <w:rsid w:val="00385F00"/>
    <w:rsid w:val="003861A1"/>
    <w:rsid w:val="00387327"/>
    <w:rsid w:val="00387DE2"/>
    <w:rsid w:val="00390233"/>
    <w:rsid w:val="0039078F"/>
    <w:rsid w:val="00391164"/>
    <w:rsid w:val="003915A2"/>
    <w:rsid w:val="00391F65"/>
    <w:rsid w:val="003924BD"/>
    <w:rsid w:val="00393372"/>
    <w:rsid w:val="00393708"/>
    <w:rsid w:val="00394ED8"/>
    <w:rsid w:val="00395CA6"/>
    <w:rsid w:val="00396489"/>
    <w:rsid w:val="003A02A7"/>
    <w:rsid w:val="003A093C"/>
    <w:rsid w:val="003A0DBC"/>
    <w:rsid w:val="003A1006"/>
    <w:rsid w:val="003A1042"/>
    <w:rsid w:val="003A213F"/>
    <w:rsid w:val="003A28F1"/>
    <w:rsid w:val="003A39AF"/>
    <w:rsid w:val="003A3AF6"/>
    <w:rsid w:val="003A453C"/>
    <w:rsid w:val="003A46BB"/>
    <w:rsid w:val="003A515B"/>
    <w:rsid w:val="003A73BF"/>
    <w:rsid w:val="003A742D"/>
    <w:rsid w:val="003A7A06"/>
    <w:rsid w:val="003B04D1"/>
    <w:rsid w:val="003B0BA5"/>
    <w:rsid w:val="003B1109"/>
    <w:rsid w:val="003B19EC"/>
    <w:rsid w:val="003B1DBF"/>
    <w:rsid w:val="003B1E05"/>
    <w:rsid w:val="003B1F49"/>
    <w:rsid w:val="003B32D6"/>
    <w:rsid w:val="003B39A2"/>
    <w:rsid w:val="003B3A50"/>
    <w:rsid w:val="003B3E94"/>
    <w:rsid w:val="003B6F86"/>
    <w:rsid w:val="003B77E9"/>
    <w:rsid w:val="003C0791"/>
    <w:rsid w:val="003C0EEE"/>
    <w:rsid w:val="003C1401"/>
    <w:rsid w:val="003C179B"/>
    <w:rsid w:val="003C1E15"/>
    <w:rsid w:val="003C23AB"/>
    <w:rsid w:val="003C24B4"/>
    <w:rsid w:val="003C2D4F"/>
    <w:rsid w:val="003C2F13"/>
    <w:rsid w:val="003C2FB2"/>
    <w:rsid w:val="003C32EF"/>
    <w:rsid w:val="003C3CB3"/>
    <w:rsid w:val="003C53B9"/>
    <w:rsid w:val="003C547E"/>
    <w:rsid w:val="003C5569"/>
    <w:rsid w:val="003C5989"/>
    <w:rsid w:val="003C5D40"/>
    <w:rsid w:val="003C6180"/>
    <w:rsid w:val="003C6B76"/>
    <w:rsid w:val="003C705D"/>
    <w:rsid w:val="003D261F"/>
    <w:rsid w:val="003D696C"/>
    <w:rsid w:val="003E0573"/>
    <w:rsid w:val="003E0947"/>
    <w:rsid w:val="003E0FF8"/>
    <w:rsid w:val="003E2564"/>
    <w:rsid w:val="003E34EE"/>
    <w:rsid w:val="003E4EC0"/>
    <w:rsid w:val="003E56C3"/>
    <w:rsid w:val="003E5D3C"/>
    <w:rsid w:val="003E6311"/>
    <w:rsid w:val="003E6501"/>
    <w:rsid w:val="003E70AA"/>
    <w:rsid w:val="003E7285"/>
    <w:rsid w:val="003E7829"/>
    <w:rsid w:val="003E7FBA"/>
    <w:rsid w:val="003F07E1"/>
    <w:rsid w:val="003F1600"/>
    <w:rsid w:val="003F1D39"/>
    <w:rsid w:val="003F2799"/>
    <w:rsid w:val="003F3197"/>
    <w:rsid w:val="003F36E4"/>
    <w:rsid w:val="003F384A"/>
    <w:rsid w:val="003F387B"/>
    <w:rsid w:val="003F3B73"/>
    <w:rsid w:val="003F3BFD"/>
    <w:rsid w:val="003F3D3E"/>
    <w:rsid w:val="003F4EE0"/>
    <w:rsid w:val="003F50D5"/>
    <w:rsid w:val="003F6359"/>
    <w:rsid w:val="003F753F"/>
    <w:rsid w:val="003F7C36"/>
    <w:rsid w:val="003F7C80"/>
    <w:rsid w:val="00400505"/>
    <w:rsid w:val="004012DF"/>
    <w:rsid w:val="0040149D"/>
    <w:rsid w:val="00401C58"/>
    <w:rsid w:val="004047D8"/>
    <w:rsid w:val="00405581"/>
    <w:rsid w:val="004056DC"/>
    <w:rsid w:val="0041007E"/>
    <w:rsid w:val="004108FC"/>
    <w:rsid w:val="0041172D"/>
    <w:rsid w:val="00411E7A"/>
    <w:rsid w:val="004122AF"/>
    <w:rsid w:val="00412B60"/>
    <w:rsid w:val="00413330"/>
    <w:rsid w:val="0041336A"/>
    <w:rsid w:val="00413443"/>
    <w:rsid w:val="00413EB2"/>
    <w:rsid w:val="00413F1E"/>
    <w:rsid w:val="00413F45"/>
    <w:rsid w:val="00415312"/>
    <w:rsid w:val="00415708"/>
    <w:rsid w:val="00417419"/>
    <w:rsid w:val="00422942"/>
    <w:rsid w:val="004231D1"/>
    <w:rsid w:val="004234EB"/>
    <w:rsid w:val="00423906"/>
    <w:rsid w:val="004241F1"/>
    <w:rsid w:val="00424C61"/>
    <w:rsid w:val="004262D0"/>
    <w:rsid w:val="004305CD"/>
    <w:rsid w:val="00430AB8"/>
    <w:rsid w:val="00430BB1"/>
    <w:rsid w:val="004318A0"/>
    <w:rsid w:val="00431B40"/>
    <w:rsid w:val="00433E51"/>
    <w:rsid w:val="004344C1"/>
    <w:rsid w:val="00434992"/>
    <w:rsid w:val="00435701"/>
    <w:rsid w:val="00435ADF"/>
    <w:rsid w:val="00435C0B"/>
    <w:rsid w:val="00435D16"/>
    <w:rsid w:val="00435EB4"/>
    <w:rsid w:val="00437485"/>
    <w:rsid w:val="00437A1D"/>
    <w:rsid w:val="00437D67"/>
    <w:rsid w:val="00440162"/>
    <w:rsid w:val="00440991"/>
    <w:rsid w:val="00440CDD"/>
    <w:rsid w:val="0044135F"/>
    <w:rsid w:val="00441FD4"/>
    <w:rsid w:val="0044268E"/>
    <w:rsid w:val="00442E38"/>
    <w:rsid w:val="00443028"/>
    <w:rsid w:val="00443217"/>
    <w:rsid w:val="00443761"/>
    <w:rsid w:val="00444A95"/>
    <w:rsid w:val="004452EE"/>
    <w:rsid w:val="00446567"/>
    <w:rsid w:val="00446C2F"/>
    <w:rsid w:val="00446F03"/>
    <w:rsid w:val="0044766C"/>
    <w:rsid w:val="004476BF"/>
    <w:rsid w:val="004477ED"/>
    <w:rsid w:val="00450751"/>
    <w:rsid w:val="00452569"/>
    <w:rsid w:val="00453678"/>
    <w:rsid w:val="00453EEF"/>
    <w:rsid w:val="004545D6"/>
    <w:rsid w:val="0045486F"/>
    <w:rsid w:val="00454ABB"/>
    <w:rsid w:val="00454FA9"/>
    <w:rsid w:val="00456038"/>
    <w:rsid w:val="004600E0"/>
    <w:rsid w:val="00460100"/>
    <w:rsid w:val="00460191"/>
    <w:rsid w:val="00461BC4"/>
    <w:rsid w:val="0046205C"/>
    <w:rsid w:val="004626B5"/>
    <w:rsid w:val="004629B4"/>
    <w:rsid w:val="00464148"/>
    <w:rsid w:val="00464B25"/>
    <w:rsid w:val="00464E33"/>
    <w:rsid w:val="00465055"/>
    <w:rsid w:val="00465B28"/>
    <w:rsid w:val="00465B58"/>
    <w:rsid w:val="0046603C"/>
    <w:rsid w:val="004665E2"/>
    <w:rsid w:val="00467DC7"/>
    <w:rsid w:val="004701E0"/>
    <w:rsid w:val="004706DA"/>
    <w:rsid w:val="0047074F"/>
    <w:rsid w:val="004711FD"/>
    <w:rsid w:val="00471435"/>
    <w:rsid w:val="00471446"/>
    <w:rsid w:val="004714A6"/>
    <w:rsid w:val="00472CF9"/>
    <w:rsid w:val="0047300F"/>
    <w:rsid w:val="0047390F"/>
    <w:rsid w:val="00474207"/>
    <w:rsid w:val="0047425D"/>
    <w:rsid w:val="004745A1"/>
    <w:rsid w:val="00475098"/>
    <w:rsid w:val="004750B7"/>
    <w:rsid w:val="0047549E"/>
    <w:rsid w:val="0047577B"/>
    <w:rsid w:val="0047612F"/>
    <w:rsid w:val="00476C69"/>
    <w:rsid w:val="0047705A"/>
    <w:rsid w:val="004775C8"/>
    <w:rsid w:val="00481B94"/>
    <w:rsid w:val="00482842"/>
    <w:rsid w:val="00482EE0"/>
    <w:rsid w:val="00482FDF"/>
    <w:rsid w:val="00483472"/>
    <w:rsid w:val="004846CA"/>
    <w:rsid w:val="004855EA"/>
    <w:rsid w:val="004857BF"/>
    <w:rsid w:val="004862AD"/>
    <w:rsid w:val="0048770D"/>
    <w:rsid w:val="00490837"/>
    <w:rsid w:val="00490A9F"/>
    <w:rsid w:val="00491524"/>
    <w:rsid w:val="00492BBB"/>
    <w:rsid w:val="00492D31"/>
    <w:rsid w:val="0049469F"/>
    <w:rsid w:val="00496DCE"/>
    <w:rsid w:val="00496FD7"/>
    <w:rsid w:val="00497745"/>
    <w:rsid w:val="004A111F"/>
    <w:rsid w:val="004A151F"/>
    <w:rsid w:val="004A25F0"/>
    <w:rsid w:val="004A2859"/>
    <w:rsid w:val="004A3AA0"/>
    <w:rsid w:val="004A3C2A"/>
    <w:rsid w:val="004A4AB8"/>
    <w:rsid w:val="004A5338"/>
    <w:rsid w:val="004A5464"/>
    <w:rsid w:val="004A5BAE"/>
    <w:rsid w:val="004A6253"/>
    <w:rsid w:val="004A68FC"/>
    <w:rsid w:val="004B052F"/>
    <w:rsid w:val="004B10E9"/>
    <w:rsid w:val="004B2461"/>
    <w:rsid w:val="004B28A0"/>
    <w:rsid w:val="004B391A"/>
    <w:rsid w:val="004B3E95"/>
    <w:rsid w:val="004B6592"/>
    <w:rsid w:val="004B66D1"/>
    <w:rsid w:val="004B67B1"/>
    <w:rsid w:val="004B7A62"/>
    <w:rsid w:val="004C017B"/>
    <w:rsid w:val="004C06D9"/>
    <w:rsid w:val="004C1C0E"/>
    <w:rsid w:val="004C2B96"/>
    <w:rsid w:val="004C4393"/>
    <w:rsid w:val="004C4F04"/>
    <w:rsid w:val="004C617A"/>
    <w:rsid w:val="004C6958"/>
    <w:rsid w:val="004C7846"/>
    <w:rsid w:val="004C7999"/>
    <w:rsid w:val="004C7A29"/>
    <w:rsid w:val="004C7B64"/>
    <w:rsid w:val="004C7E8A"/>
    <w:rsid w:val="004C7F14"/>
    <w:rsid w:val="004D01A7"/>
    <w:rsid w:val="004D17DC"/>
    <w:rsid w:val="004D2D62"/>
    <w:rsid w:val="004D3591"/>
    <w:rsid w:val="004D498D"/>
    <w:rsid w:val="004D4EA8"/>
    <w:rsid w:val="004D59B3"/>
    <w:rsid w:val="004D7AD4"/>
    <w:rsid w:val="004D7C59"/>
    <w:rsid w:val="004D7F59"/>
    <w:rsid w:val="004E012F"/>
    <w:rsid w:val="004E1A83"/>
    <w:rsid w:val="004E1BF9"/>
    <w:rsid w:val="004E1D76"/>
    <w:rsid w:val="004E20EE"/>
    <w:rsid w:val="004E2C9D"/>
    <w:rsid w:val="004E2D8A"/>
    <w:rsid w:val="004E3005"/>
    <w:rsid w:val="004E3976"/>
    <w:rsid w:val="004E3BEF"/>
    <w:rsid w:val="004E3F95"/>
    <w:rsid w:val="004E456E"/>
    <w:rsid w:val="004E505D"/>
    <w:rsid w:val="004E54E1"/>
    <w:rsid w:val="004E6B6D"/>
    <w:rsid w:val="004E79E1"/>
    <w:rsid w:val="004F0265"/>
    <w:rsid w:val="004F08B4"/>
    <w:rsid w:val="004F0A4B"/>
    <w:rsid w:val="004F0E0C"/>
    <w:rsid w:val="004F0FDE"/>
    <w:rsid w:val="004F211F"/>
    <w:rsid w:val="004F22D6"/>
    <w:rsid w:val="004F2579"/>
    <w:rsid w:val="004F2F81"/>
    <w:rsid w:val="004F2F99"/>
    <w:rsid w:val="004F338B"/>
    <w:rsid w:val="004F4BB5"/>
    <w:rsid w:val="004F4C08"/>
    <w:rsid w:val="004F526E"/>
    <w:rsid w:val="004F5346"/>
    <w:rsid w:val="004F53EE"/>
    <w:rsid w:val="004F6A65"/>
    <w:rsid w:val="004F6D4D"/>
    <w:rsid w:val="00500CBB"/>
    <w:rsid w:val="00501A8D"/>
    <w:rsid w:val="00503324"/>
    <w:rsid w:val="00503D2B"/>
    <w:rsid w:val="00503EF7"/>
    <w:rsid w:val="0050411F"/>
    <w:rsid w:val="0050560E"/>
    <w:rsid w:val="00506766"/>
    <w:rsid w:val="0050759D"/>
    <w:rsid w:val="00507C7E"/>
    <w:rsid w:val="00511351"/>
    <w:rsid w:val="00511FCE"/>
    <w:rsid w:val="00512D19"/>
    <w:rsid w:val="00512F82"/>
    <w:rsid w:val="00513D89"/>
    <w:rsid w:val="00514160"/>
    <w:rsid w:val="00514EB7"/>
    <w:rsid w:val="00514FFE"/>
    <w:rsid w:val="00515450"/>
    <w:rsid w:val="00515BF9"/>
    <w:rsid w:val="00515CD1"/>
    <w:rsid w:val="0051609B"/>
    <w:rsid w:val="00516502"/>
    <w:rsid w:val="00516703"/>
    <w:rsid w:val="00516783"/>
    <w:rsid w:val="00516A4A"/>
    <w:rsid w:val="00520B82"/>
    <w:rsid w:val="00520D6C"/>
    <w:rsid w:val="00520FDF"/>
    <w:rsid w:val="0052226A"/>
    <w:rsid w:val="00522F18"/>
    <w:rsid w:val="00523F9A"/>
    <w:rsid w:val="0052408B"/>
    <w:rsid w:val="00524D5A"/>
    <w:rsid w:val="0052607C"/>
    <w:rsid w:val="0052664C"/>
    <w:rsid w:val="00526FFF"/>
    <w:rsid w:val="00527513"/>
    <w:rsid w:val="00527F6E"/>
    <w:rsid w:val="00530282"/>
    <w:rsid w:val="0053047C"/>
    <w:rsid w:val="00530E0E"/>
    <w:rsid w:val="00531243"/>
    <w:rsid w:val="005316CD"/>
    <w:rsid w:val="00531A7F"/>
    <w:rsid w:val="00531E10"/>
    <w:rsid w:val="00532371"/>
    <w:rsid w:val="005326E7"/>
    <w:rsid w:val="005326EE"/>
    <w:rsid w:val="00533495"/>
    <w:rsid w:val="00533E03"/>
    <w:rsid w:val="005342A1"/>
    <w:rsid w:val="00534B08"/>
    <w:rsid w:val="00535D08"/>
    <w:rsid w:val="005362E9"/>
    <w:rsid w:val="005363F5"/>
    <w:rsid w:val="0053644F"/>
    <w:rsid w:val="00536789"/>
    <w:rsid w:val="0053696C"/>
    <w:rsid w:val="00537AAE"/>
    <w:rsid w:val="00541480"/>
    <w:rsid w:val="005422E8"/>
    <w:rsid w:val="00543708"/>
    <w:rsid w:val="00543B2B"/>
    <w:rsid w:val="00544438"/>
    <w:rsid w:val="00544540"/>
    <w:rsid w:val="00544A4C"/>
    <w:rsid w:val="00544B95"/>
    <w:rsid w:val="0054505B"/>
    <w:rsid w:val="00546083"/>
    <w:rsid w:val="0054685E"/>
    <w:rsid w:val="00546DAF"/>
    <w:rsid w:val="00547AF8"/>
    <w:rsid w:val="00547C14"/>
    <w:rsid w:val="00547D2B"/>
    <w:rsid w:val="00547EDC"/>
    <w:rsid w:val="00550059"/>
    <w:rsid w:val="00550A16"/>
    <w:rsid w:val="00550AE7"/>
    <w:rsid w:val="00550C28"/>
    <w:rsid w:val="00550E2B"/>
    <w:rsid w:val="005511F3"/>
    <w:rsid w:val="00551C20"/>
    <w:rsid w:val="00554111"/>
    <w:rsid w:val="005549F0"/>
    <w:rsid w:val="00555231"/>
    <w:rsid w:val="005557D1"/>
    <w:rsid w:val="00556287"/>
    <w:rsid w:val="005578E2"/>
    <w:rsid w:val="005578F2"/>
    <w:rsid w:val="0056007C"/>
    <w:rsid w:val="005610FA"/>
    <w:rsid w:val="005613A1"/>
    <w:rsid w:val="00561ADA"/>
    <w:rsid w:val="005635EB"/>
    <w:rsid w:val="00563EE4"/>
    <w:rsid w:val="005640AA"/>
    <w:rsid w:val="00564ACD"/>
    <w:rsid w:val="005654E5"/>
    <w:rsid w:val="00566C5B"/>
    <w:rsid w:val="005675BD"/>
    <w:rsid w:val="0057079D"/>
    <w:rsid w:val="005708A8"/>
    <w:rsid w:val="00571690"/>
    <w:rsid w:val="0057191B"/>
    <w:rsid w:val="00571992"/>
    <w:rsid w:val="00571E99"/>
    <w:rsid w:val="00572145"/>
    <w:rsid w:val="0057248E"/>
    <w:rsid w:val="00572BBA"/>
    <w:rsid w:val="00574919"/>
    <w:rsid w:val="005751DC"/>
    <w:rsid w:val="005758EC"/>
    <w:rsid w:val="00575B8D"/>
    <w:rsid w:val="0057717B"/>
    <w:rsid w:val="00577676"/>
    <w:rsid w:val="00577A4F"/>
    <w:rsid w:val="00577CD7"/>
    <w:rsid w:val="00577FD4"/>
    <w:rsid w:val="00580200"/>
    <w:rsid w:val="005806EC"/>
    <w:rsid w:val="00583158"/>
    <w:rsid w:val="00584672"/>
    <w:rsid w:val="00584A7C"/>
    <w:rsid w:val="0058518E"/>
    <w:rsid w:val="0058615A"/>
    <w:rsid w:val="005878E4"/>
    <w:rsid w:val="00587F1F"/>
    <w:rsid w:val="00590100"/>
    <w:rsid w:val="005903CE"/>
    <w:rsid w:val="00590D63"/>
    <w:rsid w:val="0059166A"/>
    <w:rsid w:val="00591807"/>
    <w:rsid w:val="00591CFF"/>
    <w:rsid w:val="00592719"/>
    <w:rsid w:val="00593AF8"/>
    <w:rsid w:val="00594285"/>
    <w:rsid w:val="005947FA"/>
    <w:rsid w:val="00594CC8"/>
    <w:rsid w:val="00594DA5"/>
    <w:rsid w:val="00595125"/>
    <w:rsid w:val="0059591B"/>
    <w:rsid w:val="00596660"/>
    <w:rsid w:val="005978C8"/>
    <w:rsid w:val="00597C30"/>
    <w:rsid w:val="00597CEA"/>
    <w:rsid w:val="005A024F"/>
    <w:rsid w:val="005A120A"/>
    <w:rsid w:val="005A17FE"/>
    <w:rsid w:val="005A2275"/>
    <w:rsid w:val="005A27C2"/>
    <w:rsid w:val="005A280E"/>
    <w:rsid w:val="005A2DFB"/>
    <w:rsid w:val="005A4FA2"/>
    <w:rsid w:val="005A51EB"/>
    <w:rsid w:val="005A5426"/>
    <w:rsid w:val="005A6C94"/>
    <w:rsid w:val="005A6F14"/>
    <w:rsid w:val="005A78F5"/>
    <w:rsid w:val="005A7D52"/>
    <w:rsid w:val="005B0269"/>
    <w:rsid w:val="005B103B"/>
    <w:rsid w:val="005B12EE"/>
    <w:rsid w:val="005B1C1A"/>
    <w:rsid w:val="005B20E9"/>
    <w:rsid w:val="005B3DD7"/>
    <w:rsid w:val="005B4E7A"/>
    <w:rsid w:val="005B4FCC"/>
    <w:rsid w:val="005B6C22"/>
    <w:rsid w:val="005B6CD2"/>
    <w:rsid w:val="005B7074"/>
    <w:rsid w:val="005C03B8"/>
    <w:rsid w:val="005C04FA"/>
    <w:rsid w:val="005C1450"/>
    <w:rsid w:val="005C25D2"/>
    <w:rsid w:val="005C264A"/>
    <w:rsid w:val="005C2AAD"/>
    <w:rsid w:val="005C2D9E"/>
    <w:rsid w:val="005C4001"/>
    <w:rsid w:val="005C4246"/>
    <w:rsid w:val="005C543F"/>
    <w:rsid w:val="005C5820"/>
    <w:rsid w:val="005C58DC"/>
    <w:rsid w:val="005C61DE"/>
    <w:rsid w:val="005C69CC"/>
    <w:rsid w:val="005C7849"/>
    <w:rsid w:val="005C7C0F"/>
    <w:rsid w:val="005C7C1D"/>
    <w:rsid w:val="005D0137"/>
    <w:rsid w:val="005D0D0E"/>
    <w:rsid w:val="005D1064"/>
    <w:rsid w:val="005D185D"/>
    <w:rsid w:val="005D196C"/>
    <w:rsid w:val="005D1DE5"/>
    <w:rsid w:val="005D1ECE"/>
    <w:rsid w:val="005D2BD7"/>
    <w:rsid w:val="005D4086"/>
    <w:rsid w:val="005D474E"/>
    <w:rsid w:val="005D6B82"/>
    <w:rsid w:val="005D6C40"/>
    <w:rsid w:val="005D7503"/>
    <w:rsid w:val="005E05C5"/>
    <w:rsid w:val="005E1C79"/>
    <w:rsid w:val="005E239B"/>
    <w:rsid w:val="005E2F32"/>
    <w:rsid w:val="005E31D9"/>
    <w:rsid w:val="005E3406"/>
    <w:rsid w:val="005E41B8"/>
    <w:rsid w:val="005E4404"/>
    <w:rsid w:val="005E4AD2"/>
    <w:rsid w:val="005E54DC"/>
    <w:rsid w:val="005E5BE8"/>
    <w:rsid w:val="005E60A3"/>
    <w:rsid w:val="005E6CD8"/>
    <w:rsid w:val="005E72BA"/>
    <w:rsid w:val="005E7446"/>
    <w:rsid w:val="005E75B0"/>
    <w:rsid w:val="005E7C33"/>
    <w:rsid w:val="005E7F49"/>
    <w:rsid w:val="005F0058"/>
    <w:rsid w:val="005F0ACC"/>
    <w:rsid w:val="005F18DA"/>
    <w:rsid w:val="005F196B"/>
    <w:rsid w:val="005F2BA3"/>
    <w:rsid w:val="005F328A"/>
    <w:rsid w:val="005F3292"/>
    <w:rsid w:val="005F36A1"/>
    <w:rsid w:val="005F3ED6"/>
    <w:rsid w:val="005F5047"/>
    <w:rsid w:val="005F52E1"/>
    <w:rsid w:val="005F53D8"/>
    <w:rsid w:val="005F58B8"/>
    <w:rsid w:val="005F5E39"/>
    <w:rsid w:val="005F60A8"/>
    <w:rsid w:val="005F77A7"/>
    <w:rsid w:val="005F7B7C"/>
    <w:rsid w:val="005F7BE2"/>
    <w:rsid w:val="005F7CBF"/>
    <w:rsid w:val="00600C58"/>
    <w:rsid w:val="006013DB"/>
    <w:rsid w:val="00603037"/>
    <w:rsid w:val="00603092"/>
    <w:rsid w:val="0060435D"/>
    <w:rsid w:val="0060490C"/>
    <w:rsid w:val="00604C41"/>
    <w:rsid w:val="00604E7C"/>
    <w:rsid w:val="00606A42"/>
    <w:rsid w:val="006077BD"/>
    <w:rsid w:val="00611331"/>
    <w:rsid w:val="00611992"/>
    <w:rsid w:val="00611CB5"/>
    <w:rsid w:val="00612B90"/>
    <w:rsid w:val="00613ABE"/>
    <w:rsid w:val="006141EE"/>
    <w:rsid w:val="00614E0E"/>
    <w:rsid w:val="00614F8A"/>
    <w:rsid w:val="00615317"/>
    <w:rsid w:val="0061682C"/>
    <w:rsid w:val="00616D47"/>
    <w:rsid w:val="00616F2F"/>
    <w:rsid w:val="00617256"/>
    <w:rsid w:val="006175B8"/>
    <w:rsid w:val="006179A5"/>
    <w:rsid w:val="00617CED"/>
    <w:rsid w:val="006205A1"/>
    <w:rsid w:val="00622AC2"/>
    <w:rsid w:val="00622D9B"/>
    <w:rsid w:val="0062359F"/>
    <w:rsid w:val="0062451B"/>
    <w:rsid w:val="0062591E"/>
    <w:rsid w:val="006265AC"/>
    <w:rsid w:val="006271B2"/>
    <w:rsid w:val="00627737"/>
    <w:rsid w:val="00627ED4"/>
    <w:rsid w:val="00630324"/>
    <w:rsid w:val="006315DA"/>
    <w:rsid w:val="00631816"/>
    <w:rsid w:val="00631FB6"/>
    <w:rsid w:val="006322C2"/>
    <w:rsid w:val="00632338"/>
    <w:rsid w:val="00632E58"/>
    <w:rsid w:val="00633010"/>
    <w:rsid w:val="006340BD"/>
    <w:rsid w:val="006343E0"/>
    <w:rsid w:val="00634647"/>
    <w:rsid w:val="00634721"/>
    <w:rsid w:val="006350CB"/>
    <w:rsid w:val="00635422"/>
    <w:rsid w:val="00635B6D"/>
    <w:rsid w:val="00635BDE"/>
    <w:rsid w:val="006365CE"/>
    <w:rsid w:val="006366C9"/>
    <w:rsid w:val="006368FC"/>
    <w:rsid w:val="00636C40"/>
    <w:rsid w:val="00637174"/>
    <w:rsid w:val="00637BEE"/>
    <w:rsid w:val="00637D34"/>
    <w:rsid w:val="00637F84"/>
    <w:rsid w:val="00642788"/>
    <w:rsid w:val="006436F4"/>
    <w:rsid w:val="00644DCA"/>
    <w:rsid w:val="00645336"/>
    <w:rsid w:val="006458EF"/>
    <w:rsid w:val="00645F87"/>
    <w:rsid w:val="0064633A"/>
    <w:rsid w:val="00646E7A"/>
    <w:rsid w:val="00646F24"/>
    <w:rsid w:val="006473EA"/>
    <w:rsid w:val="00650958"/>
    <w:rsid w:val="006514D7"/>
    <w:rsid w:val="00651681"/>
    <w:rsid w:val="00652A11"/>
    <w:rsid w:val="00652ABF"/>
    <w:rsid w:val="00652CD7"/>
    <w:rsid w:val="00652E0E"/>
    <w:rsid w:val="00652FEF"/>
    <w:rsid w:val="0065333E"/>
    <w:rsid w:val="00653653"/>
    <w:rsid w:val="00653921"/>
    <w:rsid w:val="00654E4D"/>
    <w:rsid w:val="00654F55"/>
    <w:rsid w:val="006552C8"/>
    <w:rsid w:val="00655711"/>
    <w:rsid w:val="00655865"/>
    <w:rsid w:val="00655884"/>
    <w:rsid w:val="006558CC"/>
    <w:rsid w:val="00656467"/>
    <w:rsid w:val="00656D6A"/>
    <w:rsid w:val="006603F9"/>
    <w:rsid w:val="00660DBD"/>
    <w:rsid w:val="00660ED5"/>
    <w:rsid w:val="0066155D"/>
    <w:rsid w:val="00662427"/>
    <w:rsid w:val="006636C4"/>
    <w:rsid w:val="0066387A"/>
    <w:rsid w:val="00663D4F"/>
    <w:rsid w:val="00663EBC"/>
    <w:rsid w:val="006653BE"/>
    <w:rsid w:val="00665B1E"/>
    <w:rsid w:val="0066744D"/>
    <w:rsid w:val="0067044D"/>
    <w:rsid w:val="0067147D"/>
    <w:rsid w:val="00671499"/>
    <w:rsid w:val="00672802"/>
    <w:rsid w:val="0067281C"/>
    <w:rsid w:val="00673A8B"/>
    <w:rsid w:val="00673D2A"/>
    <w:rsid w:val="00674191"/>
    <w:rsid w:val="00675C89"/>
    <w:rsid w:val="00675F41"/>
    <w:rsid w:val="00676191"/>
    <w:rsid w:val="0067650E"/>
    <w:rsid w:val="00676D8F"/>
    <w:rsid w:val="00676FA0"/>
    <w:rsid w:val="00677C2C"/>
    <w:rsid w:val="00677C8B"/>
    <w:rsid w:val="00680C3F"/>
    <w:rsid w:val="00681277"/>
    <w:rsid w:val="00682C38"/>
    <w:rsid w:val="00683542"/>
    <w:rsid w:val="0068357F"/>
    <w:rsid w:val="00683D83"/>
    <w:rsid w:val="00684AF1"/>
    <w:rsid w:val="006861AB"/>
    <w:rsid w:val="00686C3E"/>
    <w:rsid w:val="00687181"/>
    <w:rsid w:val="00687660"/>
    <w:rsid w:val="006876E2"/>
    <w:rsid w:val="00690E7C"/>
    <w:rsid w:val="0069110A"/>
    <w:rsid w:val="00691C91"/>
    <w:rsid w:val="006925C7"/>
    <w:rsid w:val="006957D9"/>
    <w:rsid w:val="006958DA"/>
    <w:rsid w:val="0069628A"/>
    <w:rsid w:val="00696691"/>
    <w:rsid w:val="00697237"/>
    <w:rsid w:val="006A16F9"/>
    <w:rsid w:val="006A214D"/>
    <w:rsid w:val="006A2A72"/>
    <w:rsid w:val="006A3145"/>
    <w:rsid w:val="006A38DF"/>
    <w:rsid w:val="006A4CBB"/>
    <w:rsid w:val="006A62C3"/>
    <w:rsid w:val="006A6D7B"/>
    <w:rsid w:val="006B098D"/>
    <w:rsid w:val="006B1543"/>
    <w:rsid w:val="006B1822"/>
    <w:rsid w:val="006B1E41"/>
    <w:rsid w:val="006B3733"/>
    <w:rsid w:val="006B39D8"/>
    <w:rsid w:val="006B3C01"/>
    <w:rsid w:val="006B3F35"/>
    <w:rsid w:val="006B44D3"/>
    <w:rsid w:val="006B4DD6"/>
    <w:rsid w:val="006B597B"/>
    <w:rsid w:val="006B6390"/>
    <w:rsid w:val="006B6908"/>
    <w:rsid w:val="006B6C6F"/>
    <w:rsid w:val="006C0629"/>
    <w:rsid w:val="006C102D"/>
    <w:rsid w:val="006C16DA"/>
    <w:rsid w:val="006C2489"/>
    <w:rsid w:val="006C2CA8"/>
    <w:rsid w:val="006C3E2D"/>
    <w:rsid w:val="006C3EFC"/>
    <w:rsid w:val="006C42F9"/>
    <w:rsid w:val="006C4D28"/>
    <w:rsid w:val="006C4F38"/>
    <w:rsid w:val="006C5CBD"/>
    <w:rsid w:val="006C5FD8"/>
    <w:rsid w:val="006C7FD1"/>
    <w:rsid w:val="006D2478"/>
    <w:rsid w:val="006D3084"/>
    <w:rsid w:val="006D32A2"/>
    <w:rsid w:val="006D34EF"/>
    <w:rsid w:val="006D3BD5"/>
    <w:rsid w:val="006D4B5D"/>
    <w:rsid w:val="006D4C35"/>
    <w:rsid w:val="006D535E"/>
    <w:rsid w:val="006D680D"/>
    <w:rsid w:val="006D73E7"/>
    <w:rsid w:val="006D7CB9"/>
    <w:rsid w:val="006E0912"/>
    <w:rsid w:val="006E0B15"/>
    <w:rsid w:val="006E1C35"/>
    <w:rsid w:val="006E38C6"/>
    <w:rsid w:val="006E4994"/>
    <w:rsid w:val="006E4E59"/>
    <w:rsid w:val="006E56DA"/>
    <w:rsid w:val="006E5FCE"/>
    <w:rsid w:val="006F0568"/>
    <w:rsid w:val="006F30F7"/>
    <w:rsid w:val="006F441F"/>
    <w:rsid w:val="006F4D8F"/>
    <w:rsid w:val="006F4E4C"/>
    <w:rsid w:val="006F5021"/>
    <w:rsid w:val="006F52E5"/>
    <w:rsid w:val="006F5B8D"/>
    <w:rsid w:val="006F5C3E"/>
    <w:rsid w:val="006F6333"/>
    <w:rsid w:val="006F6792"/>
    <w:rsid w:val="006F6E82"/>
    <w:rsid w:val="00700B5E"/>
    <w:rsid w:val="007012D7"/>
    <w:rsid w:val="00702B0B"/>
    <w:rsid w:val="00703F3B"/>
    <w:rsid w:val="00705FE9"/>
    <w:rsid w:val="007063B0"/>
    <w:rsid w:val="0070665C"/>
    <w:rsid w:val="00706877"/>
    <w:rsid w:val="00710492"/>
    <w:rsid w:val="00710884"/>
    <w:rsid w:val="00710B2F"/>
    <w:rsid w:val="0071134E"/>
    <w:rsid w:val="0071172F"/>
    <w:rsid w:val="00711A25"/>
    <w:rsid w:val="00711A68"/>
    <w:rsid w:val="00713AE0"/>
    <w:rsid w:val="00713B07"/>
    <w:rsid w:val="0071427D"/>
    <w:rsid w:val="007150AF"/>
    <w:rsid w:val="00720061"/>
    <w:rsid w:val="007204D8"/>
    <w:rsid w:val="00720805"/>
    <w:rsid w:val="00721B76"/>
    <w:rsid w:val="00723237"/>
    <w:rsid w:val="007238C3"/>
    <w:rsid w:val="00723D4D"/>
    <w:rsid w:val="00724921"/>
    <w:rsid w:val="0072502F"/>
    <w:rsid w:val="00725092"/>
    <w:rsid w:val="0072571A"/>
    <w:rsid w:val="0072611A"/>
    <w:rsid w:val="007264F6"/>
    <w:rsid w:val="00726875"/>
    <w:rsid w:val="00726A9C"/>
    <w:rsid w:val="00727880"/>
    <w:rsid w:val="00727D30"/>
    <w:rsid w:val="00730923"/>
    <w:rsid w:val="007309C7"/>
    <w:rsid w:val="00730FCF"/>
    <w:rsid w:val="00731713"/>
    <w:rsid w:val="00731D3E"/>
    <w:rsid w:val="00733140"/>
    <w:rsid w:val="00733573"/>
    <w:rsid w:val="007341C0"/>
    <w:rsid w:val="0073504B"/>
    <w:rsid w:val="0073522D"/>
    <w:rsid w:val="00735686"/>
    <w:rsid w:val="007358A1"/>
    <w:rsid w:val="00736378"/>
    <w:rsid w:val="0073638E"/>
    <w:rsid w:val="00736392"/>
    <w:rsid w:val="00737A34"/>
    <w:rsid w:val="00737B5F"/>
    <w:rsid w:val="00737B95"/>
    <w:rsid w:val="00740290"/>
    <w:rsid w:val="007405C9"/>
    <w:rsid w:val="00740927"/>
    <w:rsid w:val="00740C49"/>
    <w:rsid w:val="00741EF6"/>
    <w:rsid w:val="007425CA"/>
    <w:rsid w:val="00742AAC"/>
    <w:rsid w:val="00743A2F"/>
    <w:rsid w:val="00744527"/>
    <w:rsid w:val="00745963"/>
    <w:rsid w:val="00745F52"/>
    <w:rsid w:val="00745FD9"/>
    <w:rsid w:val="0074622A"/>
    <w:rsid w:val="00746397"/>
    <w:rsid w:val="007466CC"/>
    <w:rsid w:val="00746FA7"/>
    <w:rsid w:val="00747A64"/>
    <w:rsid w:val="0075056B"/>
    <w:rsid w:val="00750705"/>
    <w:rsid w:val="00750723"/>
    <w:rsid w:val="0075090C"/>
    <w:rsid w:val="00751968"/>
    <w:rsid w:val="007522DB"/>
    <w:rsid w:val="00753126"/>
    <w:rsid w:val="007537B7"/>
    <w:rsid w:val="00753AF7"/>
    <w:rsid w:val="00753E51"/>
    <w:rsid w:val="007548E0"/>
    <w:rsid w:val="00754F1C"/>
    <w:rsid w:val="007563AE"/>
    <w:rsid w:val="00757CF7"/>
    <w:rsid w:val="00761391"/>
    <w:rsid w:val="007613F3"/>
    <w:rsid w:val="007616A5"/>
    <w:rsid w:val="00761BB5"/>
    <w:rsid w:val="007622C3"/>
    <w:rsid w:val="007624DE"/>
    <w:rsid w:val="00762928"/>
    <w:rsid w:val="00763954"/>
    <w:rsid w:val="007648C1"/>
    <w:rsid w:val="00764B72"/>
    <w:rsid w:val="00766894"/>
    <w:rsid w:val="007670FC"/>
    <w:rsid w:val="00767BF7"/>
    <w:rsid w:val="00767F41"/>
    <w:rsid w:val="00770773"/>
    <w:rsid w:val="00771FBB"/>
    <w:rsid w:val="00772084"/>
    <w:rsid w:val="00773BD8"/>
    <w:rsid w:val="00774BE5"/>
    <w:rsid w:val="00774CC4"/>
    <w:rsid w:val="00775972"/>
    <w:rsid w:val="00777EC1"/>
    <w:rsid w:val="00780632"/>
    <w:rsid w:val="0078088A"/>
    <w:rsid w:val="007811B2"/>
    <w:rsid w:val="007811D4"/>
    <w:rsid w:val="007814C8"/>
    <w:rsid w:val="00781D88"/>
    <w:rsid w:val="00782C5C"/>
    <w:rsid w:val="007835BA"/>
    <w:rsid w:val="007841A1"/>
    <w:rsid w:val="00784B65"/>
    <w:rsid w:val="007850F7"/>
    <w:rsid w:val="0078687D"/>
    <w:rsid w:val="0078769F"/>
    <w:rsid w:val="007923E8"/>
    <w:rsid w:val="00792662"/>
    <w:rsid w:val="00793BD3"/>
    <w:rsid w:val="00794183"/>
    <w:rsid w:val="00795298"/>
    <w:rsid w:val="007974D3"/>
    <w:rsid w:val="007A0068"/>
    <w:rsid w:val="007A0D06"/>
    <w:rsid w:val="007A10AE"/>
    <w:rsid w:val="007A2041"/>
    <w:rsid w:val="007A21E6"/>
    <w:rsid w:val="007A26D4"/>
    <w:rsid w:val="007A2779"/>
    <w:rsid w:val="007A2FC4"/>
    <w:rsid w:val="007A3611"/>
    <w:rsid w:val="007A37DC"/>
    <w:rsid w:val="007A3A05"/>
    <w:rsid w:val="007A3A3C"/>
    <w:rsid w:val="007A54CA"/>
    <w:rsid w:val="007A66D9"/>
    <w:rsid w:val="007A6AFB"/>
    <w:rsid w:val="007A7D2F"/>
    <w:rsid w:val="007B005D"/>
    <w:rsid w:val="007B06AD"/>
    <w:rsid w:val="007B07F1"/>
    <w:rsid w:val="007B09C2"/>
    <w:rsid w:val="007B0D1F"/>
    <w:rsid w:val="007B0F3B"/>
    <w:rsid w:val="007B1506"/>
    <w:rsid w:val="007B3985"/>
    <w:rsid w:val="007B45B5"/>
    <w:rsid w:val="007B47AB"/>
    <w:rsid w:val="007B52B0"/>
    <w:rsid w:val="007B55BB"/>
    <w:rsid w:val="007B5E3F"/>
    <w:rsid w:val="007B6BE5"/>
    <w:rsid w:val="007B7EEF"/>
    <w:rsid w:val="007B7F3E"/>
    <w:rsid w:val="007C018B"/>
    <w:rsid w:val="007C0387"/>
    <w:rsid w:val="007C1331"/>
    <w:rsid w:val="007C14F8"/>
    <w:rsid w:val="007C2AAE"/>
    <w:rsid w:val="007C356C"/>
    <w:rsid w:val="007C5159"/>
    <w:rsid w:val="007C5304"/>
    <w:rsid w:val="007C5608"/>
    <w:rsid w:val="007C599B"/>
    <w:rsid w:val="007C6ADD"/>
    <w:rsid w:val="007C6E52"/>
    <w:rsid w:val="007C727D"/>
    <w:rsid w:val="007D0B45"/>
    <w:rsid w:val="007D1C82"/>
    <w:rsid w:val="007D2F43"/>
    <w:rsid w:val="007D395D"/>
    <w:rsid w:val="007D444E"/>
    <w:rsid w:val="007D4D8F"/>
    <w:rsid w:val="007D50B4"/>
    <w:rsid w:val="007D5A44"/>
    <w:rsid w:val="007D5B37"/>
    <w:rsid w:val="007D5B4F"/>
    <w:rsid w:val="007D7935"/>
    <w:rsid w:val="007E08D6"/>
    <w:rsid w:val="007E0AA8"/>
    <w:rsid w:val="007E1950"/>
    <w:rsid w:val="007E1B0E"/>
    <w:rsid w:val="007E2E45"/>
    <w:rsid w:val="007E2E53"/>
    <w:rsid w:val="007E45E1"/>
    <w:rsid w:val="007E5734"/>
    <w:rsid w:val="007E5F73"/>
    <w:rsid w:val="007E6B31"/>
    <w:rsid w:val="007E7009"/>
    <w:rsid w:val="007E7D60"/>
    <w:rsid w:val="007F0A1A"/>
    <w:rsid w:val="007F1948"/>
    <w:rsid w:val="007F2188"/>
    <w:rsid w:val="007F26BC"/>
    <w:rsid w:val="007F4157"/>
    <w:rsid w:val="007F450C"/>
    <w:rsid w:val="007F456A"/>
    <w:rsid w:val="007F4FAD"/>
    <w:rsid w:val="007F6655"/>
    <w:rsid w:val="007F776D"/>
    <w:rsid w:val="007F7F4B"/>
    <w:rsid w:val="008006AA"/>
    <w:rsid w:val="00801321"/>
    <w:rsid w:val="0080185E"/>
    <w:rsid w:val="008020A8"/>
    <w:rsid w:val="0080297F"/>
    <w:rsid w:val="00802C1D"/>
    <w:rsid w:val="008033D9"/>
    <w:rsid w:val="0080340E"/>
    <w:rsid w:val="00803780"/>
    <w:rsid w:val="00803F0B"/>
    <w:rsid w:val="008050C4"/>
    <w:rsid w:val="00806357"/>
    <w:rsid w:val="008071EB"/>
    <w:rsid w:val="008078EC"/>
    <w:rsid w:val="00807F4C"/>
    <w:rsid w:val="008100AD"/>
    <w:rsid w:val="00811464"/>
    <w:rsid w:val="0081210B"/>
    <w:rsid w:val="008121E7"/>
    <w:rsid w:val="00812655"/>
    <w:rsid w:val="00813CC0"/>
    <w:rsid w:val="00814EB2"/>
    <w:rsid w:val="008157BE"/>
    <w:rsid w:val="00816387"/>
    <w:rsid w:val="008165C2"/>
    <w:rsid w:val="00816B0F"/>
    <w:rsid w:val="0081738A"/>
    <w:rsid w:val="008174F4"/>
    <w:rsid w:val="008178E4"/>
    <w:rsid w:val="0082006C"/>
    <w:rsid w:val="00820496"/>
    <w:rsid w:val="008204C8"/>
    <w:rsid w:val="00820C5A"/>
    <w:rsid w:val="0082142D"/>
    <w:rsid w:val="00821BB7"/>
    <w:rsid w:val="008220DE"/>
    <w:rsid w:val="00822E28"/>
    <w:rsid w:val="008235F3"/>
    <w:rsid w:val="00823674"/>
    <w:rsid w:val="00823EC8"/>
    <w:rsid w:val="00824D24"/>
    <w:rsid w:val="00824E01"/>
    <w:rsid w:val="00825A66"/>
    <w:rsid w:val="008265DC"/>
    <w:rsid w:val="0082736D"/>
    <w:rsid w:val="008275C9"/>
    <w:rsid w:val="00827ED3"/>
    <w:rsid w:val="00830811"/>
    <w:rsid w:val="008316EC"/>
    <w:rsid w:val="00831761"/>
    <w:rsid w:val="00831C37"/>
    <w:rsid w:val="00832D41"/>
    <w:rsid w:val="00833D5A"/>
    <w:rsid w:val="00835CC2"/>
    <w:rsid w:val="0083679F"/>
    <w:rsid w:val="00840166"/>
    <w:rsid w:val="00840561"/>
    <w:rsid w:val="00844207"/>
    <w:rsid w:val="00844320"/>
    <w:rsid w:val="00844E61"/>
    <w:rsid w:val="00844E82"/>
    <w:rsid w:val="00845A37"/>
    <w:rsid w:val="00845FEF"/>
    <w:rsid w:val="008510A2"/>
    <w:rsid w:val="00851235"/>
    <w:rsid w:val="00851696"/>
    <w:rsid w:val="00851831"/>
    <w:rsid w:val="00851D8C"/>
    <w:rsid w:val="00852576"/>
    <w:rsid w:val="00853263"/>
    <w:rsid w:val="00853AB3"/>
    <w:rsid w:val="00853DC4"/>
    <w:rsid w:val="00855230"/>
    <w:rsid w:val="00856C88"/>
    <w:rsid w:val="00856F22"/>
    <w:rsid w:val="00862003"/>
    <w:rsid w:val="00862203"/>
    <w:rsid w:val="008633E2"/>
    <w:rsid w:val="0086355F"/>
    <w:rsid w:val="00864D2D"/>
    <w:rsid w:val="00866BEF"/>
    <w:rsid w:val="0086714B"/>
    <w:rsid w:val="00867B0B"/>
    <w:rsid w:val="0087010F"/>
    <w:rsid w:val="00870FAF"/>
    <w:rsid w:val="0087165E"/>
    <w:rsid w:val="00871767"/>
    <w:rsid w:val="00872017"/>
    <w:rsid w:val="00872995"/>
    <w:rsid w:val="008729AF"/>
    <w:rsid w:val="00872D1F"/>
    <w:rsid w:val="0087435C"/>
    <w:rsid w:val="00874C5C"/>
    <w:rsid w:val="00874DF4"/>
    <w:rsid w:val="0087515D"/>
    <w:rsid w:val="0087540E"/>
    <w:rsid w:val="008755AD"/>
    <w:rsid w:val="00876368"/>
    <w:rsid w:val="00876519"/>
    <w:rsid w:val="00876CCB"/>
    <w:rsid w:val="008775CA"/>
    <w:rsid w:val="008778DD"/>
    <w:rsid w:val="008807E0"/>
    <w:rsid w:val="00880B6B"/>
    <w:rsid w:val="00881D4E"/>
    <w:rsid w:val="00882BB7"/>
    <w:rsid w:val="00882D37"/>
    <w:rsid w:val="0088504D"/>
    <w:rsid w:val="0088552B"/>
    <w:rsid w:val="0088563C"/>
    <w:rsid w:val="00886C33"/>
    <w:rsid w:val="008877A5"/>
    <w:rsid w:val="008903C4"/>
    <w:rsid w:val="00890854"/>
    <w:rsid w:val="00890CB2"/>
    <w:rsid w:val="00890D41"/>
    <w:rsid w:val="0089104E"/>
    <w:rsid w:val="00891F81"/>
    <w:rsid w:val="0089284D"/>
    <w:rsid w:val="0089299E"/>
    <w:rsid w:val="00892B87"/>
    <w:rsid w:val="008939F1"/>
    <w:rsid w:val="00893E2B"/>
    <w:rsid w:val="0089472D"/>
    <w:rsid w:val="00894C49"/>
    <w:rsid w:val="00895A63"/>
    <w:rsid w:val="008966AE"/>
    <w:rsid w:val="00896DA1"/>
    <w:rsid w:val="00896E0A"/>
    <w:rsid w:val="008979B5"/>
    <w:rsid w:val="00897BE5"/>
    <w:rsid w:val="00897CD6"/>
    <w:rsid w:val="00897D25"/>
    <w:rsid w:val="008A0097"/>
    <w:rsid w:val="008A1151"/>
    <w:rsid w:val="008A168A"/>
    <w:rsid w:val="008A38B1"/>
    <w:rsid w:val="008A39D9"/>
    <w:rsid w:val="008A4142"/>
    <w:rsid w:val="008A4C65"/>
    <w:rsid w:val="008A4E62"/>
    <w:rsid w:val="008A4F2F"/>
    <w:rsid w:val="008A6223"/>
    <w:rsid w:val="008A66D1"/>
    <w:rsid w:val="008A6B2F"/>
    <w:rsid w:val="008A718B"/>
    <w:rsid w:val="008A7411"/>
    <w:rsid w:val="008A7D73"/>
    <w:rsid w:val="008B13F4"/>
    <w:rsid w:val="008B1C01"/>
    <w:rsid w:val="008B1E6B"/>
    <w:rsid w:val="008B1F06"/>
    <w:rsid w:val="008B40CD"/>
    <w:rsid w:val="008B4662"/>
    <w:rsid w:val="008B4EB3"/>
    <w:rsid w:val="008B4FF9"/>
    <w:rsid w:val="008B6AA3"/>
    <w:rsid w:val="008B6CE6"/>
    <w:rsid w:val="008B756A"/>
    <w:rsid w:val="008C0384"/>
    <w:rsid w:val="008C0AEA"/>
    <w:rsid w:val="008C3289"/>
    <w:rsid w:val="008C35F6"/>
    <w:rsid w:val="008C41C6"/>
    <w:rsid w:val="008C44B6"/>
    <w:rsid w:val="008C4CB4"/>
    <w:rsid w:val="008C532A"/>
    <w:rsid w:val="008C5E83"/>
    <w:rsid w:val="008C64EA"/>
    <w:rsid w:val="008C7023"/>
    <w:rsid w:val="008C7471"/>
    <w:rsid w:val="008D0905"/>
    <w:rsid w:val="008D09ED"/>
    <w:rsid w:val="008D0CB7"/>
    <w:rsid w:val="008D138F"/>
    <w:rsid w:val="008D169E"/>
    <w:rsid w:val="008D1A0F"/>
    <w:rsid w:val="008D1A69"/>
    <w:rsid w:val="008D2839"/>
    <w:rsid w:val="008D2C85"/>
    <w:rsid w:val="008D36E5"/>
    <w:rsid w:val="008D3AA6"/>
    <w:rsid w:val="008D3B1F"/>
    <w:rsid w:val="008D4948"/>
    <w:rsid w:val="008D546D"/>
    <w:rsid w:val="008D576D"/>
    <w:rsid w:val="008D5EA0"/>
    <w:rsid w:val="008D6A28"/>
    <w:rsid w:val="008E009C"/>
    <w:rsid w:val="008E0D8B"/>
    <w:rsid w:val="008E16E4"/>
    <w:rsid w:val="008E1B5A"/>
    <w:rsid w:val="008E1C10"/>
    <w:rsid w:val="008E2861"/>
    <w:rsid w:val="008E2C7C"/>
    <w:rsid w:val="008E34C5"/>
    <w:rsid w:val="008E426C"/>
    <w:rsid w:val="008E49BB"/>
    <w:rsid w:val="008E4B5E"/>
    <w:rsid w:val="008E5C6D"/>
    <w:rsid w:val="008E673A"/>
    <w:rsid w:val="008E7868"/>
    <w:rsid w:val="008E7DD5"/>
    <w:rsid w:val="008F01D8"/>
    <w:rsid w:val="008F0650"/>
    <w:rsid w:val="008F17BD"/>
    <w:rsid w:val="008F1B1B"/>
    <w:rsid w:val="008F20E2"/>
    <w:rsid w:val="008F24E5"/>
    <w:rsid w:val="008F2E29"/>
    <w:rsid w:val="008F3496"/>
    <w:rsid w:val="008F411B"/>
    <w:rsid w:val="008F5BC4"/>
    <w:rsid w:val="008F65CF"/>
    <w:rsid w:val="008F66DB"/>
    <w:rsid w:val="008F6FC4"/>
    <w:rsid w:val="008F734A"/>
    <w:rsid w:val="008F7B01"/>
    <w:rsid w:val="00900B97"/>
    <w:rsid w:val="00901225"/>
    <w:rsid w:val="009018C1"/>
    <w:rsid w:val="009025A6"/>
    <w:rsid w:val="00902ED9"/>
    <w:rsid w:val="009030EB"/>
    <w:rsid w:val="00903C53"/>
    <w:rsid w:val="00903D3B"/>
    <w:rsid w:val="009052E5"/>
    <w:rsid w:val="00907307"/>
    <w:rsid w:val="009074F5"/>
    <w:rsid w:val="00907E55"/>
    <w:rsid w:val="009112DA"/>
    <w:rsid w:val="00911F35"/>
    <w:rsid w:val="009124F0"/>
    <w:rsid w:val="00912F5A"/>
    <w:rsid w:val="00913083"/>
    <w:rsid w:val="009134ED"/>
    <w:rsid w:val="0091459F"/>
    <w:rsid w:val="00917C65"/>
    <w:rsid w:val="009202E8"/>
    <w:rsid w:val="0092385A"/>
    <w:rsid w:val="009250E4"/>
    <w:rsid w:val="009256C8"/>
    <w:rsid w:val="00925CF4"/>
    <w:rsid w:val="00925DF3"/>
    <w:rsid w:val="0092692D"/>
    <w:rsid w:val="00926CC2"/>
    <w:rsid w:val="00926FB8"/>
    <w:rsid w:val="009273A1"/>
    <w:rsid w:val="009273B5"/>
    <w:rsid w:val="009273FF"/>
    <w:rsid w:val="00927698"/>
    <w:rsid w:val="0092776C"/>
    <w:rsid w:val="00930E31"/>
    <w:rsid w:val="0093351F"/>
    <w:rsid w:val="00933530"/>
    <w:rsid w:val="009336A5"/>
    <w:rsid w:val="00933A55"/>
    <w:rsid w:val="009340D0"/>
    <w:rsid w:val="009342F4"/>
    <w:rsid w:val="00934358"/>
    <w:rsid w:val="0093488D"/>
    <w:rsid w:val="00934FDC"/>
    <w:rsid w:val="009356A9"/>
    <w:rsid w:val="00935F35"/>
    <w:rsid w:val="009370EF"/>
    <w:rsid w:val="009375A8"/>
    <w:rsid w:val="009404CE"/>
    <w:rsid w:val="00941083"/>
    <w:rsid w:val="00941AB8"/>
    <w:rsid w:val="00942DA1"/>
    <w:rsid w:val="0094333F"/>
    <w:rsid w:val="00943A58"/>
    <w:rsid w:val="00943A60"/>
    <w:rsid w:val="00944095"/>
    <w:rsid w:val="009444C3"/>
    <w:rsid w:val="0094457E"/>
    <w:rsid w:val="009449FD"/>
    <w:rsid w:val="00945563"/>
    <w:rsid w:val="009466FF"/>
    <w:rsid w:val="0094683D"/>
    <w:rsid w:val="00947A1D"/>
    <w:rsid w:val="00947FF2"/>
    <w:rsid w:val="00950FD0"/>
    <w:rsid w:val="00951430"/>
    <w:rsid w:val="00951BE0"/>
    <w:rsid w:val="0095296B"/>
    <w:rsid w:val="00953525"/>
    <w:rsid w:val="00953C25"/>
    <w:rsid w:val="009540AE"/>
    <w:rsid w:val="00954EC4"/>
    <w:rsid w:val="00956535"/>
    <w:rsid w:val="0095672C"/>
    <w:rsid w:val="009569E9"/>
    <w:rsid w:val="0095749E"/>
    <w:rsid w:val="00960302"/>
    <w:rsid w:val="009603E8"/>
    <w:rsid w:val="00960A67"/>
    <w:rsid w:val="00961418"/>
    <w:rsid w:val="0096333C"/>
    <w:rsid w:val="0096347D"/>
    <w:rsid w:val="0096374F"/>
    <w:rsid w:val="009637C9"/>
    <w:rsid w:val="00963DAA"/>
    <w:rsid w:val="00964037"/>
    <w:rsid w:val="009643DD"/>
    <w:rsid w:val="00964F74"/>
    <w:rsid w:val="009653BD"/>
    <w:rsid w:val="0096543F"/>
    <w:rsid w:val="00965B42"/>
    <w:rsid w:val="0096644B"/>
    <w:rsid w:val="00966669"/>
    <w:rsid w:val="00966FF4"/>
    <w:rsid w:val="009705D7"/>
    <w:rsid w:val="00971496"/>
    <w:rsid w:val="00972140"/>
    <w:rsid w:val="0097479B"/>
    <w:rsid w:val="00974FB4"/>
    <w:rsid w:val="00975B71"/>
    <w:rsid w:val="00976432"/>
    <w:rsid w:val="00976477"/>
    <w:rsid w:val="009772D8"/>
    <w:rsid w:val="0097753F"/>
    <w:rsid w:val="00977E3C"/>
    <w:rsid w:val="00977FDC"/>
    <w:rsid w:val="00980515"/>
    <w:rsid w:val="0098055D"/>
    <w:rsid w:val="00980791"/>
    <w:rsid w:val="009822E8"/>
    <w:rsid w:val="009832CB"/>
    <w:rsid w:val="00983712"/>
    <w:rsid w:val="00983A0E"/>
    <w:rsid w:val="00983DD2"/>
    <w:rsid w:val="00984C70"/>
    <w:rsid w:val="0098608B"/>
    <w:rsid w:val="009868C4"/>
    <w:rsid w:val="009871F8"/>
    <w:rsid w:val="009873C8"/>
    <w:rsid w:val="00990A8E"/>
    <w:rsid w:val="0099156C"/>
    <w:rsid w:val="0099218B"/>
    <w:rsid w:val="00992191"/>
    <w:rsid w:val="00992F5D"/>
    <w:rsid w:val="00993415"/>
    <w:rsid w:val="009943D5"/>
    <w:rsid w:val="00994B0F"/>
    <w:rsid w:val="00995703"/>
    <w:rsid w:val="0099651A"/>
    <w:rsid w:val="009A03A1"/>
    <w:rsid w:val="009A1578"/>
    <w:rsid w:val="009A2092"/>
    <w:rsid w:val="009A28DE"/>
    <w:rsid w:val="009A2C5B"/>
    <w:rsid w:val="009A2E3A"/>
    <w:rsid w:val="009A2FE1"/>
    <w:rsid w:val="009A33C0"/>
    <w:rsid w:val="009A3F72"/>
    <w:rsid w:val="009A4462"/>
    <w:rsid w:val="009A49D7"/>
    <w:rsid w:val="009A5256"/>
    <w:rsid w:val="009A53B7"/>
    <w:rsid w:val="009A609D"/>
    <w:rsid w:val="009A60AA"/>
    <w:rsid w:val="009A6C54"/>
    <w:rsid w:val="009A6DE9"/>
    <w:rsid w:val="009A7722"/>
    <w:rsid w:val="009A7A06"/>
    <w:rsid w:val="009B0600"/>
    <w:rsid w:val="009B0C0C"/>
    <w:rsid w:val="009B0FFB"/>
    <w:rsid w:val="009B115D"/>
    <w:rsid w:val="009B20D1"/>
    <w:rsid w:val="009B27AF"/>
    <w:rsid w:val="009B2D10"/>
    <w:rsid w:val="009B3039"/>
    <w:rsid w:val="009B3D46"/>
    <w:rsid w:val="009B3DAF"/>
    <w:rsid w:val="009B41A5"/>
    <w:rsid w:val="009B444D"/>
    <w:rsid w:val="009B45AF"/>
    <w:rsid w:val="009B4B7E"/>
    <w:rsid w:val="009B68D9"/>
    <w:rsid w:val="009B72C8"/>
    <w:rsid w:val="009B7537"/>
    <w:rsid w:val="009C0413"/>
    <w:rsid w:val="009C0A7B"/>
    <w:rsid w:val="009C268F"/>
    <w:rsid w:val="009C2B82"/>
    <w:rsid w:val="009C3072"/>
    <w:rsid w:val="009C32CB"/>
    <w:rsid w:val="009C3E7A"/>
    <w:rsid w:val="009C541F"/>
    <w:rsid w:val="009C60BB"/>
    <w:rsid w:val="009C615B"/>
    <w:rsid w:val="009C64F1"/>
    <w:rsid w:val="009C699C"/>
    <w:rsid w:val="009C7B6B"/>
    <w:rsid w:val="009C7FFB"/>
    <w:rsid w:val="009D05A8"/>
    <w:rsid w:val="009D0E04"/>
    <w:rsid w:val="009D0F87"/>
    <w:rsid w:val="009D1DA0"/>
    <w:rsid w:val="009D28E1"/>
    <w:rsid w:val="009D4972"/>
    <w:rsid w:val="009D50AE"/>
    <w:rsid w:val="009D587B"/>
    <w:rsid w:val="009D73ED"/>
    <w:rsid w:val="009D7D52"/>
    <w:rsid w:val="009E1B44"/>
    <w:rsid w:val="009E2900"/>
    <w:rsid w:val="009E2960"/>
    <w:rsid w:val="009E2AF0"/>
    <w:rsid w:val="009E2C4A"/>
    <w:rsid w:val="009E2C82"/>
    <w:rsid w:val="009E3206"/>
    <w:rsid w:val="009E347F"/>
    <w:rsid w:val="009E352E"/>
    <w:rsid w:val="009E3610"/>
    <w:rsid w:val="009E37E3"/>
    <w:rsid w:val="009E4046"/>
    <w:rsid w:val="009E4738"/>
    <w:rsid w:val="009E47A7"/>
    <w:rsid w:val="009E49B8"/>
    <w:rsid w:val="009E4B83"/>
    <w:rsid w:val="009E4F6C"/>
    <w:rsid w:val="009E5350"/>
    <w:rsid w:val="009E53D8"/>
    <w:rsid w:val="009E550C"/>
    <w:rsid w:val="009E6234"/>
    <w:rsid w:val="009F0BA9"/>
    <w:rsid w:val="009F1C79"/>
    <w:rsid w:val="009F2EAF"/>
    <w:rsid w:val="009F385A"/>
    <w:rsid w:val="009F3976"/>
    <w:rsid w:val="009F5061"/>
    <w:rsid w:val="009F5A94"/>
    <w:rsid w:val="009F648F"/>
    <w:rsid w:val="009F65E4"/>
    <w:rsid w:val="009F69BF"/>
    <w:rsid w:val="009F6E83"/>
    <w:rsid w:val="009F73C5"/>
    <w:rsid w:val="00A003CC"/>
    <w:rsid w:val="00A01487"/>
    <w:rsid w:val="00A0150C"/>
    <w:rsid w:val="00A02DD1"/>
    <w:rsid w:val="00A0352F"/>
    <w:rsid w:val="00A037BD"/>
    <w:rsid w:val="00A03C2A"/>
    <w:rsid w:val="00A04008"/>
    <w:rsid w:val="00A04BDD"/>
    <w:rsid w:val="00A054C0"/>
    <w:rsid w:val="00A0551C"/>
    <w:rsid w:val="00A05B88"/>
    <w:rsid w:val="00A05C4F"/>
    <w:rsid w:val="00A06A51"/>
    <w:rsid w:val="00A0703B"/>
    <w:rsid w:val="00A07295"/>
    <w:rsid w:val="00A0789C"/>
    <w:rsid w:val="00A07900"/>
    <w:rsid w:val="00A10969"/>
    <w:rsid w:val="00A11523"/>
    <w:rsid w:val="00A11807"/>
    <w:rsid w:val="00A11D66"/>
    <w:rsid w:val="00A1265B"/>
    <w:rsid w:val="00A12B43"/>
    <w:rsid w:val="00A13065"/>
    <w:rsid w:val="00A146A2"/>
    <w:rsid w:val="00A14B85"/>
    <w:rsid w:val="00A151F0"/>
    <w:rsid w:val="00A15444"/>
    <w:rsid w:val="00A1602D"/>
    <w:rsid w:val="00A16F70"/>
    <w:rsid w:val="00A173EB"/>
    <w:rsid w:val="00A176E8"/>
    <w:rsid w:val="00A2004B"/>
    <w:rsid w:val="00A2032A"/>
    <w:rsid w:val="00A20E3B"/>
    <w:rsid w:val="00A225DA"/>
    <w:rsid w:val="00A22A4B"/>
    <w:rsid w:val="00A234EB"/>
    <w:rsid w:val="00A238B5"/>
    <w:rsid w:val="00A24119"/>
    <w:rsid w:val="00A2496B"/>
    <w:rsid w:val="00A24E1D"/>
    <w:rsid w:val="00A252AF"/>
    <w:rsid w:val="00A25358"/>
    <w:rsid w:val="00A2557D"/>
    <w:rsid w:val="00A26186"/>
    <w:rsid w:val="00A26B9D"/>
    <w:rsid w:val="00A26FDB"/>
    <w:rsid w:val="00A2778F"/>
    <w:rsid w:val="00A278BB"/>
    <w:rsid w:val="00A27ABA"/>
    <w:rsid w:val="00A27C6B"/>
    <w:rsid w:val="00A300DC"/>
    <w:rsid w:val="00A303CD"/>
    <w:rsid w:val="00A308A9"/>
    <w:rsid w:val="00A30C64"/>
    <w:rsid w:val="00A30CF9"/>
    <w:rsid w:val="00A30EDE"/>
    <w:rsid w:val="00A31305"/>
    <w:rsid w:val="00A31407"/>
    <w:rsid w:val="00A31470"/>
    <w:rsid w:val="00A320CC"/>
    <w:rsid w:val="00A32604"/>
    <w:rsid w:val="00A32924"/>
    <w:rsid w:val="00A3322E"/>
    <w:rsid w:val="00A3488B"/>
    <w:rsid w:val="00A34E9E"/>
    <w:rsid w:val="00A36536"/>
    <w:rsid w:val="00A4183C"/>
    <w:rsid w:val="00A43335"/>
    <w:rsid w:val="00A435D2"/>
    <w:rsid w:val="00A43966"/>
    <w:rsid w:val="00A4444D"/>
    <w:rsid w:val="00A450E5"/>
    <w:rsid w:val="00A45DC9"/>
    <w:rsid w:val="00A45DCD"/>
    <w:rsid w:val="00A475A3"/>
    <w:rsid w:val="00A50BED"/>
    <w:rsid w:val="00A518F8"/>
    <w:rsid w:val="00A51A16"/>
    <w:rsid w:val="00A5210C"/>
    <w:rsid w:val="00A52CFF"/>
    <w:rsid w:val="00A53A6D"/>
    <w:rsid w:val="00A53EF4"/>
    <w:rsid w:val="00A53F3A"/>
    <w:rsid w:val="00A54273"/>
    <w:rsid w:val="00A54911"/>
    <w:rsid w:val="00A54ECF"/>
    <w:rsid w:val="00A55B3E"/>
    <w:rsid w:val="00A564C4"/>
    <w:rsid w:val="00A56F6D"/>
    <w:rsid w:val="00A56FF6"/>
    <w:rsid w:val="00A570ED"/>
    <w:rsid w:val="00A57334"/>
    <w:rsid w:val="00A608FF"/>
    <w:rsid w:val="00A61370"/>
    <w:rsid w:val="00A627DA"/>
    <w:rsid w:val="00A63751"/>
    <w:rsid w:val="00A640CA"/>
    <w:rsid w:val="00A64413"/>
    <w:rsid w:val="00A64907"/>
    <w:rsid w:val="00A65120"/>
    <w:rsid w:val="00A6550D"/>
    <w:rsid w:val="00A65984"/>
    <w:rsid w:val="00A65FF0"/>
    <w:rsid w:val="00A660BD"/>
    <w:rsid w:val="00A66442"/>
    <w:rsid w:val="00A66625"/>
    <w:rsid w:val="00A67917"/>
    <w:rsid w:val="00A6797D"/>
    <w:rsid w:val="00A67CD3"/>
    <w:rsid w:val="00A67FA4"/>
    <w:rsid w:val="00A70910"/>
    <w:rsid w:val="00A70F8D"/>
    <w:rsid w:val="00A73814"/>
    <w:rsid w:val="00A73879"/>
    <w:rsid w:val="00A73A18"/>
    <w:rsid w:val="00A73D88"/>
    <w:rsid w:val="00A74555"/>
    <w:rsid w:val="00A74874"/>
    <w:rsid w:val="00A74D23"/>
    <w:rsid w:val="00A7558E"/>
    <w:rsid w:val="00A758E4"/>
    <w:rsid w:val="00A75EDF"/>
    <w:rsid w:val="00A75FA7"/>
    <w:rsid w:val="00A76699"/>
    <w:rsid w:val="00A769FE"/>
    <w:rsid w:val="00A76AA3"/>
    <w:rsid w:val="00A76B29"/>
    <w:rsid w:val="00A771A0"/>
    <w:rsid w:val="00A77F6A"/>
    <w:rsid w:val="00A80127"/>
    <w:rsid w:val="00A8274F"/>
    <w:rsid w:val="00A83408"/>
    <w:rsid w:val="00A86198"/>
    <w:rsid w:val="00A875C1"/>
    <w:rsid w:val="00A87EF6"/>
    <w:rsid w:val="00A906E3"/>
    <w:rsid w:val="00A90CDD"/>
    <w:rsid w:val="00A91A39"/>
    <w:rsid w:val="00A91B30"/>
    <w:rsid w:val="00A91C76"/>
    <w:rsid w:val="00A9242F"/>
    <w:rsid w:val="00A93351"/>
    <w:rsid w:val="00A934A6"/>
    <w:rsid w:val="00A937FD"/>
    <w:rsid w:val="00A94818"/>
    <w:rsid w:val="00A95651"/>
    <w:rsid w:val="00A95B06"/>
    <w:rsid w:val="00A95E1C"/>
    <w:rsid w:val="00A96C2D"/>
    <w:rsid w:val="00A97BC5"/>
    <w:rsid w:val="00A97E2F"/>
    <w:rsid w:val="00AA0917"/>
    <w:rsid w:val="00AA1B63"/>
    <w:rsid w:val="00AA2FC5"/>
    <w:rsid w:val="00AA3E18"/>
    <w:rsid w:val="00AA4A85"/>
    <w:rsid w:val="00AA5BA0"/>
    <w:rsid w:val="00AA611C"/>
    <w:rsid w:val="00AA6E81"/>
    <w:rsid w:val="00AA758F"/>
    <w:rsid w:val="00AB0956"/>
    <w:rsid w:val="00AB28C4"/>
    <w:rsid w:val="00AB345C"/>
    <w:rsid w:val="00AB34F1"/>
    <w:rsid w:val="00AB3A42"/>
    <w:rsid w:val="00AB438F"/>
    <w:rsid w:val="00AB46B0"/>
    <w:rsid w:val="00AB5A26"/>
    <w:rsid w:val="00AB5F69"/>
    <w:rsid w:val="00AB6A54"/>
    <w:rsid w:val="00AB6AD6"/>
    <w:rsid w:val="00AB76F5"/>
    <w:rsid w:val="00AB77A2"/>
    <w:rsid w:val="00AC0854"/>
    <w:rsid w:val="00AC0B34"/>
    <w:rsid w:val="00AC14F1"/>
    <w:rsid w:val="00AC1F76"/>
    <w:rsid w:val="00AC343F"/>
    <w:rsid w:val="00AC398B"/>
    <w:rsid w:val="00AC46FE"/>
    <w:rsid w:val="00AC4E07"/>
    <w:rsid w:val="00AC506E"/>
    <w:rsid w:val="00AC5284"/>
    <w:rsid w:val="00AC5C1A"/>
    <w:rsid w:val="00AC62D6"/>
    <w:rsid w:val="00AC6514"/>
    <w:rsid w:val="00AC6BF2"/>
    <w:rsid w:val="00AC7173"/>
    <w:rsid w:val="00AD0BD6"/>
    <w:rsid w:val="00AD4BCB"/>
    <w:rsid w:val="00AD4E36"/>
    <w:rsid w:val="00AD57E9"/>
    <w:rsid w:val="00AD58E7"/>
    <w:rsid w:val="00AD60D5"/>
    <w:rsid w:val="00AD6183"/>
    <w:rsid w:val="00AD63DF"/>
    <w:rsid w:val="00AD694B"/>
    <w:rsid w:val="00AD7A3A"/>
    <w:rsid w:val="00AD7F0F"/>
    <w:rsid w:val="00AD7F2C"/>
    <w:rsid w:val="00AE02DC"/>
    <w:rsid w:val="00AE045D"/>
    <w:rsid w:val="00AE047F"/>
    <w:rsid w:val="00AE07C1"/>
    <w:rsid w:val="00AE0910"/>
    <w:rsid w:val="00AE0D23"/>
    <w:rsid w:val="00AE104D"/>
    <w:rsid w:val="00AE18B2"/>
    <w:rsid w:val="00AE1A18"/>
    <w:rsid w:val="00AE2758"/>
    <w:rsid w:val="00AE28C7"/>
    <w:rsid w:val="00AE2BC8"/>
    <w:rsid w:val="00AE32C1"/>
    <w:rsid w:val="00AE409D"/>
    <w:rsid w:val="00AE4110"/>
    <w:rsid w:val="00AE52A7"/>
    <w:rsid w:val="00AE5FE1"/>
    <w:rsid w:val="00AE6B0B"/>
    <w:rsid w:val="00AE7096"/>
    <w:rsid w:val="00AE7406"/>
    <w:rsid w:val="00AF0F13"/>
    <w:rsid w:val="00AF1603"/>
    <w:rsid w:val="00AF2241"/>
    <w:rsid w:val="00AF2ECA"/>
    <w:rsid w:val="00AF33D0"/>
    <w:rsid w:val="00AF3FE9"/>
    <w:rsid w:val="00AF46B5"/>
    <w:rsid w:val="00AF48E1"/>
    <w:rsid w:val="00AF6103"/>
    <w:rsid w:val="00AF7CA8"/>
    <w:rsid w:val="00B00098"/>
    <w:rsid w:val="00B002A4"/>
    <w:rsid w:val="00B002DC"/>
    <w:rsid w:val="00B0055F"/>
    <w:rsid w:val="00B00E54"/>
    <w:rsid w:val="00B011D9"/>
    <w:rsid w:val="00B0139A"/>
    <w:rsid w:val="00B01D52"/>
    <w:rsid w:val="00B03C66"/>
    <w:rsid w:val="00B04D0D"/>
    <w:rsid w:val="00B04E5D"/>
    <w:rsid w:val="00B05769"/>
    <w:rsid w:val="00B057A7"/>
    <w:rsid w:val="00B0624C"/>
    <w:rsid w:val="00B0647D"/>
    <w:rsid w:val="00B0670E"/>
    <w:rsid w:val="00B0788C"/>
    <w:rsid w:val="00B07925"/>
    <w:rsid w:val="00B07AF4"/>
    <w:rsid w:val="00B1011B"/>
    <w:rsid w:val="00B11543"/>
    <w:rsid w:val="00B11AFD"/>
    <w:rsid w:val="00B11E2F"/>
    <w:rsid w:val="00B123C4"/>
    <w:rsid w:val="00B12E38"/>
    <w:rsid w:val="00B12E98"/>
    <w:rsid w:val="00B130BB"/>
    <w:rsid w:val="00B13C7A"/>
    <w:rsid w:val="00B13FE2"/>
    <w:rsid w:val="00B141FC"/>
    <w:rsid w:val="00B14407"/>
    <w:rsid w:val="00B14C3E"/>
    <w:rsid w:val="00B15AA3"/>
    <w:rsid w:val="00B162BC"/>
    <w:rsid w:val="00B174F8"/>
    <w:rsid w:val="00B17E6D"/>
    <w:rsid w:val="00B2026A"/>
    <w:rsid w:val="00B20701"/>
    <w:rsid w:val="00B22184"/>
    <w:rsid w:val="00B24328"/>
    <w:rsid w:val="00B24783"/>
    <w:rsid w:val="00B24FC6"/>
    <w:rsid w:val="00B25E0F"/>
    <w:rsid w:val="00B27193"/>
    <w:rsid w:val="00B273E8"/>
    <w:rsid w:val="00B27C43"/>
    <w:rsid w:val="00B302A1"/>
    <w:rsid w:val="00B31B34"/>
    <w:rsid w:val="00B3343A"/>
    <w:rsid w:val="00B343DA"/>
    <w:rsid w:val="00B34AB6"/>
    <w:rsid w:val="00B35DB1"/>
    <w:rsid w:val="00B36741"/>
    <w:rsid w:val="00B36F28"/>
    <w:rsid w:val="00B3705A"/>
    <w:rsid w:val="00B3717B"/>
    <w:rsid w:val="00B3730B"/>
    <w:rsid w:val="00B373FF"/>
    <w:rsid w:val="00B37F02"/>
    <w:rsid w:val="00B42766"/>
    <w:rsid w:val="00B427D1"/>
    <w:rsid w:val="00B42D84"/>
    <w:rsid w:val="00B45146"/>
    <w:rsid w:val="00B462DE"/>
    <w:rsid w:val="00B47883"/>
    <w:rsid w:val="00B47A48"/>
    <w:rsid w:val="00B50BE3"/>
    <w:rsid w:val="00B51807"/>
    <w:rsid w:val="00B5180B"/>
    <w:rsid w:val="00B5192F"/>
    <w:rsid w:val="00B51AB7"/>
    <w:rsid w:val="00B51C7F"/>
    <w:rsid w:val="00B53452"/>
    <w:rsid w:val="00B53657"/>
    <w:rsid w:val="00B54543"/>
    <w:rsid w:val="00B54A95"/>
    <w:rsid w:val="00B55267"/>
    <w:rsid w:val="00B56C66"/>
    <w:rsid w:val="00B56F76"/>
    <w:rsid w:val="00B5744C"/>
    <w:rsid w:val="00B57EC1"/>
    <w:rsid w:val="00B60E7F"/>
    <w:rsid w:val="00B61729"/>
    <w:rsid w:val="00B61854"/>
    <w:rsid w:val="00B62140"/>
    <w:rsid w:val="00B62327"/>
    <w:rsid w:val="00B62810"/>
    <w:rsid w:val="00B63103"/>
    <w:rsid w:val="00B64204"/>
    <w:rsid w:val="00B64C06"/>
    <w:rsid w:val="00B65784"/>
    <w:rsid w:val="00B665F8"/>
    <w:rsid w:val="00B666B6"/>
    <w:rsid w:val="00B66D6F"/>
    <w:rsid w:val="00B70565"/>
    <w:rsid w:val="00B70648"/>
    <w:rsid w:val="00B70F6D"/>
    <w:rsid w:val="00B719AD"/>
    <w:rsid w:val="00B724B4"/>
    <w:rsid w:val="00B731B7"/>
    <w:rsid w:val="00B741E1"/>
    <w:rsid w:val="00B748C2"/>
    <w:rsid w:val="00B74D4B"/>
    <w:rsid w:val="00B75A3F"/>
    <w:rsid w:val="00B75AE8"/>
    <w:rsid w:val="00B76133"/>
    <w:rsid w:val="00B76446"/>
    <w:rsid w:val="00B768AB"/>
    <w:rsid w:val="00B7789F"/>
    <w:rsid w:val="00B801F5"/>
    <w:rsid w:val="00B8112F"/>
    <w:rsid w:val="00B81F7C"/>
    <w:rsid w:val="00B825BF"/>
    <w:rsid w:val="00B84E9D"/>
    <w:rsid w:val="00B866D7"/>
    <w:rsid w:val="00B86E25"/>
    <w:rsid w:val="00B87CC7"/>
    <w:rsid w:val="00B90232"/>
    <w:rsid w:val="00B913F7"/>
    <w:rsid w:val="00B917E8"/>
    <w:rsid w:val="00B91A59"/>
    <w:rsid w:val="00B91E23"/>
    <w:rsid w:val="00B92559"/>
    <w:rsid w:val="00B93276"/>
    <w:rsid w:val="00B93796"/>
    <w:rsid w:val="00B9451F"/>
    <w:rsid w:val="00B94797"/>
    <w:rsid w:val="00B94879"/>
    <w:rsid w:val="00B9593C"/>
    <w:rsid w:val="00B96A27"/>
    <w:rsid w:val="00B97DFD"/>
    <w:rsid w:val="00BA07F6"/>
    <w:rsid w:val="00BA099F"/>
    <w:rsid w:val="00BA0C21"/>
    <w:rsid w:val="00BA0F58"/>
    <w:rsid w:val="00BA11B7"/>
    <w:rsid w:val="00BA1E13"/>
    <w:rsid w:val="00BA1FB2"/>
    <w:rsid w:val="00BA218B"/>
    <w:rsid w:val="00BA2E5A"/>
    <w:rsid w:val="00BA344E"/>
    <w:rsid w:val="00BA3F01"/>
    <w:rsid w:val="00BA4B56"/>
    <w:rsid w:val="00BA52BC"/>
    <w:rsid w:val="00BA57E6"/>
    <w:rsid w:val="00BA6D2F"/>
    <w:rsid w:val="00BB0091"/>
    <w:rsid w:val="00BB0F77"/>
    <w:rsid w:val="00BB39E7"/>
    <w:rsid w:val="00BB3BC1"/>
    <w:rsid w:val="00BB3FE8"/>
    <w:rsid w:val="00BB42E3"/>
    <w:rsid w:val="00BB4B7B"/>
    <w:rsid w:val="00BB528A"/>
    <w:rsid w:val="00BB68D5"/>
    <w:rsid w:val="00BB6E79"/>
    <w:rsid w:val="00BB7ACA"/>
    <w:rsid w:val="00BC2042"/>
    <w:rsid w:val="00BC25EF"/>
    <w:rsid w:val="00BC2B0B"/>
    <w:rsid w:val="00BC31CE"/>
    <w:rsid w:val="00BC33C6"/>
    <w:rsid w:val="00BC3413"/>
    <w:rsid w:val="00BC3779"/>
    <w:rsid w:val="00BC42EB"/>
    <w:rsid w:val="00BC4710"/>
    <w:rsid w:val="00BC543B"/>
    <w:rsid w:val="00BC60F6"/>
    <w:rsid w:val="00BC6D67"/>
    <w:rsid w:val="00BC7350"/>
    <w:rsid w:val="00BC769B"/>
    <w:rsid w:val="00BD014F"/>
    <w:rsid w:val="00BD01ED"/>
    <w:rsid w:val="00BD05B4"/>
    <w:rsid w:val="00BD07EE"/>
    <w:rsid w:val="00BD0C3A"/>
    <w:rsid w:val="00BD1D9B"/>
    <w:rsid w:val="00BD3773"/>
    <w:rsid w:val="00BD4BD2"/>
    <w:rsid w:val="00BD4C7C"/>
    <w:rsid w:val="00BD4CFE"/>
    <w:rsid w:val="00BD60F8"/>
    <w:rsid w:val="00BD6163"/>
    <w:rsid w:val="00BD6370"/>
    <w:rsid w:val="00BD6749"/>
    <w:rsid w:val="00BD7865"/>
    <w:rsid w:val="00BD7ACB"/>
    <w:rsid w:val="00BE2A7E"/>
    <w:rsid w:val="00BE390D"/>
    <w:rsid w:val="00BE5973"/>
    <w:rsid w:val="00BE6031"/>
    <w:rsid w:val="00BE65E4"/>
    <w:rsid w:val="00BE67F8"/>
    <w:rsid w:val="00BF0AB5"/>
    <w:rsid w:val="00BF0E55"/>
    <w:rsid w:val="00BF15DC"/>
    <w:rsid w:val="00BF2502"/>
    <w:rsid w:val="00BF2C98"/>
    <w:rsid w:val="00BF3A6E"/>
    <w:rsid w:val="00BF496F"/>
    <w:rsid w:val="00BF5C67"/>
    <w:rsid w:val="00BF6816"/>
    <w:rsid w:val="00BF74BB"/>
    <w:rsid w:val="00BF79C5"/>
    <w:rsid w:val="00BF7FA0"/>
    <w:rsid w:val="00C00044"/>
    <w:rsid w:val="00C00AAA"/>
    <w:rsid w:val="00C01515"/>
    <w:rsid w:val="00C0215A"/>
    <w:rsid w:val="00C024E7"/>
    <w:rsid w:val="00C03867"/>
    <w:rsid w:val="00C04008"/>
    <w:rsid w:val="00C04922"/>
    <w:rsid w:val="00C05A89"/>
    <w:rsid w:val="00C0686D"/>
    <w:rsid w:val="00C07D98"/>
    <w:rsid w:val="00C11856"/>
    <w:rsid w:val="00C1187B"/>
    <w:rsid w:val="00C125E9"/>
    <w:rsid w:val="00C12F12"/>
    <w:rsid w:val="00C130E0"/>
    <w:rsid w:val="00C138ED"/>
    <w:rsid w:val="00C13959"/>
    <w:rsid w:val="00C14102"/>
    <w:rsid w:val="00C1486B"/>
    <w:rsid w:val="00C14CFF"/>
    <w:rsid w:val="00C153BE"/>
    <w:rsid w:val="00C164C7"/>
    <w:rsid w:val="00C16A56"/>
    <w:rsid w:val="00C16EB7"/>
    <w:rsid w:val="00C20A32"/>
    <w:rsid w:val="00C21D7D"/>
    <w:rsid w:val="00C21F05"/>
    <w:rsid w:val="00C22084"/>
    <w:rsid w:val="00C22321"/>
    <w:rsid w:val="00C239F6"/>
    <w:rsid w:val="00C23BC0"/>
    <w:rsid w:val="00C24982"/>
    <w:rsid w:val="00C25240"/>
    <w:rsid w:val="00C25431"/>
    <w:rsid w:val="00C255AC"/>
    <w:rsid w:val="00C261DC"/>
    <w:rsid w:val="00C26D50"/>
    <w:rsid w:val="00C27967"/>
    <w:rsid w:val="00C27DF8"/>
    <w:rsid w:val="00C31B7F"/>
    <w:rsid w:val="00C33F4F"/>
    <w:rsid w:val="00C352CA"/>
    <w:rsid w:val="00C354B8"/>
    <w:rsid w:val="00C358F3"/>
    <w:rsid w:val="00C36082"/>
    <w:rsid w:val="00C36558"/>
    <w:rsid w:val="00C369AF"/>
    <w:rsid w:val="00C36D7E"/>
    <w:rsid w:val="00C3708C"/>
    <w:rsid w:val="00C3793D"/>
    <w:rsid w:val="00C37D14"/>
    <w:rsid w:val="00C40FCE"/>
    <w:rsid w:val="00C415B4"/>
    <w:rsid w:val="00C430C8"/>
    <w:rsid w:val="00C4429B"/>
    <w:rsid w:val="00C46F57"/>
    <w:rsid w:val="00C50EF6"/>
    <w:rsid w:val="00C514AF"/>
    <w:rsid w:val="00C5225F"/>
    <w:rsid w:val="00C52F60"/>
    <w:rsid w:val="00C53406"/>
    <w:rsid w:val="00C5343D"/>
    <w:rsid w:val="00C53970"/>
    <w:rsid w:val="00C542B9"/>
    <w:rsid w:val="00C54800"/>
    <w:rsid w:val="00C54E84"/>
    <w:rsid w:val="00C5544A"/>
    <w:rsid w:val="00C56374"/>
    <w:rsid w:val="00C56C56"/>
    <w:rsid w:val="00C60448"/>
    <w:rsid w:val="00C624AA"/>
    <w:rsid w:val="00C63F39"/>
    <w:rsid w:val="00C6410D"/>
    <w:rsid w:val="00C648AF"/>
    <w:rsid w:val="00C652CB"/>
    <w:rsid w:val="00C6536C"/>
    <w:rsid w:val="00C653DB"/>
    <w:rsid w:val="00C65759"/>
    <w:rsid w:val="00C65AB2"/>
    <w:rsid w:val="00C663F8"/>
    <w:rsid w:val="00C665EE"/>
    <w:rsid w:val="00C67853"/>
    <w:rsid w:val="00C7012B"/>
    <w:rsid w:val="00C70B9A"/>
    <w:rsid w:val="00C70CD9"/>
    <w:rsid w:val="00C718A9"/>
    <w:rsid w:val="00C71BE3"/>
    <w:rsid w:val="00C72AEF"/>
    <w:rsid w:val="00C72E4B"/>
    <w:rsid w:val="00C72F95"/>
    <w:rsid w:val="00C7320F"/>
    <w:rsid w:val="00C7525B"/>
    <w:rsid w:val="00C75DC2"/>
    <w:rsid w:val="00C76F3F"/>
    <w:rsid w:val="00C77C42"/>
    <w:rsid w:val="00C77DA6"/>
    <w:rsid w:val="00C77DE3"/>
    <w:rsid w:val="00C80172"/>
    <w:rsid w:val="00C80924"/>
    <w:rsid w:val="00C8122F"/>
    <w:rsid w:val="00C8127F"/>
    <w:rsid w:val="00C81685"/>
    <w:rsid w:val="00C81823"/>
    <w:rsid w:val="00C8226D"/>
    <w:rsid w:val="00C82272"/>
    <w:rsid w:val="00C82AD1"/>
    <w:rsid w:val="00C82CD6"/>
    <w:rsid w:val="00C82CFE"/>
    <w:rsid w:val="00C8320C"/>
    <w:rsid w:val="00C84093"/>
    <w:rsid w:val="00C840DB"/>
    <w:rsid w:val="00C844C9"/>
    <w:rsid w:val="00C847F4"/>
    <w:rsid w:val="00C8499F"/>
    <w:rsid w:val="00C84B7A"/>
    <w:rsid w:val="00C85FB7"/>
    <w:rsid w:val="00C863D5"/>
    <w:rsid w:val="00C865E3"/>
    <w:rsid w:val="00C8684D"/>
    <w:rsid w:val="00C87578"/>
    <w:rsid w:val="00C87610"/>
    <w:rsid w:val="00C908F6"/>
    <w:rsid w:val="00C91490"/>
    <w:rsid w:val="00C91517"/>
    <w:rsid w:val="00C915FB"/>
    <w:rsid w:val="00C919B6"/>
    <w:rsid w:val="00C91D7F"/>
    <w:rsid w:val="00C943C2"/>
    <w:rsid w:val="00C946C9"/>
    <w:rsid w:val="00C947C4"/>
    <w:rsid w:val="00C94840"/>
    <w:rsid w:val="00C951FA"/>
    <w:rsid w:val="00C95ABB"/>
    <w:rsid w:val="00C964DD"/>
    <w:rsid w:val="00C96606"/>
    <w:rsid w:val="00CA0126"/>
    <w:rsid w:val="00CA042F"/>
    <w:rsid w:val="00CA09DB"/>
    <w:rsid w:val="00CA0E0B"/>
    <w:rsid w:val="00CA131D"/>
    <w:rsid w:val="00CA3AD4"/>
    <w:rsid w:val="00CA44FC"/>
    <w:rsid w:val="00CA5B13"/>
    <w:rsid w:val="00CA5E14"/>
    <w:rsid w:val="00CA68E0"/>
    <w:rsid w:val="00CA7C58"/>
    <w:rsid w:val="00CB0063"/>
    <w:rsid w:val="00CB10CA"/>
    <w:rsid w:val="00CB11B9"/>
    <w:rsid w:val="00CB1F87"/>
    <w:rsid w:val="00CB2424"/>
    <w:rsid w:val="00CB2574"/>
    <w:rsid w:val="00CB25F1"/>
    <w:rsid w:val="00CB3D55"/>
    <w:rsid w:val="00CB3FE1"/>
    <w:rsid w:val="00CB5603"/>
    <w:rsid w:val="00CB564C"/>
    <w:rsid w:val="00CB5665"/>
    <w:rsid w:val="00CB5BF2"/>
    <w:rsid w:val="00CB631F"/>
    <w:rsid w:val="00CB7B68"/>
    <w:rsid w:val="00CB7F00"/>
    <w:rsid w:val="00CC03DB"/>
    <w:rsid w:val="00CC0D78"/>
    <w:rsid w:val="00CC18E1"/>
    <w:rsid w:val="00CC1D10"/>
    <w:rsid w:val="00CC1FA8"/>
    <w:rsid w:val="00CC22CE"/>
    <w:rsid w:val="00CC25FA"/>
    <w:rsid w:val="00CC2671"/>
    <w:rsid w:val="00CC2A46"/>
    <w:rsid w:val="00CC3E57"/>
    <w:rsid w:val="00CC4F88"/>
    <w:rsid w:val="00CC51E5"/>
    <w:rsid w:val="00CC57ED"/>
    <w:rsid w:val="00CC5CD2"/>
    <w:rsid w:val="00CC5F5B"/>
    <w:rsid w:val="00CC6FDC"/>
    <w:rsid w:val="00CC7516"/>
    <w:rsid w:val="00CC75BC"/>
    <w:rsid w:val="00CC7D7B"/>
    <w:rsid w:val="00CD07CF"/>
    <w:rsid w:val="00CD0B99"/>
    <w:rsid w:val="00CD0D49"/>
    <w:rsid w:val="00CD10C3"/>
    <w:rsid w:val="00CD1B24"/>
    <w:rsid w:val="00CD24CD"/>
    <w:rsid w:val="00CD292B"/>
    <w:rsid w:val="00CD3694"/>
    <w:rsid w:val="00CD3790"/>
    <w:rsid w:val="00CD486A"/>
    <w:rsid w:val="00CD56B4"/>
    <w:rsid w:val="00CD57B8"/>
    <w:rsid w:val="00CD5D67"/>
    <w:rsid w:val="00CD606E"/>
    <w:rsid w:val="00CD65DC"/>
    <w:rsid w:val="00CD6683"/>
    <w:rsid w:val="00CD6F72"/>
    <w:rsid w:val="00CD7075"/>
    <w:rsid w:val="00CD70C9"/>
    <w:rsid w:val="00CD7157"/>
    <w:rsid w:val="00CD7312"/>
    <w:rsid w:val="00CD7C38"/>
    <w:rsid w:val="00CE007B"/>
    <w:rsid w:val="00CE1831"/>
    <w:rsid w:val="00CE222D"/>
    <w:rsid w:val="00CE2E83"/>
    <w:rsid w:val="00CE3058"/>
    <w:rsid w:val="00CE307E"/>
    <w:rsid w:val="00CE3278"/>
    <w:rsid w:val="00CE32BD"/>
    <w:rsid w:val="00CE3526"/>
    <w:rsid w:val="00CE43F4"/>
    <w:rsid w:val="00CE4AE5"/>
    <w:rsid w:val="00CE52E3"/>
    <w:rsid w:val="00CE5B5E"/>
    <w:rsid w:val="00CE627F"/>
    <w:rsid w:val="00CE6A69"/>
    <w:rsid w:val="00CE7404"/>
    <w:rsid w:val="00CE7850"/>
    <w:rsid w:val="00CE7D7A"/>
    <w:rsid w:val="00CF0700"/>
    <w:rsid w:val="00CF077D"/>
    <w:rsid w:val="00CF0BBE"/>
    <w:rsid w:val="00CF1056"/>
    <w:rsid w:val="00CF19B7"/>
    <w:rsid w:val="00CF1E9F"/>
    <w:rsid w:val="00CF3A41"/>
    <w:rsid w:val="00CF4272"/>
    <w:rsid w:val="00CF53D8"/>
    <w:rsid w:val="00CF7239"/>
    <w:rsid w:val="00CF75DB"/>
    <w:rsid w:val="00D01673"/>
    <w:rsid w:val="00D01D9D"/>
    <w:rsid w:val="00D022BC"/>
    <w:rsid w:val="00D038A9"/>
    <w:rsid w:val="00D03F8B"/>
    <w:rsid w:val="00D04304"/>
    <w:rsid w:val="00D0432D"/>
    <w:rsid w:val="00D053B5"/>
    <w:rsid w:val="00D056AC"/>
    <w:rsid w:val="00D05DC8"/>
    <w:rsid w:val="00D05E9D"/>
    <w:rsid w:val="00D05EEF"/>
    <w:rsid w:val="00D065EA"/>
    <w:rsid w:val="00D067CB"/>
    <w:rsid w:val="00D11354"/>
    <w:rsid w:val="00D11B91"/>
    <w:rsid w:val="00D12CC0"/>
    <w:rsid w:val="00D13CD0"/>
    <w:rsid w:val="00D13D82"/>
    <w:rsid w:val="00D14C45"/>
    <w:rsid w:val="00D15993"/>
    <w:rsid w:val="00D173DC"/>
    <w:rsid w:val="00D20AD1"/>
    <w:rsid w:val="00D21935"/>
    <w:rsid w:val="00D22236"/>
    <w:rsid w:val="00D22A3D"/>
    <w:rsid w:val="00D22C27"/>
    <w:rsid w:val="00D23A85"/>
    <w:rsid w:val="00D24D42"/>
    <w:rsid w:val="00D24E9B"/>
    <w:rsid w:val="00D25316"/>
    <w:rsid w:val="00D26807"/>
    <w:rsid w:val="00D26B37"/>
    <w:rsid w:val="00D27ACE"/>
    <w:rsid w:val="00D30316"/>
    <w:rsid w:val="00D305C1"/>
    <w:rsid w:val="00D30B8F"/>
    <w:rsid w:val="00D3219F"/>
    <w:rsid w:val="00D332D8"/>
    <w:rsid w:val="00D33AB4"/>
    <w:rsid w:val="00D3418B"/>
    <w:rsid w:val="00D346EE"/>
    <w:rsid w:val="00D34A61"/>
    <w:rsid w:val="00D358D2"/>
    <w:rsid w:val="00D35A96"/>
    <w:rsid w:val="00D364D8"/>
    <w:rsid w:val="00D3678B"/>
    <w:rsid w:val="00D36D59"/>
    <w:rsid w:val="00D37D1F"/>
    <w:rsid w:val="00D37DC8"/>
    <w:rsid w:val="00D4029C"/>
    <w:rsid w:val="00D40505"/>
    <w:rsid w:val="00D4090F"/>
    <w:rsid w:val="00D40910"/>
    <w:rsid w:val="00D40EC7"/>
    <w:rsid w:val="00D4123E"/>
    <w:rsid w:val="00D4124E"/>
    <w:rsid w:val="00D42332"/>
    <w:rsid w:val="00D42986"/>
    <w:rsid w:val="00D443EA"/>
    <w:rsid w:val="00D4575F"/>
    <w:rsid w:val="00D462EE"/>
    <w:rsid w:val="00D465D0"/>
    <w:rsid w:val="00D47013"/>
    <w:rsid w:val="00D47380"/>
    <w:rsid w:val="00D47B8B"/>
    <w:rsid w:val="00D47C98"/>
    <w:rsid w:val="00D5021D"/>
    <w:rsid w:val="00D504E7"/>
    <w:rsid w:val="00D50AC3"/>
    <w:rsid w:val="00D5147D"/>
    <w:rsid w:val="00D52CCD"/>
    <w:rsid w:val="00D5304A"/>
    <w:rsid w:val="00D53853"/>
    <w:rsid w:val="00D539AB"/>
    <w:rsid w:val="00D53D25"/>
    <w:rsid w:val="00D54F00"/>
    <w:rsid w:val="00D55E47"/>
    <w:rsid w:val="00D56568"/>
    <w:rsid w:val="00D5799C"/>
    <w:rsid w:val="00D57B07"/>
    <w:rsid w:val="00D601E3"/>
    <w:rsid w:val="00D61378"/>
    <w:rsid w:val="00D61F79"/>
    <w:rsid w:val="00D626A7"/>
    <w:rsid w:val="00D631E7"/>
    <w:rsid w:val="00D6341B"/>
    <w:rsid w:val="00D63858"/>
    <w:rsid w:val="00D63BC4"/>
    <w:rsid w:val="00D6406E"/>
    <w:rsid w:val="00D648A9"/>
    <w:rsid w:val="00D65325"/>
    <w:rsid w:val="00D653FE"/>
    <w:rsid w:val="00D660BF"/>
    <w:rsid w:val="00D6617D"/>
    <w:rsid w:val="00D67232"/>
    <w:rsid w:val="00D67691"/>
    <w:rsid w:val="00D67C02"/>
    <w:rsid w:val="00D708CA"/>
    <w:rsid w:val="00D71481"/>
    <w:rsid w:val="00D71667"/>
    <w:rsid w:val="00D71E57"/>
    <w:rsid w:val="00D71F65"/>
    <w:rsid w:val="00D72086"/>
    <w:rsid w:val="00D7216C"/>
    <w:rsid w:val="00D727C0"/>
    <w:rsid w:val="00D730C6"/>
    <w:rsid w:val="00D7321D"/>
    <w:rsid w:val="00D754FD"/>
    <w:rsid w:val="00D75BA1"/>
    <w:rsid w:val="00D774FF"/>
    <w:rsid w:val="00D775B6"/>
    <w:rsid w:val="00D77DC8"/>
    <w:rsid w:val="00D77E09"/>
    <w:rsid w:val="00D8280D"/>
    <w:rsid w:val="00D82AEB"/>
    <w:rsid w:val="00D82C74"/>
    <w:rsid w:val="00D82EF2"/>
    <w:rsid w:val="00D830E3"/>
    <w:rsid w:val="00D83972"/>
    <w:rsid w:val="00D83F36"/>
    <w:rsid w:val="00D84387"/>
    <w:rsid w:val="00D84648"/>
    <w:rsid w:val="00D84A4C"/>
    <w:rsid w:val="00D85F43"/>
    <w:rsid w:val="00D86424"/>
    <w:rsid w:val="00D86740"/>
    <w:rsid w:val="00D87686"/>
    <w:rsid w:val="00D876E1"/>
    <w:rsid w:val="00D87766"/>
    <w:rsid w:val="00D87D48"/>
    <w:rsid w:val="00D87E56"/>
    <w:rsid w:val="00D902B5"/>
    <w:rsid w:val="00D90589"/>
    <w:rsid w:val="00D91D0A"/>
    <w:rsid w:val="00D93DF1"/>
    <w:rsid w:val="00D94021"/>
    <w:rsid w:val="00D95480"/>
    <w:rsid w:val="00D960A6"/>
    <w:rsid w:val="00D96FC7"/>
    <w:rsid w:val="00DA01EF"/>
    <w:rsid w:val="00DA1173"/>
    <w:rsid w:val="00DA1267"/>
    <w:rsid w:val="00DA1FDF"/>
    <w:rsid w:val="00DA25E6"/>
    <w:rsid w:val="00DA284E"/>
    <w:rsid w:val="00DA3941"/>
    <w:rsid w:val="00DA3A43"/>
    <w:rsid w:val="00DA6605"/>
    <w:rsid w:val="00DA6794"/>
    <w:rsid w:val="00DA6B36"/>
    <w:rsid w:val="00DA7AE6"/>
    <w:rsid w:val="00DB013D"/>
    <w:rsid w:val="00DB0208"/>
    <w:rsid w:val="00DB0443"/>
    <w:rsid w:val="00DB1171"/>
    <w:rsid w:val="00DB226F"/>
    <w:rsid w:val="00DB279F"/>
    <w:rsid w:val="00DB2EB3"/>
    <w:rsid w:val="00DB373F"/>
    <w:rsid w:val="00DB3882"/>
    <w:rsid w:val="00DB55A1"/>
    <w:rsid w:val="00DB56CE"/>
    <w:rsid w:val="00DB580D"/>
    <w:rsid w:val="00DB63CD"/>
    <w:rsid w:val="00DB677B"/>
    <w:rsid w:val="00DB708F"/>
    <w:rsid w:val="00DB788E"/>
    <w:rsid w:val="00DB7A09"/>
    <w:rsid w:val="00DB7A90"/>
    <w:rsid w:val="00DC1326"/>
    <w:rsid w:val="00DC13BB"/>
    <w:rsid w:val="00DC1899"/>
    <w:rsid w:val="00DC2970"/>
    <w:rsid w:val="00DC3458"/>
    <w:rsid w:val="00DC4C88"/>
    <w:rsid w:val="00DC4CA2"/>
    <w:rsid w:val="00DC4F9C"/>
    <w:rsid w:val="00DC51F8"/>
    <w:rsid w:val="00DC7BF2"/>
    <w:rsid w:val="00DC7F24"/>
    <w:rsid w:val="00DD0223"/>
    <w:rsid w:val="00DD182D"/>
    <w:rsid w:val="00DD1D45"/>
    <w:rsid w:val="00DD33CD"/>
    <w:rsid w:val="00DD42B6"/>
    <w:rsid w:val="00DD5A5A"/>
    <w:rsid w:val="00DD5FE7"/>
    <w:rsid w:val="00DD659F"/>
    <w:rsid w:val="00DD6911"/>
    <w:rsid w:val="00DE0373"/>
    <w:rsid w:val="00DE09F7"/>
    <w:rsid w:val="00DE1515"/>
    <w:rsid w:val="00DE1665"/>
    <w:rsid w:val="00DE1BF4"/>
    <w:rsid w:val="00DE355D"/>
    <w:rsid w:val="00DE3A13"/>
    <w:rsid w:val="00DE4FC0"/>
    <w:rsid w:val="00DE51B1"/>
    <w:rsid w:val="00DE57F8"/>
    <w:rsid w:val="00DE5A17"/>
    <w:rsid w:val="00DE7474"/>
    <w:rsid w:val="00DE7908"/>
    <w:rsid w:val="00DF0007"/>
    <w:rsid w:val="00DF0021"/>
    <w:rsid w:val="00DF1433"/>
    <w:rsid w:val="00DF1BFC"/>
    <w:rsid w:val="00DF2928"/>
    <w:rsid w:val="00DF3859"/>
    <w:rsid w:val="00DF3F73"/>
    <w:rsid w:val="00DF3FA6"/>
    <w:rsid w:val="00DF4369"/>
    <w:rsid w:val="00DF4ADA"/>
    <w:rsid w:val="00DF515C"/>
    <w:rsid w:val="00DF51D1"/>
    <w:rsid w:val="00DF5646"/>
    <w:rsid w:val="00DF5946"/>
    <w:rsid w:val="00DF5F73"/>
    <w:rsid w:val="00DF63F9"/>
    <w:rsid w:val="00DF7211"/>
    <w:rsid w:val="00DF74BA"/>
    <w:rsid w:val="00E0008F"/>
    <w:rsid w:val="00E002D7"/>
    <w:rsid w:val="00E00D7E"/>
    <w:rsid w:val="00E0159F"/>
    <w:rsid w:val="00E01896"/>
    <w:rsid w:val="00E02203"/>
    <w:rsid w:val="00E02813"/>
    <w:rsid w:val="00E02FB7"/>
    <w:rsid w:val="00E03493"/>
    <w:rsid w:val="00E03AA2"/>
    <w:rsid w:val="00E03BB8"/>
    <w:rsid w:val="00E04147"/>
    <w:rsid w:val="00E049BD"/>
    <w:rsid w:val="00E04A48"/>
    <w:rsid w:val="00E05C2E"/>
    <w:rsid w:val="00E05FC5"/>
    <w:rsid w:val="00E068B2"/>
    <w:rsid w:val="00E06A06"/>
    <w:rsid w:val="00E06F43"/>
    <w:rsid w:val="00E071FE"/>
    <w:rsid w:val="00E0775A"/>
    <w:rsid w:val="00E07ED9"/>
    <w:rsid w:val="00E104C5"/>
    <w:rsid w:val="00E11361"/>
    <w:rsid w:val="00E12081"/>
    <w:rsid w:val="00E1248A"/>
    <w:rsid w:val="00E12879"/>
    <w:rsid w:val="00E128C6"/>
    <w:rsid w:val="00E12943"/>
    <w:rsid w:val="00E131E4"/>
    <w:rsid w:val="00E1388F"/>
    <w:rsid w:val="00E13B6E"/>
    <w:rsid w:val="00E144DC"/>
    <w:rsid w:val="00E15CA7"/>
    <w:rsid w:val="00E16EC9"/>
    <w:rsid w:val="00E179E8"/>
    <w:rsid w:val="00E17A61"/>
    <w:rsid w:val="00E17DB4"/>
    <w:rsid w:val="00E20B2F"/>
    <w:rsid w:val="00E2118D"/>
    <w:rsid w:val="00E21451"/>
    <w:rsid w:val="00E22404"/>
    <w:rsid w:val="00E2284B"/>
    <w:rsid w:val="00E229A1"/>
    <w:rsid w:val="00E2380F"/>
    <w:rsid w:val="00E239B0"/>
    <w:rsid w:val="00E24774"/>
    <w:rsid w:val="00E2627E"/>
    <w:rsid w:val="00E26AB1"/>
    <w:rsid w:val="00E27EF8"/>
    <w:rsid w:val="00E300FC"/>
    <w:rsid w:val="00E31385"/>
    <w:rsid w:val="00E31B51"/>
    <w:rsid w:val="00E324A8"/>
    <w:rsid w:val="00E32A53"/>
    <w:rsid w:val="00E32B28"/>
    <w:rsid w:val="00E32DA9"/>
    <w:rsid w:val="00E34C3D"/>
    <w:rsid w:val="00E3559F"/>
    <w:rsid w:val="00E35810"/>
    <w:rsid w:val="00E35ACF"/>
    <w:rsid w:val="00E35BE3"/>
    <w:rsid w:val="00E35EC6"/>
    <w:rsid w:val="00E364B6"/>
    <w:rsid w:val="00E37695"/>
    <w:rsid w:val="00E40AB3"/>
    <w:rsid w:val="00E412B5"/>
    <w:rsid w:val="00E42442"/>
    <w:rsid w:val="00E42C72"/>
    <w:rsid w:val="00E42EA4"/>
    <w:rsid w:val="00E440CD"/>
    <w:rsid w:val="00E4516C"/>
    <w:rsid w:val="00E4537B"/>
    <w:rsid w:val="00E458CC"/>
    <w:rsid w:val="00E46466"/>
    <w:rsid w:val="00E46847"/>
    <w:rsid w:val="00E47537"/>
    <w:rsid w:val="00E476C8"/>
    <w:rsid w:val="00E478A9"/>
    <w:rsid w:val="00E507AE"/>
    <w:rsid w:val="00E50B5E"/>
    <w:rsid w:val="00E50D8E"/>
    <w:rsid w:val="00E51192"/>
    <w:rsid w:val="00E51418"/>
    <w:rsid w:val="00E5158B"/>
    <w:rsid w:val="00E53D22"/>
    <w:rsid w:val="00E53DEC"/>
    <w:rsid w:val="00E5477C"/>
    <w:rsid w:val="00E54878"/>
    <w:rsid w:val="00E555C2"/>
    <w:rsid w:val="00E55A35"/>
    <w:rsid w:val="00E55DDA"/>
    <w:rsid w:val="00E5661B"/>
    <w:rsid w:val="00E56E67"/>
    <w:rsid w:val="00E56F89"/>
    <w:rsid w:val="00E603C1"/>
    <w:rsid w:val="00E6056B"/>
    <w:rsid w:val="00E60B4C"/>
    <w:rsid w:val="00E61F61"/>
    <w:rsid w:val="00E62062"/>
    <w:rsid w:val="00E62B4E"/>
    <w:rsid w:val="00E63563"/>
    <w:rsid w:val="00E63B07"/>
    <w:rsid w:val="00E63B43"/>
    <w:rsid w:val="00E64AB0"/>
    <w:rsid w:val="00E6588E"/>
    <w:rsid w:val="00E66D21"/>
    <w:rsid w:val="00E70CF5"/>
    <w:rsid w:val="00E715EB"/>
    <w:rsid w:val="00E7215C"/>
    <w:rsid w:val="00E723D5"/>
    <w:rsid w:val="00E725C9"/>
    <w:rsid w:val="00E72944"/>
    <w:rsid w:val="00E73217"/>
    <w:rsid w:val="00E73464"/>
    <w:rsid w:val="00E745D3"/>
    <w:rsid w:val="00E74780"/>
    <w:rsid w:val="00E76235"/>
    <w:rsid w:val="00E7750A"/>
    <w:rsid w:val="00E77B75"/>
    <w:rsid w:val="00E805AF"/>
    <w:rsid w:val="00E8070F"/>
    <w:rsid w:val="00E80964"/>
    <w:rsid w:val="00E812D5"/>
    <w:rsid w:val="00E824BE"/>
    <w:rsid w:val="00E835A5"/>
    <w:rsid w:val="00E83AA9"/>
    <w:rsid w:val="00E849C9"/>
    <w:rsid w:val="00E84A3F"/>
    <w:rsid w:val="00E84D7A"/>
    <w:rsid w:val="00E856EB"/>
    <w:rsid w:val="00E857F6"/>
    <w:rsid w:val="00E86C33"/>
    <w:rsid w:val="00E874DC"/>
    <w:rsid w:val="00E903A1"/>
    <w:rsid w:val="00E904BC"/>
    <w:rsid w:val="00E90586"/>
    <w:rsid w:val="00E90CD4"/>
    <w:rsid w:val="00E91701"/>
    <w:rsid w:val="00E9291F"/>
    <w:rsid w:val="00E92D36"/>
    <w:rsid w:val="00E93AE2"/>
    <w:rsid w:val="00E93B42"/>
    <w:rsid w:val="00E940F3"/>
    <w:rsid w:val="00E94238"/>
    <w:rsid w:val="00E948CA"/>
    <w:rsid w:val="00E96256"/>
    <w:rsid w:val="00E96BF1"/>
    <w:rsid w:val="00E97A5E"/>
    <w:rsid w:val="00EA165E"/>
    <w:rsid w:val="00EA17E9"/>
    <w:rsid w:val="00EA1BC9"/>
    <w:rsid w:val="00EA283F"/>
    <w:rsid w:val="00EA2AC1"/>
    <w:rsid w:val="00EA31A2"/>
    <w:rsid w:val="00EA3C00"/>
    <w:rsid w:val="00EA3C19"/>
    <w:rsid w:val="00EA3C63"/>
    <w:rsid w:val="00EA4234"/>
    <w:rsid w:val="00EA52BD"/>
    <w:rsid w:val="00EA54FE"/>
    <w:rsid w:val="00EA57AA"/>
    <w:rsid w:val="00EA5A72"/>
    <w:rsid w:val="00EA5D83"/>
    <w:rsid w:val="00EA7E7A"/>
    <w:rsid w:val="00EB1301"/>
    <w:rsid w:val="00EB1EA8"/>
    <w:rsid w:val="00EB2309"/>
    <w:rsid w:val="00EB27C5"/>
    <w:rsid w:val="00EB2A20"/>
    <w:rsid w:val="00EB3AFD"/>
    <w:rsid w:val="00EB3C2F"/>
    <w:rsid w:val="00EB4024"/>
    <w:rsid w:val="00EB542B"/>
    <w:rsid w:val="00EB6192"/>
    <w:rsid w:val="00EB6321"/>
    <w:rsid w:val="00EB7014"/>
    <w:rsid w:val="00EB709B"/>
    <w:rsid w:val="00EC00D7"/>
    <w:rsid w:val="00EC1831"/>
    <w:rsid w:val="00EC32C1"/>
    <w:rsid w:val="00EC3A8A"/>
    <w:rsid w:val="00EC42BE"/>
    <w:rsid w:val="00EC436E"/>
    <w:rsid w:val="00EC48D2"/>
    <w:rsid w:val="00EC595E"/>
    <w:rsid w:val="00EC5D9A"/>
    <w:rsid w:val="00EC5DA8"/>
    <w:rsid w:val="00EC5FD2"/>
    <w:rsid w:val="00EC6378"/>
    <w:rsid w:val="00EC67B3"/>
    <w:rsid w:val="00EC7987"/>
    <w:rsid w:val="00EC7BEE"/>
    <w:rsid w:val="00ED00D8"/>
    <w:rsid w:val="00ED0466"/>
    <w:rsid w:val="00ED056E"/>
    <w:rsid w:val="00ED1B18"/>
    <w:rsid w:val="00ED1E99"/>
    <w:rsid w:val="00ED2347"/>
    <w:rsid w:val="00ED2426"/>
    <w:rsid w:val="00ED2784"/>
    <w:rsid w:val="00ED38B2"/>
    <w:rsid w:val="00ED458B"/>
    <w:rsid w:val="00ED46F1"/>
    <w:rsid w:val="00ED50EE"/>
    <w:rsid w:val="00ED5730"/>
    <w:rsid w:val="00ED5C6E"/>
    <w:rsid w:val="00ED5E7C"/>
    <w:rsid w:val="00ED65D0"/>
    <w:rsid w:val="00ED69EA"/>
    <w:rsid w:val="00ED6A91"/>
    <w:rsid w:val="00ED6AC9"/>
    <w:rsid w:val="00ED6EDF"/>
    <w:rsid w:val="00ED7FB9"/>
    <w:rsid w:val="00EE012E"/>
    <w:rsid w:val="00EE0E2D"/>
    <w:rsid w:val="00EE2055"/>
    <w:rsid w:val="00EE2DE2"/>
    <w:rsid w:val="00EE3A80"/>
    <w:rsid w:val="00EE4B6E"/>
    <w:rsid w:val="00EE5F9B"/>
    <w:rsid w:val="00EE6022"/>
    <w:rsid w:val="00EE616F"/>
    <w:rsid w:val="00EE67EE"/>
    <w:rsid w:val="00EE6E4A"/>
    <w:rsid w:val="00EE7C2F"/>
    <w:rsid w:val="00EF007F"/>
    <w:rsid w:val="00EF0320"/>
    <w:rsid w:val="00EF16C8"/>
    <w:rsid w:val="00EF1A1B"/>
    <w:rsid w:val="00EF1A54"/>
    <w:rsid w:val="00EF1E0A"/>
    <w:rsid w:val="00EF32D9"/>
    <w:rsid w:val="00EF3329"/>
    <w:rsid w:val="00EF3CE1"/>
    <w:rsid w:val="00EF414A"/>
    <w:rsid w:val="00EF5235"/>
    <w:rsid w:val="00EF60CC"/>
    <w:rsid w:val="00EF626B"/>
    <w:rsid w:val="00EF657F"/>
    <w:rsid w:val="00EF6928"/>
    <w:rsid w:val="00EF6B03"/>
    <w:rsid w:val="00EF7D17"/>
    <w:rsid w:val="00F01A46"/>
    <w:rsid w:val="00F02233"/>
    <w:rsid w:val="00F03FF7"/>
    <w:rsid w:val="00F05571"/>
    <w:rsid w:val="00F058A5"/>
    <w:rsid w:val="00F0627F"/>
    <w:rsid w:val="00F066C2"/>
    <w:rsid w:val="00F07133"/>
    <w:rsid w:val="00F07550"/>
    <w:rsid w:val="00F10050"/>
    <w:rsid w:val="00F104EE"/>
    <w:rsid w:val="00F10C82"/>
    <w:rsid w:val="00F11061"/>
    <w:rsid w:val="00F11556"/>
    <w:rsid w:val="00F115A2"/>
    <w:rsid w:val="00F118FE"/>
    <w:rsid w:val="00F12E42"/>
    <w:rsid w:val="00F1329C"/>
    <w:rsid w:val="00F1354B"/>
    <w:rsid w:val="00F13BC5"/>
    <w:rsid w:val="00F13FB2"/>
    <w:rsid w:val="00F156E2"/>
    <w:rsid w:val="00F15719"/>
    <w:rsid w:val="00F16047"/>
    <w:rsid w:val="00F1610B"/>
    <w:rsid w:val="00F16BEC"/>
    <w:rsid w:val="00F171A6"/>
    <w:rsid w:val="00F17DC3"/>
    <w:rsid w:val="00F20952"/>
    <w:rsid w:val="00F20E8C"/>
    <w:rsid w:val="00F214DA"/>
    <w:rsid w:val="00F21F68"/>
    <w:rsid w:val="00F2238C"/>
    <w:rsid w:val="00F227A4"/>
    <w:rsid w:val="00F2328E"/>
    <w:rsid w:val="00F241AD"/>
    <w:rsid w:val="00F25B2D"/>
    <w:rsid w:val="00F301BC"/>
    <w:rsid w:val="00F30C2C"/>
    <w:rsid w:val="00F3109F"/>
    <w:rsid w:val="00F314C8"/>
    <w:rsid w:val="00F31D77"/>
    <w:rsid w:val="00F31DCA"/>
    <w:rsid w:val="00F31E83"/>
    <w:rsid w:val="00F32361"/>
    <w:rsid w:val="00F324C8"/>
    <w:rsid w:val="00F32B5B"/>
    <w:rsid w:val="00F334E1"/>
    <w:rsid w:val="00F3367D"/>
    <w:rsid w:val="00F3403C"/>
    <w:rsid w:val="00F34070"/>
    <w:rsid w:val="00F34B5D"/>
    <w:rsid w:val="00F34BA9"/>
    <w:rsid w:val="00F34C74"/>
    <w:rsid w:val="00F34EFE"/>
    <w:rsid w:val="00F35695"/>
    <w:rsid w:val="00F36A30"/>
    <w:rsid w:val="00F37326"/>
    <w:rsid w:val="00F378F3"/>
    <w:rsid w:val="00F40F61"/>
    <w:rsid w:val="00F4134C"/>
    <w:rsid w:val="00F414D2"/>
    <w:rsid w:val="00F418FE"/>
    <w:rsid w:val="00F42492"/>
    <w:rsid w:val="00F43341"/>
    <w:rsid w:val="00F436CB"/>
    <w:rsid w:val="00F43B22"/>
    <w:rsid w:val="00F43C87"/>
    <w:rsid w:val="00F447C4"/>
    <w:rsid w:val="00F44AB2"/>
    <w:rsid w:val="00F44E48"/>
    <w:rsid w:val="00F45929"/>
    <w:rsid w:val="00F46353"/>
    <w:rsid w:val="00F4645B"/>
    <w:rsid w:val="00F46762"/>
    <w:rsid w:val="00F46D89"/>
    <w:rsid w:val="00F47A18"/>
    <w:rsid w:val="00F502E5"/>
    <w:rsid w:val="00F50946"/>
    <w:rsid w:val="00F5121B"/>
    <w:rsid w:val="00F51464"/>
    <w:rsid w:val="00F51591"/>
    <w:rsid w:val="00F520B4"/>
    <w:rsid w:val="00F524F8"/>
    <w:rsid w:val="00F52C5F"/>
    <w:rsid w:val="00F53E99"/>
    <w:rsid w:val="00F54283"/>
    <w:rsid w:val="00F54ECC"/>
    <w:rsid w:val="00F54F49"/>
    <w:rsid w:val="00F55759"/>
    <w:rsid w:val="00F559F3"/>
    <w:rsid w:val="00F56377"/>
    <w:rsid w:val="00F567C1"/>
    <w:rsid w:val="00F568F3"/>
    <w:rsid w:val="00F56AEE"/>
    <w:rsid w:val="00F57D70"/>
    <w:rsid w:val="00F60854"/>
    <w:rsid w:val="00F6156F"/>
    <w:rsid w:val="00F618D5"/>
    <w:rsid w:val="00F64C14"/>
    <w:rsid w:val="00F6527E"/>
    <w:rsid w:val="00F662EB"/>
    <w:rsid w:val="00F664E2"/>
    <w:rsid w:val="00F6735D"/>
    <w:rsid w:val="00F678D3"/>
    <w:rsid w:val="00F7052D"/>
    <w:rsid w:val="00F713FB"/>
    <w:rsid w:val="00F71805"/>
    <w:rsid w:val="00F72122"/>
    <w:rsid w:val="00F72752"/>
    <w:rsid w:val="00F72C6A"/>
    <w:rsid w:val="00F735CB"/>
    <w:rsid w:val="00F73765"/>
    <w:rsid w:val="00F74D31"/>
    <w:rsid w:val="00F7525C"/>
    <w:rsid w:val="00F75638"/>
    <w:rsid w:val="00F75779"/>
    <w:rsid w:val="00F75856"/>
    <w:rsid w:val="00F75D0C"/>
    <w:rsid w:val="00F75F8F"/>
    <w:rsid w:val="00F76526"/>
    <w:rsid w:val="00F76843"/>
    <w:rsid w:val="00F7755A"/>
    <w:rsid w:val="00F80E3C"/>
    <w:rsid w:val="00F81B61"/>
    <w:rsid w:val="00F81FBA"/>
    <w:rsid w:val="00F829BA"/>
    <w:rsid w:val="00F83705"/>
    <w:rsid w:val="00F83C23"/>
    <w:rsid w:val="00F84A86"/>
    <w:rsid w:val="00F84B64"/>
    <w:rsid w:val="00F87229"/>
    <w:rsid w:val="00F8722D"/>
    <w:rsid w:val="00F8783A"/>
    <w:rsid w:val="00F87F21"/>
    <w:rsid w:val="00F9246E"/>
    <w:rsid w:val="00F928B9"/>
    <w:rsid w:val="00F92E25"/>
    <w:rsid w:val="00F940A2"/>
    <w:rsid w:val="00F94CCB"/>
    <w:rsid w:val="00F9595A"/>
    <w:rsid w:val="00F95E28"/>
    <w:rsid w:val="00F95EC1"/>
    <w:rsid w:val="00F96049"/>
    <w:rsid w:val="00F96EDE"/>
    <w:rsid w:val="00F97D92"/>
    <w:rsid w:val="00FA02AD"/>
    <w:rsid w:val="00FA1268"/>
    <w:rsid w:val="00FA28B0"/>
    <w:rsid w:val="00FA297E"/>
    <w:rsid w:val="00FA2D6D"/>
    <w:rsid w:val="00FA31D2"/>
    <w:rsid w:val="00FA41BB"/>
    <w:rsid w:val="00FA46F9"/>
    <w:rsid w:val="00FA509D"/>
    <w:rsid w:val="00FA57AE"/>
    <w:rsid w:val="00FA5A6A"/>
    <w:rsid w:val="00FA60A1"/>
    <w:rsid w:val="00FA6227"/>
    <w:rsid w:val="00FA6A5B"/>
    <w:rsid w:val="00FA7C2F"/>
    <w:rsid w:val="00FB06C8"/>
    <w:rsid w:val="00FB1946"/>
    <w:rsid w:val="00FB2145"/>
    <w:rsid w:val="00FB22BF"/>
    <w:rsid w:val="00FB28E5"/>
    <w:rsid w:val="00FB342D"/>
    <w:rsid w:val="00FB390B"/>
    <w:rsid w:val="00FB4351"/>
    <w:rsid w:val="00FB4BC0"/>
    <w:rsid w:val="00FB696A"/>
    <w:rsid w:val="00FB6984"/>
    <w:rsid w:val="00FB6D0B"/>
    <w:rsid w:val="00FB7D40"/>
    <w:rsid w:val="00FB7DAA"/>
    <w:rsid w:val="00FB7F0B"/>
    <w:rsid w:val="00FC1A75"/>
    <w:rsid w:val="00FC2845"/>
    <w:rsid w:val="00FC3E2B"/>
    <w:rsid w:val="00FC3F10"/>
    <w:rsid w:val="00FC45EE"/>
    <w:rsid w:val="00FC51D5"/>
    <w:rsid w:val="00FC6ADA"/>
    <w:rsid w:val="00FC6F99"/>
    <w:rsid w:val="00FC79F6"/>
    <w:rsid w:val="00FD1F48"/>
    <w:rsid w:val="00FD346D"/>
    <w:rsid w:val="00FD3652"/>
    <w:rsid w:val="00FD4032"/>
    <w:rsid w:val="00FD50B1"/>
    <w:rsid w:val="00FD5666"/>
    <w:rsid w:val="00FD572C"/>
    <w:rsid w:val="00FD756F"/>
    <w:rsid w:val="00FD7E8F"/>
    <w:rsid w:val="00FE09C9"/>
    <w:rsid w:val="00FE13F3"/>
    <w:rsid w:val="00FE1D20"/>
    <w:rsid w:val="00FE24C8"/>
    <w:rsid w:val="00FE29A0"/>
    <w:rsid w:val="00FE2B50"/>
    <w:rsid w:val="00FE2F23"/>
    <w:rsid w:val="00FE35A1"/>
    <w:rsid w:val="00FE3B26"/>
    <w:rsid w:val="00FE3B32"/>
    <w:rsid w:val="00FE40AE"/>
    <w:rsid w:val="00FE4A70"/>
    <w:rsid w:val="00FE532C"/>
    <w:rsid w:val="00FE5811"/>
    <w:rsid w:val="00FE5CA6"/>
    <w:rsid w:val="00FE6705"/>
    <w:rsid w:val="00FE6A29"/>
    <w:rsid w:val="00FE6E94"/>
    <w:rsid w:val="00FE7794"/>
    <w:rsid w:val="00FE7E41"/>
    <w:rsid w:val="00FF002C"/>
    <w:rsid w:val="00FF0D38"/>
    <w:rsid w:val="00FF1A14"/>
    <w:rsid w:val="00FF21BB"/>
    <w:rsid w:val="00FF2B26"/>
    <w:rsid w:val="00FF30EA"/>
    <w:rsid w:val="00FF35C1"/>
    <w:rsid w:val="00FF3D26"/>
    <w:rsid w:val="00FF62E0"/>
    <w:rsid w:val="00FF67B6"/>
    <w:rsid w:val="00FF736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1D104"/>
  <w15:docId w15:val="{2D1D25B0-6E59-4833-9428-73F158DC0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CDD"/>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Ttulo1">
    <w:name w:val="heading 1"/>
    <w:basedOn w:val="Normal"/>
    <w:next w:val="Normal"/>
    <w:link w:val="Ttulo1Car"/>
    <w:uiPriority w:val="9"/>
    <w:qFormat/>
    <w:rsid w:val="00A95B06"/>
    <w:pPr>
      <w:keepNext/>
      <w:keepLines/>
      <w:tabs>
        <w:tab w:val="left" w:pos="851"/>
      </w:tabs>
      <w:spacing w:before="240" w:after="240" w:line="240" w:lineRule="auto"/>
      <w:jc w:val="center"/>
      <w:outlineLvl w:val="0"/>
    </w:pPr>
    <w:rPr>
      <w:rFonts w:cs="Verdana"/>
      <w:b/>
      <w:bCs/>
      <w:caps/>
      <w:noProof/>
      <w:snapToGrid w:val="0"/>
      <w:sz w:val="20"/>
      <w:szCs w:val="20"/>
      <w:lang w:val="es-MX" w:eastAsia="es-ES"/>
    </w:rPr>
  </w:style>
  <w:style w:type="paragraph" w:styleId="Ttulo2">
    <w:name w:val="heading 2"/>
    <w:basedOn w:val="Normal"/>
    <w:next w:val="Normal"/>
    <w:link w:val="Ttulo2Car"/>
    <w:uiPriority w:val="9"/>
    <w:unhideWhenUsed/>
    <w:qFormat/>
    <w:rsid w:val="00365BC5"/>
    <w:pPr>
      <w:keepNext/>
      <w:keepLines/>
      <w:numPr>
        <w:numId w:val="7"/>
      </w:numPr>
      <w:tabs>
        <w:tab w:val="left" w:pos="1134"/>
      </w:tabs>
      <w:spacing w:before="240" w:after="240" w:line="240" w:lineRule="auto"/>
      <w:outlineLvl w:val="1"/>
    </w:pPr>
    <w:rPr>
      <w:rFonts w:eastAsia="MS Mincho"/>
      <w:b/>
      <w:bCs/>
      <w:i/>
      <w:sz w:val="20"/>
      <w:szCs w:val="20"/>
    </w:rPr>
  </w:style>
  <w:style w:type="paragraph" w:styleId="Ttulo3">
    <w:name w:val="heading 3"/>
    <w:basedOn w:val="Ttulo2"/>
    <w:next w:val="Normal"/>
    <w:link w:val="Ttulo3Car"/>
    <w:uiPriority w:val="9"/>
    <w:unhideWhenUsed/>
    <w:qFormat/>
    <w:rsid w:val="00C82CD6"/>
    <w:pPr>
      <w:outlineLvl w:val="2"/>
    </w:pPr>
    <w:rPr>
      <w:b w:val="0"/>
    </w:rPr>
  </w:style>
  <w:style w:type="paragraph" w:styleId="Ttulo4">
    <w:name w:val="heading 4"/>
    <w:basedOn w:val="Ttulo2"/>
    <w:next w:val="Normal"/>
    <w:link w:val="Ttulo4Car"/>
    <w:uiPriority w:val="9"/>
    <w:unhideWhenUsed/>
    <w:qFormat/>
    <w:rsid w:val="00365BC5"/>
    <w:pPr>
      <w:numPr>
        <w:numId w:val="0"/>
      </w:numPr>
      <w:ind w:left="1152"/>
      <w:outlineLvl w:val="3"/>
    </w:pPr>
    <w:rPr>
      <w:b w:val="0"/>
    </w:rPr>
  </w:style>
  <w:style w:type="paragraph" w:styleId="Ttulo5">
    <w:name w:val="heading 5"/>
    <w:basedOn w:val="Normal"/>
    <w:next w:val="Normal"/>
    <w:link w:val="Ttulo5Car"/>
    <w:uiPriority w:val="9"/>
    <w:semiHidden/>
    <w:unhideWhenUsed/>
    <w:qFormat/>
    <w:rsid w:val="003C23AB"/>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Ttulo5"/>
    <w:next w:val="Normal"/>
    <w:link w:val="Ttulo6Car"/>
    <w:uiPriority w:val="9"/>
    <w:unhideWhenUsed/>
    <w:qFormat/>
    <w:rsid w:val="003C23AB"/>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sz w:val="20"/>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833D5A"/>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qFormat/>
    <w:rsid w:val="00833D5A"/>
    <w:pPr>
      <w:spacing w:line="240" w:lineRule="auto"/>
    </w:pPr>
    <w:rPr>
      <w:sz w:val="20"/>
      <w:szCs w:val="20"/>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833D5A"/>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33D5A"/>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character" w:styleId="Nmerodelnea">
    <w:name w:val="line number"/>
    <w:basedOn w:val="Fuentedeprrafopredeter"/>
    <w:uiPriority w:val="99"/>
    <w:unhideWhenUsed/>
    <w:rsid w:val="00440CDD"/>
    <w:rPr>
      <w:rFonts w:ascii="Verdana" w:hAnsi="Verdana"/>
      <w:sz w:val="18"/>
    </w:rPr>
  </w:style>
  <w:style w:type="paragraph" w:styleId="Encabezado">
    <w:name w:val="header"/>
    <w:basedOn w:val="Normal"/>
    <w:link w:val="EncabezadoCar"/>
    <w:uiPriority w:val="99"/>
    <w:unhideWhenUsed/>
    <w:rsid w:val="0017637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76377"/>
    <w:rPr>
      <w:rFonts w:ascii="Verdana" w:eastAsia="Times New Roman" w:hAnsi="Verdana" w:cs="Times New Roman"/>
      <w:sz w:val="24"/>
      <w:szCs w:val="24"/>
      <w:lang w:eastAsia="es-CR"/>
    </w:rPr>
  </w:style>
  <w:style w:type="paragraph" w:styleId="Piedepgina">
    <w:name w:val="footer"/>
    <w:basedOn w:val="Normal"/>
    <w:link w:val="PiedepginaCar"/>
    <w:uiPriority w:val="99"/>
    <w:unhideWhenUsed/>
    <w:rsid w:val="0017637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76377"/>
    <w:rPr>
      <w:rFonts w:ascii="Verdana" w:eastAsia="Times New Roman" w:hAnsi="Verdana" w:cs="Times New Roman"/>
      <w:sz w:val="24"/>
      <w:szCs w:val="24"/>
      <w:lang w:eastAsia="es-CR"/>
    </w:rPr>
  </w:style>
  <w:style w:type="character" w:customStyle="1" w:styleId="Ttulo2Car">
    <w:name w:val="Título 2 Car"/>
    <w:basedOn w:val="Fuentedeprrafopredeter"/>
    <w:link w:val="Ttulo2"/>
    <w:uiPriority w:val="9"/>
    <w:rsid w:val="00365BC5"/>
    <w:rPr>
      <w:rFonts w:ascii="Verdana" w:eastAsia="MS Mincho" w:hAnsi="Verdana" w:cs="Times New Roman"/>
      <w:b/>
      <w:bCs/>
      <w:i/>
      <w:sz w:val="20"/>
      <w:szCs w:val="20"/>
      <w:lang w:eastAsia="es-CR"/>
    </w:rPr>
  </w:style>
  <w:style w:type="paragraph" w:styleId="Prrafodelista">
    <w:name w:val="List Paragraph"/>
    <w:aliases w:val="List Paragraph2,Lista vistosa - Énfasis 11,Párrafo de lista1,Footnote,List Paragraph1,Colorful List - Accent 11,Parrafos,Subtle Emphasis1,Footnote1,List Paragraph11"/>
    <w:basedOn w:val="Normal"/>
    <w:link w:val="PrrafodelistaCar"/>
    <w:qFormat/>
    <w:rsid w:val="00652A11"/>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rsid w:val="00652A11"/>
    <w:rPr>
      <w:rFonts w:ascii="Verdana" w:eastAsia="Times New Roman" w:hAnsi="Verdana" w:cs="Times New Roman"/>
      <w:sz w:val="24"/>
      <w:szCs w:val="24"/>
      <w:lang w:eastAsia="es-CR"/>
    </w:rPr>
  </w:style>
  <w:style w:type="character" w:styleId="Textoennegrita">
    <w:name w:val="Strong"/>
    <w:aliases w:val="Heading 2.1"/>
    <w:basedOn w:val="Fuentedeprrafopredeter"/>
    <w:uiPriority w:val="22"/>
    <w:qFormat/>
    <w:rsid w:val="00D22236"/>
    <w:rPr>
      <w:b/>
      <w:bCs/>
    </w:rPr>
  </w:style>
  <w:style w:type="paragraph" w:styleId="NormalWeb">
    <w:name w:val="Normal (Web)"/>
    <w:basedOn w:val="Normal"/>
    <w:uiPriority w:val="99"/>
    <w:unhideWhenUsed/>
    <w:rsid w:val="00FA41BB"/>
    <w:rPr>
      <w:rFonts w:ascii="Times New Roman" w:hAnsi="Times New Roman"/>
    </w:rPr>
  </w:style>
  <w:style w:type="character" w:customStyle="1" w:styleId="apple-converted-space">
    <w:name w:val="apple-converted-space"/>
    <w:basedOn w:val="Fuentedeprrafopredeter"/>
    <w:rsid w:val="00FA41BB"/>
  </w:style>
  <w:style w:type="character" w:styleId="Hipervnculo">
    <w:name w:val="Hyperlink"/>
    <w:basedOn w:val="Fuentedeprrafopredeter"/>
    <w:uiPriority w:val="99"/>
    <w:unhideWhenUsed/>
    <w:rsid w:val="00731D3E"/>
    <w:rPr>
      <w:color w:val="0000FF" w:themeColor="hyperlink"/>
      <w:u w:val="single"/>
    </w:rPr>
  </w:style>
  <w:style w:type="character" w:customStyle="1" w:styleId="Ttulo1Car">
    <w:name w:val="Título 1 Car"/>
    <w:basedOn w:val="Fuentedeprrafopredeter"/>
    <w:link w:val="Ttulo1"/>
    <w:uiPriority w:val="9"/>
    <w:rsid w:val="00A95B06"/>
    <w:rPr>
      <w:rFonts w:ascii="Verdana" w:eastAsia="Times New Roman" w:hAnsi="Verdana" w:cs="Verdana"/>
      <w:b/>
      <w:bCs/>
      <w:caps/>
      <w:noProof/>
      <w:snapToGrid w:val="0"/>
      <w:sz w:val="20"/>
      <w:szCs w:val="20"/>
      <w:lang w:val="es-MX" w:eastAsia="es-ES"/>
    </w:rPr>
  </w:style>
  <w:style w:type="paragraph" w:styleId="TtuloTDC">
    <w:name w:val="TOC Heading"/>
    <w:basedOn w:val="Ttulo1"/>
    <w:next w:val="Normal"/>
    <w:uiPriority w:val="39"/>
    <w:unhideWhenUsed/>
    <w:qFormat/>
    <w:rsid w:val="00731D3E"/>
    <w:pPr>
      <w:widowControl/>
      <w:adjustRightInd/>
      <w:spacing w:line="276" w:lineRule="auto"/>
      <w:jc w:val="left"/>
      <w:textAlignment w:val="auto"/>
      <w:outlineLvl w:val="9"/>
    </w:pPr>
    <w:rPr>
      <w:lang w:val="en-US" w:eastAsia="ja-JP"/>
    </w:rPr>
  </w:style>
  <w:style w:type="paragraph" w:styleId="TDC1">
    <w:name w:val="toc 1"/>
    <w:basedOn w:val="Normal"/>
    <w:next w:val="Normal"/>
    <w:autoRedefine/>
    <w:uiPriority w:val="39"/>
    <w:unhideWhenUsed/>
    <w:rsid w:val="00F735CB"/>
    <w:pPr>
      <w:tabs>
        <w:tab w:val="right" w:leader="dot" w:pos="10070"/>
      </w:tabs>
      <w:spacing w:before="120" w:after="120" w:line="240" w:lineRule="auto"/>
      <w:jc w:val="center"/>
    </w:pPr>
    <w:rPr>
      <w:rFonts w:eastAsia="MS Mincho"/>
      <w:b/>
      <w:noProof/>
      <w:sz w:val="20"/>
      <w:szCs w:val="20"/>
    </w:rPr>
  </w:style>
  <w:style w:type="paragraph" w:styleId="TDC2">
    <w:name w:val="toc 2"/>
    <w:basedOn w:val="Normal"/>
    <w:next w:val="Normal"/>
    <w:autoRedefine/>
    <w:uiPriority w:val="39"/>
    <w:unhideWhenUsed/>
    <w:rsid w:val="00654E4D"/>
    <w:pPr>
      <w:tabs>
        <w:tab w:val="left" w:pos="450"/>
        <w:tab w:val="left" w:pos="630"/>
        <w:tab w:val="right" w:leader="dot" w:pos="10070"/>
      </w:tabs>
      <w:spacing w:line="240" w:lineRule="auto"/>
      <w:ind w:left="240"/>
    </w:pPr>
  </w:style>
  <w:style w:type="paragraph" w:styleId="Textodeglobo">
    <w:name w:val="Balloon Text"/>
    <w:basedOn w:val="Normal"/>
    <w:link w:val="TextodegloboCar"/>
    <w:uiPriority w:val="99"/>
    <w:semiHidden/>
    <w:unhideWhenUsed/>
    <w:rsid w:val="00731D3E"/>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31D3E"/>
    <w:rPr>
      <w:rFonts w:ascii="Tahoma" w:eastAsia="Times New Roman" w:hAnsi="Tahoma" w:cs="Tahoma"/>
      <w:sz w:val="16"/>
      <w:szCs w:val="16"/>
      <w:lang w:eastAsia="es-CR"/>
    </w:rPr>
  </w:style>
  <w:style w:type="table" w:styleId="Tablaconcuadrcula">
    <w:name w:val="Table Grid"/>
    <w:basedOn w:val="Tablanormal"/>
    <w:uiPriority w:val="59"/>
    <w:rsid w:val="00017F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Sinlista"/>
    <w:uiPriority w:val="99"/>
    <w:semiHidden/>
    <w:unhideWhenUsed/>
    <w:rsid w:val="00BB528A"/>
  </w:style>
  <w:style w:type="character" w:styleId="Refdecomentario">
    <w:name w:val="annotation reference"/>
    <w:basedOn w:val="Fuentedeprrafopredeter"/>
    <w:uiPriority w:val="99"/>
    <w:semiHidden/>
    <w:unhideWhenUsed/>
    <w:rsid w:val="00BB528A"/>
    <w:rPr>
      <w:sz w:val="16"/>
      <w:szCs w:val="16"/>
    </w:rPr>
  </w:style>
  <w:style w:type="paragraph" w:styleId="Textocomentario">
    <w:name w:val="annotation text"/>
    <w:basedOn w:val="Normal"/>
    <w:link w:val="TextocomentarioCar"/>
    <w:uiPriority w:val="99"/>
    <w:semiHidden/>
    <w:unhideWhenUsed/>
    <w:rsid w:val="00BB528A"/>
    <w:pPr>
      <w:widowControl/>
      <w:adjustRightInd/>
      <w:spacing w:after="200" w:line="240" w:lineRule="auto"/>
      <w:jc w:val="left"/>
      <w:textAlignment w:val="auto"/>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BB528A"/>
    <w:rPr>
      <w:sz w:val="20"/>
      <w:szCs w:val="20"/>
    </w:rPr>
  </w:style>
  <w:style w:type="paragraph" w:styleId="Asuntodelcomentario">
    <w:name w:val="annotation subject"/>
    <w:basedOn w:val="Textocomentario"/>
    <w:next w:val="Textocomentario"/>
    <w:link w:val="AsuntodelcomentarioCar"/>
    <w:uiPriority w:val="99"/>
    <w:semiHidden/>
    <w:unhideWhenUsed/>
    <w:rsid w:val="00BB528A"/>
    <w:rPr>
      <w:b/>
      <w:bCs/>
    </w:rPr>
  </w:style>
  <w:style w:type="character" w:customStyle="1" w:styleId="AsuntodelcomentarioCar">
    <w:name w:val="Asunto del comentario Car"/>
    <w:basedOn w:val="TextocomentarioCar"/>
    <w:link w:val="Asuntodelcomentario"/>
    <w:uiPriority w:val="99"/>
    <w:semiHidden/>
    <w:rsid w:val="00BB528A"/>
    <w:rPr>
      <w:b/>
      <w:bCs/>
      <w:sz w:val="20"/>
      <w:szCs w:val="20"/>
    </w:rPr>
  </w:style>
  <w:style w:type="character" w:customStyle="1" w:styleId="Ttulo3Car">
    <w:name w:val="Título 3 Car"/>
    <w:basedOn w:val="Fuentedeprrafopredeter"/>
    <w:link w:val="Ttulo3"/>
    <w:uiPriority w:val="9"/>
    <w:rsid w:val="00C82CD6"/>
    <w:rPr>
      <w:rFonts w:ascii="Verdana" w:eastAsia="MS Mincho" w:hAnsi="Verdana" w:cs="Times New Roman"/>
      <w:bCs/>
      <w:i/>
      <w:sz w:val="20"/>
      <w:szCs w:val="20"/>
      <w:lang w:eastAsia="es-CR"/>
    </w:rPr>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9E4F6C"/>
    <w:rPr>
      <w:rFonts w:ascii="Verdana" w:eastAsia="Times New Roman" w:hAnsi="Verdana" w:cs="Times New Roman"/>
      <w:sz w:val="24"/>
      <w:szCs w:val="24"/>
      <w:lang w:eastAsia="es-CR"/>
    </w:rPr>
  </w:style>
  <w:style w:type="paragraph" w:customStyle="1" w:styleId="Default">
    <w:name w:val="Default"/>
    <w:rsid w:val="009E4F6C"/>
    <w:pPr>
      <w:autoSpaceDE w:val="0"/>
      <w:autoSpaceDN w:val="0"/>
      <w:adjustRightInd w:val="0"/>
      <w:spacing w:after="0" w:line="240" w:lineRule="auto"/>
    </w:pPr>
    <w:rPr>
      <w:rFonts w:ascii="Verdana" w:hAnsi="Verdana" w:cs="Verdana"/>
      <w:color w:val="000000"/>
      <w:sz w:val="24"/>
      <w:szCs w:val="24"/>
    </w:rPr>
  </w:style>
  <w:style w:type="paragraph" w:customStyle="1" w:styleId="PrrafodeSentencia">
    <w:name w:val="*. Párrafo de Sentencia"/>
    <w:basedOn w:val="Normal"/>
    <w:link w:val="PrrafodeSentenciaChar"/>
    <w:qFormat/>
    <w:rsid w:val="009E4F6C"/>
    <w:pPr>
      <w:widowControl/>
      <w:numPr>
        <w:numId w:val="3"/>
      </w:numPr>
      <w:tabs>
        <w:tab w:val="left" w:pos="567"/>
      </w:tabs>
      <w:adjustRightInd/>
      <w:spacing w:line="240" w:lineRule="auto"/>
      <w:textAlignment w:val="auto"/>
    </w:pPr>
    <w:rPr>
      <w:rFonts w:eastAsia="Batang"/>
      <w:sz w:val="20"/>
      <w:szCs w:val="20"/>
      <w:lang w:val="es-ES_tradnl" w:eastAsia="es-MX"/>
    </w:rPr>
  </w:style>
  <w:style w:type="character" w:customStyle="1" w:styleId="PrrafodeSentenciaChar">
    <w:name w:val="*. Párrafo de Sentencia Char"/>
    <w:link w:val="PrrafodeSentencia"/>
    <w:rsid w:val="009E4F6C"/>
    <w:rPr>
      <w:rFonts w:ascii="Verdana" w:eastAsia="Batang" w:hAnsi="Verdana" w:cs="Times New Roman"/>
      <w:sz w:val="20"/>
      <w:szCs w:val="20"/>
      <w:lang w:val="es-ES_tradnl" w:eastAsia="es-MX"/>
    </w:rPr>
  </w:style>
  <w:style w:type="character" w:customStyle="1" w:styleId="shorttext">
    <w:name w:val="shorttext"/>
    <w:basedOn w:val="Fuentedeprrafopredeter"/>
    <w:rsid w:val="009E4F6C"/>
  </w:style>
  <w:style w:type="paragraph" w:customStyle="1" w:styleId="Estilo4">
    <w:name w:val="Estilo4"/>
    <w:basedOn w:val="Prrafodelista"/>
    <w:qFormat/>
    <w:rsid w:val="009E4F6C"/>
    <w:pPr>
      <w:widowControl/>
      <w:numPr>
        <w:ilvl w:val="1"/>
        <w:numId w:val="4"/>
      </w:numPr>
      <w:adjustRightInd/>
      <w:spacing w:after="120" w:line="240" w:lineRule="auto"/>
      <w:ind w:left="0" w:firstLine="357"/>
      <w:textAlignment w:val="auto"/>
    </w:pPr>
    <w:rPr>
      <w:spacing w:val="-2"/>
      <w:sz w:val="20"/>
      <w:szCs w:val="20"/>
      <w:lang w:eastAsia="en-US"/>
    </w:rPr>
  </w:style>
  <w:style w:type="paragraph" w:customStyle="1" w:styleId="Numberedparagraphs">
    <w:name w:val="Numbered paragraphs"/>
    <w:basedOn w:val="Normal"/>
    <w:qFormat/>
    <w:rsid w:val="009E4F6C"/>
    <w:pPr>
      <w:widowControl/>
      <w:adjustRightInd/>
      <w:spacing w:after="200" w:line="240" w:lineRule="auto"/>
      <w:textAlignment w:val="auto"/>
    </w:pPr>
    <w:rPr>
      <w:rFonts w:eastAsia="MS Mincho"/>
      <w:color w:val="000000"/>
      <w:sz w:val="20"/>
      <w:szCs w:val="20"/>
      <w:lang w:val="es-ES_tradnl" w:eastAsia="en-US"/>
    </w:rPr>
  </w:style>
  <w:style w:type="character" w:customStyle="1" w:styleId="Ttulo6Car">
    <w:name w:val="Título 6 Car"/>
    <w:basedOn w:val="Fuentedeprrafopredeter"/>
    <w:link w:val="Ttulo6"/>
    <w:uiPriority w:val="9"/>
    <w:rsid w:val="003C23AB"/>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
    <w:semiHidden/>
    <w:rsid w:val="003C23AB"/>
    <w:rPr>
      <w:rFonts w:asciiTheme="majorHAnsi" w:eastAsiaTheme="majorEastAsia" w:hAnsiTheme="majorHAnsi" w:cstheme="majorBidi"/>
      <w:color w:val="243F60" w:themeColor="accent1" w:themeShade="7F"/>
      <w:sz w:val="24"/>
      <w:szCs w:val="24"/>
      <w:lang w:eastAsia="es-CR"/>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qFormat/>
    <w:rsid w:val="00935F35"/>
    <w:rPr>
      <w:sz w:val="20"/>
      <w:szCs w:val="20"/>
    </w:rPr>
  </w:style>
  <w:style w:type="character" w:customStyle="1" w:styleId="column">
    <w:name w:val="column"/>
    <w:basedOn w:val="Fuentedeprrafopredeter"/>
    <w:rsid w:val="00CD486A"/>
  </w:style>
  <w:style w:type="character" w:customStyle="1" w:styleId="summarytext">
    <w:name w:val="summarytext"/>
    <w:basedOn w:val="Fuentedeprrafopredeter"/>
    <w:rsid w:val="00CD486A"/>
  </w:style>
  <w:style w:type="character" w:customStyle="1" w:styleId="textcolumn">
    <w:name w:val="textcolumn"/>
    <w:basedOn w:val="Fuentedeprrafopredeter"/>
    <w:rsid w:val="00CD486A"/>
  </w:style>
  <w:style w:type="character" w:customStyle="1" w:styleId="more">
    <w:name w:val="more"/>
    <w:basedOn w:val="Fuentedeprrafopredeter"/>
    <w:rsid w:val="00CD486A"/>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E20B2F"/>
    <w:pPr>
      <w:widowControl/>
      <w:adjustRightInd/>
      <w:spacing w:after="160" w:line="240" w:lineRule="exact"/>
      <w:jc w:val="left"/>
      <w:textAlignment w:val="auto"/>
    </w:pPr>
    <w:rPr>
      <w:rFonts w:eastAsiaTheme="minorHAnsi" w:cstheme="minorBidi"/>
      <w:sz w:val="20"/>
      <w:szCs w:val="20"/>
      <w:vertAlign w:val="superscript"/>
      <w:lang w:eastAsia="en-US"/>
    </w:rPr>
  </w:style>
  <w:style w:type="paragraph" w:styleId="Sinespaciado">
    <w:name w:val="No Spacing"/>
    <w:link w:val="SinespaciadoCar"/>
    <w:uiPriority w:val="1"/>
    <w:qFormat/>
    <w:rsid w:val="003F1600"/>
    <w:pPr>
      <w:spacing w:after="0" w:line="240" w:lineRule="auto"/>
    </w:pPr>
  </w:style>
  <w:style w:type="character" w:customStyle="1" w:styleId="SinespaciadoCar">
    <w:name w:val="Sin espaciado Car"/>
    <w:basedOn w:val="Fuentedeprrafopredeter"/>
    <w:link w:val="Sinespaciado"/>
    <w:uiPriority w:val="1"/>
    <w:rsid w:val="003F1600"/>
  </w:style>
  <w:style w:type="paragraph" w:styleId="Textoindependiente3">
    <w:name w:val="Body Text 3"/>
    <w:basedOn w:val="Normal"/>
    <w:link w:val="Textoindependiente3Car"/>
    <w:rsid w:val="00CC7516"/>
    <w:pPr>
      <w:widowControl/>
      <w:adjustRightInd/>
      <w:spacing w:after="120" w:line="240" w:lineRule="auto"/>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CC7516"/>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0A154C"/>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0A154C"/>
    <w:rPr>
      <w:rFonts w:ascii="Verdana" w:eastAsia="Times New Roman" w:hAnsi="Verdana" w:cs="Times New Roman"/>
      <w:sz w:val="24"/>
      <w:szCs w:val="24"/>
      <w:lang w:eastAsia="es-CR"/>
    </w:rPr>
  </w:style>
  <w:style w:type="paragraph" w:customStyle="1" w:styleId="Normal1">
    <w:name w:val="Normal1"/>
    <w:rsid w:val="000A154C"/>
    <w:pPr>
      <w:widowControl w:val="0"/>
      <w:spacing w:after="0" w:line="240" w:lineRule="auto"/>
    </w:pPr>
    <w:rPr>
      <w:rFonts w:ascii="Times New Roman" w:eastAsia="Times New Roman" w:hAnsi="Times New Roman" w:cs="Times New Roman"/>
      <w:sz w:val="24"/>
      <w:szCs w:val="24"/>
    </w:rPr>
  </w:style>
  <w:style w:type="paragraph" w:styleId="Textodebloque">
    <w:name w:val="Block Text"/>
    <w:basedOn w:val="Normal"/>
    <w:rsid w:val="00EE5F9B"/>
    <w:pPr>
      <w:widowControl/>
      <w:tabs>
        <w:tab w:val="left" w:pos="720"/>
      </w:tabs>
      <w:adjustRightInd/>
      <w:spacing w:line="240" w:lineRule="auto"/>
      <w:ind w:left="720" w:right="720"/>
      <w:textAlignment w:val="auto"/>
    </w:pPr>
    <w:rPr>
      <w:rFonts w:ascii="Garamond" w:hAnsi="Garamond"/>
      <w:sz w:val="22"/>
      <w:szCs w:val="20"/>
      <w:lang w:val="en-GB" w:eastAsia="en-US"/>
    </w:rPr>
  </w:style>
  <w:style w:type="table" w:customStyle="1" w:styleId="GridTable5Dark-Accent11">
    <w:name w:val="Grid Table 5 Dark - Accent 11"/>
    <w:basedOn w:val="Tablanormal"/>
    <w:uiPriority w:val="50"/>
    <w:rsid w:val="00E412B5"/>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UnresolvedMention1">
    <w:name w:val="Unresolved Mention1"/>
    <w:basedOn w:val="Fuentedeprrafopredeter"/>
    <w:uiPriority w:val="99"/>
    <w:semiHidden/>
    <w:unhideWhenUsed/>
    <w:rsid w:val="00154B0D"/>
    <w:rPr>
      <w:color w:val="605E5C"/>
      <w:shd w:val="clear" w:color="auto" w:fill="E1DFDD"/>
    </w:rPr>
  </w:style>
  <w:style w:type="character" w:customStyle="1" w:styleId="highlight">
    <w:name w:val="highlight"/>
    <w:basedOn w:val="Fuentedeprrafopredeter"/>
    <w:rsid w:val="00A54911"/>
  </w:style>
  <w:style w:type="paragraph" w:customStyle="1" w:styleId="Prrafodelista2">
    <w:name w:val="Párrafo de lista2"/>
    <w:basedOn w:val="Normal"/>
    <w:uiPriority w:val="99"/>
    <w:rsid w:val="00E03493"/>
    <w:pPr>
      <w:widowControl/>
      <w:adjustRightInd/>
      <w:spacing w:line="240" w:lineRule="auto"/>
      <w:ind w:left="720"/>
      <w:jc w:val="left"/>
      <w:textAlignment w:val="auto"/>
    </w:pPr>
    <w:rPr>
      <w:rFonts w:eastAsia="MS Mincho"/>
      <w:sz w:val="20"/>
      <w:szCs w:val="20"/>
      <w:lang w:val="es-ES_tradnl" w:eastAsia="en-US"/>
    </w:rPr>
  </w:style>
  <w:style w:type="paragraph" w:styleId="TDC3">
    <w:name w:val="toc 3"/>
    <w:basedOn w:val="Normal"/>
    <w:next w:val="Normal"/>
    <w:autoRedefine/>
    <w:uiPriority w:val="39"/>
    <w:unhideWhenUsed/>
    <w:rsid w:val="000B0FF3"/>
    <w:pPr>
      <w:tabs>
        <w:tab w:val="left" w:pos="1080"/>
        <w:tab w:val="left" w:pos="1260"/>
        <w:tab w:val="left" w:pos="1440"/>
        <w:tab w:val="left" w:pos="1530"/>
        <w:tab w:val="right" w:leader="dot" w:pos="10070"/>
      </w:tabs>
      <w:spacing w:line="240" w:lineRule="auto"/>
      <w:ind w:left="1080" w:hanging="270"/>
    </w:pPr>
  </w:style>
  <w:style w:type="paragraph" w:customStyle="1" w:styleId="Estilo1">
    <w:name w:val="Estilo1"/>
    <w:basedOn w:val="Normal"/>
    <w:link w:val="Estilo1Car"/>
    <w:qFormat/>
    <w:rsid w:val="00324EC8"/>
    <w:pPr>
      <w:widowControl/>
      <w:adjustRightInd/>
      <w:spacing w:after="120" w:line="240" w:lineRule="auto"/>
      <w:ind w:left="2018" w:right="6" w:hanging="180"/>
      <w:textAlignment w:val="auto"/>
    </w:pPr>
    <w:rPr>
      <w:rFonts w:eastAsia="Batang" w:cs="Times"/>
      <w:i/>
      <w:sz w:val="20"/>
      <w:lang w:val="es-ES_tradnl" w:eastAsia="en-US"/>
    </w:rPr>
  </w:style>
  <w:style w:type="character" w:customStyle="1" w:styleId="Estilo1Car">
    <w:name w:val="Estilo1 Car"/>
    <w:basedOn w:val="Fuentedeprrafopredeter"/>
    <w:link w:val="Estilo1"/>
    <w:rsid w:val="00324EC8"/>
    <w:rPr>
      <w:rFonts w:ascii="Verdana" w:eastAsia="Batang" w:hAnsi="Verdana" w:cs="Times"/>
      <w:i/>
      <w:sz w:val="20"/>
      <w:szCs w:val="24"/>
      <w:lang w:val="es-ES_tradnl"/>
    </w:rPr>
  </w:style>
  <w:style w:type="numbering" w:customStyle="1" w:styleId="ImportedStyle1">
    <w:name w:val="Imported Style 1"/>
    <w:rsid w:val="00C14CFF"/>
    <w:pPr>
      <w:numPr>
        <w:numId w:val="5"/>
      </w:numPr>
    </w:pPr>
  </w:style>
  <w:style w:type="paragraph" w:customStyle="1" w:styleId="Estilo3">
    <w:name w:val="Estilo3"/>
    <w:basedOn w:val="Prrafodelista"/>
    <w:qFormat/>
    <w:rsid w:val="00514160"/>
    <w:pPr>
      <w:widowControl/>
      <w:numPr>
        <w:ilvl w:val="4"/>
        <w:numId w:val="6"/>
      </w:numPr>
      <w:adjustRightInd/>
      <w:spacing w:after="120" w:line="216" w:lineRule="auto"/>
      <w:ind w:right="17"/>
      <w:textAlignment w:val="auto"/>
    </w:pPr>
    <w:rPr>
      <w:rFonts w:eastAsia="Calibri"/>
      <w:spacing w:val="-2"/>
      <w:sz w:val="20"/>
      <w:szCs w:val="20"/>
      <w:lang w:val="es-MX" w:eastAsia="x-none"/>
    </w:rPr>
  </w:style>
  <w:style w:type="paragraph" w:customStyle="1" w:styleId="Estilo5">
    <w:name w:val="Estilo5"/>
    <w:basedOn w:val="Prrafodelista"/>
    <w:link w:val="Estilo5Car"/>
    <w:qFormat/>
    <w:rsid w:val="00514160"/>
    <w:pPr>
      <w:widowControl/>
      <w:numPr>
        <w:numId w:val="6"/>
      </w:numPr>
      <w:adjustRightInd/>
      <w:spacing w:after="120" w:line="216" w:lineRule="auto"/>
      <w:ind w:left="0" w:right="18" w:firstLine="0"/>
      <w:textAlignment w:val="auto"/>
    </w:pPr>
    <w:rPr>
      <w:rFonts w:eastAsia="Calibri"/>
      <w:spacing w:val="-2"/>
      <w:sz w:val="20"/>
      <w:szCs w:val="20"/>
      <w:lang w:val="es-MX" w:eastAsia="x-none"/>
    </w:rPr>
  </w:style>
  <w:style w:type="character" w:customStyle="1" w:styleId="Estilo5Car">
    <w:name w:val="Estilo5 Car"/>
    <w:link w:val="Estilo5"/>
    <w:rsid w:val="00514160"/>
    <w:rPr>
      <w:rFonts w:ascii="Verdana" w:eastAsia="Calibri" w:hAnsi="Verdana" w:cs="Times New Roman"/>
      <w:spacing w:val="-2"/>
      <w:sz w:val="20"/>
      <w:szCs w:val="20"/>
      <w:lang w:val="es-MX" w:eastAsia="x-none"/>
    </w:rPr>
  </w:style>
  <w:style w:type="paragraph" w:customStyle="1" w:styleId="Estilo8">
    <w:name w:val="Estilo8"/>
    <w:basedOn w:val="Estilo3"/>
    <w:qFormat/>
    <w:rsid w:val="00514160"/>
    <w:pPr>
      <w:numPr>
        <w:ilvl w:val="5"/>
      </w:numPr>
      <w:ind w:left="1080" w:hanging="358"/>
    </w:pPr>
  </w:style>
  <w:style w:type="table" w:styleId="Tablaconcuadrcula5oscura-nfasis1">
    <w:name w:val="Grid Table 5 Dark Accent 1"/>
    <w:basedOn w:val="Tablanormal"/>
    <w:uiPriority w:val="50"/>
    <w:rsid w:val="00592719"/>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extonotaalfinal">
    <w:name w:val="endnote text"/>
    <w:basedOn w:val="Normal"/>
    <w:link w:val="TextonotaalfinalCar"/>
    <w:uiPriority w:val="99"/>
    <w:semiHidden/>
    <w:unhideWhenUsed/>
    <w:rsid w:val="008C44B6"/>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8C44B6"/>
    <w:rPr>
      <w:rFonts w:ascii="Verdana" w:eastAsia="Times New Roman" w:hAnsi="Verdana" w:cs="Times New Roman"/>
      <w:sz w:val="20"/>
      <w:szCs w:val="20"/>
      <w:lang w:eastAsia="es-CR"/>
    </w:rPr>
  </w:style>
  <w:style w:type="character" w:styleId="Refdenotaalfinal">
    <w:name w:val="endnote reference"/>
    <w:basedOn w:val="Fuentedeprrafopredeter"/>
    <w:uiPriority w:val="99"/>
    <w:semiHidden/>
    <w:unhideWhenUsed/>
    <w:rsid w:val="008C44B6"/>
    <w:rPr>
      <w:vertAlign w:val="superscript"/>
    </w:rPr>
  </w:style>
  <w:style w:type="paragraph" w:styleId="Revisin">
    <w:name w:val="Revision"/>
    <w:hidden/>
    <w:uiPriority w:val="99"/>
    <w:semiHidden/>
    <w:rsid w:val="001B51E0"/>
    <w:pPr>
      <w:spacing w:after="0" w:line="240" w:lineRule="auto"/>
    </w:pPr>
    <w:rPr>
      <w:rFonts w:ascii="Verdana" w:eastAsia="Times New Roman" w:hAnsi="Verdana" w:cs="Times New Roman"/>
      <w:sz w:val="24"/>
      <w:szCs w:val="24"/>
      <w:lang w:eastAsia="es-CR"/>
    </w:rPr>
  </w:style>
  <w:style w:type="paragraph" w:styleId="Textoindependiente">
    <w:name w:val="Body Text"/>
    <w:basedOn w:val="Normal"/>
    <w:link w:val="TextoindependienteCar"/>
    <w:uiPriority w:val="99"/>
    <w:semiHidden/>
    <w:unhideWhenUsed/>
    <w:rsid w:val="00E73217"/>
    <w:pPr>
      <w:spacing w:after="120"/>
    </w:pPr>
  </w:style>
  <w:style w:type="character" w:customStyle="1" w:styleId="TextoindependienteCar">
    <w:name w:val="Texto independiente Car"/>
    <w:basedOn w:val="Fuentedeprrafopredeter"/>
    <w:link w:val="Textoindependiente"/>
    <w:uiPriority w:val="99"/>
    <w:semiHidden/>
    <w:rsid w:val="00E73217"/>
    <w:rPr>
      <w:rFonts w:ascii="Verdana" w:eastAsia="Times New Roman" w:hAnsi="Verdana" w:cs="Times New Roman"/>
      <w:sz w:val="24"/>
      <w:szCs w:val="24"/>
      <w:lang w:eastAsia="es-CR"/>
    </w:rPr>
  </w:style>
  <w:style w:type="character" w:customStyle="1" w:styleId="titart">
    <w:name w:val="titart"/>
    <w:basedOn w:val="Fuentedeprrafopredeter"/>
    <w:rsid w:val="00B35DB1"/>
  </w:style>
  <w:style w:type="character" w:customStyle="1" w:styleId="Ttulo4Car">
    <w:name w:val="Título 4 Car"/>
    <w:basedOn w:val="Fuentedeprrafopredeter"/>
    <w:link w:val="Ttulo4"/>
    <w:uiPriority w:val="9"/>
    <w:rsid w:val="00365BC5"/>
    <w:rPr>
      <w:rFonts w:ascii="Verdana" w:eastAsia="MS Mincho" w:hAnsi="Verdana" w:cs="Times New Roman"/>
      <w:bCs/>
      <w:i/>
      <w:sz w:val="20"/>
      <w:szCs w:val="20"/>
      <w:lang w:eastAsia="es-CR"/>
    </w:rPr>
  </w:style>
  <w:style w:type="character" w:customStyle="1" w:styleId="Mencinsinresolver1">
    <w:name w:val="Mención sin resolver1"/>
    <w:basedOn w:val="Fuentedeprrafopredeter"/>
    <w:uiPriority w:val="99"/>
    <w:semiHidden/>
    <w:unhideWhenUsed/>
    <w:rsid w:val="003B6F86"/>
    <w:rPr>
      <w:color w:val="605E5C"/>
      <w:shd w:val="clear" w:color="auto" w:fill="E1DFDD"/>
    </w:rPr>
  </w:style>
  <w:style w:type="character" w:styleId="Hipervnculovisitado">
    <w:name w:val="FollowedHyperlink"/>
    <w:basedOn w:val="Fuentedeprrafopredeter"/>
    <w:uiPriority w:val="99"/>
    <w:semiHidden/>
    <w:unhideWhenUsed/>
    <w:rsid w:val="003B6F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65798">
      <w:bodyDiv w:val="1"/>
      <w:marLeft w:val="0"/>
      <w:marRight w:val="0"/>
      <w:marTop w:val="0"/>
      <w:marBottom w:val="0"/>
      <w:divBdr>
        <w:top w:val="none" w:sz="0" w:space="0" w:color="auto"/>
        <w:left w:val="none" w:sz="0" w:space="0" w:color="auto"/>
        <w:bottom w:val="none" w:sz="0" w:space="0" w:color="auto"/>
        <w:right w:val="none" w:sz="0" w:space="0" w:color="auto"/>
      </w:divBdr>
    </w:div>
    <w:div w:id="71783566">
      <w:bodyDiv w:val="1"/>
      <w:marLeft w:val="0"/>
      <w:marRight w:val="0"/>
      <w:marTop w:val="0"/>
      <w:marBottom w:val="0"/>
      <w:divBdr>
        <w:top w:val="none" w:sz="0" w:space="0" w:color="auto"/>
        <w:left w:val="none" w:sz="0" w:space="0" w:color="auto"/>
        <w:bottom w:val="none" w:sz="0" w:space="0" w:color="auto"/>
        <w:right w:val="none" w:sz="0" w:space="0" w:color="auto"/>
      </w:divBdr>
    </w:div>
    <w:div w:id="83108206">
      <w:bodyDiv w:val="1"/>
      <w:marLeft w:val="0"/>
      <w:marRight w:val="0"/>
      <w:marTop w:val="0"/>
      <w:marBottom w:val="0"/>
      <w:divBdr>
        <w:top w:val="none" w:sz="0" w:space="0" w:color="auto"/>
        <w:left w:val="none" w:sz="0" w:space="0" w:color="auto"/>
        <w:bottom w:val="none" w:sz="0" w:space="0" w:color="auto"/>
        <w:right w:val="none" w:sz="0" w:space="0" w:color="auto"/>
      </w:divBdr>
      <w:divsChild>
        <w:div w:id="992833517">
          <w:marLeft w:val="0"/>
          <w:marRight w:val="0"/>
          <w:marTop w:val="0"/>
          <w:marBottom w:val="0"/>
          <w:divBdr>
            <w:top w:val="none" w:sz="0" w:space="0" w:color="auto"/>
            <w:left w:val="none" w:sz="0" w:space="0" w:color="auto"/>
            <w:bottom w:val="none" w:sz="0" w:space="0" w:color="auto"/>
            <w:right w:val="none" w:sz="0" w:space="0" w:color="auto"/>
          </w:divBdr>
          <w:divsChild>
            <w:div w:id="712771596">
              <w:marLeft w:val="0"/>
              <w:marRight w:val="0"/>
              <w:marTop w:val="0"/>
              <w:marBottom w:val="0"/>
              <w:divBdr>
                <w:top w:val="none" w:sz="0" w:space="0" w:color="auto"/>
                <w:left w:val="none" w:sz="0" w:space="0" w:color="auto"/>
                <w:bottom w:val="none" w:sz="0" w:space="0" w:color="auto"/>
                <w:right w:val="none" w:sz="0" w:space="0" w:color="auto"/>
              </w:divBdr>
              <w:divsChild>
                <w:div w:id="7162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84990">
      <w:bodyDiv w:val="1"/>
      <w:marLeft w:val="0"/>
      <w:marRight w:val="0"/>
      <w:marTop w:val="0"/>
      <w:marBottom w:val="0"/>
      <w:divBdr>
        <w:top w:val="none" w:sz="0" w:space="0" w:color="auto"/>
        <w:left w:val="none" w:sz="0" w:space="0" w:color="auto"/>
        <w:bottom w:val="none" w:sz="0" w:space="0" w:color="auto"/>
        <w:right w:val="none" w:sz="0" w:space="0" w:color="auto"/>
      </w:divBdr>
    </w:div>
    <w:div w:id="158885646">
      <w:bodyDiv w:val="1"/>
      <w:marLeft w:val="0"/>
      <w:marRight w:val="0"/>
      <w:marTop w:val="0"/>
      <w:marBottom w:val="0"/>
      <w:divBdr>
        <w:top w:val="none" w:sz="0" w:space="0" w:color="auto"/>
        <w:left w:val="none" w:sz="0" w:space="0" w:color="auto"/>
        <w:bottom w:val="none" w:sz="0" w:space="0" w:color="auto"/>
        <w:right w:val="none" w:sz="0" w:space="0" w:color="auto"/>
      </w:divBdr>
    </w:div>
    <w:div w:id="195309929">
      <w:bodyDiv w:val="1"/>
      <w:marLeft w:val="0"/>
      <w:marRight w:val="0"/>
      <w:marTop w:val="0"/>
      <w:marBottom w:val="0"/>
      <w:divBdr>
        <w:top w:val="none" w:sz="0" w:space="0" w:color="auto"/>
        <w:left w:val="none" w:sz="0" w:space="0" w:color="auto"/>
        <w:bottom w:val="none" w:sz="0" w:space="0" w:color="auto"/>
        <w:right w:val="none" w:sz="0" w:space="0" w:color="auto"/>
      </w:divBdr>
    </w:div>
    <w:div w:id="196819801">
      <w:bodyDiv w:val="1"/>
      <w:marLeft w:val="0"/>
      <w:marRight w:val="0"/>
      <w:marTop w:val="0"/>
      <w:marBottom w:val="0"/>
      <w:divBdr>
        <w:top w:val="none" w:sz="0" w:space="0" w:color="auto"/>
        <w:left w:val="none" w:sz="0" w:space="0" w:color="auto"/>
        <w:bottom w:val="none" w:sz="0" w:space="0" w:color="auto"/>
        <w:right w:val="none" w:sz="0" w:space="0" w:color="auto"/>
      </w:divBdr>
      <w:divsChild>
        <w:div w:id="781464256">
          <w:marLeft w:val="0"/>
          <w:marRight w:val="0"/>
          <w:marTop w:val="0"/>
          <w:marBottom w:val="0"/>
          <w:divBdr>
            <w:top w:val="none" w:sz="0" w:space="0" w:color="auto"/>
            <w:left w:val="none" w:sz="0" w:space="0" w:color="auto"/>
            <w:bottom w:val="none" w:sz="0" w:space="0" w:color="auto"/>
            <w:right w:val="none" w:sz="0" w:space="0" w:color="auto"/>
          </w:divBdr>
          <w:divsChild>
            <w:div w:id="435516765">
              <w:marLeft w:val="0"/>
              <w:marRight w:val="0"/>
              <w:marTop w:val="0"/>
              <w:marBottom w:val="0"/>
              <w:divBdr>
                <w:top w:val="none" w:sz="0" w:space="0" w:color="auto"/>
                <w:left w:val="none" w:sz="0" w:space="0" w:color="auto"/>
                <w:bottom w:val="none" w:sz="0" w:space="0" w:color="auto"/>
                <w:right w:val="none" w:sz="0" w:space="0" w:color="auto"/>
              </w:divBdr>
              <w:divsChild>
                <w:div w:id="6454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93557">
      <w:bodyDiv w:val="1"/>
      <w:marLeft w:val="0"/>
      <w:marRight w:val="0"/>
      <w:marTop w:val="0"/>
      <w:marBottom w:val="0"/>
      <w:divBdr>
        <w:top w:val="none" w:sz="0" w:space="0" w:color="auto"/>
        <w:left w:val="none" w:sz="0" w:space="0" w:color="auto"/>
        <w:bottom w:val="none" w:sz="0" w:space="0" w:color="auto"/>
        <w:right w:val="none" w:sz="0" w:space="0" w:color="auto"/>
      </w:divBdr>
    </w:div>
    <w:div w:id="245968607">
      <w:bodyDiv w:val="1"/>
      <w:marLeft w:val="0"/>
      <w:marRight w:val="0"/>
      <w:marTop w:val="0"/>
      <w:marBottom w:val="0"/>
      <w:divBdr>
        <w:top w:val="none" w:sz="0" w:space="0" w:color="auto"/>
        <w:left w:val="none" w:sz="0" w:space="0" w:color="auto"/>
        <w:bottom w:val="none" w:sz="0" w:space="0" w:color="auto"/>
        <w:right w:val="none" w:sz="0" w:space="0" w:color="auto"/>
      </w:divBdr>
    </w:div>
    <w:div w:id="316154513">
      <w:bodyDiv w:val="1"/>
      <w:marLeft w:val="0"/>
      <w:marRight w:val="0"/>
      <w:marTop w:val="0"/>
      <w:marBottom w:val="0"/>
      <w:divBdr>
        <w:top w:val="none" w:sz="0" w:space="0" w:color="auto"/>
        <w:left w:val="none" w:sz="0" w:space="0" w:color="auto"/>
        <w:bottom w:val="none" w:sz="0" w:space="0" w:color="auto"/>
        <w:right w:val="none" w:sz="0" w:space="0" w:color="auto"/>
      </w:divBdr>
      <w:divsChild>
        <w:div w:id="1229463761">
          <w:marLeft w:val="0"/>
          <w:marRight w:val="0"/>
          <w:marTop w:val="0"/>
          <w:marBottom w:val="0"/>
          <w:divBdr>
            <w:top w:val="none" w:sz="0" w:space="0" w:color="auto"/>
            <w:left w:val="none" w:sz="0" w:space="0" w:color="auto"/>
            <w:bottom w:val="none" w:sz="0" w:space="0" w:color="auto"/>
            <w:right w:val="none" w:sz="0" w:space="0" w:color="auto"/>
          </w:divBdr>
          <w:divsChild>
            <w:div w:id="1987926261">
              <w:marLeft w:val="0"/>
              <w:marRight w:val="0"/>
              <w:marTop w:val="0"/>
              <w:marBottom w:val="0"/>
              <w:divBdr>
                <w:top w:val="none" w:sz="0" w:space="0" w:color="auto"/>
                <w:left w:val="none" w:sz="0" w:space="0" w:color="auto"/>
                <w:bottom w:val="none" w:sz="0" w:space="0" w:color="auto"/>
                <w:right w:val="none" w:sz="0" w:space="0" w:color="auto"/>
              </w:divBdr>
              <w:divsChild>
                <w:div w:id="117664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15536">
      <w:bodyDiv w:val="1"/>
      <w:marLeft w:val="0"/>
      <w:marRight w:val="0"/>
      <w:marTop w:val="0"/>
      <w:marBottom w:val="0"/>
      <w:divBdr>
        <w:top w:val="none" w:sz="0" w:space="0" w:color="auto"/>
        <w:left w:val="none" w:sz="0" w:space="0" w:color="auto"/>
        <w:bottom w:val="none" w:sz="0" w:space="0" w:color="auto"/>
        <w:right w:val="none" w:sz="0" w:space="0" w:color="auto"/>
      </w:divBdr>
    </w:div>
    <w:div w:id="441725491">
      <w:bodyDiv w:val="1"/>
      <w:marLeft w:val="0"/>
      <w:marRight w:val="0"/>
      <w:marTop w:val="0"/>
      <w:marBottom w:val="0"/>
      <w:divBdr>
        <w:top w:val="none" w:sz="0" w:space="0" w:color="auto"/>
        <w:left w:val="none" w:sz="0" w:space="0" w:color="auto"/>
        <w:bottom w:val="none" w:sz="0" w:space="0" w:color="auto"/>
        <w:right w:val="none" w:sz="0" w:space="0" w:color="auto"/>
      </w:divBdr>
      <w:divsChild>
        <w:div w:id="553010902">
          <w:marLeft w:val="0"/>
          <w:marRight w:val="0"/>
          <w:marTop w:val="0"/>
          <w:marBottom w:val="0"/>
          <w:divBdr>
            <w:top w:val="none" w:sz="0" w:space="0" w:color="auto"/>
            <w:left w:val="none" w:sz="0" w:space="0" w:color="auto"/>
            <w:bottom w:val="none" w:sz="0" w:space="0" w:color="auto"/>
            <w:right w:val="none" w:sz="0" w:space="0" w:color="auto"/>
          </w:divBdr>
          <w:divsChild>
            <w:div w:id="85275189">
              <w:marLeft w:val="0"/>
              <w:marRight w:val="0"/>
              <w:marTop w:val="0"/>
              <w:marBottom w:val="0"/>
              <w:divBdr>
                <w:top w:val="none" w:sz="0" w:space="0" w:color="auto"/>
                <w:left w:val="none" w:sz="0" w:space="0" w:color="auto"/>
                <w:bottom w:val="none" w:sz="0" w:space="0" w:color="auto"/>
                <w:right w:val="none" w:sz="0" w:space="0" w:color="auto"/>
              </w:divBdr>
              <w:divsChild>
                <w:div w:id="1854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058963">
      <w:bodyDiv w:val="1"/>
      <w:marLeft w:val="0"/>
      <w:marRight w:val="0"/>
      <w:marTop w:val="0"/>
      <w:marBottom w:val="0"/>
      <w:divBdr>
        <w:top w:val="none" w:sz="0" w:space="0" w:color="auto"/>
        <w:left w:val="none" w:sz="0" w:space="0" w:color="auto"/>
        <w:bottom w:val="none" w:sz="0" w:space="0" w:color="auto"/>
        <w:right w:val="none" w:sz="0" w:space="0" w:color="auto"/>
      </w:divBdr>
    </w:div>
    <w:div w:id="478110710">
      <w:bodyDiv w:val="1"/>
      <w:marLeft w:val="0"/>
      <w:marRight w:val="0"/>
      <w:marTop w:val="0"/>
      <w:marBottom w:val="0"/>
      <w:divBdr>
        <w:top w:val="none" w:sz="0" w:space="0" w:color="auto"/>
        <w:left w:val="none" w:sz="0" w:space="0" w:color="auto"/>
        <w:bottom w:val="none" w:sz="0" w:space="0" w:color="auto"/>
        <w:right w:val="none" w:sz="0" w:space="0" w:color="auto"/>
      </w:divBdr>
    </w:div>
    <w:div w:id="534659985">
      <w:bodyDiv w:val="1"/>
      <w:marLeft w:val="0"/>
      <w:marRight w:val="0"/>
      <w:marTop w:val="0"/>
      <w:marBottom w:val="0"/>
      <w:divBdr>
        <w:top w:val="none" w:sz="0" w:space="0" w:color="auto"/>
        <w:left w:val="none" w:sz="0" w:space="0" w:color="auto"/>
        <w:bottom w:val="none" w:sz="0" w:space="0" w:color="auto"/>
        <w:right w:val="none" w:sz="0" w:space="0" w:color="auto"/>
      </w:divBdr>
      <w:divsChild>
        <w:div w:id="532620775">
          <w:marLeft w:val="547"/>
          <w:marRight w:val="0"/>
          <w:marTop w:val="0"/>
          <w:marBottom w:val="0"/>
          <w:divBdr>
            <w:top w:val="none" w:sz="0" w:space="0" w:color="auto"/>
            <w:left w:val="none" w:sz="0" w:space="0" w:color="auto"/>
            <w:bottom w:val="none" w:sz="0" w:space="0" w:color="auto"/>
            <w:right w:val="none" w:sz="0" w:space="0" w:color="auto"/>
          </w:divBdr>
        </w:div>
      </w:divsChild>
    </w:div>
    <w:div w:id="561909333">
      <w:bodyDiv w:val="1"/>
      <w:marLeft w:val="0"/>
      <w:marRight w:val="0"/>
      <w:marTop w:val="0"/>
      <w:marBottom w:val="0"/>
      <w:divBdr>
        <w:top w:val="none" w:sz="0" w:space="0" w:color="auto"/>
        <w:left w:val="none" w:sz="0" w:space="0" w:color="auto"/>
        <w:bottom w:val="none" w:sz="0" w:space="0" w:color="auto"/>
        <w:right w:val="none" w:sz="0" w:space="0" w:color="auto"/>
      </w:divBdr>
      <w:divsChild>
        <w:div w:id="1920795239">
          <w:marLeft w:val="0"/>
          <w:marRight w:val="0"/>
          <w:marTop w:val="0"/>
          <w:marBottom w:val="0"/>
          <w:divBdr>
            <w:top w:val="none" w:sz="0" w:space="0" w:color="auto"/>
            <w:left w:val="none" w:sz="0" w:space="0" w:color="auto"/>
            <w:bottom w:val="none" w:sz="0" w:space="0" w:color="auto"/>
            <w:right w:val="none" w:sz="0" w:space="0" w:color="auto"/>
          </w:divBdr>
          <w:divsChild>
            <w:div w:id="1905607170">
              <w:marLeft w:val="0"/>
              <w:marRight w:val="0"/>
              <w:marTop w:val="0"/>
              <w:marBottom w:val="0"/>
              <w:divBdr>
                <w:top w:val="none" w:sz="0" w:space="0" w:color="auto"/>
                <w:left w:val="none" w:sz="0" w:space="0" w:color="auto"/>
                <w:bottom w:val="none" w:sz="0" w:space="0" w:color="auto"/>
                <w:right w:val="none" w:sz="0" w:space="0" w:color="auto"/>
              </w:divBdr>
              <w:divsChild>
                <w:div w:id="67831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19950">
      <w:bodyDiv w:val="1"/>
      <w:marLeft w:val="0"/>
      <w:marRight w:val="0"/>
      <w:marTop w:val="0"/>
      <w:marBottom w:val="0"/>
      <w:divBdr>
        <w:top w:val="none" w:sz="0" w:space="0" w:color="auto"/>
        <w:left w:val="none" w:sz="0" w:space="0" w:color="auto"/>
        <w:bottom w:val="none" w:sz="0" w:space="0" w:color="auto"/>
        <w:right w:val="none" w:sz="0" w:space="0" w:color="auto"/>
      </w:divBdr>
    </w:div>
    <w:div w:id="610474729">
      <w:bodyDiv w:val="1"/>
      <w:marLeft w:val="0"/>
      <w:marRight w:val="0"/>
      <w:marTop w:val="0"/>
      <w:marBottom w:val="0"/>
      <w:divBdr>
        <w:top w:val="none" w:sz="0" w:space="0" w:color="auto"/>
        <w:left w:val="none" w:sz="0" w:space="0" w:color="auto"/>
        <w:bottom w:val="none" w:sz="0" w:space="0" w:color="auto"/>
        <w:right w:val="none" w:sz="0" w:space="0" w:color="auto"/>
      </w:divBdr>
    </w:div>
    <w:div w:id="662782301">
      <w:bodyDiv w:val="1"/>
      <w:marLeft w:val="0"/>
      <w:marRight w:val="0"/>
      <w:marTop w:val="0"/>
      <w:marBottom w:val="0"/>
      <w:divBdr>
        <w:top w:val="none" w:sz="0" w:space="0" w:color="auto"/>
        <w:left w:val="none" w:sz="0" w:space="0" w:color="auto"/>
        <w:bottom w:val="none" w:sz="0" w:space="0" w:color="auto"/>
        <w:right w:val="none" w:sz="0" w:space="0" w:color="auto"/>
      </w:divBdr>
      <w:divsChild>
        <w:div w:id="2130392232">
          <w:marLeft w:val="0"/>
          <w:marRight w:val="0"/>
          <w:marTop w:val="0"/>
          <w:marBottom w:val="0"/>
          <w:divBdr>
            <w:top w:val="none" w:sz="0" w:space="0" w:color="auto"/>
            <w:left w:val="none" w:sz="0" w:space="0" w:color="auto"/>
            <w:bottom w:val="none" w:sz="0" w:space="0" w:color="auto"/>
            <w:right w:val="none" w:sz="0" w:space="0" w:color="auto"/>
          </w:divBdr>
          <w:divsChild>
            <w:div w:id="249895641">
              <w:marLeft w:val="0"/>
              <w:marRight w:val="0"/>
              <w:marTop w:val="0"/>
              <w:marBottom w:val="0"/>
              <w:divBdr>
                <w:top w:val="none" w:sz="0" w:space="0" w:color="auto"/>
                <w:left w:val="none" w:sz="0" w:space="0" w:color="auto"/>
                <w:bottom w:val="none" w:sz="0" w:space="0" w:color="auto"/>
                <w:right w:val="none" w:sz="0" w:space="0" w:color="auto"/>
              </w:divBdr>
              <w:divsChild>
                <w:div w:id="8812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60662">
      <w:bodyDiv w:val="1"/>
      <w:marLeft w:val="0"/>
      <w:marRight w:val="0"/>
      <w:marTop w:val="0"/>
      <w:marBottom w:val="0"/>
      <w:divBdr>
        <w:top w:val="none" w:sz="0" w:space="0" w:color="auto"/>
        <w:left w:val="none" w:sz="0" w:space="0" w:color="auto"/>
        <w:bottom w:val="none" w:sz="0" w:space="0" w:color="auto"/>
        <w:right w:val="none" w:sz="0" w:space="0" w:color="auto"/>
      </w:divBdr>
    </w:div>
    <w:div w:id="718170384">
      <w:bodyDiv w:val="1"/>
      <w:marLeft w:val="0"/>
      <w:marRight w:val="0"/>
      <w:marTop w:val="0"/>
      <w:marBottom w:val="0"/>
      <w:divBdr>
        <w:top w:val="none" w:sz="0" w:space="0" w:color="auto"/>
        <w:left w:val="none" w:sz="0" w:space="0" w:color="auto"/>
        <w:bottom w:val="none" w:sz="0" w:space="0" w:color="auto"/>
        <w:right w:val="none" w:sz="0" w:space="0" w:color="auto"/>
      </w:divBdr>
      <w:divsChild>
        <w:div w:id="1271470860">
          <w:marLeft w:val="0"/>
          <w:marRight w:val="0"/>
          <w:marTop w:val="0"/>
          <w:marBottom w:val="0"/>
          <w:divBdr>
            <w:top w:val="none" w:sz="0" w:space="0" w:color="auto"/>
            <w:left w:val="none" w:sz="0" w:space="0" w:color="auto"/>
            <w:bottom w:val="none" w:sz="0" w:space="0" w:color="auto"/>
            <w:right w:val="none" w:sz="0" w:space="0" w:color="auto"/>
          </w:divBdr>
          <w:divsChild>
            <w:div w:id="607128882">
              <w:marLeft w:val="0"/>
              <w:marRight w:val="0"/>
              <w:marTop w:val="0"/>
              <w:marBottom w:val="0"/>
              <w:divBdr>
                <w:top w:val="none" w:sz="0" w:space="0" w:color="auto"/>
                <w:left w:val="none" w:sz="0" w:space="0" w:color="auto"/>
                <w:bottom w:val="none" w:sz="0" w:space="0" w:color="auto"/>
                <w:right w:val="none" w:sz="0" w:space="0" w:color="auto"/>
              </w:divBdr>
              <w:divsChild>
                <w:div w:id="2251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741214">
      <w:bodyDiv w:val="1"/>
      <w:marLeft w:val="0"/>
      <w:marRight w:val="0"/>
      <w:marTop w:val="0"/>
      <w:marBottom w:val="0"/>
      <w:divBdr>
        <w:top w:val="none" w:sz="0" w:space="0" w:color="auto"/>
        <w:left w:val="none" w:sz="0" w:space="0" w:color="auto"/>
        <w:bottom w:val="none" w:sz="0" w:space="0" w:color="auto"/>
        <w:right w:val="none" w:sz="0" w:space="0" w:color="auto"/>
      </w:divBdr>
    </w:div>
    <w:div w:id="739406365">
      <w:bodyDiv w:val="1"/>
      <w:marLeft w:val="0"/>
      <w:marRight w:val="0"/>
      <w:marTop w:val="0"/>
      <w:marBottom w:val="0"/>
      <w:divBdr>
        <w:top w:val="none" w:sz="0" w:space="0" w:color="auto"/>
        <w:left w:val="none" w:sz="0" w:space="0" w:color="auto"/>
        <w:bottom w:val="none" w:sz="0" w:space="0" w:color="auto"/>
        <w:right w:val="none" w:sz="0" w:space="0" w:color="auto"/>
      </w:divBdr>
    </w:div>
    <w:div w:id="750003444">
      <w:bodyDiv w:val="1"/>
      <w:marLeft w:val="0"/>
      <w:marRight w:val="0"/>
      <w:marTop w:val="0"/>
      <w:marBottom w:val="0"/>
      <w:divBdr>
        <w:top w:val="none" w:sz="0" w:space="0" w:color="auto"/>
        <w:left w:val="none" w:sz="0" w:space="0" w:color="auto"/>
        <w:bottom w:val="none" w:sz="0" w:space="0" w:color="auto"/>
        <w:right w:val="none" w:sz="0" w:space="0" w:color="auto"/>
      </w:divBdr>
    </w:div>
    <w:div w:id="751271541">
      <w:bodyDiv w:val="1"/>
      <w:marLeft w:val="0"/>
      <w:marRight w:val="0"/>
      <w:marTop w:val="0"/>
      <w:marBottom w:val="0"/>
      <w:divBdr>
        <w:top w:val="none" w:sz="0" w:space="0" w:color="auto"/>
        <w:left w:val="none" w:sz="0" w:space="0" w:color="auto"/>
        <w:bottom w:val="none" w:sz="0" w:space="0" w:color="auto"/>
        <w:right w:val="none" w:sz="0" w:space="0" w:color="auto"/>
      </w:divBdr>
    </w:div>
    <w:div w:id="755400563">
      <w:bodyDiv w:val="1"/>
      <w:marLeft w:val="0"/>
      <w:marRight w:val="0"/>
      <w:marTop w:val="0"/>
      <w:marBottom w:val="0"/>
      <w:divBdr>
        <w:top w:val="none" w:sz="0" w:space="0" w:color="auto"/>
        <w:left w:val="none" w:sz="0" w:space="0" w:color="auto"/>
        <w:bottom w:val="none" w:sz="0" w:space="0" w:color="auto"/>
        <w:right w:val="none" w:sz="0" w:space="0" w:color="auto"/>
      </w:divBdr>
    </w:div>
    <w:div w:id="778181071">
      <w:bodyDiv w:val="1"/>
      <w:marLeft w:val="0"/>
      <w:marRight w:val="0"/>
      <w:marTop w:val="0"/>
      <w:marBottom w:val="0"/>
      <w:divBdr>
        <w:top w:val="none" w:sz="0" w:space="0" w:color="auto"/>
        <w:left w:val="none" w:sz="0" w:space="0" w:color="auto"/>
        <w:bottom w:val="none" w:sz="0" w:space="0" w:color="auto"/>
        <w:right w:val="none" w:sz="0" w:space="0" w:color="auto"/>
      </w:divBdr>
    </w:div>
    <w:div w:id="799690658">
      <w:bodyDiv w:val="1"/>
      <w:marLeft w:val="0"/>
      <w:marRight w:val="0"/>
      <w:marTop w:val="0"/>
      <w:marBottom w:val="0"/>
      <w:divBdr>
        <w:top w:val="none" w:sz="0" w:space="0" w:color="auto"/>
        <w:left w:val="none" w:sz="0" w:space="0" w:color="auto"/>
        <w:bottom w:val="none" w:sz="0" w:space="0" w:color="auto"/>
        <w:right w:val="none" w:sz="0" w:space="0" w:color="auto"/>
      </w:divBdr>
    </w:div>
    <w:div w:id="801534257">
      <w:bodyDiv w:val="1"/>
      <w:marLeft w:val="0"/>
      <w:marRight w:val="0"/>
      <w:marTop w:val="0"/>
      <w:marBottom w:val="0"/>
      <w:divBdr>
        <w:top w:val="none" w:sz="0" w:space="0" w:color="auto"/>
        <w:left w:val="none" w:sz="0" w:space="0" w:color="auto"/>
        <w:bottom w:val="none" w:sz="0" w:space="0" w:color="auto"/>
        <w:right w:val="none" w:sz="0" w:space="0" w:color="auto"/>
      </w:divBdr>
    </w:div>
    <w:div w:id="818307355">
      <w:bodyDiv w:val="1"/>
      <w:marLeft w:val="0"/>
      <w:marRight w:val="0"/>
      <w:marTop w:val="0"/>
      <w:marBottom w:val="0"/>
      <w:divBdr>
        <w:top w:val="none" w:sz="0" w:space="0" w:color="auto"/>
        <w:left w:val="none" w:sz="0" w:space="0" w:color="auto"/>
        <w:bottom w:val="none" w:sz="0" w:space="0" w:color="auto"/>
        <w:right w:val="none" w:sz="0" w:space="0" w:color="auto"/>
      </w:divBdr>
    </w:div>
    <w:div w:id="833030969">
      <w:bodyDiv w:val="1"/>
      <w:marLeft w:val="0"/>
      <w:marRight w:val="0"/>
      <w:marTop w:val="0"/>
      <w:marBottom w:val="0"/>
      <w:divBdr>
        <w:top w:val="none" w:sz="0" w:space="0" w:color="auto"/>
        <w:left w:val="none" w:sz="0" w:space="0" w:color="auto"/>
        <w:bottom w:val="none" w:sz="0" w:space="0" w:color="auto"/>
        <w:right w:val="none" w:sz="0" w:space="0" w:color="auto"/>
      </w:divBdr>
    </w:div>
    <w:div w:id="917714104">
      <w:bodyDiv w:val="1"/>
      <w:marLeft w:val="0"/>
      <w:marRight w:val="0"/>
      <w:marTop w:val="0"/>
      <w:marBottom w:val="0"/>
      <w:divBdr>
        <w:top w:val="none" w:sz="0" w:space="0" w:color="auto"/>
        <w:left w:val="none" w:sz="0" w:space="0" w:color="auto"/>
        <w:bottom w:val="none" w:sz="0" w:space="0" w:color="auto"/>
        <w:right w:val="none" w:sz="0" w:space="0" w:color="auto"/>
      </w:divBdr>
    </w:div>
    <w:div w:id="985938631">
      <w:bodyDiv w:val="1"/>
      <w:marLeft w:val="0"/>
      <w:marRight w:val="0"/>
      <w:marTop w:val="0"/>
      <w:marBottom w:val="0"/>
      <w:divBdr>
        <w:top w:val="none" w:sz="0" w:space="0" w:color="auto"/>
        <w:left w:val="none" w:sz="0" w:space="0" w:color="auto"/>
        <w:bottom w:val="none" w:sz="0" w:space="0" w:color="auto"/>
        <w:right w:val="none" w:sz="0" w:space="0" w:color="auto"/>
      </w:divBdr>
      <w:divsChild>
        <w:div w:id="771516615">
          <w:marLeft w:val="0"/>
          <w:marRight w:val="0"/>
          <w:marTop w:val="0"/>
          <w:marBottom w:val="0"/>
          <w:divBdr>
            <w:top w:val="none" w:sz="0" w:space="0" w:color="auto"/>
            <w:left w:val="none" w:sz="0" w:space="0" w:color="auto"/>
            <w:bottom w:val="none" w:sz="0" w:space="0" w:color="auto"/>
            <w:right w:val="none" w:sz="0" w:space="0" w:color="auto"/>
          </w:divBdr>
          <w:divsChild>
            <w:div w:id="204104579">
              <w:marLeft w:val="0"/>
              <w:marRight w:val="0"/>
              <w:marTop w:val="0"/>
              <w:marBottom w:val="0"/>
              <w:divBdr>
                <w:top w:val="none" w:sz="0" w:space="0" w:color="auto"/>
                <w:left w:val="none" w:sz="0" w:space="0" w:color="auto"/>
                <w:bottom w:val="none" w:sz="0" w:space="0" w:color="auto"/>
                <w:right w:val="none" w:sz="0" w:space="0" w:color="auto"/>
              </w:divBdr>
              <w:divsChild>
                <w:div w:id="9011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03314">
      <w:bodyDiv w:val="1"/>
      <w:marLeft w:val="0"/>
      <w:marRight w:val="0"/>
      <w:marTop w:val="0"/>
      <w:marBottom w:val="0"/>
      <w:divBdr>
        <w:top w:val="none" w:sz="0" w:space="0" w:color="auto"/>
        <w:left w:val="none" w:sz="0" w:space="0" w:color="auto"/>
        <w:bottom w:val="none" w:sz="0" w:space="0" w:color="auto"/>
        <w:right w:val="none" w:sz="0" w:space="0" w:color="auto"/>
      </w:divBdr>
      <w:divsChild>
        <w:div w:id="1845852820">
          <w:marLeft w:val="0"/>
          <w:marRight w:val="0"/>
          <w:marTop w:val="0"/>
          <w:marBottom w:val="0"/>
          <w:divBdr>
            <w:top w:val="none" w:sz="0" w:space="0" w:color="auto"/>
            <w:left w:val="none" w:sz="0" w:space="0" w:color="auto"/>
            <w:bottom w:val="none" w:sz="0" w:space="0" w:color="auto"/>
            <w:right w:val="none" w:sz="0" w:space="0" w:color="auto"/>
          </w:divBdr>
          <w:divsChild>
            <w:div w:id="334919514">
              <w:marLeft w:val="0"/>
              <w:marRight w:val="0"/>
              <w:marTop w:val="0"/>
              <w:marBottom w:val="0"/>
              <w:divBdr>
                <w:top w:val="none" w:sz="0" w:space="0" w:color="auto"/>
                <w:left w:val="none" w:sz="0" w:space="0" w:color="auto"/>
                <w:bottom w:val="none" w:sz="0" w:space="0" w:color="auto"/>
                <w:right w:val="none" w:sz="0" w:space="0" w:color="auto"/>
              </w:divBdr>
              <w:divsChild>
                <w:div w:id="7876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370905">
      <w:bodyDiv w:val="1"/>
      <w:marLeft w:val="0"/>
      <w:marRight w:val="0"/>
      <w:marTop w:val="0"/>
      <w:marBottom w:val="0"/>
      <w:divBdr>
        <w:top w:val="none" w:sz="0" w:space="0" w:color="auto"/>
        <w:left w:val="none" w:sz="0" w:space="0" w:color="auto"/>
        <w:bottom w:val="none" w:sz="0" w:space="0" w:color="auto"/>
        <w:right w:val="none" w:sz="0" w:space="0" w:color="auto"/>
      </w:divBdr>
    </w:div>
    <w:div w:id="1031952506">
      <w:bodyDiv w:val="1"/>
      <w:marLeft w:val="0"/>
      <w:marRight w:val="0"/>
      <w:marTop w:val="0"/>
      <w:marBottom w:val="0"/>
      <w:divBdr>
        <w:top w:val="none" w:sz="0" w:space="0" w:color="auto"/>
        <w:left w:val="none" w:sz="0" w:space="0" w:color="auto"/>
        <w:bottom w:val="none" w:sz="0" w:space="0" w:color="auto"/>
        <w:right w:val="none" w:sz="0" w:space="0" w:color="auto"/>
      </w:divBdr>
      <w:divsChild>
        <w:div w:id="1875337785">
          <w:marLeft w:val="0"/>
          <w:marRight w:val="0"/>
          <w:marTop w:val="0"/>
          <w:marBottom w:val="0"/>
          <w:divBdr>
            <w:top w:val="none" w:sz="0" w:space="0" w:color="auto"/>
            <w:left w:val="none" w:sz="0" w:space="0" w:color="auto"/>
            <w:bottom w:val="none" w:sz="0" w:space="0" w:color="auto"/>
            <w:right w:val="none" w:sz="0" w:space="0" w:color="auto"/>
          </w:divBdr>
          <w:divsChild>
            <w:div w:id="309554090">
              <w:marLeft w:val="0"/>
              <w:marRight w:val="0"/>
              <w:marTop w:val="0"/>
              <w:marBottom w:val="0"/>
              <w:divBdr>
                <w:top w:val="none" w:sz="0" w:space="0" w:color="auto"/>
                <w:left w:val="none" w:sz="0" w:space="0" w:color="auto"/>
                <w:bottom w:val="none" w:sz="0" w:space="0" w:color="auto"/>
                <w:right w:val="none" w:sz="0" w:space="0" w:color="auto"/>
              </w:divBdr>
              <w:divsChild>
                <w:div w:id="8764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5519">
      <w:bodyDiv w:val="1"/>
      <w:marLeft w:val="0"/>
      <w:marRight w:val="0"/>
      <w:marTop w:val="0"/>
      <w:marBottom w:val="0"/>
      <w:divBdr>
        <w:top w:val="none" w:sz="0" w:space="0" w:color="auto"/>
        <w:left w:val="none" w:sz="0" w:space="0" w:color="auto"/>
        <w:bottom w:val="none" w:sz="0" w:space="0" w:color="auto"/>
        <w:right w:val="none" w:sz="0" w:space="0" w:color="auto"/>
      </w:divBdr>
    </w:div>
    <w:div w:id="1067531979">
      <w:bodyDiv w:val="1"/>
      <w:marLeft w:val="0"/>
      <w:marRight w:val="0"/>
      <w:marTop w:val="0"/>
      <w:marBottom w:val="0"/>
      <w:divBdr>
        <w:top w:val="none" w:sz="0" w:space="0" w:color="auto"/>
        <w:left w:val="none" w:sz="0" w:space="0" w:color="auto"/>
        <w:bottom w:val="none" w:sz="0" w:space="0" w:color="auto"/>
        <w:right w:val="none" w:sz="0" w:space="0" w:color="auto"/>
      </w:divBdr>
    </w:div>
    <w:div w:id="1168712530">
      <w:bodyDiv w:val="1"/>
      <w:marLeft w:val="0"/>
      <w:marRight w:val="0"/>
      <w:marTop w:val="0"/>
      <w:marBottom w:val="0"/>
      <w:divBdr>
        <w:top w:val="none" w:sz="0" w:space="0" w:color="auto"/>
        <w:left w:val="none" w:sz="0" w:space="0" w:color="auto"/>
        <w:bottom w:val="none" w:sz="0" w:space="0" w:color="auto"/>
        <w:right w:val="none" w:sz="0" w:space="0" w:color="auto"/>
      </w:divBdr>
    </w:div>
    <w:div w:id="1178619268">
      <w:bodyDiv w:val="1"/>
      <w:marLeft w:val="0"/>
      <w:marRight w:val="0"/>
      <w:marTop w:val="0"/>
      <w:marBottom w:val="0"/>
      <w:divBdr>
        <w:top w:val="none" w:sz="0" w:space="0" w:color="auto"/>
        <w:left w:val="none" w:sz="0" w:space="0" w:color="auto"/>
        <w:bottom w:val="none" w:sz="0" w:space="0" w:color="auto"/>
        <w:right w:val="none" w:sz="0" w:space="0" w:color="auto"/>
      </w:divBdr>
    </w:div>
    <w:div w:id="1194146913">
      <w:bodyDiv w:val="1"/>
      <w:marLeft w:val="0"/>
      <w:marRight w:val="0"/>
      <w:marTop w:val="0"/>
      <w:marBottom w:val="0"/>
      <w:divBdr>
        <w:top w:val="none" w:sz="0" w:space="0" w:color="auto"/>
        <w:left w:val="none" w:sz="0" w:space="0" w:color="auto"/>
        <w:bottom w:val="none" w:sz="0" w:space="0" w:color="auto"/>
        <w:right w:val="none" w:sz="0" w:space="0" w:color="auto"/>
      </w:divBdr>
      <w:divsChild>
        <w:div w:id="1859466756">
          <w:marLeft w:val="0"/>
          <w:marRight w:val="0"/>
          <w:marTop w:val="0"/>
          <w:marBottom w:val="0"/>
          <w:divBdr>
            <w:top w:val="none" w:sz="0" w:space="0" w:color="auto"/>
            <w:left w:val="none" w:sz="0" w:space="0" w:color="auto"/>
            <w:bottom w:val="none" w:sz="0" w:space="0" w:color="auto"/>
            <w:right w:val="none" w:sz="0" w:space="0" w:color="auto"/>
          </w:divBdr>
          <w:divsChild>
            <w:div w:id="1961960166">
              <w:marLeft w:val="0"/>
              <w:marRight w:val="0"/>
              <w:marTop w:val="0"/>
              <w:marBottom w:val="0"/>
              <w:divBdr>
                <w:top w:val="none" w:sz="0" w:space="0" w:color="auto"/>
                <w:left w:val="none" w:sz="0" w:space="0" w:color="auto"/>
                <w:bottom w:val="none" w:sz="0" w:space="0" w:color="auto"/>
                <w:right w:val="none" w:sz="0" w:space="0" w:color="auto"/>
              </w:divBdr>
              <w:divsChild>
                <w:div w:id="9032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10162">
      <w:bodyDiv w:val="1"/>
      <w:marLeft w:val="0"/>
      <w:marRight w:val="0"/>
      <w:marTop w:val="0"/>
      <w:marBottom w:val="0"/>
      <w:divBdr>
        <w:top w:val="none" w:sz="0" w:space="0" w:color="auto"/>
        <w:left w:val="none" w:sz="0" w:space="0" w:color="auto"/>
        <w:bottom w:val="none" w:sz="0" w:space="0" w:color="auto"/>
        <w:right w:val="none" w:sz="0" w:space="0" w:color="auto"/>
      </w:divBdr>
      <w:divsChild>
        <w:div w:id="564921703">
          <w:marLeft w:val="0"/>
          <w:marRight w:val="0"/>
          <w:marTop w:val="0"/>
          <w:marBottom w:val="0"/>
          <w:divBdr>
            <w:top w:val="none" w:sz="0" w:space="0" w:color="auto"/>
            <w:left w:val="none" w:sz="0" w:space="0" w:color="auto"/>
            <w:bottom w:val="none" w:sz="0" w:space="0" w:color="auto"/>
            <w:right w:val="none" w:sz="0" w:space="0" w:color="auto"/>
          </w:divBdr>
          <w:divsChild>
            <w:div w:id="1412509043">
              <w:marLeft w:val="0"/>
              <w:marRight w:val="0"/>
              <w:marTop w:val="0"/>
              <w:marBottom w:val="0"/>
              <w:divBdr>
                <w:top w:val="none" w:sz="0" w:space="0" w:color="auto"/>
                <w:left w:val="none" w:sz="0" w:space="0" w:color="auto"/>
                <w:bottom w:val="none" w:sz="0" w:space="0" w:color="auto"/>
                <w:right w:val="none" w:sz="0" w:space="0" w:color="auto"/>
              </w:divBdr>
              <w:divsChild>
                <w:div w:id="3696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85950">
      <w:bodyDiv w:val="1"/>
      <w:marLeft w:val="0"/>
      <w:marRight w:val="0"/>
      <w:marTop w:val="0"/>
      <w:marBottom w:val="0"/>
      <w:divBdr>
        <w:top w:val="none" w:sz="0" w:space="0" w:color="auto"/>
        <w:left w:val="none" w:sz="0" w:space="0" w:color="auto"/>
        <w:bottom w:val="none" w:sz="0" w:space="0" w:color="auto"/>
        <w:right w:val="none" w:sz="0" w:space="0" w:color="auto"/>
      </w:divBdr>
    </w:div>
    <w:div w:id="1283344625">
      <w:bodyDiv w:val="1"/>
      <w:marLeft w:val="0"/>
      <w:marRight w:val="0"/>
      <w:marTop w:val="0"/>
      <w:marBottom w:val="0"/>
      <w:divBdr>
        <w:top w:val="none" w:sz="0" w:space="0" w:color="auto"/>
        <w:left w:val="none" w:sz="0" w:space="0" w:color="auto"/>
        <w:bottom w:val="none" w:sz="0" w:space="0" w:color="auto"/>
        <w:right w:val="none" w:sz="0" w:space="0" w:color="auto"/>
      </w:divBdr>
      <w:divsChild>
        <w:div w:id="83308960">
          <w:marLeft w:val="0"/>
          <w:marRight w:val="0"/>
          <w:marTop w:val="0"/>
          <w:marBottom w:val="0"/>
          <w:divBdr>
            <w:top w:val="none" w:sz="0" w:space="0" w:color="auto"/>
            <w:left w:val="none" w:sz="0" w:space="0" w:color="auto"/>
            <w:bottom w:val="none" w:sz="0" w:space="0" w:color="auto"/>
            <w:right w:val="none" w:sz="0" w:space="0" w:color="auto"/>
          </w:divBdr>
          <w:divsChild>
            <w:div w:id="235092032">
              <w:marLeft w:val="0"/>
              <w:marRight w:val="0"/>
              <w:marTop w:val="0"/>
              <w:marBottom w:val="0"/>
              <w:divBdr>
                <w:top w:val="none" w:sz="0" w:space="0" w:color="auto"/>
                <w:left w:val="none" w:sz="0" w:space="0" w:color="auto"/>
                <w:bottom w:val="none" w:sz="0" w:space="0" w:color="auto"/>
                <w:right w:val="none" w:sz="0" w:space="0" w:color="auto"/>
              </w:divBdr>
              <w:divsChild>
                <w:div w:id="13558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49379">
      <w:bodyDiv w:val="1"/>
      <w:marLeft w:val="0"/>
      <w:marRight w:val="0"/>
      <w:marTop w:val="0"/>
      <w:marBottom w:val="0"/>
      <w:divBdr>
        <w:top w:val="none" w:sz="0" w:space="0" w:color="auto"/>
        <w:left w:val="none" w:sz="0" w:space="0" w:color="auto"/>
        <w:bottom w:val="none" w:sz="0" w:space="0" w:color="auto"/>
        <w:right w:val="none" w:sz="0" w:space="0" w:color="auto"/>
      </w:divBdr>
      <w:divsChild>
        <w:div w:id="1230920435">
          <w:marLeft w:val="0"/>
          <w:marRight w:val="0"/>
          <w:marTop w:val="0"/>
          <w:marBottom w:val="0"/>
          <w:divBdr>
            <w:top w:val="none" w:sz="0" w:space="0" w:color="auto"/>
            <w:left w:val="none" w:sz="0" w:space="0" w:color="auto"/>
            <w:bottom w:val="none" w:sz="0" w:space="0" w:color="auto"/>
            <w:right w:val="none" w:sz="0" w:space="0" w:color="auto"/>
          </w:divBdr>
          <w:divsChild>
            <w:div w:id="1109009039">
              <w:marLeft w:val="0"/>
              <w:marRight w:val="0"/>
              <w:marTop w:val="0"/>
              <w:marBottom w:val="0"/>
              <w:divBdr>
                <w:top w:val="none" w:sz="0" w:space="0" w:color="auto"/>
                <w:left w:val="none" w:sz="0" w:space="0" w:color="auto"/>
                <w:bottom w:val="none" w:sz="0" w:space="0" w:color="auto"/>
                <w:right w:val="none" w:sz="0" w:space="0" w:color="auto"/>
              </w:divBdr>
              <w:divsChild>
                <w:div w:id="17626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72324">
      <w:bodyDiv w:val="1"/>
      <w:marLeft w:val="0"/>
      <w:marRight w:val="0"/>
      <w:marTop w:val="0"/>
      <w:marBottom w:val="0"/>
      <w:divBdr>
        <w:top w:val="none" w:sz="0" w:space="0" w:color="auto"/>
        <w:left w:val="none" w:sz="0" w:space="0" w:color="auto"/>
        <w:bottom w:val="none" w:sz="0" w:space="0" w:color="auto"/>
        <w:right w:val="none" w:sz="0" w:space="0" w:color="auto"/>
      </w:divBdr>
    </w:div>
    <w:div w:id="1318806982">
      <w:bodyDiv w:val="1"/>
      <w:marLeft w:val="0"/>
      <w:marRight w:val="0"/>
      <w:marTop w:val="0"/>
      <w:marBottom w:val="0"/>
      <w:divBdr>
        <w:top w:val="none" w:sz="0" w:space="0" w:color="auto"/>
        <w:left w:val="none" w:sz="0" w:space="0" w:color="auto"/>
        <w:bottom w:val="none" w:sz="0" w:space="0" w:color="auto"/>
        <w:right w:val="none" w:sz="0" w:space="0" w:color="auto"/>
      </w:divBdr>
      <w:divsChild>
        <w:div w:id="1916088549">
          <w:marLeft w:val="0"/>
          <w:marRight w:val="0"/>
          <w:marTop w:val="0"/>
          <w:marBottom w:val="0"/>
          <w:divBdr>
            <w:top w:val="none" w:sz="0" w:space="0" w:color="auto"/>
            <w:left w:val="none" w:sz="0" w:space="0" w:color="auto"/>
            <w:bottom w:val="none" w:sz="0" w:space="0" w:color="auto"/>
            <w:right w:val="none" w:sz="0" w:space="0" w:color="auto"/>
          </w:divBdr>
          <w:divsChild>
            <w:div w:id="1898084317">
              <w:marLeft w:val="0"/>
              <w:marRight w:val="0"/>
              <w:marTop w:val="0"/>
              <w:marBottom w:val="0"/>
              <w:divBdr>
                <w:top w:val="none" w:sz="0" w:space="0" w:color="auto"/>
                <w:left w:val="none" w:sz="0" w:space="0" w:color="auto"/>
                <w:bottom w:val="none" w:sz="0" w:space="0" w:color="auto"/>
                <w:right w:val="none" w:sz="0" w:space="0" w:color="auto"/>
              </w:divBdr>
              <w:divsChild>
                <w:div w:id="11744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98750">
      <w:bodyDiv w:val="1"/>
      <w:marLeft w:val="0"/>
      <w:marRight w:val="0"/>
      <w:marTop w:val="0"/>
      <w:marBottom w:val="0"/>
      <w:divBdr>
        <w:top w:val="none" w:sz="0" w:space="0" w:color="auto"/>
        <w:left w:val="none" w:sz="0" w:space="0" w:color="auto"/>
        <w:bottom w:val="none" w:sz="0" w:space="0" w:color="auto"/>
        <w:right w:val="none" w:sz="0" w:space="0" w:color="auto"/>
      </w:divBdr>
      <w:divsChild>
        <w:div w:id="2115317809">
          <w:marLeft w:val="0"/>
          <w:marRight w:val="0"/>
          <w:marTop w:val="0"/>
          <w:marBottom w:val="0"/>
          <w:divBdr>
            <w:top w:val="none" w:sz="0" w:space="0" w:color="auto"/>
            <w:left w:val="none" w:sz="0" w:space="0" w:color="auto"/>
            <w:bottom w:val="none" w:sz="0" w:space="0" w:color="auto"/>
            <w:right w:val="none" w:sz="0" w:space="0" w:color="auto"/>
          </w:divBdr>
        </w:div>
      </w:divsChild>
    </w:div>
    <w:div w:id="1376809175">
      <w:bodyDiv w:val="1"/>
      <w:marLeft w:val="0"/>
      <w:marRight w:val="0"/>
      <w:marTop w:val="0"/>
      <w:marBottom w:val="0"/>
      <w:divBdr>
        <w:top w:val="none" w:sz="0" w:space="0" w:color="auto"/>
        <w:left w:val="none" w:sz="0" w:space="0" w:color="auto"/>
        <w:bottom w:val="none" w:sz="0" w:space="0" w:color="auto"/>
        <w:right w:val="none" w:sz="0" w:space="0" w:color="auto"/>
      </w:divBdr>
    </w:div>
    <w:div w:id="1382442131">
      <w:bodyDiv w:val="1"/>
      <w:marLeft w:val="0"/>
      <w:marRight w:val="0"/>
      <w:marTop w:val="0"/>
      <w:marBottom w:val="0"/>
      <w:divBdr>
        <w:top w:val="none" w:sz="0" w:space="0" w:color="auto"/>
        <w:left w:val="none" w:sz="0" w:space="0" w:color="auto"/>
        <w:bottom w:val="none" w:sz="0" w:space="0" w:color="auto"/>
        <w:right w:val="none" w:sz="0" w:space="0" w:color="auto"/>
      </w:divBdr>
    </w:div>
    <w:div w:id="1392920789">
      <w:bodyDiv w:val="1"/>
      <w:marLeft w:val="0"/>
      <w:marRight w:val="0"/>
      <w:marTop w:val="0"/>
      <w:marBottom w:val="0"/>
      <w:divBdr>
        <w:top w:val="none" w:sz="0" w:space="0" w:color="auto"/>
        <w:left w:val="none" w:sz="0" w:space="0" w:color="auto"/>
        <w:bottom w:val="none" w:sz="0" w:space="0" w:color="auto"/>
        <w:right w:val="none" w:sz="0" w:space="0" w:color="auto"/>
      </w:divBdr>
    </w:div>
    <w:div w:id="1393431302">
      <w:bodyDiv w:val="1"/>
      <w:marLeft w:val="0"/>
      <w:marRight w:val="0"/>
      <w:marTop w:val="0"/>
      <w:marBottom w:val="0"/>
      <w:divBdr>
        <w:top w:val="none" w:sz="0" w:space="0" w:color="auto"/>
        <w:left w:val="none" w:sz="0" w:space="0" w:color="auto"/>
        <w:bottom w:val="none" w:sz="0" w:space="0" w:color="auto"/>
        <w:right w:val="none" w:sz="0" w:space="0" w:color="auto"/>
      </w:divBdr>
      <w:divsChild>
        <w:div w:id="1143740390">
          <w:marLeft w:val="0"/>
          <w:marRight w:val="0"/>
          <w:marTop w:val="0"/>
          <w:marBottom w:val="0"/>
          <w:divBdr>
            <w:top w:val="none" w:sz="0" w:space="0" w:color="auto"/>
            <w:left w:val="none" w:sz="0" w:space="0" w:color="auto"/>
            <w:bottom w:val="none" w:sz="0" w:space="0" w:color="auto"/>
            <w:right w:val="none" w:sz="0" w:space="0" w:color="auto"/>
          </w:divBdr>
          <w:divsChild>
            <w:div w:id="1373579562">
              <w:marLeft w:val="0"/>
              <w:marRight w:val="0"/>
              <w:marTop w:val="0"/>
              <w:marBottom w:val="0"/>
              <w:divBdr>
                <w:top w:val="none" w:sz="0" w:space="0" w:color="auto"/>
                <w:left w:val="none" w:sz="0" w:space="0" w:color="auto"/>
                <w:bottom w:val="none" w:sz="0" w:space="0" w:color="auto"/>
                <w:right w:val="none" w:sz="0" w:space="0" w:color="auto"/>
              </w:divBdr>
              <w:divsChild>
                <w:div w:id="1299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77333">
      <w:bodyDiv w:val="1"/>
      <w:marLeft w:val="0"/>
      <w:marRight w:val="0"/>
      <w:marTop w:val="0"/>
      <w:marBottom w:val="0"/>
      <w:divBdr>
        <w:top w:val="none" w:sz="0" w:space="0" w:color="auto"/>
        <w:left w:val="none" w:sz="0" w:space="0" w:color="auto"/>
        <w:bottom w:val="none" w:sz="0" w:space="0" w:color="auto"/>
        <w:right w:val="none" w:sz="0" w:space="0" w:color="auto"/>
      </w:divBdr>
    </w:div>
    <w:div w:id="1436562762">
      <w:bodyDiv w:val="1"/>
      <w:marLeft w:val="0"/>
      <w:marRight w:val="0"/>
      <w:marTop w:val="0"/>
      <w:marBottom w:val="0"/>
      <w:divBdr>
        <w:top w:val="none" w:sz="0" w:space="0" w:color="auto"/>
        <w:left w:val="none" w:sz="0" w:space="0" w:color="auto"/>
        <w:bottom w:val="none" w:sz="0" w:space="0" w:color="auto"/>
        <w:right w:val="none" w:sz="0" w:space="0" w:color="auto"/>
      </w:divBdr>
    </w:div>
    <w:div w:id="1466042501">
      <w:bodyDiv w:val="1"/>
      <w:marLeft w:val="0"/>
      <w:marRight w:val="0"/>
      <w:marTop w:val="0"/>
      <w:marBottom w:val="0"/>
      <w:divBdr>
        <w:top w:val="none" w:sz="0" w:space="0" w:color="auto"/>
        <w:left w:val="none" w:sz="0" w:space="0" w:color="auto"/>
        <w:bottom w:val="none" w:sz="0" w:space="0" w:color="auto"/>
        <w:right w:val="none" w:sz="0" w:space="0" w:color="auto"/>
      </w:divBdr>
      <w:divsChild>
        <w:div w:id="1113592859">
          <w:marLeft w:val="0"/>
          <w:marRight w:val="0"/>
          <w:marTop w:val="0"/>
          <w:marBottom w:val="0"/>
          <w:divBdr>
            <w:top w:val="none" w:sz="0" w:space="0" w:color="auto"/>
            <w:left w:val="none" w:sz="0" w:space="0" w:color="auto"/>
            <w:bottom w:val="none" w:sz="0" w:space="0" w:color="auto"/>
            <w:right w:val="none" w:sz="0" w:space="0" w:color="auto"/>
          </w:divBdr>
          <w:divsChild>
            <w:div w:id="565845519">
              <w:marLeft w:val="0"/>
              <w:marRight w:val="0"/>
              <w:marTop w:val="0"/>
              <w:marBottom w:val="0"/>
              <w:divBdr>
                <w:top w:val="none" w:sz="0" w:space="0" w:color="auto"/>
                <w:left w:val="none" w:sz="0" w:space="0" w:color="auto"/>
                <w:bottom w:val="none" w:sz="0" w:space="0" w:color="auto"/>
                <w:right w:val="none" w:sz="0" w:space="0" w:color="auto"/>
              </w:divBdr>
              <w:divsChild>
                <w:div w:id="1814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030898">
      <w:bodyDiv w:val="1"/>
      <w:marLeft w:val="0"/>
      <w:marRight w:val="0"/>
      <w:marTop w:val="0"/>
      <w:marBottom w:val="0"/>
      <w:divBdr>
        <w:top w:val="none" w:sz="0" w:space="0" w:color="auto"/>
        <w:left w:val="none" w:sz="0" w:space="0" w:color="auto"/>
        <w:bottom w:val="none" w:sz="0" w:space="0" w:color="auto"/>
        <w:right w:val="none" w:sz="0" w:space="0" w:color="auto"/>
      </w:divBdr>
      <w:divsChild>
        <w:div w:id="49696579">
          <w:marLeft w:val="0"/>
          <w:marRight w:val="0"/>
          <w:marTop w:val="0"/>
          <w:marBottom w:val="0"/>
          <w:divBdr>
            <w:top w:val="none" w:sz="0" w:space="0" w:color="auto"/>
            <w:left w:val="none" w:sz="0" w:space="0" w:color="auto"/>
            <w:bottom w:val="none" w:sz="0" w:space="0" w:color="auto"/>
            <w:right w:val="none" w:sz="0" w:space="0" w:color="auto"/>
          </w:divBdr>
        </w:div>
      </w:divsChild>
    </w:div>
    <w:div w:id="1496989829">
      <w:bodyDiv w:val="1"/>
      <w:marLeft w:val="0"/>
      <w:marRight w:val="0"/>
      <w:marTop w:val="0"/>
      <w:marBottom w:val="0"/>
      <w:divBdr>
        <w:top w:val="none" w:sz="0" w:space="0" w:color="auto"/>
        <w:left w:val="none" w:sz="0" w:space="0" w:color="auto"/>
        <w:bottom w:val="none" w:sz="0" w:space="0" w:color="auto"/>
        <w:right w:val="none" w:sz="0" w:space="0" w:color="auto"/>
      </w:divBdr>
      <w:divsChild>
        <w:div w:id="1695227415">
          <w:marLeft w:val="0"/>
          <w:marRight w:val="0"/>
          <w:marTop w:val="0"/>
          <w:marBottom w:val="0"/>
          <w:divBdr>
            <w:top w:val="none" w:sz="0" w:space="0" w:color="auto"/>
            <w:left w:val="none" w:sz="0" w:space="0" w:color="auto"/>
            <w:bottom w:val="none" w:sz="0" w:space="0" w:color="auto"/>
            <w:right w:val="none" w:sz="0" w:space="0" w:color="auto"/>
          </w:divBdr>
          <w:divsChild>
            <w:div w:id="678043342">
              <w:marLeft w:val="0"/>
              <w:marRight w:val="0"/>
              <w:marTop w:val="0"/>
              <w:marBottom w:val="0"/>
              <w:divBdr>
                <w:top w:val="none" w:sz="0" w:space="0" w:color="auto"/>
                <w:left w:val="none" w:sz="0" w:space="0" w:color="auto"/>
                <w:bottom w:val="none" w:sz="0" w:space="0" w:color="auto"/>
                <w:right w:val="none" w:sz="0" w:space="0" w:color="auto"/>
              </w:divBdr>
              <w:divsChild>
                <w:div w:id="16483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7081">
      <w:bodyDiv w:val="1"/>
      <w:marLeft w:val="0"/>
      <w:marRight w:val="0"/>
      <w:marTop w:val="0"/>
      <w:marBottom w:val="0"/>
      <w:divBdr>
        <w:top w:val="none" w:sz="0" w:space="0" w:color="auto"/>
        <w:left w:val="none" w:sz="0" w:space="0" w:color="auto"/>
        <w:bottom w:val="none" w:sz="0" w:space="0" w:color="auto"/>
        <w:right w:val="none" w:sz="0" w:space="0" w:color="auto"/>
      </w:divBdr>
    </w:div>
    <w:div w:id="1527283249">
      <w:bodyDiv w:val="1"/>
      <w:marLeft w:val="0"/>
      <w:marRight w:val="0"/>
      <w:marTop w:val="0"/>
      <w:marBottom w:val="0"/>
      <w:divBdr>
        <w:top w:val="none" w:sz="0" w:space="0" w:color="auto"/>
        <w:left w:val="none" w:sz="0" w:space="0" w:color="auto"/>
        <w:bottom w:val="none" w:sz="0" w:space="0" w:color="auto"/>
        <w:right w:val="none" w:sz="0" w:space="0" w:color="auto"/>
      </w:divBdr>
    </w:div>
    <w:div w:id="1550070670">
      <w:bodyDiv w:val="1"/>
      <w:marLeft w:val="0"/>
      <w:marRight w:val="0"/>
      <w:marTop w:val="0"/>
      <w:marBottom w:val="0"/>
      <w:divBdr>
        <w:top w:val="none" w:sz="0" w:space="0" w:color="auto"/>
        <w:left w:val="none" w:sz="0" w:space="0" w:color="auto"/>
        <w:bottom w:val="none" w:sz="0" w:space="0" w:color="auto"/>
        <w:right w:val="none" w:sz="0" w:space="0" w:color="auto"/>
      </w:divBdr>
    </w:div>
    <w:div w:id="1552040941">
      <w:bodyDiv w:val="1"/>
      <w:marLeft w:val="0"/>
      <w:marRight w:val="0"/>
      <w:marTop w:val="0"/>
      <w:marBottom w:val="0"/>
      <w:divBdr>
        <w:top w:val="none" w:sz="0" w:space="0" w:color="auto"/>
        <w:left w:val="none" w:sz="0" w:space="0" w:color="auto"/>
        <w:bottom w:val="none" w:sz="0" w:space="0" w:color="auto"/>
        <w:right w:val="none" w:sz="0" w:space="0" w:color="auto"/>
      </w:divBdr>
      <w:divsChild>
        <w:div w:id="1338575745">
          <w:marLeft w:val="0"/>
          <w:marRight w:val="0"/>
          <w:marTop w:val="0"/>
          <w:marBottom w:val="0"/>
          <w:divBdr>
            <w:top w:val="none" w:sz="0" w:space="0" w:color="auto"/>
            <w:left w:val="none" w:sz="0" w:space="0" w:color="auto"/>
            <w:bottom w:val="none" w:sz="0" w:space="0" w:color="auto"/>
            <w:right w:val="none" w:sz="0" w:space="0" w:color="auto"/>
          </w:divBdr>
          <w:divsChild>
            <w:div w:id="151681008">
              <w:marLeft w:val="0"/>
              <w:marRight w:val="0"/>
              <w:marTop w:val="0"/>
              <w:marBottom w:val="0"/>
              <w:divBdr>
                <w:top w:val="none" w:sz="0" w:space="0" w:color="auto"/>
                <w:left w:val="none" w:sz="0" w:space="0" w:color="auto"/>
                <w:bottom w:val="none" w:sz="0" w:space="0" w:color="auto"/>
                <w:right w:val="none" w:sz="0" w:space="0" w:color="auto"/>
              </w:divBdr>
              <w:divsChild>
                <w:div w:id="1089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29660">
      <w:bodyDiv w:val="1"/>
      <w:marLeft w:val="0"/>
      <w:marRight w:val="0"/>
      <w:marTop w:val="0"/>
      <w:marBottom w:val="0"/>
      <w:divBdr>
        <w:top w:val="none" w:sz="0" w:space="0" w:color="auto"/>
        <w:left w:val="none" w:sz="0" w:space="0" w:color="auto"/>
        <w:bottom w:val="none" w:sz="0" w:space="0" w:color="auto"/>
        <w:right w:val="none" w:sz="0" w:space="0" w:color="auto"/>
      </w:divBdr>
    </w:div>
    <w:div w:id="1648582337">
      <w:bodyDiv w:val="1"/>
      <w:marLeft w:val="0"/>
      <w:marRight w:val="0"/>
      <w:marTop w:val="0"/>
      <w:marBottom w:val="0"/>
      <w:divBdr>
        <w:top w:val="none" w:sz="0" w:space="0" w:color="auto"/>
        <w:left w:val="none" w:sz="0" w:space="0" w:color="auto"/>
        <w:bottom w:val="none" w:sz="0" w:space="0" w:color="auto"/>
        <w:right w:val="none" w:sz="0" w:space="0" w:color="auto"/>
      </w:divBdr>
    </w:div>
    <w:div w:id="1660772341">
      <w:bodyDiv w:val="1"/>
      <w:marLeft w:val="0"/>
      <w:marRight w:val="0"/>
      <w:marTop w:val="0"/>
      <w:marBottom w:val="0"/>
      <w:divBdr>
        <w:top w:val="none" w:sz="0" w:space="0" w:color="auto"/>
        <w:left w:val="none" w:sz="0" w:space="0" w:color="auto"/>
        <w:bottom w:val="none" w:sz="0" w:space="0" w:color="auto"/>
        <w:right w:val="none" w:sz="0" w:space="0" w:color="auto"/>
      </w:divBdr>
    </w:div>
    <w:div w:id="1678576518">
      <w:bodyDiv w:val="1"/>
      <w:marLeft w:val="0"/>
      <w:marRight w:val="0"/>
      <w:marTop w:val="0"/>
      <w:marBottom w:val="0"/>
      <w:divBdr>
        <w:top w:val="none" w:sz="0" w:space="0" w:color="auto"/>
        <w:left w:val="none" w:sz="0" w:space="0" w:color="auto"/>
        <w:bottom w:val="none" w:sz="0" w:space="0" w:color="auto"/>
        <w:right w:val="none" w:sz="0" w:space="0" w:color="auto"/>
      </w:divBdr>
      <w:divsChild>
        <w:div w:id="1667512733">
          <w:marLeft w:val="547"/>
          <w:marRight w:val="0"/>
          <w:marTop w:val="0"/>
          <w:marBottom w:val="0"/>
          <w:divBdr>
            <w:top w:val="none" w:sz="0" w:space="0" w:color="auto"/>
            <w:left w:val="none" w:sz="0" w:space="0" w:color="auto"/>
            <w:bottom w:val="none" w:sz="0" w:space="0" w:color="auto"/>
            <w:right w:val="none" w:sz="0" w:space="0" w:color="auto"/>
          </w:divBdr>
        </w:div>
      </w:divsChild>
    </w:div>
    <w:div w:id="1708875768">
      <w:bodyDiv w:val="1"/>
      <w:marLeft w:val="0"/>
      <w:marRight w:val="0"/>
      <w:marTop w:val="0"/>
      <w:marBottom w:val="0"/>
      <w:divBdr>
        <w:top w:val="none" w:sz="0" w:space="0" w:color="auto"/>
        <w:left w:val="none" w:sz="0" w:space="0" w:color="auto"/>
        <w:bottom w:val="none" w:sz="0" w:space="0" w:color="auto"/>
        <w:right w:val="none" w:sz="0" w:space="0" w:color="auto"/>
      </w:divBdr>
      <w:divsChild>
        <w:div w:id="431824971">
          <w:marLeft w:val="0"/>
          <w:marRight w:val="0"/>
          <w:marTop w:val="0"/>
          <w:marBottom w:val="0"/>
          <w:divBdr>
            <w:top w:val="none" w:sz="0" w:space="0" w:color="auto"/>
            <w:left w:val="none" w:sz="0" w:space="0" w:color="auto"/>
            <w:bottom w:val="none" w:sz="0" w:space="0" w:color="auto"/>
            <w:right w:val="none" w:sz="0" w:space="0" w:color="auto"/>
          </w:divBdr>
          <w:divsChild>
            <w:div w:id="566844583">
              <w:marLeft w:val="0"/>
              <w:marRight w:val="0"/>
              <w:marTop w:val="0"/>
              <w:marBottom w:val="0"/>
              <w:divBdr>
                <w:top w:val="none" w:sz="0" w:space="0" w:color="auto"/>
                <w:left w:val="none" w:sz="0" w:space="0" w:color="auto"/>
                <w:bottom w:val="none" w:sz="0" w:space="0" w:color="auto"/>
                <w:right w:val="none" w:sz="0" w:space="0" w:color="auto"/>
              </w:divBdr>
              <w:divsChild>
                <w:div w:id="1232542623">
                  <w:marLeft w:val="0"/>
                  <w:marRight w:val="0"/>
                  <w:marTop w:val="0"/>
                  <w:marBottom w:val="0"/>
                  <w:divBdr>
                    <w:top w:val="none" w:sz="0" w:space="0" w:color="auto"/>
                    <w:left w:val="none" w:sz="0" w:space="0" w:color="auto"/>
                    <w:bottom w:val="none" w:sz="0" w:space="0" w:color="auto"/>
                    <w:right w:val="none" w:sz="0" w:space="0" w:color="auto"/>
                  </w:divBdr>
                </w:div>
              </w:divsChild>
            </w:div>
            <w:div w:id="1357001866">
              <w:marLeft w:val="0"/>
              <w:marRight w:val="0"/>
              <w:marTop w:val="0"/>
              <w:marBottom w:val="0"/>
              <w:divBdr>
                <w:top w:val="none" w:sz="0" w:space="0" w:color="auto"/>
                <w:left w:val="none" w:sz="0" w:space="0" w:color="auto"/>
                <w:bottom w:val="none" w:sz="0" w:space="0" w:color="auto"/>
                <w:right w:val="none" w:sz="0" w:space="0" w:color="auto"/>
              </w:divBdr>
              <w:divsChild>
                <w:div w:id="1984498981">
                  <w:marLeft w:val="0"/>
                  <w:marRight w:val="0"/>
                  <w:marTop w:val="0"/>
                  <w:marBottom w:val="0"/>
                  <w:divBdr>
                    <w:top w:val="none" w:sz="0" w:space="0" w:color="auto"/>
                    <w:left w:val="none" w:sz="0" w:space="0" w:color="auto"/>
                    <w:bottom w:val="none" w:sz="0" w:space="0" w:color="auto"/>
                    <w:right w:val="none" w:sz="0" w:space="0" w:color="auto"/>
                  </w:divBdr>
                </w:div>
              </w:divsChild>
            </w:div>
            <w:div w:id="1530491207">
              <w:marLeft w:val="0"/>
              <w:marRight w:val="0"/>
              <w:marTop w:val="0"/>
              <w:marBottom w:val="0"/>
              <w:divBdr>
                <w:top w:val="none" w:sz="0" w:space="0" w:color="auto"/>
                <w:left w:val="none" w:sz="0" w:space="0" w:color="auto"/>
                <w:bottom w:val="none" w:sz="0" w:space="0" w:color="auto"/>
                <w:right w:val="none" w:sz="0" w:space="0" w:color="auto"/>
              </w:divBdr>
              <w:divsChild>
                <w:div w:id="6829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27623">
      <w:bodyDiv w:val="1"/>
      <w:marLeft w:val="0"/>
      <w:marRight w:val="0"/>
      <w:marTop w:val="0"/>
      <w:marBottom w:val="0"/>
      <w:divBdr>
        <w:top w:val="none" w:sz="0" w:space="0" w:color="auto"/>
        <w:left w:val="none" w:sz="0" w:space="0" w:color="auto"/>
        <w:bottom w:val="none" w:sz="0" w:space="0" w:color="auto"/>
        <w:right w:val="none" w:sz="0" w:space="0" w:color="auto"/>
      </w:divBdr>
    </w:div>
    <w:div w:id="1731879771">
      <w:bodyDiv w:val="1"/>
      <w:marLeft w:val="0"/>
      <w:marRight w:val="0"/>
      <w:marTop w:val="0"/>
      <w:marBottom w:val="0"/>
      <w:divBdr>
        <w:top w:val="none" w:sz="0" w:space="0" w:color="auto"/>
        <w:left w:val="none" w:sz="0" w:space="0" w:color="auto"/>
        <w:bottom w:val="none" w:sz="0" w:space="0" w:color="auto"/>
        <w:right w:val="none" w:sz="0" w:space="0" w:color="auto"/>
      </w:divBdr>
      <w:divsChild>
        <w:div w:id="1988896059">
          <w:marLeft w:val="0"/>
          <w:marRight w:val="0"/>
          <w:marTop w:val="0"/>
          <w:marBottom w:val="0"/>
          <w:divBdr>
            <w:top w:val="none" w:sz="0" w:space="0" w:color="auto"/>
            <w:left w:val="none" w:sz="0" w:space="0" w:color="auto"/>
            <w:bottom w:val="none" w:sz="0" w:space="0" w:color="auto"/>
            <w:right w:val="none" w:sz="0" w:space="0" w:color="auto"/>
          </w:divBdr>
          <w:divsChild>
            <w:div w:id="1857184725">
              <w:marLeft w:val="0"/>
              <w:marRight w:val="0"/>
              <w:marTop w:val="0"/>
              <w:marBottom w:val="0"/>
              <w:divBdr>
                <w:top w:val="none" w:sz="0" w:space="0" w:color="auto"/>
                <w:left w:val="none" w:sz="0" w:space="0" w:color="auto"/>
                <w:bottom w:val="none" w:sz="0" w:space="0" w:color="auto"/>
                <w:right w:val="none" w:sz="0" w:space="0" w:color="auto"/>
              </w:divBdr>
              <w:divsChild>
                <w:div w:id="183371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45044">
      <w:bodyDiv w:val="1"/>
      <w:marLeft w:val="0"/>
      <w:marRight w:val="0"/>
      <w:marTop w:val="0"/>
      <w:marBottom w:val="0"/>
      <w:divBdr>
        <w:top w:val="none" w:sz="0" w:space="0" w:color="auto"/>
        <w:left w:val="none" w:sz="0" w:space="0" w:color="auto"/>
        <w:bottom w:val="none" w:sz="0" w:space="0" w:color="auto"/>
        <w:right w:val="none" w:sz="0" w:space="0" w:color="auto"/>
      </w:divBdr>
    </w:div>
    <w:div w:id="1758480317">
      <w:bodyDiv w:val="1"/>
      <w:marLeft w:val="0"/>
      <w:marRight w:val="0"/>
      <w:marTop w:val="0"/>
      <w:marBottom w:val="0"/>
      <w:divBdr>
        <w:top w:val="none" w:sz="0" w:space="0" w:color="auto"/>
        <w:left w:val="none" w:sz="0" w:space="0" w:color="auto"/>
        <w:bottom w:val="none" w:sz="0" w:space="0" w:color="auto"/>
        <w:right w:val="none" w:sz="0" w:space="0" w:color="auto"/>
      </w:divBdr>
      <w:divsChild>
        <w:div w:id="890388297">
          <w:marLeft w:val="0"/>
          <w:marRight w:val="0"/>
          <w:marTop w:val="0"/>
          <w:marBottom w:val="0"/>
          <w:divBdr>
            <w:top w:val="none" w:sz="0" w:space="0" w:color="auto"/>
            <w:left w:val="none" w:sz="0" w:space="0" w:color="auto"/>
            <w:bottom w:val="none" w:sz="0" w:space="0" w:color="auto"/>
            <w:right w:val="none" w:sz="0" w:space="0" w:color="auto"/>
          </w:divBdr>
          <w:divsChild>
            <w:div w:id="1262762853">
              <w:marLeft w:val="0"/>
              <w:marRight w:val="0"/>
              <w:marTop w:val="0"/>
              <w:marBottom w:val="0"/>
              <w:divBdr>
                <w:top w:val="none" w:sz="0" w:space="0" w:color="auto"/>
                <w:left w:val="none" w:sz="0" w:space="0" w:color="auto"/>
                <w:bottom w:val="none" w:sz="0" w:space="0" w:color="auto"/>
                <w:right w:val="none" w:sz="0" w:space="0" w:color="auto"/>
              </w:divBdr>
              <w:divsChild>
                <w:div w:id="18752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761887">
      <w:bodyDiv w:val="1"/>
      <w:marLeft w:val="0"/>
      <w:marRight w:val="0"/>
      <w:marTop w:val="0"/>
      <w:marBottom w:val="0"/>
      <w:divBdr>
        <w:top w:val="none" w:sz="0" w:space="0" w:color="auto"/>
        <w:left w:val="none" w:sz="0" w:space="0" w:color="auto"/>
        <w:bottom w:val="none" w:sz="0" w:space="0" w:color="auto"/>
        <w:right w:val="none" w:sz="0" w:space="0" w:color="auto"/>
      </w:divBdr>
    </w:div>
    <w:div w:id="1909996635">
      <w:bodyDiv w:val="1"/>
      <w:marLeft w:val="0"/>
      <w:marRight w:val="0"/>
      <w:marTop w:val="0"/>
      <w:marBottom w:val="0"/>
      <w:divBdr>
        <w:top w:val="none" w:sz="0" w:space="0" w:color="auto"/>
        <w:left w:val="none" w:sz="0" w:space="0" w:color="auto"/>
        <w:bottom w:val="none" w:sz="0" w:space="0" w:color="auto"/>
        <w:right w:val="none" w:sz="0" w:space="0" w:color="auto"/>
      </w:divBdr>
    </w:div>
    <w:div w:id="1926761293">
      <w:bodyDiv w:val="1"/>
      <w:marLeft w:val="0"/>
      <w:marRight w:val="0"/>
      <w:marTop w:val="0"/>
      <w:marBottom w:val="0"/>
      <w:divBdr>
        <w:top w:val="none" w:sz="0" w:space="0" w:color="auto"/>
        <w:left w:val="none" w:sz="0" w:space="0" w:color="auto"/>
        <w:bottom w:val="none" w:sz="0" w:space="0" w:color="auto"/>
        <w:right w:val="none" w:sz="0" w:space="0" w:color="auto"/>
      </w:divBdr>
    </w:div>
    <w:div w:id="1928490303">
      <w:bodyDiv w:val="1"/>
      <w:marLeft w:val="0"/>
      <w:marRight w:val="0"/>
      <w:marTop w:val="0"/>
      <w:marBottom w:val="0"/>
      <w:divBdr>
        <w:top w:val="none" w:sz="0" w:space="0" w:color="auto"/>
        <w:left w:val="none" w:sz="0" w:space="0" w:color="auto"/>
        <w:bottom w:val="none" w:sz="0" w:space="0" w:color="auto"/>
        <w:right w:val="none" w:sz="0" w:space="0" w:color="auto"/>
      </w:divBdr>
    </w:div>
    <w:div w:id="1945187518">
      <w:bodyDiv w:val="1"/>
      <w:marLeft w:val="0"/>
      <w:marRight w:val="0"/>
      <w:marTop w:val="0"/>
      <w:marBottom w:val="0"/>
      <w:divBdr>
        <w:top w:val="none" w:sz="0" w:space="0" w:color="auto"/>
        <w:left w:val="none" w:sz="0" w:space="0" w:color="auto"/>
        <w:bottom w:val="none" w:sz="0" w:space="0" w:color="auto"/>
        <w:right w:val="none" w:sz="0" w:space="0" w:color="auto"/>
      </w:divBdr>
      <w:divsChild>
        <w:div w:id="969171975">
          <w:marLeft w:val="0"/>
          <w:marRight w:val="0"/>
          <w:marTop w:val="0"/>
          <w:marBottom w:val="0"/>
          <w:divBdr>
            <w:top w:val="none" w:sz="0" w:space="0" w:color="auto"/>
            <w:left w:val="none" w:sz="0" w:space="0" w:color="auto"/>
            <w:bottom w:val="none" w:sz="0" w:space="0" w:color="auto"/>
            <w:right w:val="none" w:sz="0" w:space="0" w:color="auto"/>
          </w:divBdr>
        </w:div>
      </w:divsChild>
    </w:div>
    <w:div w:id="1947345115">
      <w:bodyDiv w:val="1"/>
      <w:marLeft w:val="0"/>
      <w:marRight w:val="0"/>
      <w:marTop w:val="0"/>
      <w:marBottom w:val="0"/>
      <w:divBdr>
        <w:top w:val="none" w:sz="0" w:space="0" w:color="auto"/>
        <w:left w:val="none" w:sz="0" w:space="0" w:color="auto"/>
        <w:bottom w:val="none" w:sz="0" w:space="0" w:color="auto"/>
        <w:right w:val="none" w:sz="0" w:space="0" w:color="auto"/>
      </w:divBdr>
    </w:div>
    <w:div w:id="1954170366">
      <w:bodyDiv w:val="1"/>
      <w:marLeft w:val="0"/>
      <w:marRight w:val="0"/>
      <w:marTop w:val="0"/>
      <w:marBottom w:val="0"/>
      <w:divBdr>
        <w:top w:val="none" w:sz="0" w:space="0" w:color="auto"/>
        <w:left w:val="none" w:sz="0" w:space="0" w:color="auto"/>
        <w:bottom w:val="none" w:sz="0" w:space="0" w:color="auto"/>
        <w:right w:val="none" w:sz="0" w:space="0" w:color="auto"/>
      </w:divBdr>
      <w:divsChild>
        <w:div w:id="186019814">
          <w:marLeft w:val="0"/>
          <w:marRight w:val="0"/>
          <w:marTop w:val="0"/>
          <w:marBottom w:val="0"/>
          <w:divBdr>
            <w:top w:val="none" w:sz="0" w:space="0" w:color="auto"/>
            <w:left w:val="none" w:sz="0" w:space="0" w:color="auto"/>
            <w:bottom w:val="none" w:sz="0" w:space="0" w:color="auto"/>
            <w:right w:val="none" w:sz="0" w:space="0" w:color="auto"/>
          </w:divBdr>
        </w:div>
      </w:divsChild>
    </w:div>
    <w:div w:id="1998528511">
      <w:bodyDiv w:val="1"/>
      <w:marLeft w:val="0"/>
      <w:marRight w:val="0"/>
      <w:marTop w:val="0"/>
      <w:marBottom w:val="0"/>
      <w:divBdr>
        <w:top w:val="none" w:sz="0" w:space="0" w:color="auto"/>
        <w:left w:val="none" w:sz="0" w:space="0" w:color="auto"/>
        <w:bottom w:val="none" w:sz="0" w:space="0" w:color="auto"/>
        <w:right w:val="none" w:sz="0" w:space="0" w:color="auto"/>
      </w:divBdr>
    </w:div>
    <w:div w:id="2012682878">
      <w:bodyDiv w:val="1"/>
      <w:marLeft w:val="0"/>
      <w:marRight w:val="0"/>
      <w:marTop w:val="0"/>
      <w:marBottom w:val="0"/>
      <w:divBdr>
        <w:top w:val="none" w:sz="0" w:space="0" w:color="auto"/>
        <w:left w:val="none" w:sz="0" w:space="0" w:color="auto"/>
        <w:bottom w:val="none" w:sz="0" w:space="0" w:color="auto"/>
        <w:right w:val="none" w:sz="0" w:space="0" w:color="auto"/>
      </w:divBdr>
    </w:div>
    <w:div w:id="2091346237">
      <w:bodyDiv w:val="1"/>
      <w:marLeft w:val="0"/>
      <w:marRight w:val="0"/>
      <w:marTop w:val="0"/>
      <w:marBottom w:val="0"/>
      <w:divBdr>
        <w:top w:val="none" w:sz="0" w:space="0" w:color="auto"/>
        <w:left w:val="none" w:sz="0" w:space="0" w:color="auto"/>
        <w:bottom w:val="none" w:sz="0" w:space="0" w:color="auto"/>
        <w:right w:val="none" w:sz="0" w:space="0" w:color="auto"/>
      </w:divBdr>
      <w:divsChild>
        <w:div w:id="854922715">
          <w:marLeft w:val="0"/>
          <w:marRight w:val="0"/>
          <w:marTop w:val="0"/>
          <w:marBottom w:val="0"/>
          <w:divBdr>
            <w:top w:val="none" w:sz="0" w:space="0" w:color="auto"/>
            <w:left w:val="none" w:sz="0" w:space="0" w:color="auto"/>
            <w:bottom w:val="none" w:sz="0" w:space="0" w:color="auto"/>
            <w:right w:val="none" w:sz="0" w:space="0" w:color="auto"/>
          </w:divBdr>
          <w:divsChild>
            <w:div w:id="1173375292">
              <w:marLeft w:val="0"/>
              <w:marRight w:val="0"/>
              <w:marTop w:val="0"/>
              <w:marBottom w:val="0"/>
              <w:divBdr>
                <w:top w:val="none" w:sz="0" w:space="0" w:color="auto"/>
                <w:left w:val="none" w:sz="0" w:space="0" w:color="auto"/>
                <w:bottom w:val="none" w:sz="0" w:space="0" w:color="auto"/>
                <w:right w:val="none" w:sz="0" w:space="0" w:color="auto"/>
              </w:divBdr>
              <w:divsChild>
                <w:div w:id="789201292">
                  <w:marLeft w:val="0"/>
                  <w:marRight w:val="0"/>
                  <w:marTop w:val="0"/>
                  <w:marBottom w:val="0"/>
                  <w:divBdr>
                    <w:top w:val="none" w:sz="0" w:space="0" w:color="auto"/>
                    <w:left w:val="none" w:sz="0" w:space="0" w:color="auto"/>
                    <w:bottom w:val="none" w:sz="0" w:space="0" w:color="auto"/>
                    <w:right w:val="none" w:sz="0" w:space="0" w:color="auto"/>
                  </w:divBdr>
                </w:div>
              </w:divsChild>
            </w:div>
            <w:div w:id="1421213871">
              <w:marLeft w:val="0"/>
              <w:marRight w:val="0"/>
              <w:marTop w:val="0"/>
              <w:marBottom w:val="0"/>
              <w:divBdr>
                <w:top w:val="none" w:sz="0" w:space="0" w:color="auto"/>
                <w:left w:val="none" w:sz="0" w:space="0" w:color="auto"/>
                <w:bottom w:val="none" w:sz="0" w:space="0" w:color="auto"/>
                <w:right w:val="none" w:sz="0" w:space="0" w:color="auto"/>
              </w:divBdr>
              <w:divsChild>
                <w:div w:id="749621232">
                  <w:marLeft w:val="0"/>
                  <w:marRight w:val="0"/>
                  <w:marTop w:val="0"/>
                  <w:marBottom w:val="0"/>
                  <w:divBdr>
                    <w:top w:val="none" w:sz="0" w:space="0" w:color="auto"/>
                    <w:left w:val="none" w:sz="0" w:space="0" w:color="auto"/>
                    <w:bottom w:val="none" w:sz="0" w:space="0" w:color="auto"/>
                    <w:right w:val="none" w:sz="0" w:space="0" w:color="auto"/>
                  </w:divBdr>
                </w:div>
              </w:divsChild>
            </w:div>
            <w:div w:id="1590311778">
              <w:marLeft w:val="0"/>
              <w:marRight w:val="0"/>
              <w:marTop w:val="0"/>
              <w:marBottom w:val="0"/>
              <w:divBdr>
                <w:top w:val="none" w:sz="0" w:space="0" w:color="auto"/>
                <w:left w:val="none" w:sz="0" w:space="0" w:color="auto"/>
                <w:bottom w:val="none" w:sz="0" w:space="0" w:color="auto"/>
                <w:right w:val="none" w:sz="0" w:space="0" w:color="auto"/>
              </w:divBdr>
              <w:divsChild>
                <w:div w:id="4317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boletinoficial.cba.gov.ar/wp-content/4p96humuzp/2017/06/1_Secc_16062017_EXTRAODINARIA.pdf" TargetMode="External"/><Relationship Id="rId2" Type="http://schemas.openxmlformats.org/officeDocument/2006/relationships/hyperlink" Target="http://www.corteidh.or.cr/docs/comunicados/cp_28_2020.pdf" TargetMode="External"/><Relationship Id="rId1" Type="http://schemas.openxmlformats.org/officeDocument/2006/relationships/hyperlink" Target="http://www.corteidh.or.cr/docs/comunicados/cp_18_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AF028C-7A00-400F-94D8-ADDB6FE22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9556</Words>
  <Characters>52559</Characters>
  <Application>Microsoft Office Word</Application>
  <DocSecurity>0</DocSecurity>
  <Lines>437</Lines>
  <Paragraphs>123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Hannia Sanchez</cp:lastModifiedBy>
  <cp:revision>3</cp:revision>
  <cp:lastPrinted>2020-08-05T21:42:00Z</cp:lastPrinted>
  <dcterms:created xsi:type="dcterms:W3CDTF">2020-08-05T21:40:00Z</dcterms:created>
  <dcterms:modified xsi:type="dcterms:W3CDTF">2020-08-05T21:43:00Z</dcterms:modified>
</cp:coreProperties>
</file>