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A7A05" w14:textId="77777777" w:rsidR="00705991" w:rsidRPr="00B642CF" w:rsidRDefault="00705991" w:rsidP="00705991">
      <w:pPr>
        <w:pStyle w:val="Footnotes"/>
        <w:rPr>
          <w:spacing w:val="0"/>
          <w:sz w:val="20"/>
          <w:szCs w:val="20"/>
        </w:rPr>
      </w:pPr>
      <w:r w:rsidRPr="00B642CF">
        <w:rPr>
          <w:spacing w:val="0"/>
          <w:sz w:val="20"/>
          <w:szCs w:val="20"/>
        </w:rPr>
        <w:t xml:space="preserve">  </w:t>
      </w:r>
    </w:p>
    <w:p w14:paraId="0D57D45B" w14:textId="77777777" w:rsidR="00705991" w:rsidRPr="00B642CF" w:rsidRDefault="00705991" w:rsidP="00705991">
      <w:pPr>
        <w:widowControl w:val="0"/>
        <w:tabs>
          <w:tab w:val="left" w:pos="567"/>
        </w:tabs>
        <w:adjustRightInd w:val="0"/>
        <w:textAlignment w:val="baseline"/>
        <w:rPr>
          <w:rFonts w:cs="Verdana Bold"/>
          <w:b/>
          <w:bCs/>
          <w:caps/>
          <w:szCs w:val="20"/>
          <w:lang w:val="es-ES"/>
        </w:rPr>
      </w:pPr>
    </w:p>
    <w:p w14:paraId="7D7A65EC" w14:textId="77777777" w:rsidR="00705991" w:rsidRPr="00B642CF" w:rsidRDefault="00705991" w:rsidP="00705991">
      <w:pPr>
        <w:widowControl w:val="0"/>
        <w:tabs>
          <w:tab w:val="left" w:pos="567"/>
        </w:tabs>
        <w:adjustRightInd w:val="0"/>
        <w:textAlignment w:val="baseline"/>
        <w:rPr>
          <w:rFonts w:cs="Verdana Bold"/>
          <w:b/>
          <w:bCs/>
          <w:caps/>
          <w:szCs w:val="20"/>
          <w:lang w:val="es-ES"/>
        </w:rPr>
      </w:pPr>
    </w:p>
    <w:p w14:paraId="5BA4F7C8" w14:textId="77777777" w:rsidR="00705991" w:rsidRPr="00B642CF" w:rsidRDefault="00705991" w:rsidP="00705991">
      <w:pPr>
        <w:widowControl w:val="0"/>
        <w:tabs>
          <w:tab w:val="left" w:pos="567"/>
        </w:tabs>
        <w:adjustRightInd w:val="0"/>
        <w:textAlignment w:val="baseline"/>
        <w:rPr>
          <w:rFonts w:cs="Verdana Bold"/>
          <w:b/>
          <w:bCs/>
          <w:caps/>
          <w:szCs w:val="20"/>
          <w:lang w:val="es-ES"/>
        </w:rPr>
      </w:pPr>
    </w:p>
    <w:p w14:paraId="62C2A6F8" w14:textId="77777777" w:rsidR="00705991" w:rsidRPr="00B642CF" w:rsidRDefault="00705991" w:rsidP="00705991">
      <w:pPr>
        <w:widowControl w:val="0"/>
        <w:tabs>
          <w:tab w:val="left" w:pos="567"/>
        </w:tabs>
        <w:adjustRightInd w:val="0"/>
        <w:textAlignment w:val="baseline"/>
        <w:rPr>
          <w:rFonts w:cs="Verdana Bold"/>
          <w:b/>
          <w:bCs/>
          <w:caps/>
          <w:szCs w:val="20"/>
          <w:lang w:val="es-ES"/>
        </w:rPr>
      </w:pPr>
    </w:p>
    <w:p w14:paraId="608C66D6" w14:textId="77777777" w:rsidR="00705991" w:rsidRPr="00B642CF" w:rsidRDefault="00705991" w:rsidP="00705991">
      <w:pPr>
        <w:widowControl w:val="0"/>
        <w:tabs>
          <w:tab w:val="left" w:pos="567"/>
        </w:tabs>
        <w:adjustRightInd w:val="0"/>
        <w:textAlignment w:val="baseline"/>
        <w:rPr>
          <w:rFonts w:cs="Verdana Bold"/>
          <w:b/>
          <w:bCs/>
          <w:caps/>
          <w:szCs w:val="20"/>
          <w:lang w:val="es-ES"/>
        </w:rPr>
      </w:pPr>
    </w:p>
    <w:p w14:paraId="05520B6B" w14:textId="77777777" w:rsidR="00705991" w:rsidRPr="00B642CF" w:rsidRDefault="00705991" w:rsidP="00705991">
      <w:pPr>
        <w:widowControl w:val="0"/>
        <w:tabs>
          <w:tab w:val="left" w:pos="567"/>
        </w:tabs>
        <w:adjustRightInd w:val="0"/>
        <w:textAlignment w:val="baseline"/>
        <w:rPr>
          <w:rFonts w:cs="Verdana Bold"/>
          <w:b/>
          <w:bCs/>
          <w:caps/>
          <w:szCs w:val="20"/>
          <w:lang w:val="es-ES"/>
        </w:rPr>
      </w:pPr>
    </w:p>
    <w:p w14:paraId="378CBC06" w14:textId="77777777" w:rsidR="00705991" w:rsidRPr="00B642CF" w:rsidRDefault="00705991" w:rsidP="00705991">
      <w:pPr>
        <w:widowControl w:val="0"/>
        <w:tabs>
          <w:tab w:val="left" w:pos="567"/>
        </w:tabs>
        <w:adjustRightInd w:val="0"/>
        <w:textAlignment w:val="baseline"/>
        <w:rPr>
          <w:b/>
          <w:szCs w:val="20"/>
          <w:lang w:val="es-ES" w:eastAsia="es-CR"/>
        </w:rPr>
      </w:pPr>
    </w:p>
    <w:p w14:paraId="2D15F5D7" w14:textId="77777777" w:rsidR="00705991" w:rsidRPr="00B642CF" w:rsidRDefault="00705991" w:rsidP="00705991">
      <w:pPr>
        <w:widowControl w:val="0"/>
        <w:tabs>
          <w:tab w:val="left" w:pos="567"/>
        </w:tabs>
        <w:adjustRightInd w:val="0"/>
        <w:jc w:val="center"/>
        <w:textAlignment w:val="baseline"/>
        <w:rPr>
          <w:b/>
          <w:szCs w:val="20"/>
          <w:lang w:val="es-ES" w:eastAsia="es-CR"/>
        </w:rPr>
      </w:pPr>
    </w:p>
    <w:p w14:paraId="3E8513C5" w14:textId="77777777" w:rsidR="00705991" w:rsidRPr="00B642CF" w:rsidRDefault="00705991" w:rsidP="00705991">
      <w:pPr>
        <w:pStyle w:val="Ttulo"/>
        <w:tabs>
          <w:tab w:val="left" w:pos="567"/>
        </w:tabs>
        <w:outlineLvl w:val="9"/>
        <w:rPr>
          <w:sz w:val="20"/>
          <w:lang w:val="es-ES"/>
        </w:rPr>
      </w:pPr>
      <w:r w:rsidRPr="00B642CF">
        <w:rPr>
          <w:sz w:val="20"/>
          <w:lang w:val="es-ES"/>
        </w:rPr>
        <w:t>CORTE INTERAMERICANA DE DERECHOS HUMANOS</w:t>
      </w:r>
    </w:p>
    <w:p w14:paraId="12543E2B" w14:textId="77777777" w:rsidR="00705991" w:rsidRPr="00B642CF" w:rsidRDefault="00705991" w:rsidP="00705991">
      <w:pPr>
        <w:jc w:val="center"/>
        <w:rPr>
          <w:b/>
          <w:bCs/>
          <w:szCs w:val="20"/>
          <w:lang w:val="es-ES"/>
        </w:rPr>
      </w:pPr>
    </w:p>
    <w:p w14:paraId="44E1A3AE" w14:textId="2A5A3841" w:rsidR="00705991" w:rsidRPr="00B642CF" w:rsidRDefault="00705991" w:rsidP="00705991">
      <w:pPr>
        <w:jc w:val="center"/>
        <w:rPr>
          <w:b/>
          <w:bCs/>
          <w:szCs w:val="20"/>
          <w:lang w:val="es-ES"/>
        </w:rPr>
      </w:pPr>
      <w:r w:rsidRPr="00B642CF">
        <w:rPr>
          <w:b/>
          <w:bCs/>
          <w:szCs w:val="20"/>
          <w:lang w:val="es-ES"/>
        </w:rPr>
        <w:t>CASO ALMEIDA VS. ARGENTINA</w:t>
      </w:r>
    </w:p>
    <w:p w14:paraId="1F511C8F" w14:textId="77777777" w:rsidR="00705991" w:rsidRPr="00B642CF" w:rsidRDefault="00705991" w:rsidP="00705991">
      <w:pPr>
        <w:jc w:val="center"/>
        <w:rPr>
          <w:b/>
          <w:szCs w:val="20"/>
          <w:lang w:val="es-ES"/>
        </w:rPr>
      </w:pPr>
    </w:p>
    <w:p w14:paraId="05C16555" w14:textId="75F11F54" w:rsidR="00705991" w:rsidRPr="00B642CF" w:rsidRDefault="00705991" w:rsidP="00705991">
      <w:pPr>
        <w:jc w:val="center"/>
        <w:rPr>
          <w:b/>
          <w:szCs w:val="20"/>
          <w:lang w:val="es-ES"/>
        </w:rPr>
      </w:pPr>
      <w:bookmarkStart w:id="0" w:name="_Toc424833992"/>
      <w:bookmarkStart w:id="1" w:name="_Toc424834593"/>
      <w:bookmarkStart w:id="2" w:name="_Toc424834676"/>
      <w:bookmarkStart w:id="3" w:name="_Toc424834743"/>
      <w:r w:rsidRPr="00B642CF">
        <w:rPr>
          <w:b/>
          <w:szCs w:val="20"/>
          <w:lang w:val="es-ES"/>
        </w:rPr>
        <w:t xml:space="preserve">SENTENCIA DE </w:t>
      </w:r>
      <w:r w:rsidR="00000AE6" w:rsidRPr="00B642CF">
        <w:rPr>
          <w:b/>
          <w:szCs w:val="20"/>
          <w:lang w:val="es-ES"/>
        </w:rPr>
        <w:t>17</w:t>
      </w:r>
      <w:r w:rsidRPr="00B642CF">
        <w:rPr>
          <w:b/>
          <w:szCs w:val="20"/>
          <w:lang w:val="es-ES"/>
        </w:rPr>
        <w:t xml:space="preserve"> DE NOVIEMBRE DE </w:t>
      </w:r>
      <w:bookmarkEnd w:id="0"/>
      <w:bookmarkEnd w:id="1"/>
      <w:bookmarkEnd w:id="2"/>
      <w:bookmarkEnd w:id="3"/>
      <w:r w:rsidRPr="00B642CF">
        <w:rPr>
          <w:b/>
          <w:szCs w:val="20"/>
          <w:lang w:val="es-ES"/>
        </w:rPr>
        <w:t>2020</w:t>
      </w:r>
    </w:p>
    <w:p w14:paraId="67591703" w14:textId="77777777" w:rsidR="00705991" w:rsidRPr="00B642CF" w:rsidRDefault="00705991" w:rsidP="00705991">
      <w:pPr>
        <w:jc w:val="center"/>
        <w:rPr>
          <w:szCs w:val="20"/>
          <w:lang w:val="es-ES"/>
        </w:rPr>
      </w:pPr>
    </w:p>
    <w:p w14:paraId="5FD4C393" w14:textId="03116FC5" w:rsidR="00705991" w:rsidRPr="00B642CF" w:rsidRDefault="00705991" w:rsidP="00705991">
      <w:pPr>
        <w:jc w:val="center"/>
        <w:rPr>
          <w:rFonts w:cs="Verdana"/>
          <w:b/>
          <w:bCs/>
          <w:caps/>
          <w:snapToGrid w:val="0"/>
          <w:szCs w:val="20"/>
          <w:lang w:val="es-ES" w:eastAsia="es-ES"/>
        </w:rPr>
      </w:pPr>
      <w:bookmarkStart w:id="4" w:name="_Toc424833993"/>
      <w:bookmarkStart w:id="5" w:name="_Toc424834594"/>
      <w:bookmarkStart w:id="6" w:name="_Toc424834677"/>
      <w:bookmarkStart w:id="7" w:name="_Toc424834744"/>
      <w:r w:rsidRPr="00B642CF">
        <w:rPr>
          <w:b/>
          <w:szCs w:val="20"/>
          <w:lang w:val="es-ES"/>
        </w:rPr>
        <w:t>(</w:t>
      </w:r>
      <w:r w:rsidR="002A327F" w:rsidRPr="00B642CF">
        <w:rPr>
          <w:b/>
          <w:i/>
          <w:szCs w:val="20"/>
          <w:lang w:val="es-ES"/>
        </w:rPr>
        <w:t xml:space="preserve">Fondo, </w:t>
      </w:r>
      <w:r w:rsidRPr="00B642CF">
        <w:rPr>
          <w:b/>
          <w:i/>
          <w:szCs w:val="20"/>
          <w:lang w:val="es-ES"/>
        </w:rPr>
        <w:t>Reparaciones y Costas</w:t>
      </w:r>
      <w:r w:rsidRPr="00B642CF">
        <w:rPr>
          <w:b/>
          <w:szCs w:val="20"/>
          <w:lang w:val="es-ES"/>
        </w:rPr>
        <w:t>)</w:t>
      </w:r>
      <w:bookmarkEnd w:id="4"/>
      <w:bookmarkEnd w:id="5"/>
      <w:bookmarkEnd w:id="6"/>
      <w:bookmarkEnd w:id="7"/>
    </w:p>
    <w:p w14:paraId="005FD76A" w14:textId="77777777" w:rsidR="00705991" w:rsidRPr="00B642CF" w:rsidRDefault="00705991" w:rsidP="00705991">
      <w:pPr>
        <w:widowControl w:val="0"/>
        <w:tabs>
          <w:tab w:val="left" w:pos="567"/>
          <w:tab w:val="left" w:pos="720"/>
        </w:tabs>
        <w:adjustRightInd w:val="0"/>
        <w:textAlignment w:val="baseline"/>
        <w:rPr>
          <w:rFonts w:cs="Verdana"/>
          <w:szCs w:val="20"/>
          <w:lang w:val="es-ES" w:eastAsia="es-CR"/>
        </w:rPr>
      </w:pPr>
    </w:p>
    <w:p w14:paraId="77D7BE65" w14:textId="77777777" w:rsidR="00705991" w:rsidRPr="00B642CF" w:rsidRDefault="00705991" w:rsidP="00705991">
      <w:pPr>
        <w:widowControl w:val="0"/>
        <w:tabs>
          <w:tab w:val="left" w:pos="6932"/>
        </w:tabs>
        <w:adjustRightInd w:val="0"/>
        <w:textAlignment w:val="baseline"/>
        <w:rPr>
          <w:rFonts w:cs="Verdana"/>
          <w:b/>
          <w:bCs/>
          <w:szCs w:val="20"/>
          <w:lang w:val="es-ES" w:eastAsia="es-CR"/>
        </w:rPr>
      </w:pPr>
      <w:r w:rsidRPr="00B642CF">
        <w:rPr>
          <w:rFonts w:cs="Verdana"/>
          <w:b/>
          <w:bCs/>
          <w:szCs w:val="20"/>
          <w:lang w:val="es-ES" w:eastAsia="es-CR"/>
        </w:rPr>
        <w:tab/>
      </w:r>
    </w:p>
    <w:p w14:paraId="2AB00E13" w14:textId="77777777" w:rsidR="00705991" w:rsidRPr="00B642CF" w:rsidRDefault="00705991" w:rsidP="00705991">
      <w:pPr>
        <w:widowControl w:val="0"/>
        <w:tabs>
          <w:tab w:val="left" w:pos="567"/>
          <w:tab w:val="left" w:pos="720"/>
        </w:tabs>
        <w:adjustRightInd w:val="0"/>
        <w:textAlignment w:val="baseline"/>
        <w:rPr>
          <w:rFonts w:cs="Verdana"/>
          <w:szCs w:val="20"/>
          <w:lang w:val="es-ES" w:eastAsia="es-CR"/>
        </w:rPr>
      </w:pPr>
    </w:p>
    <w:p w14:paraId="3F18A7A0" w14:textId="77777777" w:rsidR="00705991" w:rsidRPr="00B642CF" w:rsidRDefault="00705991" w:rsidP="00705991">
      <w:pPr>
        <w:widowControl w:val="0"/>
        <w:tabs>
          <w:tab w:val="left" w:pos="567"/>
          <w:tab w:val="left" w:pos="720"/>
        </w:tabs>
        <w:adjustRightInd w:val="0"/>
        <w:textAlignment w:val="baseline"/>
        <w:rPr>
          <w:rFonts w:cs="Verdana"/>
          <w:i/>
          <w:iCs/>
          <w:szCs w:val="20"/>
          <w:lang w:val="es-ES" w:eastAsia="es-CR"/>
        </w:rPr>
      </w:pPr>
      <w:r w:rsidRPr="00B642CF">
        <w:rPr>
          <w:rFonts w:cs="Verdana"/>
          <w:szCs w:val="20"/>
          <w:lang w:val="es-ES" w:eastAsia="es-CR"/>
        </w:rPr>
        <w:t>En el caso</w:t>
      </w:r>
      <w:r w:rsidRPr="00B642CF">
        <w:rPr>
          <w:rFonts w:cs="Verdana"/>
          <w:i/>
          <w:iCs/>
          <w:szCs w:val="20"/>
          <w:lang w:val="es-ES" w:eastAsia="es-CR"/>
        </w:rPr>
        <w:t xml:space="preserve"> Almeida Vs. Argentina, </w:t>
      </w:r>
    </w:p>
    <w:p w14:paraId="2FE36BDC" w14:textId="77777777" w:rsidR="00705991" w:rsidRPr="00B642CF" w:rsidRDefault="00705991" w:rsidP="00705991">
      <w:pPr>
        <w:widowControl w:val="0"/>
        <w:tabs>
          <w:tab w:val="left" w:pos="567"/>
          <w:tab w:val="left" w:pos="720"/>
        </w:tabs>
        <w:adjustRightInd w:val="0"/>
        <w:textAlignment w:val="baseline"/>
        <w:rPr>
          <w:rFonts w:cs="Verdana"/>
          <w:szCs w:val="20"/>
          <w:lang w:val="es-ES" w:eastAsia="es-CR"/>
        </w:rPr>
      </w:pPr>
    </w:p>
    <w:p w14:paraId="42AD9C61" w14:textId="77777777" w:rsidR="00705991" w:rsidRPr="00B642CF" w:rsidRDefault="00705991" w:rsidP="00705991">
      <w:pPr>
        <w:widowControl w:val="0"/>
        <w:tabs>
          <w:tab w:val="left" w:pos="567"/>
          <w:tab w:val="left" w:pos="720"/>
        </w:tabs>
        <w:adjustRightInd w:val="0"/>
        <w:textAlignment w:val="baseline"/>
        <w:rPr>
          <w:rFonts w:cs="Verdana"/>
          <w:szCs w:val="20"/>
          <w:lang w:val="es-ES" w:eastAsia="es-CR"/>
        </w:rPr>
      </w:pPr>
      <w:r w:rsidRPr="00B642CF">
        <w:rPr>
          <w:rFonts w:cs="Verdana"/>
          <w:szCs w:val="20"/>
          <w:lang w:val="es-ES" w:eastAsia="es-CR"/>
        </w:rPr>
        <w:t>la Corte Interamericana de Derechos Humanos (en adelante “la Corte Interamericana”, “la Corte” o “el Tribunal”), integrada por los siguientes jueces</w:t>
      </w:r>
      <w:r w:rsidR="00A70EC7" w:rsidRPr="00B642CF">
        <w:rPr>
          <w:rStyle w:val="Refdenotaalpie"/>
          <w:lang w:val="es-ES"/>
        </w:rPr>
        <w:footnoteReference w:customMarkFollows="1" w:id="1"/>
        <w:t>*</w:t>
      </w:r>
      <w:r w:rsidRPr="00B642CF">
        <w:rPr>
          <w:rFonts w:cs="Verdana"/>
          <w:szCs w:val="20"/>
          <w:lang w:val="es-ES" w:eastAsia="es-CR"/>
        </w:rPr>
        <w:t>:</w:t>
      </w:r>
    </w:p>
    <w:p w14:paraId="19551DB1" w14:textId="77777777" w:rsidR="00705991" w:rsidRPr="00B642CF" w:rsidRDefault="00705991" w:rsidP="00705991">
      <w:pPr>
        <w:widowControl w:val="0"/>
        <w:tabs>
          <w:tab w:val="left" w:pos="567"/>
          <w:tab w:val="left" w:pos="720"/>
        </w:tabs>
        <w:adjustRightInd w:val="0"/>
        <w:textAlignment w:val="baseline"/>
        <w:rPr>
          <w:rFonts w:cs="Verdana"/>
          <w:szCs w:val="20"/>
          <w:lang w:val="es-ES" w:eastAsia="es-CR"/>
        </w:rPr>
      </w:pPr>
    </w:p>
    <w:p w14:paraId="7160CAB7" w14:textId="77777777" w:rsidR="00705991" w:rsidRPr="00B642CF" w:rsidRDefault="00705991" w:rsidP="00705991">
      <w:pPr>
        <w:widowControl w:val="0"/>
        <w:tabs>
          <w:tab w:val="left" w:pos="567"/>
          <w:tab w:val="left" w:pos="720"/>
        </w:tabs>
        <w:adjustRightInd w:val="0"/>
        <w:textAlignment w:val="baseline"/>
        <w:rPr>
          <w:rFonts w:cs="Verdana"/>
          <w:szCs w:val="20"/>
          <w:lang w:val="es-ES" w:eastAsia="es-CR"/>
        </w:rPr>
      </w:pPr>
      <w:r w:rsidRPr="00B642CF">
        <w:rPr>
          <w:rFonts w:cs="Verdana"/>
          <w:szCs w:val="20"/>
          <w:lang w:val="es-ES" w:eastAsia="es-CR"/>
        </w:rPr>
        <w:t>Elizabeth Odio Benito, Presidenta;</w:t>
      </w:r>
    </w:p>
    <w:p w14:paraId="294DD042" w14:textId="77777777" w:rsidR="00705991" w:rsidRPr="00B642CF" w:rsidRDefault="00705991" w:rsidP="00705991">
      <w:pPr>
        <w:widowControl w:val="0"/>
        <w:tabs>
          <w:tab w:val="left" w:pos="567"/>
          <w:tab w:val="left" w:pos="720"/>
        </w:tabs>
        <w:adjustRightInd w:val="0"/>
        <w:textAlignment w:val="baseline"/>
        <w:rPr>
          <w:rFonts w:cs="Verdana"/>
          <w:szCs w:val="20"/>
          <w:lang w:val="es-ES" w:eastAsia="es-CR"/>
        </w:rPr>
      </w:pPr>
      <w:r w:rsidRPr="00B642CF">
        <w:rPr>
          <w:rFonts w:cs="Verdana"/>
          <w:szCs w:val="20"/>
          <w:lang w:val="es-ES" w:eastAsia="es-CR"/>
        </w:rPr>
        <w:t>Patricio Pazmiño Freire, Vicepresidente;</w:t>
      </w:r>
    </w:p>
    <w:p w14:paraId="60DAB6FA" w14:textId="77777777" w:rsidR="00705991" w:rsidRPr="00B642CF" w:rsidRDefault="00705991" w:rsidP="00705991">
      <w:pPr>
        <w:pStyle w:val="citaindirecta"/>
        <w:tabs>
          <w:tab w:val="left" w:pos="567"/>
          <w:tab w:val="left" w:pos="851"/>
          <w:tab w:val="left" w:pos="7213"/>
        </w:tabs>
        <w:ind w:left="0" w:right="-174"/>
        <w:rPr>
          <w:lang w:val="es-ES"/>
        </w:rPr>
      </w:pPr>
      <w:r w:rsidRPr="00B642CF">
        <w:rPr>
          <w:lang w:val="es-ES"/>
        </w:rPr>
        <w:t>Humberto Antonio Sierra Porto, Juez;</w:t>
      </w:r>
    </w:p>
    <w:p w14:paraId="41AA9147" w14:textId="77777777" w:rsidR="00705991" w:rsidRPr="00B642CF" w:rsidRDefault="00705991" w:rsidP="00705991">
      <w:pPr>
        <w:pStyle w:val="citaindirecta"/>
        <w:tabs>
          <w:tab w:val="left" w:pos="567"/>
          <w:tab w:val="left" w:pos="851"/>
          <w:tab w:val="left" w:pos="7213"/>
        </w:tabs>
        <w:ind w:left="0" w:right="-174"/>
        <w:rPr>
          <w:lang w:val="es-ES"/>
        </w:rPr>
      </w:pPr>
      <w:r w:rsidRPr="00B642CF">
        <w:rPr>
          <w:lang w:val="es-ES"/>
        </w:rPr>
        <w:t>Eduardo Ferrer Mac-Gregor Poisot, Juez, y</w:t>
      </w:r>
      <w:r w:rsidRPr="00B642CF">
        <w:rPr>
          <w:lang w:val="es-ES"/>
        </w:rPr>
        <w:tab/>
      </w:r>
    </w:p>
    <w:p w14:paraId="47941F51" w14:textId="77777777" w:rsidR="00705991" w:rsidRPr="00B642CF" w:rsidRDefault="00705991" w:rsidP="00705991">
      <w:pPr>
        <w:tabs>
          <w:tab w:val="left" w:pos="567"/>
          <w:tab w:val="left" w:pos="720"/>
          <w:tab w:val="left" w:pos="851"/>
        </w:tabs>
        <w:ind w:right="-174"/>
        <w:rPr>
          <w:rFonts w:cs="Verdana"/>
          <w:szCs w:val="20"/>
          <w:lang w:val="es-ES"/>
        </w:rPr>
      </w:pPr>
      <w:r w:rsidRPr="00B642CF">
        <w:rPr>
          <w:szCs w:val="20"/>
          <w:lang w:val="es-ES"/>
        </w:rPr>
        <w:t>Ricardo Pérez Manrique, Juez;</w:t>
      </w:r>
    </w:p>
    <w:p w14:paraId="18824E0E" w14:textId="77777777" w:rsidR="00705991" w:rsidRPr="00B642CF" w:rsidRDefault="00705991" w:rsidP="00705991">
      <w:pPr>
        <w:widowControl w:val="0"/>
        <w:tabs>
          <w:tab w:val="left" w:pos="567"/>
          <w:tab w:val="left" w:pos="720"/>
        </w:tabs>
        <w:adjustRightInd w:val="0"/>
        <w:textAlignment w:val="baseline"/>
        <w:rPr>
          <w:rFonts w:cs="Verdana"/>
          <w:szCs w:val="20"/>
          <w:highlight w:val="yellow"/>
          <w:lang w:val="es-ES" w:eastAsia="es-CR"/>
        </w:rPr>
      </w:pPr>
    </w:p>
    <w:p w14:paraId="59F92A94" w14:textId="751D866B" w:rsidR="00705991" w:rsidRPr="00B642CF" w:rsidRDefault="00705991" w:rsidP="00705991">
      <w:pPr>
        <w:pStyle w:val="PrrafodeSentencia"/>
        <w:widowControl w:val="0"/>
        <w:numPr>
          <w:ilvl w:val="0"/>
          <w:numId w:val="0"/>
        </w:numPr>
        <w:tabs>
          <w:tab w:val="left" w:pos="720"/>
        </w:tabs>
        <w:adjustRightInd w:val="0"/>
        <w:textAlignment w:val="baseline"/>
        <w:rPr>
          <w:rFonts w:eastAsia="MS Mincho" w:cs="Verdana"/>
          <w:spacing w:val="0"/>
          <w:szCs w:val="20"/>
          <w:lang w:val="es-ES" w:eastAsia="es-CR"/>
        </w:rPr>
      </w:pPr>
      <w:r w:rsidRPr="00B642CF">
        <w:rPr>
          <w:rFonts w:eastAsia="MS Mincho" w:cs="Verdana"/>
          <w:spacing w:val="0"/>
          <w:szCs w:val="20"/>
          <w:lang w:val="es-ES" w:eastAsia="es-CR"/>
        </w:rPr>
        <w:t>presente</w:t>
      </w:r>
      <w:r w:rsidR="00A86DCD" w:rsidRPr="00B642CF">
        <w:rPr>
          <w:rFonts w:eastAsia="MS Mincho" w:cs="Verdana"/>
          <w:spacing w:val="0"/>
          <w:szCs w:val="20"/>
          <w:lang w:val="es-ES" w:eastAsia="es-CR"/>
        </w:rPr>
        <w:t>,</w:t>
      </w:r>
      <w:r w:rsidRPr="00B642CF">
        <w:rPr>
          <w:rFonts w:eastAsia="MS Mincho" w:cs="Verdana"/>
          <w:spacing w:val="0"/>
          <w:szCs w:val="20"/>
          <w:lang w:val="es-ES" w:eastAsia="es-CR"/>
        </w:rPr>
        <w:t xml:space="preserve"> además,</w:t>
      </w:r>
    </w:p>
    <w:p w14:paraId="46E35225" w14:textId="77777777" w:rsidR="00705991" w:rsidRPr="00B642CF" w:rsidRDefault="00705991" w:rsidP="00705991">
      <w:pPr>
        <w:widowControl w:val="0"/>
        <w:tabs>
          <w:tab w:val="left" w:pos="567"/>
          <w:tab w:val="left" w:pos="720"/>
        </w:tabs>
        <w:adjustRightInd w:val="0"/>
        <w:textAlignment w:val="baseline"/>
        <w:rPr>
          <w:rFonts w:cs="Verdana"/>
          <w:szCs w:val="20"/>
          <w:highlight w:val="yellow"/>
          <w:lang w:val="es-ES" w:eastAsia="es-CR"/>
        </w:rPr>
      </w:pPr>
    </w:p>
    <w:p w14:paraId="19D3423D" w14:textId="4DFE408E" w:rsidR="00705991" w:rsidRPr="00B642CF" w:rsidRDefault="00705991" w:rsidP="00705991">
      <w:pPr>
        <w:widowControl w:val="0"/>
        <w:tabs>
          <w:tab w:val="left" w:pos="567"/>
          <w:tab w:val="left" w:pos="720"/>
        </w:tabs>
        <w:adjustRightInd w:val="0"/>
        <w:textAlignment w:val="baseline"/>
        <w:rPr>
          <w:rFonts w:cs="Verdana"/>
          <w:szCs w:val="20"/>
          <w:lang w:val="es-ES" w:eastAsia="es-CR"/>
        </w:rPr>
        <w:sectPr w:rsidR="00705991" w:rsidRPr="00B642CF" w:rsidSect="00C94F54">
          <w:headerReference w:type="even" r:id="rId8"/>
          <w:headerReference w:type="default" r:id="rId9"/>
          <w:footerReference w:type="default" r:id="rId10"/>
          <w:footnotePr>
            <w:numFmt w:val="chicago"/>
          </w:footnotePr>
          <w:pgSz w:w="12240" w:h="15840" w:code="1"/>
          <w:pgMar w:top="1418" w:right="1418" w:bottom="1418" w:left="1418" w:header="709" w:footer="340" w:gutter="0"/>
          <w:cols w:space="708"/>
          <w:titlePg/>
          <w:docGrid w:linePitch="360"/>
        </w:sectPr>
      </w:pPr>
      <w:r w:rsidRPr="00B642CF">
        <w:rPr>
          <w:rFonts w:cs="Verdana"/>
          <w:szCs w:val="20"/>
          <w:lang w:val="es-ES" w:eastAsia="es-CR"/>
        </w:rPr>
        <w:t>Pablo Saavedra Alessandri, Secretario</w:t>
      </w:r>
      <w:r w:rsidR="0006722D" w:rsidRPr="00B642CF">
        <w:rPr>
          <w:rStyle w:val="Refdenotaalpie"/>
          <w:rFonts w:cs="Verdana"/>
          <w:lang w:val="es-ES" w:eastAsia="es-CR"/>
        </w:rPr>
        <w:footnoteReference w:customMarkFollows="1" w:id="2"/>
        <w:t>**</w:t>
      </w:r>
      <w:r w:rsidRPr="00B642CF">
        <w:rPr>
          <w:rFonts w:cs="Verdana"/>
          <w:szCs w:val="20"/>
          <w:lang w:val="es-ES" w:eastAsia="es-CR"/>
        </w:rPr>
        <w:t>,</w:t>
      </w:r>
    </w:p>
    <w:p w14:paraId="58A0EE1C" w14:textId="77777777" w:rsidR="00705991" w:rsidRPr="00B642CF" w:rsidRDefault="00705991" w:rsidP="00705991">
      <w:pPr>
        <w:widowControl w:val="0"/>
        <w:tabs>
          <w:tab w:val="left" w:pos="567"/>
          <w:tab w:val="left" w:pos="720"/>
        </w:tabs>
        <w:adjustRightInd w:val="0"/>
        <w:textAlignment w:val="baseline"/>
        <w:rPr>
          <w:rStyle w:val="Refdenotaalpie"/>
          <w:rFonts w:cs="Verdana"/>
          <w:lang w:val="es-ES" w:eastAsia="es-CR"/>
        </w:rPr>
        <w:sectPr w:rsidR="00705991" w:rsidRPr="00B642CF" w:rsidSect="00C94F54">
          <w:footnotePr>
            <w:numFmt w:val="chicago"/>
          </w:footnotePr>
          <w:type w:val="continuous"/>
          <w:pgSz w:w="12240" w:h="15840" w:code="1"/>
          <w:pgMar w:top="1418" w:right="1418" w:bottom="1418" w:left="1418" w:header="709" w:footer="340" w:gutter="0"/>
          <w:cols w:space="708"/>
          <w:titlePg/>
          <w:docGrid w:linePitch="360"/>
        </w:sectPr>
      </w:pPr>
    </w:p>
    <w:p w14:paraId="30DB7ABE" w14:textId="77777777" w:rsidR="00705991" w:rsidRPr="00B642CF" w:rsidRDefault="00705991" w:rsidP="00705991">
      <w:pPr>
        <w:widowControl w:val="0"/>
        <w:tabs>
          <w:tab w:val="left" w:pos="567"/>
          <w:tab w:val="left" w:pos="720"/>
        </w:tabs>
        <w:adjustRightInd w:val="0"/>
        <w:textAlignment w:val="baseline"/>
        <w:rPr>
          <w:rFonts w:cs="Verdana"/>
          <w:szCs w:val="20"/>
          <w:lang w:val="es-ES" w:eastAsia="es-CR"/>
        </w:rPr>
      </w:pPr>
    </w:p>
    <w:p w14:paraId="6F00AB4E" w14:textId="77777777" w:rsidR="00705991" w:rsidRPr="00B642CF" w:rsidRDefault="00705991" w:rsidP="00705991">
      <w:pPr>
        <w:pStyle w:val="Textocomentario"/>
        <w:widowControl w:val="0"/>
        <w:tabs>
          <w:tab w:val="left" w:pos="567"/>
          <w:tab w:val="left" w:pos="720"/>
        </w:tabs>
        <w:adjustRightInd w:val="0"/>
        <w:textAlignment w:val="baseline"/>
        <w:rPr>
          <w:rFonts w:cs="Verdana"/>
          <w:strike/>
          <w:lang w:val="es-ES" w:eastAsia="es-MX"/>
        </w:rPr>
      </w:pPr>
    </w:p>
    <w:p w14:paraId="07B8B8D7" w14:textId="77777777" w:rsidR="00705991" w:rsidRPr="00B642CF" w:rsidRDefault="00705991" w:rsidP="00705991">
      <w:pPr>
        <w:widowControl w:val="0"/>
        <w:tabs>
          <w:tab w:val="left" w:pos="567"/>
          <w:tab w:val="left" w:pos="720"/>
        </w:tabs>
        <w:adjustRightInd w:val="0"/>
        <w:textAlignment w:val="baseline"/>
        <w:rPr>
          <w:rFonts w:cs="Verdana"/>
          <w:szCs w:val="20"/>
          <w:lang w:val="es-ES" w:eastAsia="es-CR"/>
        </w:rPr>
      </w:pPr>
    </w:p>
    <w:p w14:paraId="5497B9FD" w14:textId="77777777" w:rsidR="00705991" w:rsidRPr="00B642CF" w:rsidRDefault="00705991" w:rsidP="00705991">
      <w:pPr>
        <w:pStyle w:val="Textoindependiente1"/>
        <w:tabs>
          <w:tab w:val="left" w:pos="567"/>
          <w:tab w:val="left" w:pos="720"/>
        </w:tabs>
        <w:adjustRightInd w:val="0"/>
        <w:textAlignment w:val="baseline"/>
        <w:rPr>
          <w:rFonts w:ascii="Verdana" w:hAnsi="Verdana" w:cs="Verdana"/>
          <w:lang w:val="es-ES" w:eastAsia="es-CR"/>
        </w:rPr>
      </w:pPr>
      <w:r w:rsidRPr="00B642CF">
        <w:rPr>
          <w:rFonts w:ascii="Verdana" w:hAnsi="Verdana" w:cs="Verdana"/>
          <w:lang w:val="es-ES" w:eastAsia="es-CR"/>
        </w:rPr>
        <w:t>de conformidad con los artículos 62.3 y 63.1 de la Convención Americana sobre Derechos Humanos (en adelante “la Convención Americana” o “la Convención”) y con los artículos 31, 32, 62, 65 y 67 del Reglamento de la Corte (en adelante “el Reglamento” o “Reglamento de la Corte”), dicta la presente Sentencia que se estructura en el siguiente orden:</w:t>
      </w:r>
      <w:bookmarkStart w:id="8" w:name="_Toc424833995"/>
      <w:bookmarkStart w:id="9" w:name="_Toc424834679"/>
      <w:bookmarkStart w:id="10" w:name="_Toc424834746"/>
      <w:bookmarkStart w:id="11" w:name="_Toc427234534"/>
      <w:bookmarkStart w:id="12" w:name="_Toc427342823"/>
      <w:bookmarkStart w:id="13" w:name="_Toc427663809"/>
      <w:bookmarkStart w:id="14" w:name="_Toc427932785"/>
      <w:bookmarkStart w:id="15" w:name="_Toc427943548"/>
      <w:bookmarkStart w:id="16" w:name="_Toc427943722"/>
      <w:bookmarkStart w:id="17" w:name="_Toc431584602"/>
      <w:bookmarkStart w:id="18" w:name="_Toc431584718"/>
      <w:bookmarkStart w:id="19" w:name="_Toc431585023"/>
      <w:bookmarkStart w:id="20" w:name="_Toc431646540"/>
      <w:bookmarkStart w:id="21" w:name="_Toc431834523"/>
      <w:bookmarkStart w:id="22" w:name="_Toc431834619"/>
      <w:bookmarkStart w:id="23" w:name="_Toc308537924"/>
      <w:bookmarkStart w:id="24" w:name="_Toc308538144"/>
      <w:bookmarkStart w:id="25" w:name="_Toc434849616"/>
      <w:bookmarkStart w:id="26" w:name="_Toc434849911"/>
      <w:bookmarkStart w:id="27" w:name="_Toc434850390"/>
      <w:bookmarkStart w:id="28" w:name="_Toc469594898"/>
      <w:bookmarkStart w:id="29" w:name="_Toc469664207"/>
      <w:bookmarkStart w:id="30" w:name="_Toc469664469"/>
      <w:bookmarkStart w:id="31" w:name="_Toc469940914"/>
    </w:p>
    <w:p w14:paraId="5BC70D5A" w14:textId="77777777" w:rsidR="00616421" w:rsidRPr="00B642CF" w:rsidRDefault="00616421" w:rsidP="00705991">
      <w:pPr>
        <w:pStyle w:val="TDC1"/>
        <w:rPr>
          <w:lang w:val="es-ES"/>
        </w:rPr>
      </w:pPr>
    </w:p>
    <w:p w14:paraId="01C2853A" w14:textId="77777777" w:rsidR="005118A5" w:rsidRPr="00B642CF" w:rsidRDefault="005118A5" w:rsidP="00705991">
      <w:pPr>
        <w:pStyle w:val="TDC1"/>
        <w:rPr>
          <w:lang w:val="es-ES"/>
        </w:rPr>
      </w:pPr>
    </w:p>
    <w:p w14:paraId="7E582BDB" w14:textId="42B3AB61" w:rsidR="00705991" w:rsidRPr="00B642CF" w:rsidRDefault="00705991" w:rsidP="00705991">
      <w:pPr>
        <w:pStyle w:val="TDC1"/>
        <w:rPr>
          <w:lang w:val="es-ES"/>
        </w:rPr>
      </w:pPr>
      <w:r w:rsidRPr="00B642CF">
        <w:rPr>
          <w:lang w:val="es-ES"/>
        </w:rPr>
        <w:lastRenderedPageBreak/>
        <w:t>TABLA DE CONTENIDO</w:t>
      </w:r>
    </w:p>
    <w:bookmarkStart w:id="32" w:name="_Toc8209824" w:displacedByCustomXml="next"/>
    <w:bookmarkStart w:id="33" w:name="_Toc4402937" w:displacedByCustomXml="next"/>
    <w:bookmarkStart w:id="34" w:name="_Toc4402698" w:displacedByCustomXml="next"/>
    <w:sdt>
      <w:sdtPr>
        <w:rPr>
          <w:rFonts w:ascii="Verdana" w:eastAsia="Times New Roman" w:hAnsi="Verdana" w:cs="Times New Roman"/>
          <w:b w:val="0"/>
          <w:bCs w:val="0"/>
          <w:caps w:val="0"/>
          <w:color w:val="auto"/>
          <w:sz w:val="20"/>
          <w:szCs w:val="24"/>
          <w:lang w:val="es-ES" w:eastAsia="en-US"/>
        </w:rPr>
        <w:id w:val="-346952099"/>
        <w:docPartObj>
          <w:docPartGallery w:val="Table of Contents"/>
          <w:docPartUnique/>
        </w:docPartObj>
      </w:sdtPr>
      <w:sdtEndPr/>
      <w:sdtContent>
        <w:p w14:paraId="17975B8F" w14:textId="77777777" w:rsidR="00705991" w:rsidRPr="000F1805" w:rsidRDefault="00705991" w:rsidP="00705991">
          <w:pPr>
            <w:pStyle w:val="TtuloTDC"/>
            <w:rPr>
              <w:rFonts w:ascii="Verdana" w:hAnsi="Verdana"/>
            </w:rPr>
          </w:pPr>
        </w:p>
        <w:p w14:paraId="798C91C2" w14:textId="1318240A" w:rsidR="000F1805" w:rsidRPr="000F1805" w:rsidRDefault="00705991">
          <w:pPr>
            <w:pStyle w:val="TDC1"/>
            <w:rPr>
              <w:rFonts w:eastAsiaTheme="minorEastAsia" w:cstheme="minorBidi"/>
              <w:b w:val="0"/>
              <w:bCs w:val="0"/>
              <w:noProof/>
              <w:sz w:val="22"/>
              <w:szCs w:val="22"/>
              <w:lang w:val="fr-FR" w:eastAsia="fr-FR"/>
            </w:rPr>
          </w:pPr>
          <w:r w:rsidRPr="000F1805">
            <w:fldChar w:fldCharType="begin"/>
          </w:r>
          <w:r w:rsidRPr="000F1805">
            <w:instrText xml:space="preserve"> TOC \o "1-3" \h \z \u </w:instrText>
          </w:r>
          <w:r w:rsidRPr="000F1805">
            <w:fldChar w:fldCharType="separate"/>
          </w:r>
          <w:hyperlink w:anchor="_Toc59089806" w:history="1">
            <w:r w:rsidR="000F1805" w:rsidRPr="000F1805">
              <w:rPr>
                <w:rStyle w:val="Hipervnculo"/>
                <w:noProof/>
                <w:lang w:val="es-CR"/>
              </w:rPr>
              <w:t>I INTRODUCCIÓN DE LA CAUSA Y OBJETO DE LA CONTROVERSIA</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_Toc59089806 \h </w:instrText>
            </w:r>
            <w:r w:rsidR="000F1805" w:rsidRPr="000F1805">
              <w:rPr>
                <w:noProof/>
                <w:webHidden/>
              </w:rPr>
            </w:r>
            <w:r w:rsidR="000F1805" w:rsidRPr="000F1805">
              <w:rPr>
                <w:noProof/>
                <w:webHidden/>
              </w:rPr>
              <w:fldChar w:fldCharType="separate"/>
            </w:r>
            <w:r w:rsidR="000F1805" w:rsidRPr="000F1805">
              <w:rPr>
                <w:noProof/>
                <w:webHidden/>
              </w:rPr>
              <w:t>3</w:t>
            </w:r>
            <w:r w:rsidR="000F1805" w:rsidRPr="000F1805">
              <w:rPr>
                <w:noProof/>
                <w:webHidden/>
              </w:rPr>
              <w:fldChar w:fldCharType="end"/>
            </w:r>
          </w:hyperlink>
        </w:p>
        <w:p w14:paraId="20C0CA9F" w14:textId="73E8DFD0" w:rsidR="000F1805" w:rsidRPr="000F1805" w:rsidRDefault="00213D28">
          <w:pPr>
            <w:pStyle w:val="TDC1"/>
            <w:rPr>
              <w:rFonts w:eastAsiaTheme="minorEastAsia" w:cstheme="minorBidi"/>
              <w:b w:val="0"/>
              <w:bCs w:val="0"/>
              <w:noProof/>
              <w:sz w:val="22"/>
              <w:szCs w:val="22"/>
              <w:lang w:val="fr-FR" w:eastAsia="fr-FR"/>
            </w:rPr>
          </w:pPr>
          <w:hyperlink w:anchor="_Toc59089807" w:history="1">
            <w:r w:rsidR="000F1805" w:rsidRPr="000F1805">
              <w:rPr>
                <w:rStyle w:val="Hipervnculo"/>
                <w:noProof/>
                <w:lang w:val="es-ES"/>
              </w:rPr>
              <w:t>II PROCEDIMIENTO ANTE LA CORTE</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_Toc59089807 \h </w:instrText>
            </w:r>
            <w:r w:rsidR="000F1805" w:rsidRPr="000F1805">
              <w:rPr>
                <w:noProof/>
                <w:webHidden/>
              </w:rPr>
            </w:r>
            <w:r w:rsidR="000F1805" w:rsidRPr="000F1805">
              <w:rPr>
                <w:noProof/>
                <w:webHidden/>
              </w:rPr>
              <w:fldChar w:fldCharType="separate"/>
            </w:r>
            <w:r w:rsidR="000F1805" w:rsidRPr="000F1805">
              <w:rPr>
                <w:noProof/>
                <w:webHidden/>
              </w:rPr>
              <w:t>4</w:t>
            </w:r>
            <w:r w:rsidR="000F1805" w:rsidRPr="000F1805">
              <w:rPr>
                <w:noProof/>
                <w:webHidden/>
              </w:rPr>
              <w:fldChar w:fldCharType="end"/>
            </w:r>
          </w:hyperlink>
        </w:p>
        <w:p w14:paraId="1F29F514" w14:textId="7C26A276" w:rsidR="000F1805" w:rsidRPr="000F1805" w:rsidRDefault="00213D28">
          <w:pPr>
            <w:pStyle w:val="TDC1"/>
            <w:rPr>
              <w:rFonts w:eastAsiaTheme="minorEastAsia" w:cstheme="minorBidi"/>
              <w:b w:val="0"/>
              <w:bCs w:val="0"/>
              <w:noProof/>
              <w:sz w:val="22"/>
              <w:szCs w:val="22"/>
              <w:lang w:val="fr-FR" w:eastAsia="fr-FR"/>
            </w:rPr>
          </w:pPr>
          <w:hyperlink w:anchor="_Toc59089808" w:history="1">
            <w:r w:rsidR="000F1805" w:rsidRPr="000F1805">
              <w:rPr>
                <w:rStyle w:val="Hipervnculo"/>
                <w:noProof/>
                <w:snapToGrid w:val="0"/>
                <w:lang w:val="es-ES"/>
              </w:rPr>
              <w:t>III COMPETENCIA</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_Toc59089808 \h </w:instrText>
            </w:r>
            <w:r w:rsidR="000F1805" w:rsidRPr="000F1805">
              <w:rPr>
                <w:noProof/>
                <w:webHidden/>
              </w:rPr>
            </w:r>
            <w:r w:rsidR="000F1805" w:rsidRPr="000F1805">
              <w:rPr>
                <w:noProof/>
                <w:webHidden/>
              </w:rPr>
              <w:fldChar w:fldCharType="separate"/>
            </w:r>
            <w:r w:rsidR="000F1805" w:rsidRPr="000F1805">
              <w:rPr>
                <w:noProof/>
                <w:webHidden/>
              </w:rPr>
              <w:t>5</w:t>
            </w:r>
            <w:r w:rsidR="000F1805" w:rsidRPr="000F1805">
              <w:rPr>
                <w:noProof/>
                <w:webHidden/>
              </w:rPr>
              <w:fldChar w:fldCharType="end"/>
            </w:r>
          </w:hyperlink>
        </w:p>
        <w:p w14:paraId="27ABC666" w14:textId="692ADD0C" w:rsidR="000F1805" w:rsidRPr="000F1805" w:rsidRDefault="00213D28">
          <w:pPr>
            <w:pStyle w:val="TDC1"/>
            <w:rPr>
              <w:rFonts w:eastAsiaTheme="minorEastAsia" w:cstheme="minorBidi"/>
              <w:b w:val="0"/>
              <w:bCs w:val="0"/>
              <w:noProof/>
              <w:sz w:val="22"/>
              <w:szCs w:val="22"/>
              <w:lang w:val="fr-FR" w:eastAsia="fr-FR"/>
            </w:rPr>
          </w:pPr>
          <w:hyperlink w:anchor="_Toc59089809" w:history="1">
            <w:r w:rsidR="000F1805" w:rsidRPr="000F1805">
              <w:rPr>
                <w:rStyle w:val="Hipervnculo"/>
                <w:noProof/>
                <w:lang w:val="es-ES"/>
              </w:rPr>
              <w:t xml:space="preserve">IV RECONOCIMIENTO DE </w:t>
            </w:r>
            <w:r w:rsidR="000F1805" w:rsidRPr="000F1805">
              <w:rPr>
                <w:rStyle w:val="Hipervnculo"/>
                <w:noProof/>
              </w:rPr>
              <w:t>RESPONSABILIDAD</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_Toc59089809 \h </w:instrText>
            </w:r>
            <w:r w:rsidR="000F1805" w:rsidRPr="000F1805">
              <w:rPr>
                <w:noProof/>
                <w:webHidden/>
              </w:rPr>
            </w:r>
            <w:r w:rsidR="000F1805" w:rsidRPr="000F1805">
              <w:rPr>
                <w:noProof/>
                <w:webHidden/>
              </w:rPr>
              <w:fldChar w:fldCharType="separate"/>
            </w:r>
            <w:r w:rsidR="000F1805" w:rsidRPr="000F1805">
              <w:rPr>
                <w:noProof/>
                <w:webHidden/>
              </w:rPr>
              <w:t>5</w:t>
            </w:r>
            <w:r w:rsidR="000F1805" w:rsidRPr="000F1805">
              <w:rPr>
                <w:noProof/>
                <w:webHidden/>
              </w:rPr>
              <w:fldChar w:fldCharType="end"/>
            </w:r>
          </w:hyperlink>
        </w:p>
        <w:p w14:paraId="03E7117F" w14:textId="6C8C05A2"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10" w:history="1">
            <w:r w:rsidR="000F1805" w:rsidRPr="000F1805">
              <w:rPr>
                <w:rStyle w:val="Hipervnculo"/>
                <w:rFonts w:ascii="Verdana" w:hAnsi="Verdana"/>
                <w:noProof/>
                <w:lang w:val="es-ES"/>
              </w:rPr>
              <w:t>A.</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lang w:val="es-ES"/>
              </w:rPr>
              <w:t>Reconocimiento por parte del Estado, observaciones de las partes y de la Comisión</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_Toc59089810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5</w:t>
            </w:r>
            <w:r w:rsidR="000F1805" w:rsidRPr="000F1805">
              <w:rPr>
                <w:rFonts w:ascii="Verdana" w:hAnsi="Verdana"/>
                <w:noProof/>
                <w:webHidden/>
              </w:rPr>
              <w:fldChar w:fldCharType="end"/>
            </w:r>
          </w:hyperlink>
        </w:p>
        <w:p w14:paraId="5296F1D4" w14:textId="616260BB"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11" w:history="1">
            <w:r w:rsidR="000F1805" w:rsidRPr="000F1805">
              <w:rPr>
                <w:rStyle w:val="Hipervnculo"/>
                <w:rFonts w:ascii="Verdana" w:hAnsi="Verdana"/>
                <w:noProof/>
                <w:lang w:val="es-ES"/>
              </w:rPr>
              <w:t>B.</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lang w:val="es-ES"/>
              </w:rPr>
              <w:t>Consideraciones de la Corte</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_Toc59089811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6</w:t>
            </w:r>
            <w:r w:rsidR="000F1805" w:rsidRPr="000F1805">
              <w:rPr>
                <w:rFonts w:ascii="Verdana" w:hAnsi="Verdana"/>
                <w:noProof/>
                <w:webHidden/>
              </w:rPr>
              <w:fldChar w:fldCharType="end"/>
            </w:r>
          </w:hyperlink>
        </w:p>
        <w:p w14:paraId="03C830CE" w14:textId="7EB6CB24" w:rsidR="000F1805" w:rsidRPr="000F1805" w:rsidRDefault="00213D28">
          <w:pPr>
            <w:pStyle w:val="TDC3"/>
            <w:tabs>
              <w:tab w:val="right" w:leader="dot" w:pos="9394"/>
            </w:tabs>
            <w:rPr>
              <w:rFonts w:ascii="Verdana" w:eastAsiaTheme="minorEastAsia" w:hAnsi="Verdana" w:cstheme="minorBidi"/>
              <w:noProof/>
              <w:sz w:val="22"/>
              <w:szCs w:val="22"/>
              <w:lang w:val="fr-FR" w:eastAsia="fr-FR"/>
            </w:rPr>
          </w:pPr>
          <w:hyperlink w:anchor="_Toc59089812" w:history="1">
            <w:r w:rsidR="000F1805" w:rsidRPr="000F1805">
              <w:rPr>
                <w:rStyle w:val="Hipervnculo"/>
                <w:rFonts w:ascii="Verdana" w:hAnsi="Verdana"/>
                <w:noProof/>
                <w:lang w:val="es-ES"/>
              </w:rPr>
              <w:t>B.1. En cuanto a los hechos</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_Toc59089812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6</w:t>
            </w:r>
            <w:r w:rsidR="000F1805" w:rsidRPr="000F1805">
              <w:rPr>
                <w:rFonts w:ascii="Verdana" w:hAnsi="Verdana"/>
                <w:noProof/>
                <w:webHidden/>
              </w:rPr>
              <w:fldChar w:fldCharType="end"/>
            </w:r>
          </w:hyperlink>
        </w:p>
        <w:p w14:paraId="3204F9B2" w14:textId="1ABCE7D9" w:rsidR="000F1805" w:rsidRPr="000F1805" w:rsidRDefault="00213D28">
          <w:pPr>
            <w:pStyle w:val="TDC3"/>
            <w:tabs>
              <w:tab w:val="right" w:leader="dot" w:pos="9394"/>
            </w:tabs>
            <w:rPr>
              <w:rFonts w:ascii="Verdana" w:eastAsiaTheme="minorEastAsia" w:hAnsi="Verdana" w:cstheme="minorBidi"/>
              <w:noProof/>
              <w:sz w:val="22"/>
              <w:szCs w:val="22"/>
              <w:lang w:val="fr-FR" w:eastAsia="fr-FR"/>
            </w:rPr>
          </w:pPr>
          <w:hyperlink w:anchor="_Toc59089813" w:history="1">
            <w:r w:rsidR="000F1805" w:rsidRPr="000F1805">
              <w:rPr>
                <w:rStyle w:val="Hipervnculo"/>
                <w:rFonts w:ascii="Verdana" w:hAnsi="Verdana"/>
                <w:noProof/>
                <w:lang w:eastAsia="es-MX"/>
              </w:rPr>
              <w:t>B.2. En cuanto a las pretensiones de derecho</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_Toc59089813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6</w:t>
            </w:r>
            <w:r w:rsidR="000F1805" w:rsidRPr="000F1805">
              <w:rPr>
                <w:rFonts w:ascii="Verdana" w:hAnsi="Verdana"/>
                <w:noProof/>
                <w:webHidden/>
              </w:rPr>
              <w:fldChar w:fldCharType="end"/>
            </w:r>
          </w:hyperlink>
        </w:p>
        <w:p w14:paraId="03EBF79C" w14:textId="6B092024" w:rsidR="000F1805" w:rsidRPr="000F1805" w:rsidRDefault="00213D28">
          <w:pPr>
            <w:pStyle w:val="TDC3"/>
            <w:tabs>
              <w:tab w:val="right" w:leader="dot" w:pos="9394"/>
            </w:tabs>
            <w:rPr>
              <w:rFonts w:ascii="Verdana" w:eastAsiaTheme="minorEastAsia" w:hAnsi="Verdana" w:cstheme="minorBidi"/>
              <w:noProof/>
              <w:sz w:val="22"/>
              <w:szCs w:val="22"/>
              <w:lang w:val="fr-FR" w:eastAsia="fr-FR"/>
            </w:rPr>
          </w:pPr>
          <w:hyperlink w:anchor="_Toc59089814" w:history="1">
            <w:r w:rsidR="000F1805" w:rsidRPr="000F1805">
              <w:rPr>
                <w:rStyle w:val="Hipervnculo"/>
                <w:rFonts w:ascii="Verdana" w:hAnsi="Verdana"/>
                <w:noProof/>
                <w:lang w:eastAsia="es-MX"/>
              </w:rPr>
              <w:t>B.3. En cuanto a las reparaciones</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_Toc59089814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6</w:t>
            </w:r>
            <w:r w:rsidR="000F1805" w:rsidRPr="000F1805">
              <w:rPr>
                <w:rFonts w:ascii="Verdana" w:hAnsi="Verdana"/>
                <w:noProof/>
                <w:webHidden/>
              </w:rPr>
              <w:fldChar w:fldCharType="end"/>
            </w:r>
          </w:hyperlink>
        </w:p>
        <w:p w14:paraId="0E86DC43" w14:textId="024F8CF4" w:rsidR="000F1805" w:rsidRPr="000F1805" w:rsidRDefault="00213D28">
          <w:pPr>
            <w:pStyle w:val="TDC3"/>
            <w:tabs>
              <w:tab w:val="right" w:leader="dot" w:pos="9394"/>
            </w:tabs>
            <w:rPr>
              <w:rFonts w:ascii="Verdana" w:eastAsiaTheme="minorEastAsia" w:hAnsi="Verdana" w:cstheme="minorBidi"/>
              <w:noProof/>
              <w:sz w:val="22"/>
              <w:szCs w:val="22"/>
              <w:lang w:val="fr-FR" w:eastAsia="fr-FR"/>
            </w:rPr>
          </w:pPr>
          <w:hyperlink w:anchor="_Toc59089815" w:history="1">
            <w:r w:rsidR="000F1805" w:rsidRPr="000F1805">
              <w:rPr>
                <w:rStyle w:val="Hipervnculo"/>
                <w:rFonts w:ascii="Verdana" w:hAnsi="Verdana"/>
                <w:noProof/>
                <w:lang w:eastAsia="es-MX"/>
              </w:rPr>
              <w:t>B.4. Valoración del reconocimiento de responsabilidad</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_Toc59089815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7</w:t>
            </w:r>
            <w:r w:rsidR="000F1805" w:rsidRPr="000F1805">
              <w:rPr>
                <w:rFonts w:ascii="Verdana" w:hAnsi="Verdana"/>
                <w:noProof/>
                <w:webHidden/>
              </w:rPr>
              <w:fldChar w:fldCharType="end"/>
            </w:r>
          </w:hyperlink>
        </w:p>
        <w:p w14:paraId="66BCBFD8" w14:textId="12AB88EB" w:rsidR="000F1805" w:rsidRPr="000F1805" w:rsidRDefault="00213D28">
          <w:pPr>
            <w:pStyle w:val="TDC1"/>
            <w:rPr>
              <w:rFonts w:eastAsiaTheme="minorEastAsia" w:cstheme="minorBidi"/>
              <w:b w:val="0"/>
              <w:bCs w:val="0"/>
              <w:noProof/>
              <w:sz w:val="22"/>
              <w:szCs w:val="22"/>
              <w:lang w:val="fr-FR" w:eastAsia="fr-FR"/>
            </w:rPr>
          </w:pPr>
          <w:hyperlink w:anchor="_Toc59089816" w:history="1">
            <w:r w:rsidR="000F1805" w:rsidRPr="000F1805">
              <w:rPr>
                <w:rStyle w:val="Hipervnculo"/>
                <w:noProof/>
                <w:lang w:val="es-ES"/>
              </w:rPr>
              <w:t>V Prueba</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_Toc59089816 \h </w:instrText>
            </w:r>
            <w:r w:rsidR="000F1805" w:rsidRPr="000F1805">
              <w:rPr>
                <w:noProof/>
                <w:webHidden/>
              </w:rPr>
            </w:r>
            <w:r w:rsidR="000F1805" w:rsidRPr="000F1805">
              <w:rPr>
                <w:noProof/>
                <w:webHidden/>
              </w:rPr>
              <w:fldChar w:fldCharType="separate"/>
            </w:r>
            <w:r w:rsidR="000F1805" w:rsidRPr="000F1805">
              <w:rPr>
                <w:noProof/>
                <w:webHidden/>
              </w:rPr>
              <w:t>7</w:t>
            </w:r>
            <w:r w:rsidR="000F1805" w:rsidRPr="000F1805">
              <w:rPr>
                <w:noProof/>
                <w:webHidden/>
              </w:rPr>
              <w:fldChar w:fldCharType="end"/>
            </w:r>
          </w:hyperlink>
        </w:p>
        <w:p w14:paraId="7218A293" w14:textId="0263C3F8"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17" w:history="1">
            <w:r w:rsidR="000F1805" w:rsidRPr="000F1805">
              <w:rPr>
                <w:rStyle w:val="Hipervnculo"/>
                <w:rFonts w:ascii="Verdana" w:hAnsi="Verdana"/>
                <w:noProof/>
              </w:rPr>
              <w:t>A.</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rPr>
              <w:t>Admisibilidad de la prueba documental</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_Toc59089817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7</w:t>
            </w:r>
            <w:r w:rsidR="000F1805" w:rsidRPr="000F1805">
              <w:rPr>
                <w:rFonts w:ascii="Verdana" w:hAnsi="Verdana"/>
                <w:noProof/>
                <w:webHidden/>
              </w:rPr>
              <w:fldChar w:fldCharType="end"/>
            </w:r>
          </w:hyperlink>
        </w:p>
        <w:p w14:paraId="3621CAD4" w14:textId="400EBD9C"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18" w:history="1">
            <w:r w:rsidR="000F1805" w:rsidRPr="000F1805">
              <w:rPr>
                <w:rStyle w:val="Hipervnculo"/>
                <w:rFonts w:ascii="Verdana" w:hAnsi="Verdana"/>
                <w:noProof/>
              </w:rPr>
              <w:t>B. Admisibilidad de la prueba testimonial y pericial</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_Toc59089818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8</w:t>
            </w:r>
            <w:r w:rsidR="000F1805" w:rsidRPr="000F1805">
              <w:rPr>
                <w:rFonts w:ascii="Verdana" w:hAnsi="Verdana"/>
                <w:noProof/>
                <w:webHidden/>
              </w:rPr>
              <w:fldChar w:fldCharType="end"/>
            </w:r>
          </w:hyperlink>
        </w:p>
        <w:p w14:paraId="496EF05F" w14:textId="4985509F" w:rsidR="000F1805" w:rsidRPr="000F1805" w:rsidRDefault="00213D28">
          <w:pPr>
            <w:pStyle w:val="TDC1"/>
            <w:rPr>
              <w:rFonts w:eastAsiaTheme="minorEastAsia" w:cstheme="minorBidi"/>
              <w:b w:val="0"/>
              <w:bCs w:val="0"/>
              <w:noProof/>
              <w:sz w:val="22"/>
              <w:szCs w:val="22"/>
              <w:lang w:val="fr-FR" w:eastAsia="fr-FR"/>
            </w:rPr>
          </w:pPr>
          <w:hyperlink w:anchor="_Toc59089819" w:history="1">
            <w:r w:rsidR="000F1805" w:rsidRPr="000F1805">
              <w:rPr>
                <w:rStyle w:val="Hipervnculo"/>
                <w:noProof/>
                <w:lang w:val="es-ES"/>
              </w:rPr>
              <w:t>VI HECHOS</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_Toc59089819 \h </w:instrText>
            </w:r>
            <w:r w:rsidR="000F1805" w:rsidRPr="000F1805">
              <w:rPr>
                <w:noProof/>
                <w:webHidden/>
              </w:rPr>
            </w:r>
            <w:r w:rsidR="000F1805" w:rsidRPr="000F1805">
              <w:rPr>
                <w:noProof/>
                <w:webHidden/>
              </w:rPr>
              <w:fldChar w:fldCharType="separate"/>
            </w:r>
            <w:r w:rsidR="000F1805" w:rsidRPr="000F1805">
              <w:rPr>
                <w:noProof/>
                <w:webHidden/>
              </w:rPr>
              <w:t>8</w:t>
            </w:r>
            <w:r w:rsidR="000F1805" w:rsidRPr="000F1805">
              <w:rPr>
                <w:noProof/>
                <w:webHidden/>
              </w:rPr>
              <w:fldChar w:fldCharType="end"/>
            </w:r>
          </w:hyperlink>
        </w:p>
        <w:p w14:paraId="40083FAF" w14:textId="20E5BAAB"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20" w:history="1">
            <w:r w:rsidR="000F1805" w:rsidRPr="000F1805">
              <w:rPr>
                <w:rStyle w:val="Hipervnculo"/>
                <w:rFonts w:ascii="Verdana" w:hAnsi="Verdana"/>
                <w:noProof/>
                <w:lang w:val="es-ES"/>
              </w:rPr>
              <w:t>A.</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lang w:val="es-ES"/>
              </w:rPr>
              <w:t>El régimen de reparaciones por violaciones a los derechos humanos durante la dictadura en Argentina</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_Toc59089820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8</w:t>
            </w:r>
            <w:r w:rsidR="000F1805" w:rsidRPr="000F1805">
              <w:rPr>
                <w:rFonts w:ascii="Verdana" w:hAnsi="Verdana"/>
                <w:noProof/>
                <w:webHidden/>
              </w:rPr>
              <w:fldChar w:fldCharType="end"/>
            </w:r>
          </w:hyperlink>
        </w:p>
        <w:p w14:paraId="177FE7E1" w14:textId="730CC2E7"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21" w:history="1">
            <w:r w:rsidR="000F1805" w:rsidRPr="000F1805">
              <w:rPr>
                <w:rStyle w:val="Hipervnculo"/>
                <w:rFonts w:ascii="Verdana" w:hAnsi="Verdana"/>
                <w:noProof/>
                <w:lang w:val="es-ES"/>
              </w:rPr>
              <w:t>B.</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lang w:val="es-ES"/>
              </w:rPr>
              <w:t>Los hechos ocurridos al señor Almeida durante la época de la dictadura</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_Toc59089821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11</w:t>
            </w:r>
            <w:r w:rsidR="000F1805" w:rsidRPr="000F1805">
              <w:rPr>
                <w:rFonts w:ascii="Verdana" w:hAnsi="Verdana"/>
                <w:noProof/>
                <w:webHidden/>
              </w:rPr>
              <w:fldChar w:fldCharType="end"/>
            </w:r>
          </w:hyperlink>
        </w:p>
        <w:p w14:paraId="20EF6B45" w14:textId="2BCD843D"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22" w:history="1">
            <w:r w:rsidR="000F1805" w:rsidRPr="000F1805">
              <w:rPr>
                <w:rStyle w:val="Hipervnculo"/>
                <w:rFonts w:ascii="Verdana" w:hAnsi="Verdana"/>
                <w:noProof/>
                <w:lang w:val="es-ES"/>
              </w:rPr>
              <w:t>C.</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lang w:val="es-ES"/>
              </w:rPr>
              <w:t>El procedimiento de solicitud de reparación del señor Almeida en el ámbito interno</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_Toc59089822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11</w:t>
            </w:r>
            <w:r w:rsidR="000F1805" w:rsidRPr="000F1805">
              <w:rPr>
                <w:rFonts w:ascii="Verdana" w:hAnsi="Verdana"/>
                <w:noProof/>
                <w:webHidden/>
              </w:rPr>
              <w:fldChar w:fldCharType="end"/>
            </w:r>
          </w:hyperlink>
        </w:p>
        <w:p w14:paraId="1BF30950" w14:textId="7FD91051" w:rsidR="000F1805" w:rsidRPr="000F1805" w:rsidRDefault="00213D28">
          <w:pPr>
            <w:pStyle w:val="TDC1"/>
            <w:rPr>
              <w:rFonts w:eastAsiaTheme="minorEastAsia" w:cstheme="minorBidi"/>
              <w:b w:val="0"/>
              <w:bCs w:val="0"/>
              <w:noProof/>
              <w:sz w:val="22"/>
              <w:szCs w:val="22"/>
              <w:lang w:val="fr-FR" w:eastAsia="fr-FR"/>
            </w:rPr>
          </w:pPr>
          <w:hyperlink w:anchor="_Toc59089823" w:history="1">
            <w:r w:rsidR="000F1805" w:rsidRPr="000F1805">
              <w:rPr>
                <w:rStyle w:val="Hipervnculo"/>
                <w:rFonts w:eastAsiaTheme="majorEastAsia" w:cstheme="majorBidi"/>
                <w:caps/>
                <w:noProof/>
                <w:lang w:val="es-ES"/>
              </w:rPr>
              <w:t>VII FONDO</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_Toc59089823 \h </w:instrText>
            </w:r>
            <w:r w:rsidR="000F1805" w:rsidRPr="000F1805">
              <w:rPr>
                <w:noProof/>
                <w:webHidden/>
              </w:rPr>
            </w:r>
            <w:r w:rsidR="000F1805" w:rsidRPr="000F1805">
              <w:rPr>
                <w:noProof/>
                <w:webHidden/>
              </w:rPr>
              <w:fldChar w:fldCharType="separate"/>
            </w:r>
            <w:r w:rsidR="000F1805" w:rsidRPr="000F1805">
              <w:rPr>
                <w:noProof/>
                <w:webHidden/>
              </w:rPr>
              <w:t>14</w:t>
            </w:r>
            <w:r w:rsidR="000F1805" w:rsidRPr="000F1805">
              <w:rPr>
                <w:noProof/>
                <w:webHidden/>
              </w:rPr>
              <w:fldChar w:fldCharType="end"/>
            </w:r>
          </w:hyperlink>
        </w:p>
        <w:p w14:paraId="55B91455" w14:textId="37899D98" w:rsidR="000F1805" w:rsidRPr="000F1805" w:rsidRDefault="00213D28">
          <w:pPr>
            <w:pStyle w:val="TDC1"/>
            <w:rPr>
              <w:rFonts w:eastAsiaTheme="minorEastAsia" w:cstheme="minorBidi"/>
              <w:b w:val="0"/>
              <w:bCs w:val="0"/>
              <w:noProof/>
              <w:sz w:val="22"/>
              <w:szCs w:val="22"/>
              <w:lang w:val="fr-FR" w:eastAsia="fr-FR"/>
            </w:rPr>
          </w:pPr>
          <w:hyperlink w:anchor="_Toc59089824" w:history="1">
            <w:r w:rsidR="000F1805">
              <w:rPr>
                <w:rStyle w:val="Hipervnculo"/>
                <w:noProof/>
                <w:lang w:val="es-ES"/>
              </w:rPr>
              <w:t xml:space="preserve">VII-1 DERECHO </w:t>
            </w:r>
            <w:r w:rsidR="000F1805" w:rsidRPr="000F1805">
              <w:rPr>
                <w:rStyle w:val="Hipervnculo"/>
                <w:noProof/>
                <w:lang w:val="es-ES"/>
              </w:rPr>
              <w:t>A LAS GARANTÍAS JUDICIALES, IGUALDAD ANTE LA LEY, PROTECCIÓN JUDICIAL EN RELACIÓN CON LAS OBLIGACIONES DE RESPETAR Y GARANTIZAR LOS DERECHOS Y EL DEBER DE ADOPTAR MEDIDAS DE DERECHO INTERNO</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_Toc59089824 \h </w:instrText>
            </w:r>
            <w:r w:rsidR="000F1805" w:rsidRPr="000F1805">
              <w:rPr>
                <w:noProof/>
                <w:webHidden/>
              </w:rPr>
            </w:r>
            <w:r w:rsidR="000F1805" w:rsidRPr="000F1805">
              <w:rPr>
                <w:noProof/>
                <w:webHidden/>
              </w:rPr>
              <w:fldChar w:fldCharType="separate"/>
            </w:r>
            <w:r w:rsidR="000F1805" w:rsidRPr="000F1805">
              <w:rPr>
                <w:noProof/>
                <w:webHidden/>
              </w:rPr>
              <w:t>14</w:t>
            </w:r>
            <w:r w:rsidR="000F1805" w:rsidRPr="000F1805">
              <w:rPr>
                <w:noProof/>
                <w:webHidden/>
              </w:rPr>
              <w:fldChar w:fldCharType="end"/>
            </w:r>
          </w:hyperlink>
        </w:p>
        <w:p w14:paraId="384DEBA7" w14:textId="075518C0"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25" w:history="1">
            <w:r w:rsidR="000F1805" w:rsidRPr="000F1805">
              <w:rPr>
                <w:rStyle w:val="Hipervnculo"/>
                <w:rFonts w:ascii="Verdana" w:eastAsiaTheme="majorEastAsia" w:hAnsi="Verdana"/>
                <w:noProof/>
                <w:lang w:eastAsia="es-ES"/>
              </w:rPr>
              <w:t>A.</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eastAsiaTheme="majorEastAsia" w:hAnsi="Verdana"/>
                <w:noProof/>
                <w:lang w:eastAsia="es-ES"/>
              </w:rPr>
              <w:t>Argumentos de las partes y de la Comisión</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_Toc59089825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14</w:t>
            </w:r>
            <w:r w:rsidR="000F1805" w:rsidRPr="000F1805">
              <w:rPr>
                <w:rFonts w:ascii="Verdana" w:hAnsi="Verdana"/>
                <w:noProof/>
                <w:webHidden/>
              </w:rPr>
              <w:fldChar w:fldCharType="end"/>
            </w:r>
          </w:hyperlink>
        </w:p>
        <w:p w14:paraId="2056394A" w14:textId="30E81D59"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26" w:history="1">
            <w:r w:rsidR="000F1805" w:rsidRPr="000F1805">
              <w:rPr>
                <w:rStyle w:val="Hipervnculo"/>
                <w:rFonts w:ascii="Verdana" w:eastAsia="Batang" w:hAnsi="Verdana"/>
                <w:noProof/>
                <w:lang w:eastAsia="es-MX"/>
              </w:rPr>
              <w:t>B. Consideraciones de la Corte</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_Toc59089826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15</w:t>
            </w:r>
            <w:r w:rsidR="000F1805" w:rsidRPr="000F1805">
              <w:rPr>
                <w:rFonts w:ascii="Verdana" w:hAnsi="Verdana"/>
                <w:noProof/>
                <w:webHidden/>
              </w:rPr>
              <w:fldChar w:fldCharType="end"/>
            </w:r>
          </w:hyperlink>
        </w:p>
        <w:p w14:paraId="26E09AA2" w14:textId="6291474E" w:rsidR="000F1805" w:rsidRPr="000F1805" w:rsidRDefault="00213D28">
          <w:pPr>
            <w:pStyle w:val="TDC1"/>
            <w:rPr>
              <w:rFonts w:eastAsiaTheme="minorEastAsia" w:cstheme="minorBidi"/>
              <w:b w:val="0"/>
              <w:bCs w:val="0"/>
              <w:noProof/>
              <w:sz w:val="22"/>
              <w:szCs w:val="22"/>
              <w:lang w:val="fr-FR" w:eastAsia="fr-FR"/>
            </w:rPr>
          </w:pPr>
          <w:hyperlink w:anchor="_Toc59089827" w:history="1">
            <w:r w:rsidR="000F1805" w:rsidRPr="000F1805">
              <w:rPr>
                <w:rStyle w:val="Hipervnculo"/>
                <w:rFonts w:eastAsiaTheme="majorEastAsia" w:cstheme="majorBidi"/>
                <w:caps/>
                <w:noProof/>
                <w:lang w:val="es-ES"/>
              </w:rPr>
              <w:t>VIII REPARACIONES</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_Toc59089827 \h </w:instrText>
            </w:r>
            <w:r w:rsidR="000F1805" w:rsidRPr="000F1805">
              <w:rPr>
                <w:noProof/>
                <w:webHidden/>
              </w:rPr>
            </w:r>
            <w:r w:rsidR="000F1805" w:rsidRPr="000F1805">
              <w:rPr>
                <w:noProof/>
                <w:webHidden/>
              </w:rPr>
              <w:fldChar w:fldCharType="separate"/>
            </w:r>
            <w:r w:rsidR="000F1805" w:rsidRPr="000F1805">
              <w:rPr>
                <w:noProof/>
                <w:webHidden/>
              </w:rPr>
              <w:t>17</w:t>
            </w:r>
            <w:r w:rsidR="000F1805" w:rsidRPr="000F1805">
              <w:rPr>
                <w:noProof/>
                <w:webHidden/>
              </w:rPr>
              <w:fldChar w:fldCharType="end"/>
            </w:r>
          </w:hyperlink>
        </w:p>
        <w:p w14:paraId="11990F06" w14:textId="45287F03"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28" w:history="1">
            <w:r w:rsidR="000F1805" w:rsidRPr="000F1805">
              <w:rPr>
                <w:rStyle w:val="Hipervnculo"/>
                <w:rFonts w:ascii="Verdana" w:hAnsi="Verdana"/>
                <w:noProof/>
              </w:rPr>
              <w:t>A.</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rPr>
              <w:t>Parte Lesionada</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_Toc59089828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18</w:t>
            </w:r>
            <w:r w:rsidR="000F1805" w:rsidRPr="000F1805">
              <w:rPr>
                <w:rFonts w:ascii="Verdana" w:hAnsi="Verdana"/>
                <w:noProof/>
                <w:webHidden/>
              </w:rPr>
              <w:fldChar w:fldCharType="end"/>
            </w:r>
          </w:hyperlink>
        </w:p>
        <w:p w14:paraId="37E2084F" w14:textId="493E9F1E"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29" w:history="1">
            <w:r w:rsidR="000F1805" w:rsidRPr="000F1805">
              <w:rPr>
                <w:rStyle w:val="Hipervnculo"/>
                <w:rFonts w:ascii="Verdana" w:hAnsi="Verdana"/>
                <w:noProof/>
              </w:rPr>
              <w:t>B.</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rPr>
              <w:t>Medidas de restitución</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_Toc59089829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18</w:t>
            </w:r>
            <w:r w:rsidR="000F1805" w:rsidRPr="000F1805">
              <w:rPr>
                <w:rFonts w:ascii="Verdana" w:hAnsi="Verdana"/>
                <w:noProof/>
                <w:webHidden/>
              </w:rPr>
              <w:fldChar w:fldCharType="end"/>
            </w:r>
          </w:hyperlink>
        </w:p>
        <w:p w14:paraId="7565A233" w14:textId="5AA26E93"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30" w:history="1">
            <w:r w:rsidR="000F1805" w:rsidRPr="000F1805">
              <w:rPr>
                <w:rStyle w:val="Hipervnculo"/>
                <w:rFonts w:ascii="Verdana" w:hAnsi="Verdana"/>
                <w:noProof/>
              </w:rPr>
              <w:t>C. Medidas de satisfacción</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_Toc59089830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19</w:t>
            </w:r>
            <w:r w:rsidR="000F1805" w:rsidRPr="000F1805">
              <w:rPr>
                <w:rFonts w:ascii="Verdana" w:hAnsi="Verdana"/>
                <w:noProof/>
                <w:webHidden/>
              </w:rPr>
              <w:fldChar w:fldCharType="end"/>
            </w:r>
          </w:hyperlink>
        </w:p>
        <w:p w14:paraId="570C871F" w14:textId="7BFEEB97"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31" w:history="1">
            <w:r w:rsidR="000F1805" w:rsidRPr="000F1805">
              <w:rPr>
                <w:rStyle w:val="Hipervnculo"/>
                <w:rFonts w:ascii="Verdana" w:hAnsi="Verdana"/>
                <w:noProof/>
                <w:lang w:eastAsia="es-MX"/>
              </w:rPr>
              <w:t>D.</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lang w:eastAsia="es-MX"/>
              </w:rPr>
              <w:t>Garantías de no repetición</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_Toc59089831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19</w:t>
            </w:r>
            <w:r w:rsidR="000F1805" w:rsidRPr="000F1805">
              <w:rPr>
                <w:rFonts w:ascii="Verdana" w:hAnsi="Verdana"/>
                <w:noProof/>
                <w:webHidden/>
              </w:rPr>
              <w:fldChar w:fldCharType="end"/>
            </w:r>
          </w:hyperlink>
        </w:p>
        <w:p w14:paraId="16A88F33" w14:textId="6F5E45ED"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32" w:history="1">
            <w:r w:rsidR="000F1805" w:rsidRPr="000F1805">
              <w:rPr>
                <w:rStyle w:val="Hipervnculo"/>
                <w:rFonts w:ascii="Verdana" w:hAnsi="Verdana"/>
                <w:noProof/>
              </w:rPr>
              <w:t>E.</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rPr>
              <w:t>Otras medidas solicitadas</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_Toc59089832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20</w:t>
            </w:r>
            <w:r w:rsidR="000F1805" w:rsidRPr="000F1805">
              <w:rPr>
                <w:rFonts w:ascii="Verdana" w:hAnsi="Verdana"/>
                <w:noProof/>
                <w:webHidden/>
              </w:rPr>
              <w:fldChar w:fldCharType="end"/>
            </w:r>
          </w:hyperlink>
        </w:p>
        <w:p w14:paraId="5B8A5052" w14:textId="4D8CB4CC"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33" w:history="1">
            <w:r w:rsidR="000F1805" w:rsidRPr="000F1805">
              <w:rPr>
                <w:rStyle w:val="Hipervnculo"/>
                <w:rFonts w:ascii="Verdana" w:hAnsi="Verdana"/>
                <w:noProof/>
              </w:rPr>
              <w:t>F.</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rPr>
              <w:t>Indemnizaciones compensatorias</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_Toc59089833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21</w:t>
            </w:r>
            <w:r w:rsidR="000F1805" w:rsidRPr="000F1805">
              <w:rPr>
                <w:rFonts w:ascii="Verdana" w:hAnsi="Verdana"/>
                <w:noProof/>
                <w:webHidden/>
              </w:rPr>
              <w:fldChar w:fldCharType="end"/>
            </w:r>
          </w:hyperlink>
        </w:p>
        <w:p w14:paraId="64384DDA" w14:textId="7BBE132E" w:rsidR="000F1805" w:rsidRPr="000F1805" w:rsidRDefault="00213D28">
          <w:pPr>
            <w:pStyle w:val="TDC3"/>
            <w:tabs>
              <w:tab w:val="right" w:leader="dot" w:pos="9394"/>
            </w:tabs>
            <w:rPr>
              <w:rFonts w:ascii="Verdana" w:eastAsiaTheme="minorEastAsia" w:hAnsi="Verdana" w:cstheme="minorBidi"/>
              <w:noProof/>
              <w:sz w:val="22"/>
              <w:szCs w:val="22"/>
              <w:lang w:val="fr-FR" w:eastAsia="fr-FR"/>
            </w:rPr>
          </w:pPr>
          <w:hyperlink w:anchor="_Toc59089834" w:history="1">
            <w:r w:rsidR="000F1805" w:rsidRPr="000F1805">
              <w:rPr>
                <w:rStyle w:val="Hipervnculo"/>
                <w:rFonts w:ascii="Verdana" w:hAnsi="Verdana"/>
                <w:noProof/>
              </w:rPr>
              <w:t>F. 1. Daño material</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_Toc59089834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21</w:t>
            </w:r>
            <w:r w:rsidR="000F1805" w:rsidRPr="000F1805">
              <w:rPr>
                <w:rFonts w:ascii="Verdana" w:hAnsi="Verdana"/>
                <w:noProof/>
                <w:webHidden/>
              </w:rPr>
              <w:fldChar w:fldCharType="end"/>
            </w:r>
          </w:hyperlink>
        </w:p>
        <w:p w14:paraId="5F0F8BE5" w14:textId="5D138B79" w:rsidR="000F1805" w:rsidRPr="000F1805" w:rsidRDefault="00213D28">
          <w:pPr>
            <w:pStyle w:val="TDC3"/>
            <w:tabs>
              <w:tab w:val="right" w:leader="dot" w:pos="9394"/>
            </w:tabs>
            <w:rPr>
              <w:rFonts w:ascii="Verdana" w:eastAsiaTheme="minorEastAsia" w:hAnsi="Verdana" w:cstheme="minorBidi"/>
              <w:noProof/>
              <w:sz w:val="22"/>
              <w:szCs w:val="22"/>
              <w:lang w:val="fr-FR" w:eastAsia="fr-FR"/>
            </w:rPr>
          </w:pPr>
          <w:hyperlink w:anchor="_Toc59089835" w:history="1">
            <w:r w:rsidR="000F1805" w:rsidRPr="000F1805">
              <w:rPr>
                <w:rStyle w:val="Hipervnculo"/>
                <w:rFonts w:ascii="Verdana" w:hAnsi="Verdana"/>
                <w:noProof/>
              </w:rPr>
              <w:t>F.2. Daño inmaterial</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_Toc59089835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22</w:t>
            </w:r>
            <w:r w:rsidR="000F1805" w:rsidRPr="000F1805">
              <w:rPr>
                <w:rFonts w:ascii="Verdana" w:hAnsi="Verdana"/>
                <w:noProof/>
                <w:webHidden/>
              </w:rPr>
              <w:fldChar w:fldCharType="end"/>
            </w:r>
          </w:hyperlink>
        </w:p>
        <w:p w14:paraId="7276B903" w14:textId="4BFC59F6"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36" w:history="1">
            <w:r w:rsidR="000F1805" w:rsidRPr="000F1805">
              <w:rPr>
                <w:rStyle w:val="Hipervnculo"/>
                <w:rFonts w:ascii="Verdana" w:hAnsi="Verdana"/>
                <w:noProof/>
              </w:rPr>
              <w:t>G.</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rPr>
              <w:t>Costas y gastos</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_Toc59089836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22</w:t>
            </w:r>
            <w:r w:rsidR="000F1805" w:rsidRPr="000F1805">
              <w:rPr>
                <w:rFonts w:ascii="Verdana" w:hAnsi="Verdana"/>
                <w:noProof/>
                <w:webHidden/>
              </w:rPr>
              <w:fldChar w:fldCharType="end"/>
            </w:r>
          </w:hyperlink>
        </w:p>
        <w:p w14:paraId="4FA4ACB6" w14:textId="2631808B" w:rsidR="000F1805" w:rsidRPr="000F1805" w:rsidRDefault="00213D28">
          <w:pPr>
            <w:pStyle w:val="TDC2"/>
            <w:rPr>
              <w:rFonts w:ascii="Verdana" w:eastAsiaTheme="minorEastAsia" w:hAnsi="Verdana" w:cstheme="minorBidi"/>
              <w:i w:val="0"/>
              <w:iCs w:val="0"/>
              <w:noProof/>
              <w:sz w:val="22"/>
              <w:szCs w:val="22"/>
              <w:lang w:val="fr-FR" w:eastAsia="fr-FR"/>
            </w:rPr>
          </w:pPr>
          <w:hyperlink w:anchor="_Toc59089837" w:history="1">
            <w:r w:rsidR="000F1805" w:rsidRPr="000F1805">
              <w:rPr>
                <w:rStyle w:val="Hipervnculo"/>
                <w:rFonts w:ascii="Verdana" w:hAnsi="Verdana"/>
                <w:noProof/>
              </w:rPr>
              <w:t>H.</w:t>
            </w:r>
            <w:r w:rsidR="000F1805" w:rsidRPr="000F1805">
              <w:rPr>
                <w:rFonts w:ascii="Verdana" w:eastAsiaTheme="minorEastAsia" w:hAnsi="Verdana" w:cstheme="minorBidi"/>
                <w:i w:val="0"/>
                <w:iCs w:val="0"/>
                <w:noProof/>
                <w:sz w:val="22"/>
                <w:szCs w:val="22"/>
                <w:lang w:val="fr-FR" w:eastAsia="fr-FR"/>
              </w:rPr>
              <w:tab/>
            </w:r>
            <w:r w:rsidR="000F1805" w:rsidRPr="000F1805">
              <w:rPr>
                <w:rStyle w:val="Hipervnculo"/>
                <w:rFonts w:ascii="Verdana" w:hAnsi="Verdana"/>
                <w:noProof/>
              </w:rPr>
              <w:t>Modalidad de cumplimiento de los pagos ordenados</w:t>
            </w:r>
            <w:r w:rsidR="000F1805" w:rsidRPr="000F1805">
              <w:rPr>
                <w:rFonts w:ascii="Verdana" w:hAnsi="Verdana"/>
                <w:noProof/>
                <w:webHidden/>
              </w:rPr>
              <w:tab/>
            </w:r>
            <w:r w:rsidR="000F1805" w:rsidRPr="000F1805">
              <w:rPr>
                <w:rFonts w:ascii="Verdana" w:hAnsi="Verdana"/>
                <w:noProof/>
                <w:webHidden/>
              </w:rPr>
              <w:fldChar w:fldCharType="begin"/>
            </w:r>
            <w:r w:rsidR="000F1805" w:rsidRPr="000F1805">
              <w:rPr>
                <w:rFonts w:ascii="Verdana" w:hAnsi="Verdana"/>
                <w:noProof/>
                <w:webHidden/>
              </w:rPr>
              <w:instrText xml:space="preserve"> PAGEREF _Toc59089837 \h </w:instrText>
            </w:r>
            <w:r w:rsidR="000F1805" w:rsidRPr="000F1805">
              <w:rPr>
                <w:rFonts w:ascii="Verdana" w:hAnsi="Verdana"/>
                <w:noProof/>
                <w:webHidden/>
              </w:rPr>
            </w:r>
            <w:r w:rsidR="000F1805" w:rsidRPr="000F1805">
              <w:rPr>
                <w:rFonts w:ascii="Verdana" w:hAnsi="Verdana"/>
                <w:noProof/>
                <w:webHidden/>
              </w:rPr>
              <w:fldChar w:fldCharType="separate"/>
            </w:r>
            <w:r w:rsidR="000F1805" w:rsidRPr="000F1805">
              <w:rPr>
                <w:rFonts w:ascii="Verdana" w:hAnsi="Verdana"/>
                <w:noProof/>
                <w:webHidden/>
              </w:rPr>
              <w:t>23</w:t>
            </w:r>
            <w:r w:rsidR="000F1805" w:rsidRPr="000F1805">
              <w:rPr>
                <w:rFonts w:ascii="Verdana" w:hAnsi="Verdana"/>
                <w:noProof/>
                <w:webHidden/>
              </w:rPr>
              <w:fldChar w:fldCharType="end"/>
            </w:r>
          </w:hyperlink>
        </w:p>
        <w:p w14:paraId="7B82AF6F" w14:textId="6AE12CD9" w:rsidR="000F1805" w:rsidRPr="000F1805" w:rsidRDefault="00213D28">
          <w:pPr>
            <w:pStyle w:val="TDC1"/>
            <w:rPr>
              <w:rFonts w:eastAsiaTheme="minorEastAsia" w:cstheme="minorBidi"/>
              <w:b w:val="0"/>
              <w:bCs w:val="0"/>
              <w:noProof/>
              <w:sz w:val="22"/>
              <w:szCs w:val="22"/>
              <w:lang w:val="fr-FR" w:eastAsia="fr-FR"/>
            </w:rPr>
          </w:pPr>
          <w:hyperlink w:anchor="_Toc59089838" w:history="1">
            <w:r w:rsidR="000F1805" w:rsidRPr="000F1805">
              <w:rPr>
                <w:rStyle w:val="Hipervnculo"/>
                <w:noProof/>
                <w:lang w:val="es-ES"/>
              </w:rPr>
              <w:t>IX PUNTOS RESOLUTIVOS</w:t>
            </w:r>
            <w:r w:rsidR="000F1805" w:rsidRPr="000F1805">
              <w:rPr>
                <w:noProof/>
                <w:webHidden/>
              </w:rPr>
              <w:tab/>
            </w:r>
            <w:r w:rsidR="000F1805" w:rsidRPr="000F1805">
              <w:rPr>
                <w:noProof/>
                <w:webHidden/>
              </w:rPr>
              <w:fldChar w:fldCharType="begin"/>
            </w:r>
            <w:r w:rsidR="000F1805" w:rsidRPr="000F1805">
              <w:rPr>
                <w:noProof/>
                <w:webHidden/>
              </w:rPr>
              <w:instrText xml:space="preserve"> PAGEREF _Toc59089838 \h </w:instrText>
            </w:r>
            <w:r w:rsidR="000F1805" w:rsidRPr="000F1805">
              <w:rPr>
                <w:noProof/>
                <w:webHidden/>
              </w:rPr>
            </w:r>
            <w:r w:rsidR="000F1805" w:rsidRPr="000F1805">
              <w:rPr>
                <w:noProof/>
                <w:webHidden/>
              </w:rPr>
              <w:fldChar w:fldCharType="separate"/>
            </w:r>
            <w:r w:rsidR="000F1805" w:rsidRPr="000F1805">
              <w:rPr>
                <w:noProof/>
                <w:webHidden/>
              </w:rPr>
              <w:t>24</w:t>
            </w:r>
            <w:r w:rsidR="000F1805" w:rsidRPr="000F1805">
              <w:rPr>
                <w:noProof/>
                <w:webHidden/>
              </w:rPr>
              <w:fldChar w:fldCharType="end"/>
            </w:r>
          </w:hyperlink>
        </w:p>
        <w:p w14:paraId="37CEBCE3" w14:textId="6334BEE7" w:rsidR="00705991" w:rsidRPr="00B642CF" w:rsidRDefault="00705991" w:rsidP="00705991">
          <w:r w:rsidRPr="000F1805">
            <w:rPr>
              <w:b/>
              <w:bCs/>
              <w:lang w:val="es-ES"/>
            </w:rPr>
            <w:fldChar w:fldCharType="end"/>
          </w:r>
        </w:p>
      </w:sdtContent>
    </w:sdt>
    <w:p w14:paraId="1131243D" w14:textId="77777777" w:rsidR="00705991" w:rsidRPr="00B642CF" w:rsidRDefault="00705991" w:rsidP="00705991">
      <w:pPr>
        <w:spacing w:after="200" w:line="276" w:lineRule="auto"/>
        <w:rPr>
          <w:rFonts w:eastAsiaTheme="majorEastAsia" w:cstheme="majorBidi"/>
          <w:b/>
          <w:bCs/>
          <w:szCs w:val="20"/>
          <w:lang w:val="es-ES"/>
        </w:rPr>
      </w:pPr>
      <w:r w:rsidRPr="00B642CF">
        <w:rPr>
          <w:szCs w:val="20"/>
          <w:lang w:val="es-ES"/>
        </w:rPr>
        <w:br w:type="page"/>
      </w:r>
    </w:p>
    <w:p w14:paraId="2547EE7C" w14:textId="77777777" w:rsidR="00705991" w:rsidRPr="00B642CF" w:rsidRDefault="00705991" w:rsidP="00705991">
      <w:pPr>
        <w:pStyle w:val="Ttulo1"/>
        <w:rPr>
          <w:lang w:val="es-CR"/>
        </w:rPr>
      </w:pPr>
      <w:bookmarkStart w:id="35" w:name="_Toc59089806"/>
      <w:r w:rsidRPr="00B642CF">
        <w:rPr>
          <w:lang w:val="es-CR"/>
        </w:rPr>
        <w:t>I</w:t>
      </w:r>
      <w:r w:rsidRPr="00B642CF">
        <w:rPr>
          <w:lang w:val="es-CR"/>
        </w:rPr>
        <w:br/>
        <w:t>INTRODUCCIÓN DE LA CAUSA Y OBJETO DE LA CONTROVERSIA</w:t>
      </w:r>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4"/>
      <w:bookmarkEnd w:id="33"/>
      <w:bookmarkEnd w:id="32"/>
      <w:bookmarkEnd w:id="35"/>
    </w:p>
    <w:p w14:paraId="5394D8F9" w14:textId="77777777" w:rsidR="00705991" w:rsidRPr="00B642CF" w:rsidRDefault="00705991" w:rsidP="00705991">
      <w:pPr>
        <w:pStyle w:val="Sinespaciado"/>
        <w:tabs>
          <w:tab w:val="left" w:pos="567"/>
        </w:tabs>
        <w:contextualSpacing/>
        <w:jc w:val="both"/>
        <w:rPr>
          <w:rFonts w:ascii="Verdana" w:hAnsi="Verdana"/>
          <w:sz w:val="20"/>
          <w:szCs w:val="20"/>
          <w:lang w:val="es-ES"/>
        </w:rPr>
      </w:pPr>
    </w:p>
    <w:p w14:paraId="10549EB4" w14:textId="6DB38202" w:rsidR="00705991" w:rsidRPr="00B642CF" w:rsidRDefault="00705991" w:rsidP="00705991">
      <w:pPr>
        <w:pStyle w:val="PrrafodeSentencia"/>
        <w:rPr>
          <w:b/>
          <w:spacing w:val="0"/>
          <w:szCs w:val="20"/>
          <w:lang w:val="es-ES"/>
        </w:rPr>
      </w:pPr>
      <w:bookmarkStart w:id="36" w:name="_Ref464815030"/>
      <w:bookmarkStart w:id="37" w:name="_Ref419215582"/>
      <w:bookmarkStart w:id="38" w:name="_Ref308343890"/>
      <w:bookmarkStart w:id="39" w:name="_Ref314691210"/>
      <w:bookmarkStart w:id="40" w:name="_Ref343554304"/>
      <w:r w:rsidRPr="00B642CF">
        <w:rPr>
          <w:i/>
          <w:spacing w:val="0"/>
          <w:szCs w:val="20"/>
          <w:lang w:val="es-ES"/>
        </w:rPr>
        <w:t xml:space="preserve">El caso sometido a la Corte. - </w:t>
      </w:r>
      <w:r w:rsidRPr="00B642CF">
        <w:rPr>
          <w:spacing w:val="0"/>
          <w:szCs w:val="20"/>
          <w:lang w:val="es-ES"/>
        </w:rPr>
        <w:t xml:space="preserve">El 7 de agosto de 2019, la Comisión Interamericana de Derechos Humanos (en adelante “la Comisión Interamericana” o “la Comisión”) sometió a la jurisdicción de la Corte el caso </w:t>
      </w:r>
      <w:r w:rsidRPr="00B642CF">
        <w:rPr>
          <w:i/>
          <w:spacing w:val="0"/>
          <w:szCs w:val="20"/>
          <w:lang w:val="es-ES"/>
        </w:rPr>
        <w:t xml:space="preserve">Rufino </w:t>
      </w:r>
      <w:r w:rsidR="00386956" w:rsidRPr="00B642CF">
        <w:rPr>
          <w:i/>
          <w:spacing w:val="0"/>
          <w:szCs w:val="20"/>
          <w:lang w:val="es-ES"/>
        </w:rPr>
        <w:t xml:space="preserve">Jorge </w:t>
      </w:r>
      <w:r w:rsidRPr="00B642CF">
        <w:rPr>
          <w:i/>
          <w:spacing w:val="0"/>
          <w:szCs w:val="20"/>
          <w:lang w:val="es-ES"/>
        </w:rPr>
        <w:t xml:space="preserve">Almeida respecto de la República Argentina </w:t>
      </w:r>
      <w:r w:rsidRPr="00B642CF">
        <w:rPr>
          <w:spacing w:val="0"/>
          <w:szCs w:val="20"/>
          <w:lang w:val="es-ES"/>
        </w:rPr>
        <w:t xml:space="preserve">(en adelante también “el Estado” o “Argentina”). La Comisión señaló que el caso se relaciona </w:t>
      </w:r>
      <w:bookmarkEnd w:id="36"/>
      <w:r w:rsidRPr="00B642CF">
        <w:rPr>
          <w:spacing w:val="0"/>
          <w:szCs w:val="20"/>
          <w:lang w:val="es-ES"/>
        </w:rPr>
        <w:t>con la falta de indemnización</w:t>
      </w:r>
      <w:r w:rsidR="004761F1" w:rsidRPr="00B642CF">
        <w:rPr>
          <w:spacing w:val="0"/>
          <w:szCs w:val="20"/>
          <w:lang w:val="es-ES"/>
        </w:rPr>
        <w:t>,</w:t>
      </w:r>
      <w:r w:rsidR="002D6F0D" w:rsidRPr="00B642CF">
        <w:rPr>
          <w:spacing w:val="0"/>
          <w:szCs w:val="20"/>
          <w:lang w:val="es-ES"/>
        </w:rPr>
        <w:t xml:space="preserve"> en aplicación de la Ley No. 24.043 de 27 de noviembre de 1991</w:t>
      </w:r>
      <w:r w:rsidR="004761F1" w:rsidRPr="00B642CF">
        <w:rPr>
          <w:spacing w:val="0"/>
          <w:szCs w:val="20"/>
          <w:lang w:val="es-ES"/>
        </w:rPr>
        <w:t>,</w:t>
      </w:r>
      <w:r w:rsidRPr="00B642CF">
        <w:rPr>
          <w:spacing w:val="0"/>
          <w:szCs w:val="20"/>
          <w:lang w:val="es-ES"/>
        </w:rPr>
        <w:t xml:space="preserve"> </w:t>
      </w:r>
      <w:r w:rsidR="004761F1" w:rsidRPr="00B642CF">
        <w:rPr>
          <w:spacing w:val="0"/>
          <w:szCs w:val="20"/>
          <w:lang w:val="es-ES"/>
        </w:rPr>
        <w:t>a</w:t>
      </w:r>
      <w:r w:rsidRPr="00B642CF">
        <w:rPr>
          <w:spacing w:val="0"/>
          <w:szCs w:val="20"/>
          <w:lang w:val="es-ES"/>
        </w:rPr>
        <w:t xml:space="preserve">l señor Rufino Jorge Almeida (en adelante el “señor Almeida” o “la presunta víctima”) por el tiempo que permaneció bajo un régimen similar al de libertad vigilada durante la dictadura cívico-militar. La Comisión solicitó que se declarara al Estado responsable por la violación de los derechos </w:t>
      </w:r>
      <w:r w:rsidR="00B90BE1" w:rsidRPr="00B642CF">
        <w:rPr>
          <w:spacing w:val="0"/>
          <w:szCs w:val="20"/>
          <w:lang w:val="es-ES"/>
        </w:rPr>
        <w:t xml:space="preserve">a contar con una motivación adecuada, igualdad ante la ley y a la protección judicial, establecidos en los artículos 8.1, 24 y 25.1 de la Convención Americana </w:t>
      </w:r>
      <w:r w:rsidRPr="00B642CF">
        <w:rPr>
          <w:spacing w:val="0"/>
          <w:szCs w:val="20"/>
          <w:lang w:val="es-ES"/>
        </w:rPr>
        <w:t xml:space="preserve">en relación con </w:t>
      </w:r>
      <w:r w:rsidR="00672665" w:rsidRPr="00B642CF">
        <w:rPr>
          <w:spacing w:val="0"/>
          <w:szCs w:val="20"/>
          <w:lang w:val="es-ES"/>
        </w:rPr>
        <w:t>los artículos 1.1 y 2</w:t>
      </w:r>
      <w:r w:rsidRPr="00B642CF">
        <w:rPr>
          <w:spacing w:val="0"/>
          <w:szCs w:val="20"/>
          <w:lang w:val="es-ES"/>
        </w:rPr>
        <w:t xml:space="preserve"> del mismo instrumento, en perjuicio de </w:t>
      </w:r>
      <w:r w:rsidR="00B90BE1" w:rsidRPr="00B642CF">
        <w:rPr>
          <w:spacing w:val="0"/>
          <w:szCs w:val="20"/>
          <w:lang w:val="es-ES"/>
        </w:rPr>
        <w:t>Rufino Jorge Almeida</w:t>
      </w:r>
      <w:r w:rsidRPr="00B642CF">
        <w:rPr>
          <w:spacing w:val="0"/>
          <w:szCs w:val="20"/>
          <w:lang w:val="es-ES"/>
        </w:rPr>
        <w:t>.</w:t>
      </w:r>
    </w:p>
    <w:p w14:paraId="1959157E" w14:textId="77777777" w:rsidR="00A70EC7" w:rsidRPr="00B642CF" w:rsidRDefault="00A70EC7" w:rsidP="00A70EC7">
      <w:pPr>
        <w:rPr>
          <w:lang w:val="es-ES" w:eastAsia="es-MX"/>
        </w:rPr>
      </w:pPr>
    </w:p>
    <w:p w14:paraId="099A3BCC" w14:textId="77777777" w:rsidR="00705991" w:rsidRPr="00B642CF" w:rsidRDefault="00705991" w:rsidP="00705991">
      <w:pPr>
        <w:pStyle w:val="PrrafodeSentencia"/>
        <w:contextualSpacing/>
        <w:rPr>
          <w:spacing w:val="0"/>
          <w:szCs w:val="20"/>
          <w:lang w:val="es-ES"/>
        </w:rPr>
      </w:pPr>
      <w:bookmarkStart w:id="41" w:name="_Ref464811109"/>
      <w:r w:rsidRPr="00B642CF">
        <w:rPr>
          <w:i/>
          <w:spacing w:val="0"/>
          <w:szCs w:val="20"/>
          <w:lang w:val="es-ES"/>
        </w:rPr>
        <w:t xml:space="preserve">Trámite ante la Comisión. - </w:t>
      </w:r>
      <w:r w:rsidRPr="00B642CF">
        <w:rPr>
          <w:spacing w:val="0"/>
          <w:szCs w:val="20"/>
          <w:lang w:val="es-ES"/>
        </w:rPr>
        <w:t>El trámite ante la Comisión fue el siguiente:</w:t>
      </w:r>
      <w:bookmarkEnd w:id="37"/>
      <w:bookmarkEnd w:id="41"/>
    </w:p>
    <w:p w14:paraId="7CF4BD59" w14:textId="77777777" w:rsidR="00A70EC7" w:rsidRPr="00B642CF" w:rsidRDefault="00A70EC7" w:rsidP="00A70EC7">
      <w:pPr>
        <w:rPr>
          <w:lang w:val="es-ES" w:eastAsia="es-MX"/>
        </w:rPr>
      </w:pPr>
    </w:p>
    <w:p w14:paraId="54110108" w14:textId="290BC07B" w:rsidR="00705991" w:rsidRPr="00B642CF" w:rsidRDefault="00705991" w:rsidP="00A70EC7">
      <w:pPr>
        <w:pStyle w:val="Sinespaciado"/>
        <w:numPr>
          <w:ilvl w:val="0"/>
          <w:numId w:val="4"/>
        </w:numPr>
        <w:tabs>
          <w:tab w:val="left" w:pos="709"/>
          <w:tab w:val="left" w:pos="1134"/>
        </w:tabs>
        <w:ind w:left="1066" w:hanging="357"/>
        <w:contextualSpacing/>
        <w:jc w:val="both"/>
        <w:rPr>
          <w:rFonts w:ascii="Verdana" w:hAnsi="Verdana"/>
          <w:sz w:val="20"/>
          <w:szCs w:val="20"/>
          <w:lang w:val="es-ES"/>
        </w:rPr>
      </w:pPr>
      <w:r w:rsidRPr="00B642CF">
        <w:rPr>
          <w:rFonts w:ascii="Verdana" w:hAnsi="Verdana"/>
          <w:i/>
          <w:sz w:val="20"/>
          <w:szCs w:val="20"/>
          <w:lang w:val="es-ES"/>
        </w:rPr>
        <w:t>Petición. –</w:t>
      </w:r>
      <w:r w:rsidRPr="00B642CF">
        <w:rPr>
          <w:rFonts w:ascii="Verdana" w:hAnsi="Verdana"/>
          <w:sz w:val="20"/>
          <w:szCs w:val="20"/>
          <w:lang w:val="es-ES"/>
        </w:rPr>
        <w:t xml:space="preserve"> </w:t>
      </w:r>
      <w:r w:rsidR="00BC5E3E" w:rsidRPr="00B642CF">
        <w:rPr>
          <w:rFonts w:ascii="Verdana" w:hAnsi="Verdana"/>
          <w:sz w:val="20"/>
          <w:szCs w:val="20"/>
          <w:lang w:val="es-ES"/>
        </w:rPr>
        <w:t>El 3 de julio de 2000</w:t>
      </w:r>
      <w:r w:rsidRPr="00B642CF">
        <w:rPr>
          <w:rFonts w:ascii="Verdana" w:hAnsi="Verdana"/>
          <w:sz w:val="20"/>
          <w:szCs w:val="20"/>
          <w:lang w:val="es-ES"/>
        </w:rPr>
        <w:t xml:space="preserve"> </w:t>
      </w:r>
      <w:r w:rsidR="00BC5E3E" w:rsidRPr="00B642CF">
        <w:rPr>
          <w:rFonts w:ascii="Verdana" w:hAnsi="Verdana"/>
          <w:sz w:val="20"/>
          <w:szCs w:val="20"/>
          <w:lang w:val="es-ES"/>
        </w:rPr>
        <w:t>Rufino Jorge Almeida, Myriam Carsen y Octavio Carsen</w:t>
      </w:r>
      <w:r w:rsidRPr="00B642CF">
        <w:rPr>
          <w:rFonts w:ascii="Verdana" w:hAnsi="Verdana"/>
          <w:sz w:val="20"/>
          <w:szCs w:val="20"/>
          <w:lang w:val="es-ES"/>
        </w:rPr>
        <w:t xml:space="preserve">, presentaron una petición </w:t>
      </w:r>
      <w:r w:rsidR="00FE2EB7">
        <w:rPr>
          <w:rFonts w:ascii="Verdana" w:hAnsi="Verdana"/>
          <w:sz w:val="20"/>
          <w:szCs w:val="20"/>
          <w:lang w:val="es-ES"/>
        </w:rPr>
        <w:t xml:space="preserve">ante la Comisión </w:t>
      </w:r>
      <w:r w:rsidRPr="00B642CF">
        <w:rPr>
          <w:rFonts w:ascii="Verdana" w:hAnsi="Verdana"/>
          <w:sz w:val="20"/>
          <w:szCs w:val="20"/>
          <w:lang w:val="es-ES"/>
        </w:rPr>
        <w:t xml:space="preserve">por la alegada responsabilidad del Estado, en perjuicio de </w:t>
      </w:r>
      <w:r w:rsidR="00BC5E3E" w:rsidRPr="00B642CF">
        <w:rPr>
          <w:rFonts w:ascii="Verdana" w:hAnsi="Verdana"/>
          <w:sz w:val="20"/>
          <w:szCs w:val="20"/>
          <w:lang w:val="es-ES"/>
        </w:rPr>
        <w:t>Rufino Jorge Almeida</w:t>
      </w:r>
      <w:r w:rsidRPr="00B642CF">
        <w:rPr>
          <w:rFonts w:ascii="Verdana" w:hAnsi="Verdana"/>
          <w:sz w:val="20"/>
          <w:szCs w:val="20"/>
          <w:lang w:val="es-ES"/>
        </w:rPr>
        <w:t>.</w:t>
      </w:r>
    </w:p>
    <w:p w14:paraId="2B6179EE" w14:textId="77777777" w:rsidR="00A70EC7" w:rsidRPr="00B642CF" w:rsidRDefault="00A70EC7" w:rsidP="00A70EC7">
      <w:pPr>
        <w:pStyle w:val="Sinespaciado"/>
        <w:tabs>
          <w:tab w:val="left" w:pos="709"/>
          <w:tab w:val="left" w:pos="1134"/>
        </w:tabs>
        <w:contextualSpacing/>
        <w:jc w:val="both"/>
        <w:rPr>
          <w:rFonts w:ascii="Verdana" w:hAnsi="Verdana"/>
          <w:sz w:val="20"/>
          <w:szCs w:val="20"/>
          <w:lang w:val="es-ES"/>
        </w:rPr>
      </w:pPr>
    </w:p>
    <w:p w14:paraId="558F7A20" w14:textId="6899081D" w:rsidR="00705991" w:rsidRPr="00B642CF" w:rsidRDefault="00705991" w:rsidP="00A70EC7">
      <w:pPr>
        <w:pStyle w:val="Sinespaciado"/>
        <w:numPr>
          <w:ilvl w:val="0"/>
          <w:numId w:val="4"/>
        </w:numPr>
        <w:tabs>
          <w:tab w:val="left" w:pos="709"/>
          <w:tab w:val="left" w:pos="1134"/>
        </w:tabs>
        <w:ind w:left="1066" w:hanging="357"/>
        <w:contextualSpacing/>
        <w:jc w:val="both"/>
        <w:rPr>
          <w:rFonts w:ascii="Verdana" w:hAnsi="Verdana"/>
          <w:sz w:val="20"/>
          <w:szCs w:val="20"/>
          <w:lang w:val="es-ES"/>
        </w:rPr>
      </w:pPr>
      <w:r w:rsidRPr="00B642CF">
        <w:rPr>
          <w:rFonts w:ascii="Verdana" w:hAnsi="Verdana"/>
          <w:i/>
          <w:sz w:val="20"/>
          <w:szCs w:val="20"/>
          <w:lang w:val="es-ES"/>
        </w:rPr>
        <w:t xml:space="preserve">Informe de Admisibilidad. – </w:t>
      </w:r>
      <w:r w:rsidR="00BC5E3E" w:rsidRPr="00B642CF">
        <w:rPr>
          <w:rFonts w:ascii="Verdana" w:hAnsi="Verdana"/>
          <w:sz w:val="20"/>
          <w:szCs w:val="20"/>
          <w:lang w:val="es-ES"/>
        </w:rPr>
        <w:t>El 18</w:t>
      </w:r>
      <w:r w:rsidRPr="00B642CF">
        <w:rPr>
          <w:rFonts w:ascii="Verdana" w:hAnsi="Verdana"/>
          <w:sz w:val="20"/>
          <w:szCs w:val="20"/>
          <w:lang w:val="es-ES"/>
        </w:rPr>
        <w:t xml:space="preserve"> de julio de 201</w:t>
      </w:r>
      <w:r w:rsidR="00BC5E3E" w:rsidRPr="00B642CF">
        <w:rPr>
          <w:rFonts w:ascii="Verdana" w:hAnsi="Verdana"/>
          <w:sz w:val="20"/>
          <w:szCs w:val="20"/>
          <w:lang w:val="es-ES"/>
        </w:rPr>
        <w:t>4</w:t>
      </w:r>
      <w:r w:rsidRPr="00B642CF">
        <w:rPr>
          <w:rFonts w:ascii="Verdana" w:hAnsi="Verdana"/>
          <w:sz w:val="20"/>
          <w:szCs w:val="20"/>
          <w:lang w:val="es-ES"/>
        </w:rPr>
        <w:t xml:space="preserve"> la Comisión aprobó el Info</w:t>
      </w:r>
      <w:r w:rsidR="00BC5E3E" w:rsidRPr="00B642CF">
        <w:rPr>
          <w:rFonts w:ascii="Verdana" w:hAnsi="Verdana"/>
          <w:sz w:val="20"/>
          <w:szCs w:val="20"/>
          <w:lang w:val="es-ES"/>
        </w:rPr>
        <w:t>rme de Admisibilidad No. 45/14</w:t>
      </w:r>
      <w:r w:rsidRPr="00B642CF">
        <w:rPr>
          <w:rFonts w:ascii="Verdana" w:hAnsi="Verdana"/>
          <w:sz w:val="20"/>
          <w:szCs w:val="20"/>
          <w:lang w:val="es-ES"/>
        </w:rPr>
        <w:t>.</w:t>
      </w:r>
    </w:p>
    <w:p w14:paraId="7C4CEF38" w14:textId="77777777" w:rsidR="00A70EC7" w:rsidRPr="00B642CF" w:rsidRDefault="00A70EC7" w:rsidP="00A70EC7">
      <w:pPr>
        <w:pStyle w:val="Sinespaciado"/>
        <w:tabs>
          <w:tab w:val="left" w:pos="709"/>
          <w:tab w:val="left" w:pos="1134"/>
        </w:tabs>
        <w:contextualSpacing/>
        <w:jc w:val="both"/>
        <w:rPr>
          <w:rFonts w:ascii="Verdana" w:hAnsi="Verdana"/>
          <w:sz w:val="20"/>
          <w:szCs w:val="20"/>
          <w:lang w:val="es-ES"/>
        </w:rPr>
      </w:pPr>
    </w:p>
    <w:p w14:paraId="2E823021" w14:textId="1CCA2E89" w:rsidR="00705991" w:rsidRPr="00B642CF" w:rsidRDefault="00705991" w:rsidP="00A70EC7">
      <w:pPr>
        <w:pStyle w:val="Sinespaciado"/>
        <w:numPr>
          <w:ilvl w:val="0"/>
          <w:numId w:val="4"/>
        </w:numPr>
        <w:tabs>
          <w:tab w:val="left" w:pos="709"/>
          <w:tab w:val="left" w:pos="1134"/>
        </w:tabs>
        <w:ind w:left="1066" w:hanging="357"/>
        <w:contextualSpacing/>
        <w:jc w:val="both"/>
        <w:rPr>
          <w:rFonts w:ascii="Verdana" w:hAnsi="Verdana"/>
          <w:sz w:val="20"/>
          <w:szCs w:val="20"/>
          <w:lang w:val="es-ES"/>
        </w:rPr>
      </w:pPr>
      <w:r w:rsidRPr="00B642CF">
        <w:rPr>
          <w:rFonts w:ascii="Verdana" w:hAnsi="Verdana"/>
          <w:i/>
          <w:sz w:val="20"/>
          <w:szCs w:val="20"/>
          <w:lang w:val="es-ES"/>
        </w:rPr>
        <w:t xml:space="preserve">Informe de Fondo. – </w:t>
      </w:r>
      <w:r w:rsidRPr="00B642CF">
        <w:rPr>
          <w:rFonts w:ascii="Verdana" w:hAnsi="Verdana"/>
          <w:sz w:val="20"/>
          <w:szCs w:val="20"/>
          <w:lang w:val="es-ES"/>
        </w:rPr>
        <w:t>El 7 de diciembre de 2018 la Comisión ap</w:t>
      </w:r>
      <w:r w:rsidR="00BC5E3E" w:rsidRPr="00B642CF">
        <w:rPr>
          <w:rFonts w:ascii="Verdana" w:hAnsi="Verdana"/>
          <w:sz w:val="20"/>
          <w:szCs w:val="20"/>
          <w:lang w:val="es-ES"/>
        </w:rPr>
        <w:t>robó el Informe de Fondo No. 147</w:t>
      </w:r>
      <w:r w:rsidRPr="00B642CF">
        <w:rPr>
          <w:rFonts w:ascii="Verdana" w:hAnsi="Verdana"/>
          <w:sz w:val="20"/>
          <w:szCs w:val="20"/>
          <w:lang w:val="es-ES"/>
        </w:rPr>
        <w:t>/18 en el cual llegó a una serie de conclusiones</w:t>
      </w:r>
      <w:r w:rsidRPr="00B642CF">
        <w:rPr>
          <w:rStyle w:val="Refdenotaalpie"/>
          <w:lang w:val="es-ES"/>
        </w:rPr>
        <w:footnoteReference w:id="3"/>
      </w:r>
      <w:r w:rsidRPr="00B642CF">
        <w:rPr>
          <w:rFonts w:ascii="Verdana" w:hAnsi="Verdana"/>
          <w:sz w:val="20"/>
          <w:szCs w:val="20"/>
          <w:lang w:val="es-ES"/>
        </w:rPr>
        <w:t xml:space="preserve"> y formuló varias recomendaciones al Estado.</w:t>
      </w:r>
    </w:p>
    <w:p w14:paraId="537D3455" w14:textId="77777777" w:rsidR="00A70EC7" w:rsidRPr="00B642CF" w:rsidRDefault="00A70EC7" w:rsidP="00A70EC7">
      <w:pPr>
        <w:pStyle w:val="Sinespaciado"/>
        <w:tabs>
          <w:tab w:val="left" w:pos="709"/>
          <w:tab w:val="left" w:pos="1134"/>
        </w:tabs>
        <w:contextualSpacing/>
        <w:jc w:val="both"/>
        <w:rPr>
          <w:rFonts w:ascii="Verdana" w:hAnsi="Verdana"/>
          <w:sz w:val="20"/>
          <w:szCs w:val="20"/>
          <w:lang w:val="es-ES"/>
        </w:rPr>
      </w:pPr>
    </w:p>
    <w:p w14:paraId="054D92A0" w14:textId="12773164" w:rsidR="00705991" w:rsidRPr="00B642CF" w:rsidRDefault="00705991" w:rsidP="00672665">
      <w:pPr>
        <w:pStyle w:val="PrrafodeSentencia"/>
        <w:rPr>
          <w:b/>
          <w:spacing w:val="0"/>
          <w:szCs w:val="20"/>
          <w:lang w:val="es-ES"/>
        </w:rPr>
      </w:pPr>
      <w:r w:rsidRPr="00B642CF">
        <w:rPr>
          <w:i/>
          <w:spacing w:val="0"/>
        </w:rPr>
        <w:t xml:space="preserve">Notificación al Estado. - </w:t>
      </w:r>
      <w:r w:rsidRPr="00B642CF">
        <w:rPr>
          <w:spacing w:val="0"/>
        </w:rPr>
        <w:t xml:space="preserve">El Informe de Fondo fue notificado al Estado mediante comunicación de </w:t>
      </w:r>
      <w:r w:rsidR="00BC5E3E" w:rsidRPr="00B642CF">
        <w:rPr>
          <w:spacing w:val="0"/>
        </w:rPr>
        <w:t>7 de febrero</w:t>
      </w:r>
      <w:r w:rsidRPr="00B642CF">
        <w:rPr>
          <w:spacing w:val="0"/>
        </w:rPr>
        <w:t xml:space="preserve"> de 2019, en la que se le otorgó un plazo de dos meses para informar sobre el cumplimiento de las recomendaciones. </w:t>
      </w:r>
      <w:r w:rsidR="00BC5E3E" w:rsidRPr="00B642CF">
        <w:rPr>
          <w:spacing w:val="0"/>
        </w:rPr>
        <w:t>El Estado solicitó una primera prórroga, la cual fue concedida por la Comisión. Posteriormente, el Estado solicitó una segunda prórroga en idéntic</w:t>
      </w:r>
      <w:r w:rsidR="004761F1" w:rsidRPr="00B642CF">
        <w:rPr>
          <w:spacing w:val="0"/>
        </w:rPr>
        <w:t>o</w:t>
      </w:r>
      <w:r w:rsidR="00BC5E3E" w:rsidRPr="00B642CF">
        <w:rPr>
          <w:spacing w:val="0"/>
        </w:rPr>
        <w:t>s términos y sin aportar información específica alguna sobre la implementación de las recomendaciones con</w:t>
      </w:r>
      <w:r w:rsidR="00C21A6D" w:rsidRPr="00B642CF">
        <w:rPr>
          <w:spacing w:val="0"/>
        </w:rPr>
        <w:t>tenidas en el Informe de Fondo.</w:t>
      </w:r>
    </w:p>
    <w:p w14:paraId="0BFEAD44" w14:textId="77777777" w:rsidR="00A70EC7" w:rsidRPr="00B642CF" w:rsidRDefault="00A70EC7" w:rsidP="00A70EC7">
      <w:pPr>
        <w:rPr>
          <w:lang w:val="es-ES" w:eastAsia="es-MX"/>
        </w:rPr>
      </w:pPr>
    </w:p>
    <w:bookmarkEnd w:id="38"/>
    <w:bookmarkEnd w:id="39"/>
    <w:bookmarkEnd w:id="40"/>
    <w:p w14:paraId="4449B277" w14:textId="30DA44EE" w:rsidR="00705991" w:rsidRPr="00B642CF" w:rsidRDefault="00705991" w:rsidP="00705991">
      <w:pPr>
        <w:pStyle w:val="PrrafodeSentencia"/>
        <w:rPr>
          <w:b/>
          <w:spacing w:val="0"/>
          <w:szCs w:val="20"/>
          <w:lang w:val="es-ES"/>
        </w:rPr>
      </w:pPr>
      <w:r w:rsidRPr="00B642CF">
        <w:rPr>
          <w:i/>
          <w:spacing w:val="0"/>
          <w:szCs w:val="20"/>
          <w:lang w:val="es-ES"/>
        </w:rPr>
        <w:t>Sometimiento a la Corte</w:t>
      </w:r>
      <w:r w:rsidRPr="00B642CF">
        <w:rPr>
          <w:spacing w:val="0"/>
          <w:szCs w:val="20"/>
          <w:lang w:val="es-ES"/>
        </w:rPr>
        <w:t>.</w:t>
      </w:r>
      <w:r w:rsidRPr="00B642CF">
        <w:rPr>
          <w:i/>
          <w:spacing w:val="0"/>
          <w:szCs w:val="20"/>
          <w:lang w:val="es-ES"/>
        </w:rPr>
        <w:t xml:space="preserve"> – </w:t>
      </w:r>
      <w:r w:rsidRPr="00B642CF">
        <w:rPr>
          <w:spacing w:val="0"/>
          <w:szCs w:val="20"/>
          <w:lang w:val="es-ES"/>
        </w:rPr>
        <w:t xml:space="preserve">El </w:t>
      </w:r>
      <w:r w:rsidR="00672665" w:rsidRPr="00B642CF">
        <w:rPr>
          <w:spacing w:val="0"/>
          <w:szCs w:val="20"/>
          <w:lang w:val="es-ES"/>
        </w:rPr>
        <w:t>7 de agosto</w:t>
      </w:r>
      <w:r w:rsidRPr="00B642CF">
        <w:rPr>
          <w:spacing w:val="0"/>
          <w:szCs w:val="20"/>
          <w:lang w:val="es-ES"/>
        </w:rPr>
        <w:t xml:space="preserve"> de 2019 la Comisión sometió a la jurisdicción de la Corte Interamericana la totalidad de los hechos y violaciones de derechos humanos descritos en el informe de fondo “ante la necesidad de obtención de justicia</w:t>
      </w:r>
      <w:r w:rsidR="00672665" w:rsidRPr="00B642CF">
        <w:rPr>
          <w:spacing w:val="0"/>
          <w:szCs w:val="20"/>
          <w:lang w:val="es-ES"/>
        </w:rPr>
        <w:t xml:space="preserve"> para la víctima en el caso particular</w:t>
      </w:r>
      <w:r w:rsidRPr="00B642CF">
        <w:rPr>
          <w:spacing w:val="0"/>
          <w:szCs w:val="20"/>
          <w:lang w:val="es-ES"/>
        </w:rPr>
        <w:t>”</w:t>
      </w:r>
      <w:r w:rsidRPr="00B642CF">
        <w:rPr>
          <w:rStyle w:val="Refdenotaalpie"/>
          <w:spacing w:val="0"/>
          <w:lang w:val="es-ES"/>
        </w:rPr>
        <w:footnoteReference w:id="4"/>
      </w:r>
      <w:r w:rsidRPr="00B642CF">
        <w:rPr>
          <w:spacing w:val="0"/>
          <w:szCs w:val="20"/>
          <w:lang w:val="es-ES"/>
        </w:rPr>
        <w:t>.</w:t>
      </w:r>
    </w:p>
    <w:p w14:paraId="5A5051E0" w14:textId="77777777" w:rsidR="00A70EC7" w:rsidRPr="00B642CF" w:rsidRDefault="00A70EC7" w:rsidP="00A70EC7">
      <w:pPr>
        <w:rPr>
          <w:lang w:val="es-ES" w:eastAsia="es-MX"/>
        </w:rPr>
      </w:pPr>
    </w:p>
    <w:p w14:paraId="04B31082" w14:textId="62DC3F3F" w:rsidR="00A70EC7" w:rsidRPr="00B642CF" w:rsidRDefault="00705991" w:rsidP="00A70EC7">
      <w:pPr>
        <w:pStyle w:val="PrrafodeSentencia"/>
        <w:rPr>
          <w:spacing w:val="0"/>
          <w:szCs w:val="20"/>
          <w:lang w:val="es-ES"/>
        </w:rPr>
      </w:pPr>
      <w:r w:rsidRPr="00B642CF">
        <w:rPr>
          <w:i/>
          <w:spacing w:val="0"/>
          <w:szCs w:val="20"/>
          <w:lang w:val="es-ES"/>
        </w:rPr>
        <w:t xml:space="preserve">Solicitudes de la Comisión. </w:t>
      </w:r>
      <w:r w:rsidRPr="00B642CF">
        <w:rPr>
          <w:spacing w:val="0"/>
          <w:szCs w:val="20"/>
          <w:lang w:val="es-ES"/>
        </w:rPr>
        <w:t>– Con base en lo anterior, la Comisión solicitó a la Corte que declarara la responsabilidad internacional del Estado por las mismas violaciones señaladas en su Informe de Fondo (</w:t>
      </w:r>
      <w:r w:rsidRPr="00B642CF">
        <w:rPr>
          <w:i/>
          <w:spacing w:val="0"/>
          <w:szCs w:val="20"/>
          <w:lang w:val="es-ES"/>
        </w:rPr>
        <w:t>supra</w:t>
      </w:r>
      <w:r w:rsidRPr="00B642CF">
        <w:rPr>
          <w:spacing w:val="0"/>
          <w:szCs w:val="20"/>
          <w:lang w:val="es-ES"/>
        </w:rPr>
        <w:t xml:space="preserve"> párr. 2.c). Asimismo, la Comisión solicitó a la Corte que ordenara al Estado medidas de reparación, las cuales se detallan y analizan en el Capítulo VIII de la presente Sentencia. Este Tribunal nota con preocupación que, entre la presentación de la petición inicial ante la Comisión y el sometimiento del caso ante la Corte, han transcurrido </w:t>
      </w:r>
      <w:r w:rsidR="00672665" w:rsidRPr="00B642CF">
        <w:rPr>
          <w:spacing w:val="0"/>
          <w:szCs w:val="20"/>
          <w:lang w:val="es-ES"/>
        </w:rPr>
        <w:t xml:space="preserve">más de </w:t>
      </w:r>
      <w:r w:rsidR="001B642F">
        <w:rPr>
          <w:spacing w:val="0"/>
          <w:szCs w:val="20"/>
          <w:lang w:val="es-ES"/>
        </w:rPr>
        <w:t>19</w:t>
      </w:r>
      <w:r w:rsidR="001B642F" w:rsidRPr="00B642CF">
        <w:rPr>
          <w:spacing w:val="0"/>
          <w:szCs w:val="20"/>
          <w:lang w:val="es-ES"/>
        </w:rPr>
        <w:t xml:space="preserve"> </w:t>
      </w:r>
      <w:r w:rsidRPr="00B642CF">
        <w:rPr>
          <w:spacing w:val="0"/>
          <w:szCs w:val="20"/>
          <w:lang w:val="es-ES"/>
        </w:rPr>
        <w:t>años.</w:t>
      </w:r>
    </w:p>
    <w:p w14:paraId="648CF57C" w14:textId="77777777" w:rsidR="00705991" w:rsidRPr="00B642CF" w:rsidRDefault="00705991" w:rsidP="00705991">
      <w:pPr>
        <w:rPr>
          <w:szCs w:val="20"/>
          <w:lang w:val="es-ES" w:eastAsia="es-MX"/>
        </w:rPr>
      </w:pPr>
    </w:p>
    <w:p w14:paraId="0EB280F9" w14:textId="77777777" w:rsidR="00705991" w:rsidRPr="00B642CF" w:rsidRDefault="00705991" w:rsidP="00A70EC7">
      <w:pPr>
        <w:pStyle w:val="Ttulo1"/>
        <w:spacing w:before="0" w:after="0"/>
        <w:rPr>
          <w:lang w:val="es-ES"/>
        </w:rPr>
      </w:pPr>
      <w:bookmarkStart w:id="42" w:name="_Toc424834680"/>
      <w:bookmarkStart w:id="43" w:name="_Toc427932786"/>
      <w:bookmarkStart w:id="44" w:name="_Toc431584603"/>
      <w:bookmarkStart w:id="45" w:name="_Toc434850391"/>
      <w:bookmarkStart w:id="46" w:name="_Toc469593448"/>
      <w:bookmarkStart w:id="47" w:name="_Toc469594431"/>
      <w:bookmarkStart w:id="48" w:name="_Toc469594533"/>
      <w:bookmarkStart w:id="49" w:name="_Toc469594796"/>
      <w:bookmarkStart w:id="50" w:name="_Toc469594899"/>
      <w:bookmarkStart w:id="51" w:name="_Toc469940915"/>
      <w:bookmarkStart w:id="52" w:name="_Toc4402699"/>
      <w:bookmarkStart w:id="53" w:name="_Toc4402938"/>
      <w:bookmarkStart w:id="54" w:name="_Toc8209825"/>
      <w:bookmarkStart w:id="55" w:name="_Toc59089807"/>
      <w:r w:rsidRPr="00B642CF">
        <w:rPr>
          <w:lang w:val="es-ES"/>
        </w:rPr>
        <w:t>II</w:t>
      </w:r>
      <w:bookmarkStart w:id="56" w:name="_Toc424833997"/>
      <w:bookmarkStart w:id="57" w:name="_Toc424834681"/>
      <w:bookmarkStart w:id="58" w:name="_Toc424834748"/>
      <w:bookmarkStart w:id="59" w:name="_Toc427342825"/>
      <w:bookmarkStart w:id="60" w:name="_Toc427663811"/>
      <w:bookmarkStart w:id="61" w:name="_Toc427932787"/>
      <w:bookmarkStart w:id="62" w:name="_Toc427943550"/>
      <w:bookmarkStart w:id="63" w:name="_Toc427943724"/>
      <w:bookmarkStart w:id="64" w:name="_Toc431584604"/>
      <w:bookmarkStart w:id="65" w:name="_Toc431584720"/>
      <w:bookmarkStart w:id="66" w:name="_Toc431585025"/>
      <w:bookmarkStart w:id="67" w:name="_Toc431646542"/>
      <w:bookmarkStart w:id="68" w:name="_Toc431834525"/>
      <w:bookmarkStart w:id="69" w:name="_Toc431834621"/>
      <w:bookmarkStart w:id="70" w:name="_Toc308537926"/>
      <w:bookmarkStart w:id="71" w:name="_Toc308538146"/>
      <w:bookmarkStart w:id="72" w:name="_Toc434849913"/>
      <w:bookmarkStart w:id="73" w:name="_Toc434850392"/>
      <w:bookmarkStart w:id="74" w:name="_Toc469594900"/>
      <w:bookmarkStart w:id="75" w:name="_Toc469664209"/>
      <w:bookmarkStart w:id="76" w:name="_Toc469664471"/>
      <w:bookmarkStart w:id="77" w:name="_Toc469940916"/>
      <w:bookmarkEnd w:id="42"/>
      <w:bookmarkEnd w:id="43"/>
      <w:bookmarkEnd w:id="44"/>
      <w:bookmarkEnd w:id="45"/>
      <w:bookmarkEnd w:id="46"/>
      <w:bookmarkEnd w:id="47"/>
      <w:bookmarkEnd w:id="48"/>
      <w:bookmarkEnd w:id="49"/>
      <w:bookmarkEnd w:id="50"/>
      <w:bookmarkEnd w:id="51"/>
      <w:r w:rsidRPr="00B642CF">
        <w:rPr>
          <w:lang w:val="es-ES"/>
        </w:rPr>
        <w:br/>
        <w:t>PROCEDIMIENTO ANTE LA CORTE</w:t>
      </w:r>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10A8BA6" w14:textId="77777777" w:rsidR="00705991" w:rsidRPr="00B642CF" w:rsidRDefault="00705991" w:rsidP="00705991">
      <w:pPr>
        <w:spacing w:before="120" w:after="120"/>
        <w:contextualSpacing/>
        <w:rPr>
          <w:szCs w:val="20"/>
          <w:lang w:val="es-ES"/>
        </w:rPr>
      </w:pPr>
    </w:p>
    <w:p w14:paraId="3C9C4C2D" w14:textId="7E55AB45" w:rsidR="00705991" w:rsidRPr="00B642CF" w:rsidRDefault="00705991" w:rsidP="00705991">
      <w:pPr>
        <w:pStyle w:val="PrrafodeSentencia"/>
        <w:rPr>
          <w:b/>
          <w:spacing w:val="0"/>
          <w:szCs w:val="20"/>
          <w:lang w:val="es-ES"/>
        </w:rPr>
      </w:pPr>
      <w:bookmarkStart w:id="78" w:name="_Ref357172062"/>
      <w:bookmarkStart w:id="79" w:name="_Ref343555499"/>
      <w:r w:rsidRPr="00B642CF">
        <w:rPr>
          <w:i/>
          <w:spacing w:val="0"/>
          <w:szCs w:val="20"/>
          <w:lang w:val="es-ES"/>
        </w:rPr>
        <w:t xml:space="preserve">Notificación al Estado y a los representantes. - </w:t>
      </w:r>
      <w:r w:rsidRPr="00B642CF">
        <w:rPr>
          <w:spacing w:val="0"/>
          <w:szCs w:val="20"/>
          <w:lang w:val="es-ES"/>
        </w:rPr>
        <w:t xml:space="preserve">El sometimiento del caso </w:t>
      </w:r>
      <w:bookmarkEnd w:id="78"/>
      <w:r w:rsidRPr="00B642CF">
        <w:rPr>
          <w:rFonts w:eastAsia="Times New Roman" w:cs="Times New Roman"/>
          <w:spacing w:val="0"/>
          <w:szCs w:val="20"/>
          <w:lang w:val="es-ES"/>
        </w:rPr>
        <w:t>fue notificado al Esta</w:t>
      </w:r>
      <w:r w:rsidR="003E37E6" w:rsidRPr="00B642CF">
        <w:rPr>
          <w:rFonts w:eastAsia="Times New Roman" w:cs="Times New Roman"/>
          <w:spacing w:val="0"/>
          <w:szCs w:val="20"/>
          <w:lang w:val="es-ES"/>
        </w:rPr>
        <w:t>do y a los representantes de la presunta víctima</w:t>
      </w:r>
      <w:r w:rsidRPr="00B642CF">
        <w:rPr>
          <w:rFonts w:eastAsia="Times New Roman" w:cs="Times New Roman"/>
          <w:spacing w:val="0"/>
          <w:szCs w:val="20"/>
          <w:lang w:val="es-ES"/>
        </w:rPr>
        <w:t xml:space="preserve"> mediante comunicaciones</w:t>
      </w:r>
      <w:r w:rsidR="00672665" w:rsidRPr="00B642CF">
        <w:rPr>
          <w:rFonts w:eastAsia="Times New Roman" w:cs="Times New Roman"/>
          <w:spacing w:val="0"/>
          <w:szCs w:val="20"/>
          <w:lang w:val="es-ES"/>
        </w:rPr>
        <w:t xml:space="preserve"> de 11 de septiembre</w:t>
      </w:r>
      <w:r w:rsidRPr="00B642CF">
        <w:rPr>
          <w:rFonts w:eastAsia="Times New Roman" w:cs="Times New Roman"/>
          <w:spacing w:val="0"/>
          <w:szCs w:val="20"/>
          <w:lang w:val="es-ES"/>
        </w:rPr>
        <w:t xml:space="preserve"> de 2019</w:t>
      </w:r>
      <w:r w:rsidRPr="00B642CF">
        <w:rPr>
          <w:spacing w:val="0"/>
          <w:szCs w:val="20"/>
          <w:lang w:val="es-ES"/>
        </w:rPr>
        <w:t>.</w:t>
      </w:r>
      <w:bookmarkStart w:id="80" w:name="_Ref308343867"/>
      <w:bookmarkStart w:id="81" w:name="_Ref357172044"/>
      <w:bookmarkStart w:id="82" w:name="_Ref464815038"/>
      <w:bookmarkEnd w:id="79"/>
    </w:p>
    <w:p w14:paraId="53233157" w14:textId="77777777" w:rsidR="00A70EC7" w:rsidRPr="00B642CF" w:rsidRDefault="00A70EC7" w:rsidP="00A70EC7">
      <w:pPr>
        <w:rPr>
          <w:lang w:val="es-ES" w:eastAsia="es-MX"/>
        </w:rPr>
      </w:pPr>
    </w:p>
    <w:p w14:paraId="0828AC07" w14:textId="4DC89015" w:rsidR="00705991" w:rsidRPr="00B642CF" w:rsidRDefault="00705991" w:rsidP="00705991">
      <w:pPr>
        <w:pStyle w:val="PrrafodeSentencia"/>
        <w:rPr>
          <w:spacing w:val="0"/>
          <w:szCs w:val="20"/>
          <w:lang w:val="es-ES"/>
        </w:rPr>
      </w:pPr>
      <w:r w:rsidRPr="00B642CF">
        <w:rPr>
          <w:i/>
          <w:spacing w:val="0"/>
          <w:szCs w:val="20"/>
          <w:lang w:val="es-ES"/>
        </w:rPr>
        <w:t xml:space="preserve">Escrito de solicitudes, argumentos y pruebas. – </w:t>
      </w:r>
      <w:r w:rsidRPr="00B642CF">
        <w:rPr>
          <w:spacing w:val="0"/>
          <w:szCs w:val="20"/>
          <w:lang w:val="es-ES"/>
        </w:rPr>
        <w:t xml:space="preserve">El </w:t>
      </w:r>
      <w:r w:rsidR="00020C87" w:rsidRPr="00B642CF">
        <w:rPr>
          <w:spacing w:val="0"/>
          <w:szCs w:val="20"/>
          <w:lang w:val="es-ES"/>
        </w:rPr>
        <w:t>11 de noviembre</w:t>
      </w:r>
      <w:r w:rsidRPr="00B642CF">
        <w:rPr>
          <w:spacing w:val="0"/>
          <w:szCs w:val="20"/>
          <w:lang w:val="es-ES"/>
        </w:rPr>
        <w:t xml:space="preserve"> de</w:t>
      </w:r>
      <w:r w:rsidR="003E37E6" w:rsidRPr="00B642CF">
        <w:rPr>
          <w:spacing w:val="0"/>
          <w:szCs w:val="20"/>
          <w:lang w:val="es-ES"/>
        </w:rPr>
        <w:t xml:space="preserve"> 2019 </w:t>
      </w:r>
      <w:r w:rsidR="00C95BA0" w:rsidRPr="00B642CF">
        <w:rPr>
          <w:spacing w:val="0"/>
          <w:szCs w:val="20"/>
          <w:lang w:val="es-ES"/>
        </w:rPr>
        <w:t>la representante</w:t>
      </w:r>
      <w:r w:rsidR="003E37E6" w:rsidRPr="00B642CF">
        <w:rPr>
          <w:spacing w:val="0"/>
          <w:szCs w:val="20"/>
          <w:lang w:val="es-ES"/>
        </w:rPr>
        <w:t xml:space="preserve"> de la</w:t>
      </w:r>
      <w:r w:rsidRPr="00B642CF">
        <w:rPr>
          <w:spacing w:val="0"/>
          <w:szCs w:val="20"/>
          <w:lang w:val="es-ES"/>
        </w:rPr>
        <w:t xml:space="preserve"> pr</w:t>
      </w:r>
      <w:r w:rsidR="00C95BA0" w:rsidRPr="00B642CF">
        <w:rPr>
          <w:spacing w:val="0"/>
          <w:szCs w:val="20"/>
          <w:lang w:val="es-ES"/>
        </w:rPr>
        <w:t>esunta víctima (en adelante “la representante</w:t>
      </w:r>
      <w:r w:rsidRPr="00B642CF">
        <w:rPr>
          <w:spacing w:val="0"/>
          <w:szCs w:val="20"/>
          <w:lang w:val="es-ES"/>
        </w:rPr>
        <w:t>”)</w:t>
      </w:r>
      <w:r w:rsidRPr="00B642CF">
        <w:rPr>
          <w:rStyle w:val="Refdenotaalpie"/>
          <w:spacing w:val="0"/>
          <w:lang w:val="es-ES"/>
        </w:rPr>
        <w:footnoteReference w:id="5"/>
      </w:r>
      <w:r w:rsidR="00631016" w:rsidRPr="00B642CF">
        <w:rPr>
          <w:spacing w:val="0"/>
          <w:szCs w:val="20"/>
          <w:lang w:val="es-ES"/>
        </w:rPr>
        <w:t xml:space="preserve"> presentó</w:t>
      </w:r>
      <w:r w:rsidRPr="00B642CF">
        <w:rPr>
          <w:spacing w:val="0"/>
          <w:szCs w:val="20"/>
          <w:lang w:val="es-ES"/>
        </w:rPr>
        <w:t xml:space="preserve"> su escrito de solicitudes, argumentos y pruebas (en adelante “escrito de solicitudes y argumentos”), conforme a los artículos 25 y 40 del Reglamento de la Corte.</w:t>
      </w:r>
      <w:r w:rsidR="00020C87" w:rsidRPr="00B642CF">
        <w:rPr>
          <w:b/>
          <w:spacing w:val="0"/>
          <w:szCs w:val="20"/>
          <w:lang w:val="es-ES"/>
        </w:rPr>
        <w:t xml:space="preserve"> </w:t>
      </w:r>
      <w:r w:rsidR="005B6735" w:rsidRPr="00B642CF">
        <w:rPr>
          <w:spacing w:val="0"/>
          <w:szCs w:val="20"/>
          <w:lang w:val="es-ES"/>
        </w:rPr>
        <w:t>La representante coincidió</w:t>
      </w:r>
      <w:r w:rsidRPr="00B642CF">
        <w:rPr>
          <w:spacing w:val="0"/>
          <w:szCs w:val="20"/>
          <w:lang w:val="es-ES"/>
        </w:rPr>
        <w:t xml:space="preserve"> con lo alega</w:t>
      </w:r>
      <w:r w:rsidR="005B6735" w:rsidRPr="00B642CF">
        <w:rPr>
          <w:spacing w:val="0"/>
          <w:szCs w:val="20"/>
          <w:lang w:val="es-ES"/>
        </w:rPr>
        <w:t>do por la Comisión y solicitó</w:t>
      </w:r>
      <w:r w:rsidRPr="00B642CF">
        <w:rPr>
          <w:spacing w:val="0"/>
          <w:szCs w:val="20"/>
          <w:lang w:val="es-ES"/>
        </w:rPr>
        <w:t xml:space="preserve"> que se ordenara al Estado adoptar diversas medidas de reparación</w:t>
      </w:r>
      <w:r w:rsidR="00020C87" w:rsidRPr="00B642CF">
        <w:rPr>
          <w:spacing w:val="0"/>
          <w:szCs w:val="20"/>
          <w:lang w:val="es-ES"/>
        </w:rPr>
        <w:t>, en particular medidas de no repetición,</w:t>
      </w:r>
      <w:r w:rsidRPr="00B642CF">
        <w:rPr>
          <w:spacing w:val="0"/>
          <w:szCs w:val="20"/>
          <w:lang w:val="es-ES"/>
        </w:rPr>
        <w:t xml:space="preserve"> y el reintegro de costas y gastos</w:t>
      </w:r>
      <w:bookmarkEnd w:id="80"/>
      <w:bookmarkEnd w:id="81"/>
      <w:bookmarkEnd w:id="82"/>
      <w:r w:rsidRPr="00B642CF">
        <w:rPr>
          <w:spacing w:val="0"/>
          <w:szCs w:val="20"/>
          <w:lang w:val="es-ES"/>
        </w:rPr>
        <w:t>.</w:t>
      </w:r>
    </w:p>
    <w:p w14:paraId="1B5C3EB8" w14:textId="77777777" w:rsidR="00A70EC7" w:rsidRPr="00B642CF" w:rsidRDefault="00A70EC7" w:rsidP="00A70EC7">
      <w:pPr>
        <w:rPr>
          <w:lang w:val="es-ES" w:eastAsia="es-MX"/>
        </w:rPr>
      </w:pPr>
    </w:p>
    <w:p w14:paraId="3CDED8D5" w14:textId="573CBA52" w:rsidR="00705991" w:rsidRPr="00B642CF" w:rsidRDefault="00705991" w:rsidP="00705991">
      <w:pPr>
        <w:pStyle w:val="PrrafodeSentencia"/>
        <w:rPr>
          <w:spacing w:val="0"/>
          <w:szCs w:val="20"/>
          <w:lang w:val="es-ES"/>
        </w:rPr>
      </w:pPr>
      <w:bookmarkStart w:id="83" w:name="_Ref308343874"/>
      <w:bookmarkStart w:id="84" w:name="_Ref464815040"/>
      <w:r w:rsidRPr="00B642CF">
        <w:rPr>
          <w:i/>
          <w:spacing w:val="0"/>
          <w:szCs w:val="20"/>
          <w:lang w:val="es-ES"/>
        </w:rPr>
        <w:t xml:space="preserve">Escrito de contestación. - </w:t>
      </w:r>
      <w:r w:rsidR="00020C87" w:rsidRPr="00B642CF">
        <w:rPr>
          <w:spacing w:val="0"/>
          <w:szCs w:val="20"/>
          <w:lang w:val="es-ES"/>
        </w:rPr>
        <w:t xml:space="preserve">El </w:t>
      </w:r>
      <w:r w:rsidRPr="00B642CF">
        <w:rPr>
          <w:spacing w:val="0"/>
          <w:szCs w:val="20"/>
          <w:lang w:val="es-ES"/>
        </w:rPr>
        <w:t xml:space="preserve">5 de </w:t>
      </w:r>
      <w:r w:rsidR="00020C87" w:rsidRPr="00B642CF">
        <w:rPr>
          <w:spacing w:val="0"/>
          <w:szCs w:val="20"/>
          <w:lang w:val="es-ES"/>
        </w:rPr>
        <w:t>febrero de 2020</w:t>
      </w:r>
      <w:r w:rsidRPr="00B642CF">
        <w:rPr>
          <w:spacing w:val="0"/>
          <w:szCs w:val="20"/>
          <w:lang w:val="es-ES"/>
        </w:rPr>
        <w:t xml:space="preserve"> el Estado</w:t>
      </w:r>
      <w:r w:rsidR="00B14E15" w:rsidRPr="007A5E35">
        <w:rPr>
          <w:spacing w:val="0"/>
          <w:szCs w:val="20"/>
          <w:vertAlign w:val="superscript"/>
          <w:lang w:val="es-ES"/>
        </w:rPr>
        <w:footnoteReference w:id="6"/>
      </w:r>
      <w:r w:rsidRPr="00B642CF">
        <w:rPr>
          <w:spacing w:val="0"/>
          <w:szCs w:val="20"/>
          <w:lang w:val="es-ES"/>
        </w:rPr>
        <w:t xml:space="preserve"> presentó ante la Corte su escrito de contestación al sometimiento del caso por parte de la Comisión, así como sus observaciones al escrito de solicitudes y argumentos (en adelante “escrito de contestación”). En dicho escrito, el Estado </w:t>
      </w:r>
      <w:r w:rsidR="00406905" w:rsidRPr="00B642CF">
        <w:rPr>
          <w:spacing w:val="0"/>
          <w:szCs w:val="20"/>
          <w:lang w:val="es-ES"/>
        </w:rPr>
        <w:t>hizo un reconocimiento de las conclusiones del Informe de Fondo presentado por la Comisión,</w:t>
      </w:r>
      <w:r w:rsidR="00D36C69" w:rsidRPr="00B642CF">
        <w:rPr>
          <w:spacing w:val="0"/>
          <w:szCs w:val="20"/>
          <w:lang w:val="es-ES"/>
        </w:rPr>
        <w:t xml:space="preserve"> aceptando su responsabilidad internacional</w:t>
      </w:r>
      <w:r w:rsidR="00BB601A" w:rsidRPr="00B642CF">
        <w:rPr>
          <w:spacing w:val="0"/>
          <w:szCs w:val="20"/>
          <w:lang w:val="es-ES"/>
        </w:rPr>
        <w:t xml:space="preserve"> en los términos que se indican más adelante</w:t>
      </w:r>
      <w:r w:rsidR="00B14E15">
        <w:rPr>
          <w:spacing w:val="0"/>
          <w:szCs w:val="20"/>
          <w:lang w:val="es-ES"/>
        </w:rPr>
        <w:t xml:space="preserve"> (</w:t>
      </w:r>
      <w:r w:rsidR="00B14E15">
        <w:rPr>
          <w:i/>
          <w:spacing w:val="0"/>
          <w:szCs w:val="20"/>
          <w:lang w:val="es-ES"/>
        </w:rPr>
        <w:t>infra</w:t>
      </w:r>
      <w:r w:rsidR="00B14E15">
        <w:rPr>
          <w:spacing w:val="0"/>
          <w:szCs w:val="20"/>
          <w:lang w:val="es-ES"/>
        </w:rPr>
        <w:t xml:space="preserve"> Capítulo</w:t>
      </w:r>
      <w:r w:rsidR="001B642F">
        <w:rPr>
          <w:spacing w:val="0"/>
          <w:szCs w:val="20"/>
          <w:lang w:val="es-ES"/>
        </w:rPr>
        <w:t xml:space="preserve"> IV</w:t>
      </w:r>
      <w:r w:rsidR="00B14E15">
        <w:rPr>
          <w:spacing w:val="0"/>
          <w:szCs w:val="20"/>
          <w:lang w:val="es-ES"/>
        </w:rPr>
        <w:t>)</w:t>
      </w:r>
      <w:r w:rsidRPr="00B642CF">
        <w:rPr>
          <w:spacing w:val="0"/>
          <w:szCs w:val="20"/>
          <w:lang w:val="es-ES"/>
        </w:rPr>
        <w:t>.</w:t>
      </w:r>
      <w:bookmarkStart w:id="85" w:name="_Ref308536157"/>
      <w:bookmarkStart w:id="86" w:name="_Ref427771015"/>
      <w:bookmarkStart w:id="87" w:name="_Ref464836612"/>
      <w:bookmarkEnd w:id="83"/>
      <w:bookmarkEnd w:id="84"/>
    </w:p>
    <w:p w14:paraId="4C3141DD" w14:textId="77777777" w:rsidR="00A70EC7" w:rsidRPr="00B642CF" w:rsidRDefault="00A70EC7" w:rsidP="00A70EC7">
      <w:pPr>
        <w:rPr>
          <w:lang w:val="es-ES" w:eastAsia="es-MX"/>
        </w:rPr>
      </w:pPr>
    </w:p>
    <w:p w14:paraId="18B89700" w14:textId="551AA2F3" w:rsidR="00C51EB8" w:rsidRPr="00B642CF" w:rsidRDefault="00C51EB8" w:rsidP="00C51EB8">
      <w:pPr>
        <w:pStyle w:val="PrrafodeSentencia"/>
        <w:rPr>
          <w:b/>
          <w:spacing w:val="0"/>
        </w:rPr>
      </w:pPr>
      <w:r w:rsidRPr="00B642CF">
        <w:rPr>
          <w:i/>
          <w:spacing w:val="0"/>
        </w:rPr>
        <w:t>Observaciones al reconocimiento de responsabilidad.</w:t>
      </w:r>
      <w:r w:rsidR="00AC3A3D" w:rsidRPr="00B642CF">
        <w:rPr>
          <w:i/>
          <w:spacing w:val="0"/>
        </w:rPr>
        <w:t xml:space="preserve"> </w:t>
      </w:r>
      <w:r w:rsidRPr="00B642CF">
        <w:rPr>
          <w:i/>
          <w:spacing w:val="0"/>
        </w:rPr>
        <w:t xml:space="preserve">- </w:t>
      </w:r>
      <w:r w:rsidRPr="00B642CF">
        <w:rPr>
          <w:spacing w:val="0"/>
        </w:rPr>
        <w:t>Por escritos remitidos el 2 de marzo de 2020</w:t>
      </w:r>
      <w:r w:rsidR="00FE7F17" w:rsidRPr="00B642CF">
        <w:rPr>
          <w:spacing w:val="0"/>
        </w:rPr>
        <w:t>,</w:t>
      </w:r>
      <w:r w:rsidRPr="00B642CF">
        <w:rPr>
          <w:spacing w:val="0"/>
        </w:rPr>
        <w:t xml:space="preserve"> la Comisión y </w:t>
      </w:r>
      <w:r w:rsidR="005B6735" w:rsidRPr="00B642CF">
        <w:rPr>
          <w:spacing w:val="0"/>
        </w:rPr>
        <w:t>la representante</w:t>
      </w:r>
      <w:r w:rsidRPr="00B642CF">
        <w:rPr>
          <w:spacing w:val="0"/>
        </w:rPr>
        <w:t xml:space="preserve"> presentaron</w:t>
      </w:r>
      <w:r w:rsidR="00A70EC7" w:rsidRPr="00B642CF">
        <w:rPr>
          <w:spacing w:val="0"/>
        </w:rPr>
        <w:t>, respectivamente,</w:t>
      </w:r>
      <w:r w:rsidRPr="00B642CF">
        <w:rPr>
          <w:spacing w:val="0"/>
        </w:rPr>
        <w:t xml:space="preserve"> sus observaciones al reconocimiento de responsab</w:t>
      </w:r>
      <w:r w:rsidR="007E6E5D" w:rsidRPr="00B642CF">
        <w:rPr>
          <w:spacing w:val="0"/>
        </w:rPr>
        <w:t>ilidad efectuado por el Estado.</w:t>
      </w:r>
    </w:p>
    <w:p w14:paraId="7C859B0F" w14:textId="77777777" w:rsidR="00A70EC7" w:rsidRPr="00B642CF" w:rsidRDefault="00A70EC7" w:rsidP="00A70EC7">
      <w:pPr>
        <w:rPr>
          <w:lang w:val="es-CR" w:eastAsia="es-MX"/>
        </w:rPr>
      </w:pPr>
    </w:p>
    <w:p w14:paraId="2C9A9A44" w14:textId="46C1054D" w:rsidR="005806E5" w:rsidRPr="00B642CF" w:rsidRDefault="009871DD" w:rsidP="009871DD">
      <w:pPr>
        <w:pStyle w:val="PrrafodeSentencia"/>
        <w:rPr>
          <w:spacing w:val="0"/>
          <w:szCs w:val="20"/>
          <w:lang w:val="es-ES"/>
        </w:rPr>
      </w:pPr>
      <w:bookmarkStart w:id="88" w:name="_Ref354147731"/>
      <w:bookmarkStart w:id="89" w:name="_Ref464815046"/>
      <w:bookmarkEnd w:id="85"/>
      <w:bookmarkEnd w:id="86"/>
      <w:bookmarkEnd w:id="87"/>
      <w:r w:rsidRPr="00B642CF">
        <w:rPr>
          <w:i/>
          <w:spacing w:val="0"/>
          <w:szCs w:val="20"/>
          <w:lang w:val="es-ES"/>
        </w:rPr>
        <w:t>Procedimiento final escrito</w:t>
      </w:r>
      <w:r w:rsidR="00705991" w:rsidRPr="00B642CF">
        <w:rPr>
          <w:i/>
          <w:spacing w:val="0"/>
          <w:szCs w:val="20"/>
          <w:lang w:val="es-ES"/>
        </w:rPr>
        <w:t xml:space="preserve">. - </w:t>
      </w:r>
      <w:r w:rsidRPr="00B642CF">
        <w:rPr>
          <w:spacing w:val="0"/>
          <w:szCs w:val="20"/>
          <w:lang w:val="es-ES"/>
        </w:rPr>
        <w:t>El 30 de julio de 2020, la Presidenta emitió una Resolución</w:t>
      </w:r>
      <w:r w:rsidRPr="00B642CF">
        <w:rPr>
          <w:rStyle w:val="Refdenotaalpie"/>
          <w:spacing w:val="0"/>
          <w:lang w:val="es-ES"/>
        </w:rPr>
        <w:footnoteReference w:id="7"/>
      </w:r>
      <w:r w:rsidRPr="00B642CF">
        <w:rPr>
          <w:spacing w:val="0"/>
          <w:szCs w:val="20"/>
          <w:lang w:val="es-ES"/>
        </w:rPr>
        <w:t xml:space="preserve"> mediante la cual, tomando en cuenta la situación originada a causa de la pandemi</w:t>
      </w:r>
      <w:r w:rsidR="00395821">
        <w:rPr>
          <w:spacing w:val="0"/>
          <w:szCs w:val="20"/>
          <w:lang w:val="es-ES"/>
        </w:rPr>
        <w:t>a por la propagación de la COVID</w:t>
      </w:r>
      <w:r w:rsidRPr="00B642CF">
        <w:rPr>
          <w:spacing w:val="0"/>
          <w:szCs w:val="20"/>
          <w:lang w:val="es-ES"/>
        </w:rPr>
        <w:t>-19, de conformidad con el principio de economía procesal y de la facultad que le otorga el artículo 50.1 del Reglamento de la Corte, se decidió no convocar a audiencia pública en el presente caso y solicitar las declaraciones de la presunta víctima y de dos peritos por affidávit</w:t>
      </w:r>
      <w:r w:rsidRPr="00B642CF">
        <w:rPr>
          <w:rStyle w:val="Refdenotaalpie"/>
          <w:spacing w:val="0"/>
          <w:lang w:val="es-ES"/>
        </w:rPr>
        <w:footnoteReference w:id="8"/>
      </w:r>
      <w:r w:rsidRPr="00B642CF">
        <w:rPr>
          <w:spacing w:val="0"/>
          <w:szCs w:val="20"/>
          <w:lang w:val="es-ES"/>
        </w:rPr>
        <w:t xml:space="preserve">. </w:t>
      </w:r>
      <w:r w:rsidR="002644E0" w:rsidRPr="00B642CF">
        <w:rPr>
          <w:spacing w:val="0"/>
          <w:szCs w:val="20"/>
          <w:lang w:val="es-ES"/>
        </w:rPr>
        <w:t>El Estado remitió el p</w:t>
      </w:r>
      <w:r w:rsidR="007E6E5D" w:rsidRPr="00B642CF">
        <w:rPr>
          <w:spacing w:val="0"/>
          <w:szCs w:val="20"/>
          <w:lang w:val="es-ES"/>
        </w:rPr>
        <w:t>eritaje el 27 de agosto de 2020</w:t>
      </w:r>
      <w:r w:rsidR="002644E0" w:rsidRPr="00B642CF">
        <w:rPr>
          <w:spacing w:val="0"/>
          <w:szCs w:val="20"/>
          <w:lang w:val="es-ES"/>
        </w:rPr>
        <w:t xml:space="preserve">, </w:t>
      </w:r>
      <w:r w:rsidR="005B6735" w:rsidRPr="00B642CF">
        <w:rPr>
          <w:spacing w:val="0"/>
          <w:szCs w:val="20"/>
          <w:lang w:val="es-ES"/>
        </w:rPr>
        <w:t>la representante remitió</w:t>
      </w:r>
      <w:r w:rsidR="002644E0" w:rsidRPr="00B642CF">
        <w:rPr>
          <w:spacing w:val="0"/>
          <w:szCs w:val="20"/>
          <w:lang w:val="es-ES"/>
        </w:rPr>
        <w:t xml:space="preserve"> la declaraci</w:t>
      </w:r>
      <w:r w:rsidR="007E6E5D" w:rsidRPr="00B642CF">
        <w:rPr>
          <w:spacing w:val="0"/>
          <w:szCs w:val="20"/>
          <w:lang w:val="es-ES"/>
        </w:rPr>
        <w:t>ón el 28 de agosto de 2020</w:t>
      </w:r>
      <w:r w:rsidR="002644E0" w:rsidRPr="00B642CF">
        <w:rPr>
          <w:spacing w:val="0"/>
          <w:szCs w:val="20"/>
          <w:lang w:val="es-ES"/>
        </w:rPr>
        <w:t xml:space="preserve"> y, finalmente, la Comisión remitió el peritaje el 31 de agosto de 2020. </w:t>
      </w:r>
    </w:p>
    <w:p w14:paraId="421CFA72" w14:textId="77777777" w:rsidR="00A70EC7" w:rsidRPr="00B642CF" w:rsidRDefault="00A70EC7" w:rsidP="00A70EC7">
      <w:pPr>
        <w:rPr>
          <w:highlight w:val="yellow"/>
          <w:lang w:val="es-ES" w:eastAsia="es-MX"/>
        </w:rPr>
      </w:pPr>
    </w:p>
    <w:p w14:paraId="6CC0B5C9" w14:textId="265E004A" w:rsidR="005806E5" w:rsidRPr="00B642CF" w:rsidRDefault="005806E5" w:rsidP="005806E5">
      <w:pPr>
        <w:pStyle w:val="PrrafodeSentencia"/>
        <w:rPr>
          <w:spacing w:val="0"/>
          <w:szCs w:val="20"/>
          <w:lang w:val="es-ES"/>
        </w:rPr>
      </w:pPr>
      <w:r w:rsidRPr="00B642CF">
        <w:rPr>
          <w:i/>
          <w:spacing w:val="0"/>
          <w:szCs w:val="20"/>
          <w:lang w:val="es-ES"/>
        </w:rPr>
        <w:t xml:space="preserve">Alegatos y observaciones finales escritos. - </w:t>
      </w:r>
      <w:r w:rsidRPr="00B642CF">
        <w:rPr>
          <w:spacing w:val="0"/>
          <w:szCs w:val="20"/>
          <w:lang w:val="es-ES"/>
        </w:rPr>
        <w:t xml:space="preserve">El 28 de septiembre del 2020 </w:t>
      </w:r>
      <w:r w:rsidR="005B6735" w:rsidRPr="00B642CF">
        <w:rPr>
          <w:spacing w:val="0"/>
          <w:szCs w:val="20"/>
          <w:lang w:val="es-ES"/>
        </w:rPr>
        <w:t>la representante presentó</w:t>
      </w:r>
      <w:r w:rsidRPr="00B642CF">
        <w:rPr>
          <w:spacing w:val="0"/>
          <w:szCs w:val="20"/>
          <w:lang w:val="es-ES"/>
        </w:rPr>
        <w:t xml:space="preserve"> sus alegatos finales escritos, así como </w:t>
      </w:r>
      <w:r w:rsidR="00AD2FB6" w:rsidRPr="00B642CF">
        <w:rPr>
          <w:spacing w:val="0"/>
          <w:szCs w:val="20"/>
          <w:lang w:val="es-ES"/>
        </w:rPr>
        <w:t>determinados anexos</w:t>
      </w:r>
      <w:r w:rsidRPr="00B642CF">
        <w:rPr>
          <w:spacing w:val="0"/>
          <w:szCs w:val="20"/>
          <w:lang w:val="es-ES"/>
        </w:rPr>
        <w:t>. De la misma mane</w:t>
      </w:r>
      <w:r w:rsidR="00AD2FB6" w:rsidRPr="00B642CF">
        <w:rPr>
          <w:spacing w:val="0"/>
          <w:szCs w:val="20"/>
          <w:lang w:val="es-ES"/>
        </w:rPr>
        <w:t>ra, el 30 de septiembre de 2020</w:t>
      </w:r>
      <w:r w:rsidRPr="00B642CF">
        <w:rPr>
          <w:spacing w:val="0"/>
          <w:szCs w:val="20"/>
          <w:lang w:val="es-ES"/>
        </w:rPr>
        <w:t>, el Estado presentó sus alegatos finales escritos. Finalmente, la Comisión remitió sus observaciones finales escri</w:t>
      </w:r>
      <w:r w:rsidR="00AD2FB6" w:rsidRPr="00B642CF">
        <w:rPr>
          <w:spacing w:val="0"/>
          <w:szCs w:val="20"/>
          <w:lang w:val="es-ES"/>
        </w:rPr>
        <w:t>tas el 30 de septiembre de 2020</w:t>
      </w:r>
      <w:r w:rsidRPr="00B642CF">
        <w:rPr>
          <w:spacing w:val="0"/>
          <w:szCs w:val="20"/>
          <w:lang w:val="es-ES"/>
        </w:rPr>
        <w:t xml:space="preserve">. La documentación presentada en anexo por </w:t>
      </w:r>
      <w:r w:rsidR="005B6735" w:rsidRPr="00B642CF">
        <w:rPr>
          <w:spacing w:val="0"/>
          <w:szCs w:val="20"/>
          <w:lang w:val="es-ES"/>
        </w:rPr>
        <w:t>la representante</w:t>
      </w:r>
      <w:r w:rsidRPr="00B642CF">
        <w:rPr>
          <w:spacing w:val="0"/>
          <w:szCs w:val="20"/>
          <w:lang w:val="es-ES"/>
        </w:rPr>
        <w:t xml:space="preserve"> fue transmitida al Estado y a la Comisión, a qui</w:t>
      </w:r>
      <w:r w:rsidR="007B3795">
        <w:rPr>
          <w:spacing w:val="0"/>
          <w:szCs w:val="20"/>
          <w:lang w:val="es-ES"/>
        </w:rPr>
        <w:t>e</w:t>
      </w:r>
      <w:r w:rsidRPr="00B642CF">
        <w:rPr>
          <w:spacing w:val="0"/>
          <w:szCs w:val="20"/>
          <w:lang w:val="es-ES"/>
        </w:rPr>
        <w:t>nes se les dio plazo para que</w:t>
      </w:r>
      <w:r w:rsidR="00D4398B" w:rsidRPr="00B642CF">
        <w:rPr>
          <w:spacing w:val="0"/>
          <w:szCs w:val="20"/>
          <w:lang w:val="es-ES"/>
        </w:rPr>
        <w:t xml:space="preserve"> presentaran sus observaciones. Éstas fueron pres</w:t>
      </w:r>
      <w:r w:rsidR="00AD2FB6" w:rsidRPr="00B642CF">
        <w:rPr>
          <w:spacing w:val="0"/>
          <w:szCs w:val="20"/>
          <w:lang w:val="es-ES"/>
        </w:rPr>
        <w:t>entadas el 8 de octubre de 2020.</w:t>
      </w:r>
      <w:r w:rsidR="00D4398B" w:rsidRPr="00B642CF">
        <w:rPr>
          <w:spacing w:val="0"/>
          <w:szCs w:val="20"/>
          <w:lang w:val="es-ES"/>
        </w:rPr>
        <w:t xml:space="preserve"> </w:t>
      </w:r>
    </w:p>
    <w:p w14:paraId="380AE013" w14:textId="77777777" w:rsidR="005806E5" w:rsidRPr="00B642CF" w:rsidRDefault="005806E5" w:rsidP="005806E5">
      <w:pPr>
        <w:rPr>
          <w:lang w:val="es-ES" w:eastAsia="es-MX"/>
        </w:rPr>
      </w:pPr>
    </w:p>
    <w:bookmarkEnd w:id="88"/>
    <w:bookmarkEnd w:id="89"/>
    <w:p w14:paraId="1442FCB7" w14:textId="003C5745" w:rsidR="00705991" w:rsidRPr="00B642CF" w:rsidRDefault="00705991" w:rsidP="00705991">
      <w:pPr>
        <w:pStyle w:val="PrrafodeSentencia"/>
        <w:rPr>
          <w:spacing w:val="0"/>
          <w:szCs w:val="20"/>
          <w:lang w:val="es-ES"/>
        </w:rPr>
      </w:pPr>
      <w:r w:rsidRPr="00B642CF">
        <w:rPr>
          <w:i/>
          <w:spacing w:val="0"/>
          <w:szCs w:val="20"/>
          <w:lang w:val="es-ES"/>
        </w:rPr>
        <w:t xml:space="preserve">Deliberación del presente caso. - </w:t>
      </w:r>
      <w:r w:rsidRPr="00B642CF">
        <w:rPr>
          <w:spacing w:val="0"/>
          <w:szCs w:val="20"/>
        </w:rPr>
        <w:t>La Corte deliberó la presente Sentencia,</w:t>
      </w:r>
      <w:r w:rsidR="00386956" w:rsidRPr="00B642CF">
        <w:rPr>
          <w:spacing w:val="0"/>
          <w:szCs w:val="20"/>
        </w:rPr>
        <w:t xml:space="preserve"> a través de una sesión virtual, el día 17 de noviembre de 2020</w:t>
      </w:r>
      <w:r w:rsidRPr="00B642CF">
        <w:rPr>
          <w:rStyle w:val="Refdenotaalpie"/>
          <w:spacing w:val="0"/>
          <w:lang w:val="es-ES"/>
        </w:rPr>
        <w:footnoteReference w:id="9"/>
      </w:r>
      <w:r w:rsidRPr="00B642CF">
        <w:rPr>
          <w:spacing w:val="0"/>
          <w:szCs w:val="20"/>
          <w:lang w:val="es-ES"/>
        </w:rPr>
        <w:t>.</w:t>
      </w:r>
      <w:r w:rsidRPr="00B642CF">
        <w:rPr>
          <w:spacing w:val="0"/>
          <w:szCs w:val="20"/>
          <w:highlight w:val="yellow"/>
          <w:lang w:val="es-ES"/>
        </w:rPr>
        <w:t xml:space="preserve"> </w:t>
      </w:r>
    </w:p>
    <w:p w14:paraId="68E5BAB7" w14:textId="77777777" w:rsidR="00A70EC7" w:rsidRPr="00B642CF" w:rsidRDefault="00A70EC7" w:rsidP="00A70EC7">
      <w:pPr>
        <w:rPr>
          <w:lang w:val="es-ES" w:eastAsia="es-MX"/>
        </w:rPr>
      </w:pPr>
    </w:p>
    <w:p w14:paraId="5038EE33" w14:textId="77777777" w:rsidR="00705991" w:rsidRPr="00B642CF" w:rsidRDefault="00705991" w:rsidP="00A70EC7">
      <w:pPr>
        <w:pStyle w:val="Ttulo1"/>
        <w:spacing w:before="0" w:after="0"/>
        <w:rPr>
          <w:snapToGrid w:val="0"/>
          <w:szCs w:val="20"/>
          <w:lang w:val="es-ES"/>
        </w:rPr>
      </w:pPr>
      <w:bookmarkStart w:id="90" w:name="_Toc424834682"/>
      <w:bookmarkStart w:id="91" w:name="_Toc427932788"/>
      <w:bookmarkStart w:id="92" w:name="_Toc431584605"/>
      <w:bookmarkStart w:id="93" w:name="_Toc434850393"/>
      <w:bookmarkStart w:id="94" w:name="_Toc469593450"/>
      <w:bookmarkStart w:id="95" w:name="_Toc469594433"/>
      <w:bookmarkStart w:id="96" w:name="_Toc469594535"/>
      <w:bookmarkStart w:id="97" w:name="_Toc469594798"/>
      <w:bookmarkStart w:id="98" w:name="_Toc469594901"/>
      <w:bookmarkStart w:id="99" w:name="_Toc469940917"/>
      <w:bookmarkStart w:id="100" w:name="_Toc4402700"/>
      <w:bookmarkStart w:id="101" w:name="_Toc4402939"/>
      <w:bookmarkStart w:id="102" w:name="_Toc8209826"/>
      <w:bookmarkStart w:id="103" w:name="_Toc59089808"/>
      <w:r w:rsidRPr="00B642CF">
        <w:rPr>
          <w:snapToGrid w:val="0"/>
          <w:szCs w:val="20"/>
          <w:lang w:val="es-ES"/>
        </w:rPr>
        <w:t>III</w:t>
      </w:r>
      <w:bookmarkStart w:id="104" w:name="_Toc375062724"/>
      <w:bookmarkStart w:id="105" w:name="_Toc375140874"/>
      <w:bookmarkStart w:id="106" w:name="_Toc375504833"/>
      <w:bookmarkStart w:id="107" w:name="_Toc375560907"/>
      <w:bookmarkStart w:id="108" w:name="_Toc395213493"/>
      <w:bookmarkStart w:id="109" w:name="_Toc396514850"/>
      <w:bookmarkStart w:id="110" w:name="_Toc396515126"/>
      <w:bookmarkStart w:id="111" w:name="_Toc402039405"/>
      <w:bookmarkStart w:id="112" w:name="_Toc403670648"/>
      <w:bookmarkStart w:id="113" w:name="_Toc403671384"/>
      <w:bookmarkStart w:id="114" w:name="_Toc405774576"/>
      <w:bookmarkStart w:id="115" w:name="_Toc405857779"/>
      <w:bookmarkStart w:id="116" w:name="_Toc424833999"/>
      <w:bookmarkStart w:id="117" w:name="_Toc424834683"/>
      <w:bookmarkStart w:id="118" w:name="_Toc424834750"/>
      <w:bookmarkStart w:id="119" w:name="_Toc427234538"/>
      <w:bookmarkStart w:id="120" w:name="_Toc427342827"/>
      <w:bookmarkStart w:id="121" w:name="_Toc427663813"/>
      <w:bookmarkStart w:id="122" w:name="_Toc427932789"/>
      <w:bookmarkStart w:id="123" w:name="_Toc427943552"/>
      <w:bookmarkStart w:id="124" w:name="_Toc427943726"/>
      <w:bookmarkStart w:id="125" w:name="_Toc431584606"/>
      <w:bookmarkStart w:id="126" w:name="_Toc431584722"/>
      <w:bookmarkStart w:id="127" w:name="_Toc431585027"/>
      <w:bookmarkStart w:id="128" w:name="_Toc431646544"/>
      <w:bookmarkStart w:id="129" w:name="_Toc431834623"/>
      <w:bookmarkStart w:id="130" w:name="_Toc308537928"/>
      <w:bookmarkStart w:id="131" w:name="_Toc308538148"/>
      <w:bookmarkStart w:id="132" w:name="_Toc434849915"/>
      <w:bookmarkStart w:id="133" w:name="_Toc434850394"/>
      <w:bookmarkStart w:id="134" w:name="_Toc469594902"/>
      <w:bookmarkStart w:id="135" w:name="_Toc469664211"/>
      <w:bookmarkStart w:id="136" w:name="_Toc469664473"/>
      <w:bookmarkStart w:id="137" w:name="_Toc469940918"/>
      <w:bookmarkEnd w:id="90"/>
      <w:bookmarkEnd w:id="91"/>
      <w:bookmarkEnd w:id="92"/>
      <w:bookmarkEnd w:id="93"/>
      <w:bookmarkEnd w:id="94"/>
      <w:bookmarkEnd w:id="95"/>
      <w:bookmarkEnd w:id="96"/>
      <w:bookmarkEnd w:id="97"/>
      <w:bookmarkEnd w:id="98"/>
      <w:bookmarkEnd w:id="99"/>
      <w:r w:rsidRPr="00B642CF">
        <w:rPr>
          <w:snapToGrid w:val="0"/>
          <w:szCs w:val="20"/>
          <w:lang w:val="es-ES"/>
        </w:rPr>
        <w:br/>
        <w:t>COMPETENCIA</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3316EDB3" w14:textId="77777777" w:rsidR="00A70EC7" w:rsidRPr="00B642CF" w:rsidRDefault="00A70EC7" w:rsidP="00A70EC7">
      <w:pPr>
        <w:rPr>
          <w:lang w:val="es-ES"/>
        </w:rPr>
      </w:pPr>
    </w:p>
    <w:p w14:paraId="11A9B755" w14:textId="77777777" w:rsidR="00705991" w:rsidRPr="00B642CF" w:rsidRDefault="00705991" w:rsidP="00705991">
      <w:pPr>
        <w:pStyle w:val="PrrafodeSentencia"/>
        <w:rPr>
          <w:spacing w:val="0"/>
          <w:szCs w:val="20"/>
          <w:lang w:val="es-ES"/>
        </w:rPr>
      </w:pPr>
      <w:r w:rsidRPr="00B642CF">
        <w:rPr>
          <w:spacing w:val="0"/>
          <w:szCs w:val="20"/>
          <w:lang w:val="es-ES"/>
        </w:rPr>
        <w:t xml:space="preserve">La Corte es competente para conocer el presente caso, en los términos del artículo 62.3 de la Convención, en razón de que Argentina es Estado Parte de la Convención desde el 5 de septiembre de 1984 y reconoció la competencia contenciosa de este Tribunal en esa misma fecha. </w:t>
      </w:r>
    </w:p>
    <w:p w14:paraId="36EB0069" w14:textId="77777777" w:rsidR="00705991" w:rsidRPr="00B642CF" w:rsidRDefault="00705991" w:rsidP="00A70EC7">
      <w:pPr>
        <w:rPr>
          <w:szCs w:val="20"/>
          <w:lang w:val="es-ES"/>
        </w:rPr>
      </w:pPr>
    </w:p>
    <w:p w14:paraId="707B8F63" w14:textId="1EEA7E5B" w:rsidR="00705991" w:rsidRPr="00B642CF" w:rsidRDefault="00705991" w:rsidP="00A70EC7">
      <w:pPr>
        <w:pStyle w:val="Ttulo1"/>
        <w:spacing w:before="0" w:after="0"/>
      </w:pPr>
      <w:bookmarkStart w:id="138" w:name="_Toc4402708"/>
      <w:bookmarkStart w:id="139" w:name="_Toc4402947"/>
      <w:bookmarkStart w:id="140" w:name="_Toc8209834"/>
      <w:bookmarkStart w:id="141" w:name="_Toc59089809"/>
      <w:r w:rsidRPr="00B642CF">
        <w:rPr>
          <w:lang w:val="es-ES"/>
        </w:rPr>
        <w:t>IV</w:t>
      </w:r>
      <w:r w:rsidRPr="00B642CF">
        <w:rPr>
          <w:lang w:val="es-ES"/>
        </w:rPr>
        <w:br/>
      </w:r>
      <w:bookmarkEnd w:id="138"/>
      <w:bookmarkEnd w:id="139"/>
      <w:bookmarkEnd w:id="140"/>
      <w:r w:rsidRPr="00B642CF">
        <w:rPr>
          <w:lang w:val="es-ES"/>
        </w:rPr>
        <w:t xml:space="preserve">RECONOCIMIENTO DE </w:t>
      </w:r>
      <w:r w:rsidRPr="00B642CF">
        <w:t>RESPONSABILIDAD</w:t>
      </w:r>
      <w:bookmarkEnd w:id="141"/>
    </w:p>
    <w:p w14:paraId="4F38C199" w14:textId="77777777" w:rsidR="00A70EC7" w:rsidRPr="00B642CF" w:rsidRDefault="00A70EC7" w:rsidP="00A70EC7"/>
    <w:p w14:paraId="4F67F581" w14:textId="77777777" w:rsidR="00705991" w:rsidRPr="00B642CF" w:rsidRDefault="00705991" w:rsidP="00A70EC7">
      <w:pPr>
        <w:pStyle w:val="Ttulo2"/>
        <w:keepNext/>
        <w:numPr>
          <w:ilvl w:val="0"/>
          <w:numId w:val="5"/>
        </w:numPr>
        <w:tabs>
          <w:tab w:val="clear" w:pos="567"/>
          <w:tab w:val="clear" w:pos="993"/>
          <w:tab w:val="left" w:pos="1134"/>
        </w:tabs>
        <w:spacing w:before="0" w:after="0"/>
        <w:ind w:left="1134" w:hanging="567"/>
        <w:contextualSpacing w:val="0"/>
        <w:rPr>
          <w:lang w:val="es-ES"/>
        </w:rPr>
      </w:pPr>
      <w:bookmarkStart w:id="142" w:name="_Toc59089810"/>
      <w:r w:rsidRPr="00B642CF">
        <w:rPr>
          <w:lang w:val="es-ES"/>
        </w:rPr>
        <w:t>Reconocimiento por parte del Estado, observaciones de las partes y de la Comisión</w:t>
      </w:r>
      <w:bookmarkEnd w:id="142"/>
    </w:p>
    <w:p w14:paraId="6242376B" w14:textId="77777777" w:rsidR="00A70EC7" w:rsidRPr="00B642CF" w:rsidRDefault="00A70EC7" w:rsidP="00A70EC7">
      <w:pPr>
        <w:rPr>
          <w:lang w:val="es-ES"/>
        </w:rPr>
      </w:pPr>
    </w:p>
    <w:p w14:paraId="2154F0BE" w14:textId="704C4FD5" w:rsidR="008C4250" w:rsidRPr="00B642CF" w:rsidRDefault="00C51EB8" w:rsidP="00705991">
      <w:pPr>
        <w:pStyle w:val="PrrafodeSentencia"/>
        <w:rPr>
          <w:b/>
          <w:spacing w:val="0"/>
          <w:szCs w:val="20"/>
          <w:lang w:val="es-ES"/>
        </w:rPr>
      </w:pPr>
      <w:r w:rsidRPr="00B642CF">
        <w:rPr>
          <w:spacing w:val="0"/>
          <w:szCs w:val="20"/>
          <w:lang w:val="es-ES"/>
        </w:rPr>
        <w:t xml:space="preserve">En su escrito de </w:t>
      </w:r>
      <w:r w:rsidR="004F1044">
        <w:rPr>
          <w:spacing w:val="0"/>
          <w:szCs w:val="20"/>
          <w:lang w:val="es-ES"/>
        </w:rPr>
        <w:t>c</w:t>
      </w:r>
      <w:r w:rsidRPr="00B642CF">
        <w:rPr>
          <w:spacing w:val="0"/>
          <w:szCs w:val="20"/>
          <w:lang w:val="es-ES"/>
        </w:rPr>
        <w:t xml:space="preserve">ontestación, el </w:t>
      </w:r>
      <w:r w:rsidRPr="00B642CF">
        <w:rPr>
          <w:b/>
          <w:i/>
          <w:spacing w:val="0"/>
          <w:szCs w:val="20"/>
          <w:lang w:val="es-ES"/>
        </w:rPr>
        <w:t>Estado</w:t>
      </w:r>
      <w:r w:rsidRPr="00B642CF">
        <w:rPr>
          <w:spacing w:val="0"/>
          <w:szCs w:val="20"/>
          <w:lang w:val="es-ES"/>
        </w:rPr>
        <w:t xml:space="preserve"> aceptó “las conclusiones contenidas en el Informe de Fondo No. 147/18 adoptado por la […] Comisión Interamericana</w:t>
      </w:r>
      <w:r w:rsidR="008B5C38" w:rsidRPr="00B642CF">
        <w:rPr>
          <w:spacing w:val="0"/>
          <w:szCs w:val="20"/>
          <w:lang w:val="es-ES"/>
        </w:rPr>
        <w:t xml:space="preserve"> de Derechos Humanos”</w:t>
      </w:r>
      <w:r w:rsidR="0044329D" w:rsidRPr="00B642CF">
        <w:rPr>
          <w:spacing w:val="0"/>
          <w:szCs w:val="20"/>
          <w:lang w:val="es-ES"/>
        </w:rPr>
        <w:t>, en consecuencia, reconoció “la responsabilidad del Estado argentino por las violaciones de derechos determinadas en [el]</w:t>
      </w:r>
      <w:r w:rsidR="008B5C38" w:rsidRPr="00B642CF">
        <w:rPr>
          <w:spacing w:val="0"/>
          <w:szCs w:val="20"/>
          <w:lang w:val="es-ES"/>
        </w:rPr>
        <w:t xml:space="preserve"> Informe de Fondo Nro. 147/18”.</w:t>
      </w:r>
      <w:r w:rsidR="0044329D" w:rsidRPr="00B642CF">
        <w:rPr>
          <w:b/>
          <w:spacing w:val="0"/>
          <w:szCs w:val="20"/>
          <w:lang w:val="es-ES"/>
        </w:rPr>
        <w:t xml:space="preserve"> </w:t>
      </w:r>
      <w:r w:rsidR="0044329D" w:rsidRPr="00B642CF">
        <w:rPr>
          <w:spacing w:val="0"/>
          <w:szCs w:val="20"/>
          <w:lang w:val="es-ES"/>
        </w:rPr>
        <w:t>Al realizar este reconocimie</w:t>
      </w:r>
      <w:r w:rsidR="008B5C38" w:rsidRPr="00B642CF">
        <w:rPr>
          <w:spacing w:val="0"/>
          <w:szCs w:val="20"/>
          <w:lang w:val="es-ES"/>
        </w:rPr>
        <w:t>nto, el Estado tuvo en cuenta</w:t>
      </w:r>
      <w:r w:rsidR="0044329D" w:rsidRPr="00B642CF">
        <w:rPr>
          <w:spacing w:val="0"/>
          <w:szCs w:val="20"/>
          <w:lang w:val="es-ES"/>
        </w:rPr>
        <w:t xml:space="preserve"> “</w:t>
      </w:r>
      <w:r w:rsidR="008B5C38" w:rsidRPr="00B642CF">
        <w:rPr>
          <w:spacing w:val="0"/>
          <w:szCs w:val="20"/>
          <w:lang w:val="es-ES"/>
        </w:rPr>
        <w:t xml:space="preserve">la </w:t>
      </w:r>
      <w:r w:rsidR="0044329D" w:rsidRPr="00B642CF">
        <w:rPr>
          <w:spacing w:val="0"/>
          <w:szCs w:val="20"/>
          <w:lang w:val="es-ES"/>
        </w:rPr>
        <w:t>marcada excepcionalidad del caso del Sr. Almeida”, la identidad de fechas, circunstancias y hechos que caracterizaron la situación del</w:t>
      </w:r>
      <w:r w:rsidR="007A5E35">
        <w:rPr>
          <w:spacing w:val="0"/>
          <w:szCs w:val="20"/>
          <w:lang w:val="es-ES"/>
        </w:rPr>
        <w:t xml:space="preserve"> </w:t>
      </w:r>
      <w:r w:rsidR="004F1044">
        <w:rPr>
          <w:spacing w:val="0"/>
          <w:szCs w:val="20"/>
          <w:lang w:val="es-ES"/>
        </w:rPr>
        <w:t>señor</w:t>
      </w:r>
      <w:r w:rsidR="0044329D" w:rsidRPr="00B642CF">
        <w:rPr>
          <w:spacing w:val="0"/>
          <w:szCs w:val="20"/>
          <w:lang w:val="es-ES"/>
        </w:rPr>
        <w:t xml:space="preserve"> Almeida y la de su pareja, la cual fue beneficiaria </w:t>
      </w:r>
      <w:r w:rsidR="00FE7F17" w:rsidRPr="00B642CF">
        <w:rPr>
          <w:spacing w:val="0"/>
          <w:szCs w:val="20"/>
          <w:lang w:val="es-ES"/>
        </w:rPr>
        <w:t>de la indemnización contemplada</w:t>
      </w:r>
      <w:r w:rsidR="0044329D" w:rsidRPr="00B642CF">
        <w:rPr>
          <w:spacing w:val="0"/>
          <w:szCs w:val="20"/>
          <w:lang w:val="es-ES"/>
        </w:rPr>
        <w:t xml:space="preserve"> por la Ley No. 24.043</w:t>
      </w:r>
      <w:r w:rsidR="00395821">
        <w:rPr>
          <w:spacing w:val="0"/>
          <w:szCs w:val="20"/>
          <w:lang w:val="es-ES"/>
        </w:rPr>
        <w:t>,</w:t>
      </w:r>
      <w:r w:rsidR="0044329D" w:rsidRPr="00B642CF">
        <w:rPr>
          <w:spacing w:val="0"/>
          <w:szCs w:val="20"/>
          <w:lang w:val="es-ES"/>
        </w:rPr>
        <w:t xml:space="preserve"> </w:t>
      </w:r>
      <w:r w:rsidR="00775545" w:rsidRPr="00B642CF">
        <w:rPr>
          <w:spacing w:val="0"/>
          <w:szCs w:val="20"/>
          <w:lang w:val="es-ES"/>
        </w:rPr>
        <w:t>así como</w:t>
      </w:r>
      <w:r w:rsidR="0044329D" w:rsidRPr="00B642CF">
        <w:rPr>
          <w:spacing w:val="0"/>
          <w:szCs w:val="20"/>
          <w:lang w:val="es-ES"/>
        </w:rPr>
        <w:t xml:space="preserve"> la claridad de su relato con respecto a la situación de libertad vigilada a</w:t>
      </w:r>
      <w:r w:rsidR="008B5C38" w:rsidRPr="00B642CF">
        <w:rPr>
          <w:spacing w:val="0"/>
          <w:szCs w:val="20"/>
          <w:lang w:val="es-ES"/>
        </w:rPr>
        <w:t xml:space="preserve"> la que estuvo sometido.</w:t>
      </w:r>
    </w:p>
    <w:p w14:paraId="52A47FF0" w14:textId="77777777" w:rsidR="00A70EC7" w:rsidRPr="00B642CF" w:rsidRDefault="00A70EC7" w:rsidP="00A70EC7">
      <w:pPr>
        <w:rPr>
          <w:lang w:val="es-ES" w:eastAsia="es-MX"/>
        </w:rPr>
      </w:pPr>
    </w:p>
    <w:p w14:paraId="0BCD0F01" w14:textId="734AD6CD" w:rsidR="00705991" w:rsidRPr="00B642CF" w:rsidRDefault="008C4250" w:rsidP="00705991">
      <w:pPr>
        <w:pStyle w:val="PrrafodeSentencia"/>
        <w:rPr>
          <w:b/>
          <w:spacing w:val="0"/>
          <w:szCs w:val="20"/>
          <w:lang w:val="es-ES"/>
        </w:rPr>
      </w:pPr>
      <w:r w:rsidRPr="00B642CF">
        <w:rPr>
          <w:spacing w:val="0"/>
          <w:szCs w:val="20"/>
          <w:lang w:val="es-ES"/>
        </w:rPr>
        <w:t>Con respecto a las reparaciones, e</w:t>
      </w:r>
      <w:r w:rsidR="0044329D" w:rsidRPr="00B642CF">
        <w:rPr>
          <w:spacing w:val="0"/>
          <w:szCs w:val="20"/>
          <w:lang w:val="es-ES"/>
        </w:rPr>
        <w:t xml:space="preserve">l </w:t>
      </w:r>
      <w:r w:rsidR="0044329D" w:rsidRPr="00B642CF">
        <w:rPr>
          <w:b/>
          <w:i/>
          <w:spacing w:val="0"/>
          <w:szCs w:val="20"/>
          <w:lang w:val="es-ES"/>
        </w:rPr>
        <w:t>Estado</w:t>
      </w:r>
      <w:r w:rsidR="0044329D" w:rsidRPr="00B642CF">
        <w:rPr>
          <w:spacing w:val="0"/>
          <w:szCs w:val="20"/>
          <w:lang w:val="es-ES"/>
        </w:rPr>
        <w:t xml:space="preserve"> solicitó a la Corte que </w:t>
      </w:r>
      <w:r w:rsidRPr="00B642CF">
        <w:rPr>
          <w:spacing w:val="0"/>
          <w:szCs w:val="20"/>
          <w:lang w:val="es-ES"/>
        </w:rPr>
        <w:t>dispusiera</w:t>
      </w:r>
      <w:r w:rsidR="0044329D" w:rsidRPr="00B642CF">
        <w:rPr>
          <w:spacing w:val="0"/>
          <w:szCs w:val="20"/>
          <w:lang w:val="es-ES"/>
        </w:rPr>
        <w:t xml:space="preserve"> las reparaciones pecuniarias y los montos en materia de costas y gastos en este trámite, sobre la base del criterio de equidad. Sin embargo, consideró que las medidas institucionales </w:t>
      </w:r>
      <w:r w:rsidR="00562220" w:rsidRPr="00B642CF">
        <w:rPr>
          <w:spacing w:val="0"/>
          <w:szCs w:val="20"/>
          <w:lang w:val="es-ES"/>
        </w:rPr>
        <w:t xml:space="preserve">de reparación </w:t>
      </w:r>
      <w:r w:rsidR="0044329D" w:rsidRPr="00B642CF">
        <w:rPr>
          <w:spacing w:val="0"/>
          <w:szCs w:val="20"/>
          <w:lang w:val="es-ES"/>
        </w:rPr>
        <w:t>solicitadas</w:t>
      </w:r>
      <w:r w:rsidR="00562220" w:rsidRPr="00B642CF">
        <w:rPr>
          <w:spacing w:val="0"/>
          <w:szCs w:val="20"/>
          <w:lang w:val="es-ES"/>
        </w:rPr>
        <w:t xml:space="preserve"> </w:t>
      </w:r>
      <w:r w:rsidR="00FE7F17" w:rsidRPr="00B642CF">
        <w:rPr>
          <w:spacing w:val="0"/>
          <w:szCs w:val="20"/>
          <w:lang w:val="es-ES"/>
        </w:rPr>
        <w:t xml:space="preserve">por </w:t>
      </w:r>
      <w:r w:rsidR="005B6735" w:rsidRPr="00B642CF">
        <w:rPr>
          <w:spacing w:val="0"/>
          <w:szCs w:val="20"/>
          <w:lang w:val="es-ES"/>
        </w:rPr>
        <w:t>la representante</w:t>
      </w:r>
      <w:r w:rsidR="00562220" w:rsidRPr="00B642CF">
        <w:rPr>
          <w:spacing w:val="0"/>
          <w:szCs w:val="20"/>
          <w:lang w:val="es-ES"/>
        </w:rPr>
        <w:t xml:space="preserve"> </w:t>
      </w:r>
      <w:r w:rsidR="0044329D" w:rsidRPr="00B642CF">
        <w:rPr>
          <w:spacing w:val="0"/>
          <w:szCs w:val="20"/>
          <w:lang w:val="es-ES"/>
        </w:rPr>
        <w:t>“desconocen la excepcionalidad que caracterizar</w:t>
      </w:r>
      <w:r w:rsidR="00386956" w:rsidRPr="00B642CF">
        <w:rPr>
          <w:spacing w:val="0"/>
          <w:szCs w:val="20"/>
          <w:lang w:val="es-ES"/>
        </w:rPr>
        <w:t>a</w:t>
      </w:r>
      <w:r w:rsidR="0044329D" w:rsidRPr="00B642CF">
        <w:rPr>
          <w:spacing w:val="0"/>
          <w:szCs w:val="20"/>
          <w:lang w:val="es-ES"/>
        </w:rPr>
        <w:t xml:space="preserve"> la situación del</w:t>
      </w:r>
      <w:r w:rsidR="007A5E35">
        <w:rPr>
          <w:spacing w:val="0"/>
          <w:szCs w:val="20"/>
          <w:lang w:val="es-ES"/>
        </w:rPr>
        <w:t xml:space="preserve"> </w:t>
      </w:r>
      <w:r w:rsidR="00065380">
        <w:rPr>
          <w:spacing w:val="0"/>
          <w:szCs w:val="20"/>
          <w:lang w:val="es-ES"/>
        </w:rPr>
        <w:t>[señor]</w:t>
      </w:r>
      <w:r w:rsidR="0044329D" w:rsidRPr="00B642CF">
        <w:rPr>
          <w:spacing w:val="0"/>
          <w:szCs w:val="20"/>
          <w:lang w:val="es-ES"/>
        </w:rPr>
        <w:t xml:space="preserve"> Almeida”. En efecto subrayó que “tanto la justicia como la administración han incorporado hace años una interpretación amplia de los supuestos de libertad vigilada”</w:t>
      </w:r>
      <w:r w:rsidR="00395821">
        <w:rPr>
          <w:spacing w:val="0"/>
          <w:szCs w:val="20"/>
          <w:lang w:val="es-ES"/>
        </w:rPr>
        <w:t>,</w:t>
      </w:r>
      <w:r w:rsidR="0044329D" w:rsidRPr="00B642CF">
        <w:rPr>
          <w:spacing w:val="0"/>
          <w:szCs w:val="20"/>
          <w:lang w:val="es-ES"/>
        </w:rPr>
        <w:t xml:space="preserve"> por lo que no es necesaria la actualización de los mecanismos de gestión administrativa ni la instrucción de nuevos criterios al personal involucrado en el tratamiento de los pedidos de repara</w:t>
      </w:r>
      <w:r w:rsidR="008B5C38" w:rsidRPr="00B642CF">
        <w:rPr>
          <w:spacing w:val="0"/>
          <w:szCs w:val="20"/>
          <w:lang w:val="es-ES"/>
        </w:rPr>
        <w:t>ción o la adecuación normativa.</w:t>
      </w:r>
    </w:p>
    <w:p w14:paraId="54C553A8" w14:textId="77777777" w:rsidR="00A70EC7" w:rsidRPr="00B642CF" w:rsidRDefault="00A70EC7" w:rsidP="00A70EC7">
      <w:pPr>
        <w:rPr>
          <w:lang w:val="es-ES" w:eastAsia="es-MX"/>
        </w:rPr>
      </w:pPr>
    </w:p>
    <w:p w14:paraId="31273A03" w14:textId="43088672" w:rsidR="008C4250" w:rsidRPr="00B642CF" w:rsidRDefault="008C4250" w:rsidP="008C4250">
      <w:pPr>
        <w:pStyle w:val="PrrafodeSentencia"/>
        <w:rPr>
          <w:b/>
          <w:spacing w:val="0"/>
        </w:rPr>
      </w:pPr>
      <w:r w:rsidRPr="00B642CF">
        <w:rPr>
          <w:spacing w:val="0"/>
        </w:rPr>
        <w:t xml:space="preserve">La </w:t>
      </w:r>
      <w:r w:rsidRPr="00B642CF">
        <w:rPr>
          <w:b/>
          <w:i/>
          <w:spacing w:val="0"/>
        </w:rPr>
        <w:t>Comisión</w:t>
      </w:r>
      <w:r w:rsidR="00C626E7" w:rsidRPr="00B642CF">
        <w:rPr>
          <w:b/>
          <w:i/>
          <w:spacing w:val="0"/>
        </w:rPr>
        <w:t xml:space="preserve"> </w:t>
      </w:r>
      <w:r w:rsidR="00C626E7" w:rsidRPr="00B642CF">
        <w:rPr>
          <w:spacing w:val="0"/>
        </w:rPr>
        <w:t>“valor[ó] muy positivamente la declaración del […] Estado argentino reconociendo su responsabilidad internacional, la cual constituye una contribución positiva al desarrollo del presente proceso internacional y l</w:t>
      </w:r>
      <w:r w:rsidR="008B5C38" w:rsidRPr="00B642CF">
        <w:rPr>
          <w:spacing w:val="0"/>
        </w:rPr>
        <w:t>a dignificación de la víctima”.</w:t>
      </w:r>
      <w:r w:rsidR="00C626E7" w:rsidRPr="00B642CF">
        <w:rPr>
          <w:b/>
          <w:spacing w:val="0"/>
        </w:rPr>
        <w:t xml:space="preserve"> </w:t>
      </w:r>
      <w:r w:rsidR="00C626E7" w:rsidRPr="00B642CF">
        <w:rPr>
          <w:spacing w:val="0"/>
        </w:rPr>
        <w:t xml:space="preserve">En relación con las medidas de reparación no pecuniarias, subrayó que existe una responsabilidad internacional por violación al artículo 2 de la Convención respecto de la exclusión de la libertad vigilada </w:t>
      </w:r>
      <w:r w:rsidR="00C626E7" w:rsidRPr="00B642CF">
        <w:rPr>
          <w:i/>
          <w:spacing w:val="0"/>
        </w:rPr>
        <w:t>de facto</w:t>
      </w:r>
      <w:r w:rsidR="00C626E7" w:rsidRPr="00B642CF">
        <w:rPr>
          <w:spacing w:val="0"/>
        </w:rPr>
        <w:t xml:space="preserve"> de la Ley </w:t>
      </w:r>
      <w:r w:rsidR="005B06BF" w:rsidRPr="00B642CF">
        <w:rPr>
          <w:spacing w:val="0"/>
        </w:rPr>
        <w:t xml:space="preserve">No. </w:t>
      </w:r>
      <w:r w:rsidR="00C626E7" w:rsidRPr="00B642CF">
        <w:rPr>
          <w:spacing w:val="0"/>
        </w:rPr>
        <w:t>24.043, pero que dicha situación “en términos generales fue corregida con posterioridad mediante […] interpretación judicial”. De esta forma</w:t>
      </w:r>
      <w:r w:rsidR="00775545" w:rsidRPr="00B642CF">
        <w:rPr>
          <w:spacing w:val="0"/>
        </w:rPr>
        <w:t>,</w:t>
      </w:r>
      <w:r w:rsidR="00C626E7" w:rsidRPr="00B642CF">
        <w:rPr>
          <w:spacing w:val="0"/>
        </w:rPr>
        <w:t xml:space="preserve"> solicitó que se evaluara la pertinencia de las medidas de reparación planteadas por </w:t>
      </w:r>
      <w:r w:rsidR="005B6735" w:rsidRPr="00B642CF">
        <w:rPr>
          <w:spacing w:val="0"/>
        </w:rPr>
        <w:t>la representante</w:t>
      </w:r>
      <w:r w:rsidR="00C626E7" w:rsidRPr="00B642CF">
        <w:rPr>
          <w:spacing w:val="0"/>
        </w:rPr>
        <w:t xml:space="preserve"> a la luz de </w:t>
      </w:r>
      <w:r w:rsidR="008B5C38" w:rsidRPr="00B642CF">
        <w:rPr>
          <w:spacing w:val="0"/>
        </w:rPr>
        <w:t>las anteriores consideraciones.</w:t>
      </w:r>
    </w:p>
    <w:p w14:paraId="48E940BC" w14:textId="77777777" w:rsidR="00A70EC7" w:rsidRPr="00B642CF" w:rsidRDefault="00A70EC7" w:rsidP="00A70EC7">
      <w:pPr>
        <w:rPr>
          <w:lang w:val="es-CR" w:eastAsia="es-MX"/>
        </w:rPr>
      </w:pPr>
    </w:p>
    <w:p w14:paraId="37653640" w14:textId="5E34261A" w:rsidR="00894549" w:rsidRPr="00B642CF" w:rsidRDefault="005B6735" w:rsidP="00894549">
      <w:pPr>
        <w:pStyle w:val="PrrafodeSentencia"/>
        <w:rPr>
          <w:spacing w:val="0"/>
        </w:rPr>
      </w:pPr>
      <w:r w:rsidRPr="00B642CF">
        <w:rPr>
          <w:spacing w:val="0"/>
        </w:rPr>
        <w:t>La</w:t>
      </w:r>
      <w:r w:rsidR="00894549" w:rsidRPr="00B642CF">
        <w:rPr>
          <w:spacing w:val="0"/>
        </w:rPr>
        <w:t xml:space="preserve"> </w:t>
      </w:r>
      <w:r w:rsidR="00932BBE" w:rsidRPr="00B642CF">
        <w:rPr>
          <w:b/>
          <w:i/>
          <w:spacing w:val="0"/>
        </w:rPr>
        <w:t>r</w:t>
      </w:r>
      <w:r w:rsidRPr="00B642CF">
        <w:rPr>
          <w:b/>
          <w:i/>
          <w:spacing w:val="0"/>
        </w:rPr>
        <w:t>epresentante</w:t>
      </w:r>
      <w:r w:rsidRPr="00B642CF">
        <w:rPr>
          <w:spacing w:val="0"/>
        </w:rPr>
        <w:t xml:space="preserve"> valoró</w:t>
      </w:r>
      <w:r w:rsidR="00894549" w:rsidRPr="00B642CF">
        <w:rPr>
          <w:spacing w:val="0"/>
        </w:rPr>
        <w:t xml:space="preserve"> “la voluntad del Estado Argentino </w:t>
      </w:r>
      <w:r w:rsidR="000C0FA2" w:rsidRPr="00B642CF">
        <w:rPr>
          <w:spacing w:val="0"/>
        </w:rPr>
        <w:t>a través de sus actuales representantes de reco</w:t>
      </w:r>
      <w:r w:rsidR="00FE7F17" w:rsidRPr="00B642CF">
        <w:rPr>
          <w:spacing w:val="0"/>
        </w:rPr>
        <w:t>nocer en el caso particular de e</w:t>
      </w:r>
      <w:r w:rsidR="000C0FA2" w:rsidRPr="00B642CF">
        <w:rPr>
          <w:spacing w:val="0"/>
        </w:rPr>
        <w:t xml:space="preserve">sta parte, la responsabilidad internacional por las violaciones alegadas”. </w:t>
      </w:r>
      <w:r w:rsidRPr="00B642CF">
        <w:rPr>
          <w:spacing w:val="0"/>
        </w:rPr>
        <w:t>Sin embargo, consideró</w:t>
      </w:r>
      <w:r w:rsidR="000C0FA2" w:rsidRPr="00B642CF">
        <w:rPr>
          <w:spacing w:val="0"/>
        </w:rPr>
        <w:t xml:space="preserve"> que el reconocimiento de responsabilidad es parcial “ya que no reconoce que las violaciones de la Convención denunciadas […] no son excepcionales y contin</w:t>
      </w:r>
      <w:r w:rsidRPr="00B642CF">
        <w:rPr>
          <w:spacing w:val="0"/>
        </w:rPr>
        <w:t>úan hasta la fecha”. Subrayó</w:t>
      </w:r>
      <w:r w:rsidR="000C0FA2" w:rsidRPr="00B642CF">
        <w:rPr>
          <w:spacing w:val="0"/>
        </w:rPr>
        <w:t>, en particular</w:t>
      </w:r>
      <w:r w:rsidR="00FE7F17" w:rsidRPr="00B642CF">
        <w:rPr>
          <w:spacing w:val="0"/>
        </w:rPr>
        <w:t>,</w:t>
      </w:r>
      <w:r w:rsidR="000C0FA2" w:rsidRPr="00B642CF">
        <w:rPr>
          <w:spacing w:val="0"/>
        </w:rPr>
        <w:t xml:space="preserve"> que se desconoce así que la normativa interna habilita a la Corte Suprema de la Nación a no fundar sus sentencias y permite no analizar denuncias a violaciones de derechos humanos por meras formalidades.</w:t>
      </w:r>
      <w:r w:rsidR="00606149" w:rsidRPr="00B642CF">
        <w:rPr>
          <w:spacing w:val="0"/>
        </w:rPr>
        <w:t xml:space="preserve"> De e</w:t>
      </w:r>
      <w:r w:rsidR="00775545" w:rsidRPr="00B642CF">
        <w:rPr>
          <w:spacing w:val="0"/>
        </w:rPr>
        <w:t>sta forma, reite</w:t>
      </w:r>
      <w:r w:rsidRPr="00B642CF">
        <w:rPr>
          <w:spacing w:val="0"/>
        </w:rPr>
        <w:t>ró</w:t>
      </w:r>
      <w:r w:rsidR="00606149" w:rsidRPr="00B642CF">
        <w:rPr>
          <w:spacing w:val="0"/>
        </w:rPr>
        <w:t xml:space="preserve"> su solicitud de medidas de reparación no pecun</w:t>
      </w:r>
      <w:r w:rsidR="008B5C38" w:rsidRPr="00B642CF">
        <w:rPr>
          <w:spacing w:val="0"/>
        </w:rPr>
        <w:t>iarias.</w:t>
      </w:r>
    </w:p>
    <w:p w14:paraId="40DF19CE" w14:textId="77777777" w:rsidR="00C626E7" w:rsidRPr="00B642CF" w:rsidRDefault="00C626E7" w:rsidP="00C626E7">
      <w:pPr>
        <w:rPr>
          <w:lang w:val="es-CR" w:eastAsia="es-MX"/>
        </w:rPr>
      </w:pPr>
    </w:p>
    <w:p w14:paraId="49EDC489" w14:textId="77777777" w:rsidR="00705991" w:rsidRPr="00B642CF" w:rsidRDefault="00705991" w:rsidP="00B642CF">
      <w:pPr>
        <w:pStyle w:val="Ttulo2"/>
        <w:keepNext/>
        <w:numPr>
          <w:ilvl w:val="0"/>
          <w:numId w:val="5"/>
        </w:numPr>
        <w:tabs>
          <w:tab w:val="clear" w:pos="567"/>
          <w:tab w:val="clear" w:pos="993"/>
          <w:tab w:val="left" w:pos="1134"/>
        </w:tabs>
        <w:spacing w:before="0" w:after="0"/>
        <w:ind w:left="1134" w:hanging="567"/>
        <w:contextualSpacing w:val="0"/>
        <w:rPr>
          <w:lang w:val="es-ES"/>
        </w:rPr>
      </w:pPr>
      <w:bookmarkStart w:id="143" w:name="_Toc59089811"/>
      <w:r w:rsidRPr="00B642CF">
        <w:rPr>
          <w:lang w:val="es-ES"/>
        </w:rPr>
        <w:t>Consideraciones de la Corte</w:t>
      </w:r>
      <w:bookmarkEnd w:id="143"/>
    </w:p>
    <w:p w14:paraId="4199874C" w14:textId="77777777" w:rsidR="00A70EC7" w:rsidRPr="00B642CF" w:rsidRDefault="00A70EC7" w:rsidP="00A70EC7">
      <w:pPr>
        <w:rPr>
          <w:lang w:val="es-ES"/>
        </w:rPr>
      </w:pPr>
    </w:p>
    <w:p w14:paraId="39E84C0C" w14:textId="77777777" w:rsidR="00705991" w:rsidRPr="00B642CF" w:rsidRDefault="00705991" w:rsidP="00705991">
      <w:pPr>
        <w:pStyle w:val="PrrafodeSentencia"/>
        <w:rPr>
          <w:spacing w:val="0"/>
          <w:szCs w:val="20"/>
          <w:lang w:val="es-CO"/>
        </w:rPr>
      </w:pPr>
      <w:r w:rsidRPr="00B642CF">
        <w:rPr>
          <w:spacing w:val="0"/>
          <w:szCs w:val="20"/>
          <w:lang w:val="es-ES"/>
        </w:rPr>
        <w:t>De conformidad con los artículos 62 y 64 del Reglamento, y en ejercicio de sus poderes de tutela judicial internacional de derechos humanos, cuestión de orden público internacional, incumbe a este Tribunal velar porque los actos de reconocimiento de responsabilidad resulten aceptables para los fines que busca cumplir el sistema interamericano</w:t>
      </w:r>
      <w:r w:rsidRPr="00B642CF">
        <w:rPr>
          <w:rStyle w:val="Refdenotaalpie"/>
          <w:spacing w:val="0"/>
          <w:lang w:val="es-ES"/>
        </w:rPr>
        <w:footnoteReference w:id="10"/>
      </w:r>
      <w:r w:rsidRPr="00B642CF">
        <w:rPr>
          <w:spacing w:val="0"/>
          <w:szCs w:val="20"/>
          <w:lang w:val="es-ES"/>
        </w:rPr>
        <w:t>.</w:t>
      </w:r>
      <w:r w:rsidRPr="00B642CF">
        <w:rPr>
          <w:rFonts w:cs="Times"/>
          <w:spacing w:val="0"/>
          <w:szCs w:val="20"/>
          <w:lang w:val="es-CO"/>
        </w:rPr>
        <w:t xml:space="preserve"> </w:t>
      </w:r>
      <w:r w:rsidRPr="00B642CF">
        <w:rPr>
          <w:spacing w:val="0"/>
          <w:szCs w:val="20"/>
          <w:lang w:val="es-CO"/>
        </w:rPr>
        <w:t>A continuación, el Tribunal analizará la situación planteada en este caso en concreto.</w:t>
      </w:r>
    </w:p>
    <w:p w14:paraId="1FBA2F3E" w14:textId="77777777" w:rsidR="00A70EC7" w:rsidRPr="00B642CF" w:rsidRDefault="00A70EC7" w:rsidP="00A70EC7">
      <w:pPr>
        <w:rPr>
          <w:lang w:val="es-CO" w:eastAsia="es-MX"/>
        </w:rPr>
      </w:pPr>
    </w:p>
    <w:p w14:paraId="44B330EB" w14:textId="77777777" w:rsidR="00705991" w:rsidRPr="00B642CF" w:rsidRDefault="00705991" w:rsidP="00A70EC7">
      <w:pPr>
        <w:pStyle w:val="Ttulo3"/>
        <w:spacing w:after="0"/>
        <w:contextualSpacing w:val="0"/>
        <w:rPr>
          <w:szCs w:val="20"/>
          <w:lang w:val="es-ES"/>
        </w:rPr>
      </w:pPr>
      <w:r w:rsidRPr="00B642CF">
        <w:rPr>
          <w:b w:val="0"/>
          <w:szCs w:val="20"/>
          <w:lang w:val="es-ES"/>
        </w:rPr>
        <w:tab/>
      </w:r>
      <w:bookmarkStart w:id="144" w:name="_Toc59089812"/>
      <w:r w:rsidRPr="00B642CF">
        <w:rPr>
          <w:szCs w:val="20"/>
          <w:lang w:val="es-ES"/>
        </w:rPr>
        <w:t>B.1. En cuanto a los hechos</w:t>
      </w:r>
      <w:bookmarkEnd w:id="144"/>
    </w:p>
    <w:p w14:paraId="29688795" w14:textId="77777777" w:rsidR="005806E5" w:rsidRPr="00B642CF" w:rsidRDefault="005806E5" w:rsidP="005806E5">
      <w:pPr>
        <w:rPr>
          <w:lang w:val="es-ES"/>
        </w:rPr>
      </w:pPr>
    </w:p>
    <w:p w14:paraId="2A261B4C" w14:textId="1F8F0406" w:rsidR="005806E5" w:rsidRPr="00B642CF" w:rsidRDefault="00BB601A" w:rsidP="00BB601A">
      <w:pPr>
        <w:pStyle w:val="PrrafodeSentencia"/>
        <w:rPr>
          <w:spacing w:val="0"/>
        </w:rPr>
      </w:pPr>
      <w:r w:rsidRPr="00B642CF">
        <w:rPr>
          <w:spacing w:val="0"/>
        </w:rPr>
        <w:t>Argentina efectuó su reconocimiento de responsabilidad internacional respecto a la totalidad de las violaciones de derechos indicadas po</w:t>
      </w:r>
      <w:r w:rsidR="00FE7F17" w:rsidRPr="00B642CF">
        <w:rPr>
          <w:spacing w:val="0"/>
        </w:rPr>
        <w:t>r la Comisión (</w:t>
      </w:r>
      <w:r w:rsidR="00FE7F17" w:rsidRPr="00B642CF">
        <w:rPr>
          <w:i/>
          <w:spacing w:val="0"/>
        </w:rPr>
        <w:t>infra</w:t>
      </w:r>
      <w:r w:rsidR="00775545" w:rsidRPr="00B642CF">
        <w:rPr>
          <w:i/>
          <w:spacing w:val="0"/>
        </w:rPr>
        <w:t>,</w:t>
      </w:r>
      <w:r w:rsidR="00FE7F17" w:rsidRPr="00B642CF">
        <w:rPr>
          <w:spacing w:val="0"/>
        </w:rPr>
        <w:t xml:space="preserve"> párr. 20</w:t>
      </w:r>
      <w:r w:rsidRPr="00B642CF">
        <w:rPr>
          <w:spacing w:val="0"/>
        </w:rPr>
        <w:t>). La Corte entiende que el Estado, al aceptar todas las violaciones a derechos humanos referidas en el Informe de Fondo, ha reconocido, a su vez, la totalidad de los hechos contenidos en dicho Informe que dieron lugar a tales violaciones.</w:t>
      </w:r>
    </w:p>
    <w:p w14:paraId="12F206FB" w14:textId="77777777" w:rsidR="00CD5167" w:rsidRPr="00B642CF" w:rsidRDefault="00CD5167" w:rsidP="00CD5167">
      <w:pPr>
        <w:rPr>
          <w:lang w:val="es-ES" w:eastAsia="es-MX"/>
        </w:rPr>
      </w:pPr>
    </w:p>
    <w:p w14:paraId="6A0292E3" w14:textId="77777777" w:rsidR="00705991" w:rsidRPr="00B642CF" w:rsidRDefault="00705991" w:rsidP="00705991">
      <w:pPr>
        <w:pStyle w:val="Ttulo3"/>
        <w:rPr>
          <w:lang w:eastAsia="es-MX"/>
        </w:rPr>
      </w:pPr>
      <w:r w:rsidRPr="00B642CF">
        <w:rPr>
          <w:lang w:eastAsia="es-MX"/>
        </w:rPr>
        <w:tab/>
      </w:r>
      <w:bookmarkStart w:id="145" w:name="_Toc59089813"/>
      <w:r w:rsidRPr="00B642CF">
        <w:rPr>
          <w:lang w:eastAsia="es-MX"/>
        </w:rPr>
        <w:t>B.2. En cuanto a las pretensiones de derecho</w:t>
      </w:r>
      <w:bookmarkEnd w:id="145"/>
    </w:p>
    <w:p w14:paraId="699B37A0" w14:textId="3C5B7F02" w:rsidR="00931CC7" w:rsidRPr="00B642CF" w:rsidRDefault="00F05842" w:rsidP="00793B14">
      <w:pPr>
        <w:pStyle w:val="PrrafodeSentencia"/>
        <w:rPr>
          <w:spacing w:val="0"/>
          <w:szCs w:val="20"/>
          <w:lang w:val="es-ES"/>
        </w:rPr>
      </w:pPr>
      <w:r w:rsidRPr="00B642CF">
        <w:rPr>
          <w:spacing w:val="0"/>
          <w:szCs w:val="20"/>
          <w:lang w:val="es-ES"/>
        </w:rPr>
        <w:t>Este Tribunal considera que el reconocimiento del Estado constituye</w:t>
      </w:r>
      <w:r w:rsidR="00415DE4" w:rsidRPr="00B642CF">
        <w:rPr>
          <w:spacing w:val="0"/>
          <w:szCs w:val="20"/>
          <w:lang w:val="es-ES"/>
        </w:rPr>
        <w:t xml:space="preserve"> un allanamiento a las pretensiones de derecho de la Comisión respecto a l</w:t>
      </w:r>
      <w:r w:rsidR="00705991" w:rsidRPr="00B642CF">
        <w:rPr>
          <w:spacing w:val="0"/>
          <w:szCs w:val="20"/>
          <w:lang w:val="es-ES"/>
        </w:rPr>
        <w:t xml:space="preserve">a vulneración al derecho </w:t>
      </w:r>
      <w:r w:rsidR="00CD5167" w:rsidRPr="00B642CF">
        <w:rPr>
          <w:spacing w:val="0"/>
          <w:szCs w:val="20"/>
          <w:lang w:val="es-ES"/>
        </w:rPr>
        <w:t>a la igualdad ante la ley, el derecho a una adecuada motivación</w:t>
      </w:r>
      <w:r w:rsidR="00EF7EAF" w:rsidRPr="00B642CF">
        <w:rPr>
          <w:spacing w:val="0"/>
          <w:szCs w:val="20"/>
          <w:lang w:val="es-ES"/>
        </w:rPr>
        <w:t xml:space="preserve"> de las decisiones judiciales</w:t>
      </w:r>
      <w:r w:rsidR="00CD5167" w:rsidRPr="00B642CF">
        <w:rPr>
          <w:spacing w:val="0"/>
          <w:szCs w:val="20"/>
          <w:lang w:val="es-ES"/>
        </w:rPr>
        <w:t xml:space="preserve"> y el derecho a la protección judicial</w:t>
      </w:r>
      <w:r w:rsidR="00FF6570">
        <w:rPr>
          <w:spacing w:val="0"/>
          <w:szCs w:val="20"/>
          <w:lang w:val="es-ES"/>
        </w:rPr>
        <w:t>, reconocidos en los</w:t>
      </w:r>
      <w:r w:rsidR="00CD5167" w:rsidRPr="00B642CF">
        <w:rPr>
          <w:spacing w:val="0"/>
          <w:szCs w:val="20"/>
          <w:lang w:val="es-ES"/>
        </w:rPr>
        <w:t xml:space="preserve"> artículos 24, 8.1 y 25.1 de la Convención</w:t>
      </w:r>
      <w:r w:rsidR="00775545" w:rsidRPr="00B642CF">
        <w:rPr>
          <w:spacing w:val="0"/>
          <w:szCs w:val="20"/>
          <w:lang w:val="es-ES"/>
        </w:rPr>
        <w:t>,</w:t>
      </w:r>
      <w:r w:rsidR="00CD5167" w:rsidRPr="00B642CF">
        <w:rPr>
          <w:spacing w:val="0"/>
          <w:szCs w:val="20"/>
          <w:lang w:val="es-ES"/>
        </w:rPr>
        <w:t xml:space="preserve"> en relación con </w:t>
      </w:r>
      <w:r w:rsidRPr="00B642CF">
        <w:rPr>
          <w:spacing w:val="0"/>
          <w:szCs w:val="20"/>
          <w:lang w:val="es-ES"/>
        </w:rPr>
        <w:t>los artículos 1.1 y 2</w:t>
      </w:r>
      <w:r w:rsidR="00562220" w:rsidRPr="00B642CF">
        <w:rPr>
          <w:spacing w:val="0"/>
          <w:szCs w:val="20"/>
          <w:lang w:val="es-ES"/>
        </w:rPr>
        <w:t xml:space="preserve"> </w:t>
      </w:r>
      <w:r w:rsidR="00CD5167" w:rsidRPr="00B642CF">
        <w:rPr>
          <w:spacing w:val="0"/>
          <w:szCs w:val="20"/>
          <w:lang w:val="es-ES"/>
        </w:rPr>
        <w:t>del mismo cuerpo normativo</w:t>
      </w:r>
      <w:r w:rsidR="00705991" w:rsidRPr="00B642CF">
        <w:rPr>
          <w:spacing w:val="0"/>
          <w:szCs w:val="20"/>
          <w:lang w:val="es-ES"/>
        </w:rPr>
        <w:t>.</w:t>
      </w:r>
      <w:r w:rsidR="00CD5167" w:rsidRPr="00B642CF">
        <w:rPr>
          <w:spacing w:val="0"/>
          <w:szCs w:val="20"/>
          <w:lang w:val="es-ES"/>
        </w:rPr>
        <w:t xml:space="preserve"> </w:t>
      </w:r>
      <w:r w:rsidR="00931CC7" w:rsidRPr="00B642CF">
        <w:rPr>
          <w:spacing w:val="0"/>
          <w:szCs w:val="20"/>
          <w:lang w:val="es-ES"/>
        </w:rPr>
        <w:t>De esta forma</w:t>
      </w:r>
      <w:r w:rsidR="00775545" w:rsidRPr="00B642CF">
        <w:rPr>
          <w:spacing w:val="0"/>
          <w:szCs w:val="20"/>
          <w:lang w:val="es-ES"/>
        </w:rPr>
        <w:t>,</w:t>
      </w:r>
      <w:r w:rsidR="00931CC7" w:rsidRPr="00B642CF">
        <w:rPr>
          <w:spacing w:val="0"/>
          <w:szCs w:val="20"/>
          <w:lang w:val="es-ES"/>
        </w:rPr>
        <w:t xml:space="preserve"> se considera que no subsisten contr</w:t>
      </w:r>
      <w:r w:rsidR="00793B14" w:rsidRPr="00B642CF">
        <w:rPr>
          <w:spacing w:val="0"/>
          <w:szCs w:val="20"/>
          <w:lang w:val="es-ES"/>
        </w:rPr>
        <w:t>oversias con respecto al fondo.</w:t>
      </w:r>
    </w:p>
    <w:p w14:paraId="04A7730C" w14:textId="77777777" w:rsidR="00CD5167" w:rsidRPr="00B642CF" w:rsidRDefault="00CD5167" w:rsidP="00705991">
      <w:pPr>
        <w:pStyle w:val="Ttulo3"/>
        <w:rPr>
          <w:lang w:eastAsia="es-MX"/>
        </w:rPr>
      </w:pPr>
    </w:p>
    <w:p w14:paraId="26F553BA" w14:textId="77777777" w:rsidR="00415DE4" w:rsidRPr="00B642CF" w:rsidRDefault="00705991" w:rsidP="00415DE4">
      <w:pPr>
        <w:pStyle w:val="Ttulo3"/>
        <w:spacing w:after="0"/>
        <w:rPr>
          <w:lang w:eastAsia="es-MX"/>
        </w:rPr>
      </w:pPr>
      <w:r w:rsidRPr="00B642CF">
        <w:rPr>
          <w:lang w:eastAsia="es-MX"/>
        </w:rPr>
        <w:tab/>
      </w:r>
      <w:bookmarkStart w:id="146" w:name="_Toc59089814"/>
      <w:r w:rsidRPr="00B642CF">
        <w:rPr>
          <w:lang w:eastAsia="es-MX"/>
        </w:rPr>
        <w:t>B.3. En cuanto a las reparaciones</w:t>
      </w:r>
      <w:bookmarkEnd w:id="146"/>
    </w:p>
    <w:p w14:paraId="2C99BB2C" w14:textId="77777777" w:rsidR="00705991" w:rsidRPr="00B642CF" w:rsidRDefault="00705991" w:rsidP="00415DE4">
      <w:pPr>
        <w:pStyle w:val="Ttulo3"/>
        <w:spacing w:after="0"/>
        <w:rPr>
          <w:lang w:eastAsia="es-MX"/>
        </w:rPr>
      </w:pPr>
      <w:r w:rsidRPr="00B642CF">
        <w:rPr>
          <w:lang w:eastAsia="es-MX"/>
        </w:rPr>
        <w:t xml:space="preserve"> </w:t>
      </w:r>
    </w:p>
    <w:p w14:paraId="20AE4E18" w14:textId="6058D1E0" w:rsidR="00705991" w:rsidRPr="00B642CF" w:rsidRDefault="00705991" w:rsidP="001303D1">
      <w:pPr>
        <w:pStyle w:val="PrrafodeSentencia"/>
        <w:rPr>
          <w:spacing w:val="0"/>
          <w:szCs w:val="20"/>
          <w:lang w:val="es-ES"/>
        </w:rPr>
      </w:pPr>
      <w:r w:rsidRPr="00B642CF">
        <w:rPr>
          <w:spacing w:val="0"/>
          <w:szCs w:val="20"/>
          <w:lang w:val="es-ES"/>
        </w:rPr>
        <w:t xml:space="preserve">Finalmente, con respecto a las reparaciones, </w:t>
      </w:r>
      <w:r w:rsidR="001303D1" w:rsidRPr="00B642CF">
        <w:rPr>
          <w:spacing w:val="0"/>
          <w:szCs w:val="20"/>
          <w:lang w:val="es-ES"/>
        </w:rPr>
        <w:t xml:space="preserve">el Estado aceptó de forma expresa las reparaciones pecuniarias solicitadas tanto por la Comisión como por </w:t>
      </w:r>
      <w:r w:rsidR="005B6735" w:rsidRPr="00B642CF">
        <w:rPr>
          <w:spacing w:val="0"/>
          <w:szCs w:val="20"/>
          <w:lang w:val="es-ES"/>
        </w:rPr>
        <w:t>la representante</w:t>
      </w:r>
      <w:r w:rsidR="001303D1" w:rsidRPr="00B642CF">
        <w:rPr>
          <w:spacing w:val="0"/>
          <w:szCs w:val="20"/>
          <w:lang w:val="es-ES"/>
        </w:rPr>
        <w:t>, sin embargo, consideró que no corresponde ordenar ninguna de las medidas de no repetición solicitadas.</w:t>
      </w:r>
      <w:r w:rsidR="00E551BE" w:rsidRPr="00B642CF">
        <w:rPr>
          <w:spacing w:val="0"/>
          <w:szCs w:val="20"/>
          <w:lang w:val="es-ES"/>
        </w:rPr>
        <w:t xml:space="preserve"> Por lo tanto, la única controversia que subsiste es sobre el</w:t>
      </w:r>
      <w:r w:rsidR="007A5E35">
        <w:rPr>
          <w:spacing w:val="0"/>
          <w:szCs w:val="20"/>
          <w:lang w:val="es-ES"/>
        </w:rPr>
        <w:t xml:space="preserve"> </w:t>
      </w:r>
      <w:r w:rsidR="00E551BE" w:rsidRPr="00B642CF">
        <w:rPr>
          <w:spacing w:val="0"/>
          <w:szCs w:val="20"/>
          <w:lang w:val="es-ES"/>
        </w:rPr>
        <w:t xml:space="preserve">carácter excepcional del caso del señor Almeida, y sobre la necesidad o no de tomar medidas de carácter general que aseguren el cumplimiento de las obligaciones derivadas del artículo 2 de la Convención, con el fin de responder a </w:t>
      </w:r>
      <w:r w:rsidR="005B6735" w:rsidRPr="00B642CF">
        <w:rPr>
          <w:spacing w:val="0"/>
          <w:szCs w:val="20"/>
          <w:lang w:val="es-ES"/>
        </w:rPr>
        <w:t>las observaciones hechas por la representante</w:t>
      </w:r>
      <w:r w:rsidR="00E551BE" w:rsidRPr="00B642CF">
        <w:rPr>
          <w:spacing w:val="0"/>
          <w:szCs w:val="20"/>
          <w:lang w:val="es-ES"/>
        </w:rPr>
        <w:t xml:space="preserve"> al reconocimiento realizado por el Estado, </w:t>
      </w:r>
      <w:r w:rsidR="001303D1" w:rsidRPr="00B642CF">
        <w:rPr>
          <w:spacing w:val="0"/>
          <w:szCs w:val="20"/>
          <w:lang w:val="es-ES"/>
        </w:rPr>
        <w:t xml:space="preserve">De esta forma, esta Corte entrará a analizar </w:t>
      </w:r>
      <w:r w:rsidR="00E551BE" w:rsidRPr="00B642CF">
        <w:rPr>
          <w:spacing w:val="0"/>
          <w:szCs w:val="20"/>
          <w:lang w:val="es-ES"/>
        </w:rPr>
        <w:t>la</w:t>
      </w:r>
      <w:r w:rsidR="001303D1" w:rsidRPr="00B642CF">
        <w:rPr>
          <w:spacing w:val="0"/>
          <w:szCs w:val="20"/>
          <w:lang w:val="es-ES"/>
        </w:rPr>
        <w:t xml:space="preserve">s medidas </w:t>
      </w:r>
      <w:r w:rsidR="00E551BE" w:rsidRPr="00B642CF">
        <w:rPr>
          <w:spacing w:val="0"/>
          <w:szCs w:val="20"/>
          <w:lang w:val="es-ES"/>
        </w:rPr>
        <w:t xml:space="preserve">solicitadas </w:t>
      </w:r>
      <w:r w:rsidR="001303D1" w:rsidRPr="00B642CF">
        <w:rPr>
          <w:spacing w:val="0"/>
          <w:szCs w:val="20"/>
          <w:lang w:val="es-ES"/>
        </w:rPr>
        <w:t xml:space="preserve">en </w:t>
      </w:r>
      <w:r w:rsidR="00E551BE" w:rsidRPr="00B642CF">
        <w:rPr>
          <w:spacing w:val="0"/>
          <w:szCs w:val="20"/>
          <w:lang w:val="es-ES"/>
        </w:rPr>
        <w:t xml:space="preserve">el acápite de reparaciones </w:t>
      </w:r>
      <w:r w:rsidR="001303D1" w:rsidRPr="00B642CF">
        <w:rPr>
          <w:spacing w:val="0"/>
          <w:szCs w:val="20"/>
          <w:lang w:val="es-ES"/>
        </w:rPr>
        <w:t xml:space="preserve">de esta </w:t>
      </w:r>
      <w:r w:rsidR="00E551BE" w:rsidRPr="00B642CF">
        <w:rPr>
          <w:spacing w:val="0"/>
          <w:szCs w:val="20"/>
          <w:lang w:val="es-ES"/>
        </w:rPr>
        <w:t>S</w:t>
      </w:r>
      <w:r w:rsidR="001303D1" w:rsidRPr="00B642CF">
        <w:rPr>
          <w:spacing w:val="0"/>
          <w:szCs w:val="20"/>
          <w:lang w:val="es-ES"/>
        </w:rPr>
        <w:t>entencia</w:t>
      </w:r>
      <w:r w:rsidRPr="00B642CF">
        <w:rPr>
          <w:spacing w:val="0"/>
          <w:szCs w:val="20"/>
          <w:lang w:val="es-ES"/>
        </w:rPr>
        <w:t>.</w:t>
      </w:r>
    </w:p>
    <w:p w14:paraId="59F6B0A8" w14:textId="77777777" w:rsidR="001303D1" w:rsidRPr="00B642CF" w:rsidRDefault="001303D1" w:rsidP="001303D1">
      <w:pPr>
        <w:rPr>
          <w:lang w:val="es-ES" w:eastAsia="es-MX"/>
        </w:rPr>
      </w:pPr>
    </w:p>
    <w:p w14:paraId="67E3F0E0" w14:textId="77777777" w:rsidR="00705991" w:rsidRPr="00B642CF" w:rsidRDefault="00705991" w:rsidP="009F3C4A">
      <w:pPr>
        <w:pStyle w:val="Ttulo3"/>
        <w:spacing w:after="0"/>
        <w:rPr>
          <w:lang w:eastAsia="es-MX"/>
        </w:rPr>
      </w:pPr>
      <w:r w:rsidRPr="00B642CF">
        <w:rPr>
          <w:lang w:eastAsia="es-MX"/>
        </w:rPr>
        <w:tab/>
      </w:r>
      <w:bookmarkStart w:id="147" w:name="_Toc59089815"/>
      <w:r w:rsidRPr="00B642CF">
        <w:rPr>
          <w:lang w:eastAsia="es-MX"/>
        </w:rPr>
        <w:t>B.4. Valoración del reconocimiento de responsabilidad</w:t>
      </w:r>
      <w:bookmarkEnd w:id="147"/>
    </w:p>
    <w:p w14:paraId="2E9CA508" w14:textId="77777777" w:rsidR="001303D1" w:rsidRPr="00B642CF" w:rsidRDefault="001303D1" w:rsidP="001303D1">
      <w:pPr>
        <w:rPr>
          <w:lang w:val="es-CO" w:eastAsia="es-MX"/>
        </w:rPr>
      </w:pPr>
    </w:p>
    <w:p w14:paraId="4A73EDB6" w14:textId="77777777" w:rsidR="00705991" w:rsidRPr="00B642CF" w:rsidRDefault="00705991" w:rsidP="00705991">
      <w:pPr>
        <w:pStyle w:val="PrrafodeSentencia"/>
        <w:rPr>
          <w:spacing w:val="0"/>
        </w:rPr>
      </w:pPr>
      <w:r w:rsidRPr="00B642CF">
        <w:rPr>
          <w:spacing w:val="0"/>
        </w:rPr>
        <w:t>La Corte estima que el reconocimiento total de responsabilidad internacional constituye una contribución positiva al desarrollo de este proceso y a la vigencia de los principios que inspiran la Convención, así como a las necesidades de reparación de las víctimas</w:t>
      </w:r>
      <w:r w:rsidRPr="00B642CF">
        <w:rPr>
          <w:spacing w:val="0"/>
          <w:vertAlign w:val="superscript"/>
        </w:rPr>
        <w:footnoteReference w:id="11"/>
      </w:r>
      <w:r w:rsidRPr="00B642CF">
        <w:rPr>
          <w:spacing w:val="0"/>
        </w:rPr>
        <w:t>. El reconocimiento efectuado por el Estado produce plenos efectos jurídicos de acuerdo a los artículos 62 y 64 del Reglamento de la Corte ya mencionados y tiene un alto valor simbólico en aras de que no se repitan hechos similares. En virtud del amplio reconocimiento realizado por el Estado, el Tribunal considera que ha cesado la controversia jurídica del caso respecto a los hechos</w:t>
      </w:r>
      <w:r w:rsidR="00415DE4" w:rsidRPr="00B642CF">
        <w:rPr>
          <w:spacing w:val="0"/>
        </w:rPr>
        <w:t xml:space="preserve"> y al fondo</w:t>
      </w:r>
      <w:r w:rsidRPr="00B642CF">
        <w:rPr>
          <w:spacing w:val="0"/>
        </w:rPr>
        <w:t xml:space="preserve">, </w:t>
      </w:r>
      <w:r w:rsidR="001303D1" w:rsidRPr="00B642CF">
        <w:rPr>
          <w:spacing w:val="0"/>
        </w:rPr>
        <w:t xml:space="preserve">y solo subsiste la controversia jurídica </w:t>
      </w:r>
      <w:r w:rsidR="00B9170A" w:rsidRPr="00B642CF">
        <w:rPr>
          <w:spacing w:val="0"/>
        </w:rPr>
        <w:t xml:space="preserve">con respecto </w:t>
      </w:r>
      <w:r w:rsidR="00415DE4" w:rsidRPr="00B642CF">
        <w:rPr>
          <w:spacing w:val="0"/>
        </w:rPr>
        <w:t>a las medidas de reparación no pecuniarias</w:t>
      </w:r>
      <w:r w:rsidR="00B9170A" w:rsidRPr="00B642CF">
        <w:rPr>
          <w:spacing w:val="0"/>
        </w:rPr>
        <w:t>.</w:t>
      </w:r>
    </w:p>
    <w:p w14:paraId="5C7335BC" w14:textId="77777777" w:rsidR="00705991" w:rsidRPr="00B642CF" w:rsidRDefault="00705991" w:rsidP="00705991">
      <w:pPr>
        <w:pStyle w:val="PrrafodeSentencia"/>
        <w:numPr>
          <w:ilvl w:val="0"/>
          <w:numId w:val="0"/>
        </w:numPr>
        <w:rPr>
          <w:spacing w:val="0"/>
          <w:szCs w:val="20"/>
          <w:lang w:val="es-ES"/>
        </w:rPr>
      </w:pPr>
    </w:p>
    <w:p w14:paraId="4AE1463D" w14:textId="2FF2A0A0" w:rsidR="00705991" w:rsidRPr="00B642CF" w:rsidRDefault="00705991" w:rsidP="00705991">
      <w:pPr>
        <w:pStyle w:val="PrrafodeSentencia"/>
        <w:rPr>
          <w:spacing w:val="0"/>
          <w:lang w:val="es-ES"/>
        </w:rPr>
      </w:pPr>
      <w:r w:rsidRPr="00B642CF">
        <w:rPr>
          <w:spacing w:val="0"/>
          <w:szCs w:val="20"/>
          <w:lang w:val="es-ES"/>
        </w:rPr>
        <w:t>En consideración de las violaciones reconocidas por el Estado</w:t>
      </w:r>
      <w:r w:rsidR="00D5435F" w:rsidRPr="00B642CF">
        <w:rPr>
          <w:spacing w:val="0"/>
          <w:szCs w:val="20"/>
          <w:lang w:val="es-ES"/>
        </w:rPr>
        <w:t xml:space="preserve"> y de la solicitud de las partes y la Comisión</w:t>
      </w:r>
      <w:r w:rsidRPr="00B642CF">
        <w:rPr>
          <w:spacing w:val="0"/>
          <w:szCs w:val="20"/>
          <w:lang w:val="es-ES"/>
        </w:rPr>
        <w:t>, la Corte estima necesario dictar una sentencia en la cual se determinen los hechos ocurridos de acuerdo a la prueba recabada en el proceso ante este Tribunal y el reconocimiento de los mismos por parte del Estado, toda vez que ello contribuye a la reparación de las víctimas, a evitar que se repitan hechos similares y a satisfacer, en suma, los fines de la jurisdicción interamericana sobe derechos humanos</w:t>
      </w:r>
      <w:r w:rsidRPr="00B642CF">
        <w:rPr>
          <w:rStyle w:val="Refdenotaalpie"/>
          <w:spacing w:val="0"/>
          <w:lang w:val="es-ES"/>
        </w:rPr>
        <w:footnoteReference w:id="12"/>
      </w:r>
      <w:r w:rsidRPr="00B642CF">
        <w:rPr>
          <w:spacing w:val="0"/>
          <w:szCs w:val="20"/>
          <w:lang w:val="es-ES"/>
        </w:rPr>
        <w:t xml:space="preserve">. </w:t>
      </w:r>
    </w:p>
    <w:p w14:paraId="3F505CF0" w14:textId="77777777" w:rsidR="00415DE4" w:rsidRPr="00B642CF" w:rsidRDefault="00415DE4" w:rsidP="00415DE4">
      <w:pPr>
        <w:rPr>
          <w:lang w:val="es-ES" w:eastAsia="es-MX"/>
        </w:rPr>
      </w:pPr>
    </w:p>
    <w:p w14:paraId="090A47AC" w14:textId="62D68438" w:rsidR="00705991" w:rsidRPr="00B642CF" w:rsidRDefault="00E26D1F" w:rsidP="00705991">
      <w:pPr>
        <w:pStyle w:val="PrrafodeSentencia"/>
        <w:rPr>
          <w:spacing w:val="0"/>
          <w:szCs w:val="20"/>
          <w:lang w:val="es-ES"/>
        </w:rPr>
      </w:pPr>
      <w:r w:rsidRPr="00B642CF">
        <w:rPr>
          <w:spacing w:val="0"/>
          <w:szCs w:val="20"/>
        </w:rPr>
        <w:t xml:space="preserve">Por otro lado, el Tribunal no considera necesario, en esta oportunidad, abrir la discusión de forma detallada sobre los puntos que fueron objeto del litigio, debido al amplio reconocimiento de responsabilidad internacional por parte del Estado y toda vez que las pretensiones de derechos alegadas y reconocidas en el presente caso </w:t>
      </w:r>
      <w:r w:rsidRPr="00B642CF">
        <w:rPr>
          <w:spacing w:val="0"/>
          <w:szCs w:val="20"/>
          <w:lang w:val="es-ES"/>
        </w:rPr>
        <w:t>ya han sido objeto de desarrollo jurisprudencial por parte de la Corte Interamericana.</w:t>
      </w:r>
    </w:p>
    <w:p w14:paraId="0BA31A97" w14:textId="54F82593" w:rsidR="00793B14" w:rsidRPr="00B642CF" w:rsidRDefault="00793B14" w:rsidP="00793B14">
      <w:pPr>
        <w:rPr>
          <w:lang w:val="es-ES" w:eastAsia="es-MX"/>
        </w:rPr>
      </w:pPr>
    </w:p>
    <w:p w14:paraId="54345ED8" w14:textId="266E2849" w:rsidR="00705991" w:rsidRPr="00B642CF" w:rsidRDefault="007878AF" w:rsidP="004F3CE2">
      <w:pPr>
        <w:pStyle w:val="Ttulo1"/>
        <w:spacing w:before="0" w:after="0"/>
        <w:contextualSpacing/>
      </w:pPr>
      <w:bookmarkStart w:id="148" w:name="_Toc59089816"/>
      <w:r w:rsidRPr="00B642CF">
        <w:rPr>
          <w:lang w:val="es-ES"/>
        </w:rPr>
        <w:t>V</w:t>
      </w:r>
      <w:r w:rsidRPr="00B642CF">
        <w:rPr>
          <w:lang w:val="es-ES"/>
        </w:rPr>
        <w:br/>
        <w:t>Prueba</w:t>
      </w:r>
      <w:bookmarkEnd w:id="148"/>
    </w:p>
    <w:p w14:paraId="78276187" w14:textId="77777777" w:rsidR="004F3CE2" w:rsidRPr="00B642CF" w:rsidRDefault="004F3CE2" w:rsidP="004F3CE2"/>
    <w:p w14:paraId="19D568D0" w14:textId="77777777" w:rsidR="00705991" w:rsidRPr="00B642CF" w:rsidRDefault="00705991" w:rsidP="00B642CF">
      <w:pPr>
        <w:pStyle w:val="Ttulo2"/>
        <w:numPr>
          <w:ilvl w:val="1"/>
          <w:numId w:val="1"/>
        </w:numPr>
        <w:spacing w:before="0" w:after="0"/>
        <w:ind w:left="1134" w:hanging="567"/>
      </w:pPr>
      <w:bookmarkStart w:id="149" w:name="_Toc59089817"/>
      <w:r w:rsidRPr="00B642CF">
        <w:t>Admisibilidad de la prueba documental</w:t>
      </w:r>
      <w:bookmarkEnd w:id="149"/>
    </w:p>
    <w:p w14:paraId="2B22B547" w14:textId="77777777" w:rsidR="004F3CE2" w:rsidRPr="00B642CF" w:rsidRDefault="004F3CE2" w:rsidP="004F3CE2">
      <w:pPr>
        <w:rPr>
          <w:lang w:val="es-CR"/>
        </w:rPr>
      </w:pPr>
    </w:p>
    <w:p w14:paraId="6D9123BB" w14:textId="2812CFA3" w:rsidR="00705991" w:rsidRPr="00B642CF" w:rsidRDefault="00705991" w:rsidP="00705991">
      <w:pPr>
        <w:pStyle w:val="PrrafodeSentencia"/>
        <w:rPr>
          <w:rFonts w:eastAsia="Calibri"/>
          <w:spacing w:val="0"/>
          <w:szCs w:val="20"/>
        </w:rPr>
      </w:pPr>
      <w:r w:rsidRPr="00B642CF">
        <w:rPr>
          <w:rFonts w:eastAsia="Calibri"/>
          <w:spacing w:val="0"/>
          <w:szCs w:val="20"/>
        </w:rPr>
        <w:t xml:space="preserve">El Tribunal recibió diversos documentos presentados </w:t>
      </w:r>
      <w:r w:rsidR="005B6735" w:rsidRPr="00B642CF">
        <w:rPr>
          <w:rFonts w:eastAsia="Calibri"/>
          <w:spacing w:val="0"/>
          <w:szCs w:val="20"/>
        </w:rPr>
        <w:t>como prueba por la Comisión, la representante</w:t>
      </w:r>
      <w:r w:rsidRPr="00B642CF">
        <w:rPr>
          <w:rFonts w:eastAsia="Calibri"/>
          <w:spacing w:val="0"/>
          <w:szCs w:val="20"/>
        </w:rPr>
        <w:t xml:space="preserve"> y el Estado, los cuales, como en otros casos, admite en el entendido que fueron presentados en la debida oportunidad procesal (artículo 57 del Reglamento)</w:t>
      </w:r>
      <w:r w:rsidRPr="00B642CF">
        <w:rPr>
          <w:rFonts w:eastAsia="Calibri"/>
          <w:spacing w:val="0"/>
          <w:szCs w:val="20"/>
          <w:vertAlign w:val="superscript"/>
        </w:rPr>
        <w:footnoteReference w:id="13"/>
      </w:r>
      <w:r w:rsidRPr="00B642CF">
        <w:rPr>
          <w:rFonts w:eastAsia="Calibri"/>
          <w:spacing w:val="0"/>
          <w:szCs w:val="20"/>
        </w:rPr>
        <w:t>.</w:t>
      </w:r>
    </w:p>
    <w:p w14:paraId="7414ACF3" w14:textId="77777777" w:rsidR="0053140A" w:rsidRPr="00B642CF" w:rsidRDefault="0053140A" w:rsidP="0053140A">
      <w:pPr>
        <w:rPr>
          <w:rFonts w:eastAsia="Calibri"/>
          <w:lang w:val="es-CR" w:eastAsia="es-MX"/>
        </w:rPr>
      </w:pPr>
    </w:p>
    <w:p w14:paraId="583BD565" w14:textId="353F98B0" w:rsidR="00705991" w:rsidRPr="00B642CF" w:rsidRDefault="00705991" w:rsidP="00705991">
      <w:pPr>
        <w:pStyle w:val="PrrafodeSentencia"/>
        <w:rPr>
          <w:spacing w:val="0"/>
          <w:szCs w:val="20"/>
          <w:lang w:val="es-ES"/>
        </w:rPr>
      </w:pPr>
      <w:r w:rsidRPr="00B642CF">
        <w:rPr>
          <w:spacing w:val="0"/>
          <w:szCs w:val="20"/>
          <w:lang w:val="es-ES"/>
        </w:rPr>
        <w:t xml:space="preserve">Por otra parte, </w:t>
      </w:r>
      <w:r w:rsidR="00AA4752" w:rsidRPr="00B642CF">
        <w:rPr>
          <w:spacing w:val="0"/>
          <w:szCs w:val="20"/>
          <w:lang w:val="es-ES"/>
        </w:rPr>
        <w:t xml:space="preserve">tanto en las observaciones al reconocimiento de responsabilidad del Estado como </w:t>
      </w:r>
      <w:r w:rsidRPr="00B642CF">
        <w:rPr>
          <w:spacing w:val="0"/>
          <w:szCs w:val="20"/>
          <w:lang w:val="es-ES"/>
        </w:rPr>
        <w:t xml:space="preserve">en sus alegatos finales, </w:t>
      </w:r>
      <w:r w:rsidR="005B6735" w:rsidRPr="00B642CF">
        <w:rPr>
          <w:spacing w:val="0"/>
          <w:szCs w:val="20"/>
          <w:lang w:val="es-ES"/>
        </w:rPr>
        <w:t>la representante presentó</w:t>
      </w:r>
      <w:r w:rsidRPr="00B642CF">
        <w:rPr>
          <w:spacing w:val="0"/>
          <w:szCs w:val="20"/>
          <w:lang w:val="es-ES"/>
        </w:rPr>
        <w:t xml:space="preserve"> en anexo </w:t>
      </w:r>
      <w:r w:rsidR="0053140A" w:rsidRPr="00B642CF">
        <w:rPr>
          <w:spacing w:val="0"/>
          <w:szCs w:val="20"/>
          <w:lang w:val="es-ES"/>
        </w:rPr>
        <w:t>una serie de documentos</w:t>
      </w:r>
      <w:r w:rsidR="00314247" w:rsidRPr="00B642CF">
        <w:rPr>
          <w:rStyle w:val="Refdenotaalpie"/>
          <w:spacing w:val="0"/>
          <w:lang w:val="es-ES"/>
        </w:rPr>
        <w:footnoteReference w:id="14"/>
      </w:r>
      <w:r w:rsidR="00B330C7" w:rsidRPr="00B642CF">
        <w:rPr>
          <w:spacing w:val="0"/>
          <w:szCs w:val="20"/>
          <w:lang w:val="es-ES"/>
        </w:rPr>
        <w:t>. La Corte advierte que esta documentación es inadmisible por extemporánea.</w:t>
      </w:r>
    </w:p>
    <w:p w14:paraId="0A766BEC" w14:textId="77777777" w:rsidR="00B330C7" w:rsidRPr="00B642CF" w:rsidRDefault="00B330C7" w:rsidP="00B330C7">
      <w:pPr>
        <w:rPr>
          <w:rFonts w:eastAsia="Calibri"/>
          <w:lang w:val="es-ES" w:eastAsia="es-MX"/>
        </w:rPr>
      </w:pPr>
    </w:p>
    <w:p w14:paraId="7C16E33F" w14:textId="77777777" w:rsidR="00705991" w:rsidRPr="00B642CF" w:rsidRDefault="00705991" w:rsidP="00B642CF">
      <w:pPr>
        <w:pStyle w:val="Ttulo2"/>
        <w:numPr>
          <w:ilvl w:val="0"/>
          <w:numId w:val="0"/>
        </w:numPr>
        <w:spacing w:before="0" w:after="0"/>
        <w:ind w:left="1134" w:hanging="567"/>
      </w:pPr>
      <w:bookmarkStart w:id="150" w:name="_Toc59089818"/>
      <w:r w:rsidRPr="00B642CF">
        <w:t>B. Admisibilidad de la prueba testimonial y pericial</w:t>
      </w:r>
      <w:bookmarkEnd w:id="150"/>
    </w:p>
    <w:p w14:paraId="1518CFAA" w14:textId="77777777" w:rsidR="004F3CE2" w:rsidRPr="00B642CF" w:rsidRDefault="004F3CE2" w:rsidP="004F3CE2">
      <w:pPr>
        <w:rPr>
          <w:lang w:val="es-CR"/>
        </w:rPr>
      </w:pPr>
    </w:p>
    <w:p w14:paraId="73E37642" w14:textId="77777777" w:rsidR="00705991" w:rsidRPr="00B642CF" w:rsidRDefault="00705991" w:rsidP="00705991">
      <w:pPr>
        <w:pStyle w:val="PrrafodeSentencia"/>
        <w:rPr>
          <w:spacing w:val="0"/>
          <w:szCs w:val="20"/>
          <w:lang w:val="es-ES"/>
        </w:rPr>
      </w:pPr>
      <w:r w:rsidRPr="00B642CF">
        <w:rPr>
          <w:spacing w:val="0"/>
          <w:szCs w:val="20"/>
          <w:lang w:val="es-ES"/>
        </w:rPr>
        <w:t>La Corte estima pertinente admitir las declaraciones rendidas ante fedatario público</w:t>
      </w:r>
      <w:r w:rsidRPr="00B642CF">
        <w:rPr>
          <w:rStyle w:val="Refdenotaalpie"/>
          <w:spacing w:val="0"/>
          <w:lang w:val="es-ES"/>
        </w:rPr>
        <w:footnoteReference w:id="15"/>
      </w:r>
      <w:r w:rsidRPr="00B642CF">
        <w:rPr>
          <w:spacing w:val="0"/>
          <w:szCs w:val="20"/>
          <w:lang w:val="es-ES"/>
        </w:rPr>
        <w:t>, en cuanto se ajustan al objeto definido por la Resolución que ordenó recibirlos y al objeto del presente caso.</w:t>
      </w:r>
    </w:p>
    <w:p w14:paraId="783CC972" w14:textId="77777777" w:rsidR="004F3CE2" w:rsidRPr="00B642CF" w:rsidRDefault="004F3CE2" w:rsidP="004F3CE2">
      <w:pPr>
        <w:rPr>
          <w:rFonts w:eastAsia="Calibri"/>
          <w:lang w:val="es-ES" w:eastAsia="es-MX"/>
        </w:rPr>
      </w:pPr>
    </w:p>
    <w:p w14:paraId="4F0903D6" w14:textId="77777777" w:rsidR="00705991" w:rsidRPr="00B642CF" w:rsidRDefault="00705991" w:rsidP="004F3CE2">
      <w:pPr>
        <w:pStyle w:val="Ttulo1"/>
        <w:spacing w:before="0" w:after="0"/>
        <w:rPr>
          <w:szCs w:val="20"/>
          <w:lang w:val="es-ES"/>
        </w:rPr>
      </w:pPr>
      <w:bookmarkStart w:id="151" w:name="_Toc4402711"/>
      <w:bookmarkStart w:id="152" w:name="_Toc4402950"/>
      <w:bookmarkStart w:id="153" w:name="_Toc8209837"/>
      <w:bookmarkStart w:id="154" w:name="_Toc59089819"/>
      <w:r w:rsidRPr="00B642CF">
        <w:rPr>
          <w:szCs w:val="20"/>
          <w:lang w:val="es-ES"/>
        </w:rPr>
        <w:t>VI</w:t>
      </w:r>
      <w:r w:rsidRPr="00B642CF">
        <w:rPr>
          <w:szCs w:val="20"/>
          <w:lang w:val="es-ES"/>
        </w:rPr>
        <w:br/>
        <w:t>HECHOS</w:t>
      </w:r>
      <w:bookmarkEnd w:id="151"/>
      <w:bookmarkEnd w:id="152"/>
      <w:bookmarkEnd w:id="153"/>
      <w:bookmarkEnd w:id="154"/>
    </w:p>
    <w:p w14:paraId="27E51876" w14:textId="77777777" w:rsidR="004F3CE2" w:rsidRPr="00B642CF" w:rsidRDefault="004F3CE2" w:rsidP="004F3CE2">
      <w:pPr>
        <w:rPr>
          <w:lang w:val="es-ES"/>
        </w:rPr>
      </w:pPr>
    </w:p>
    <w:p w14:paraId="5A075CEF" w14:textId="2B2B6D6A" w:rsidR="00705991" w:rsidRPr="00B642CF" w:rsidRDefault="00705991" w:rsidP="00092823">
      <w:pPr>
        <w:pStyle w:val="PrrafodeSentencia"/>
        <w:tabs>
          <w:tab w:val="left" w:pos="1440"/>
        </w:tabs>
        <w:rPr>
          <w:rFonts w:eastAsia="Calibri"/>
          <w:spacing w:val="0"/>
          <w:szCs w:val="20"/>
          <w:lang w:val="es-ES"/>
        </w:rPr>
      </w:pPr>
      <w:r w:rsidRPr="00B642CF">
        <w:rPr>
          <w:spacing w:val="0"/>
          <w:szCs w:val="20"/>
          <w:lang w:val="es-ES"/>
        </w:rPr>
        <w:t>En este capítulo, la Corte establecerá los hechos que se tendrán por probados en el presente caso, con base en el acervo probatorio que ha sido admitido, según el marco fáctico establecido por el Informe de Fondo, así como el reconocimiento de responsabilidad internacional efectuado por el Estado. Además, se incluirán los hechos expuestos por las partes que permitan explicar o aclarar ese marco fáctico</w:t>
      </w:r>
      <w:r w:rsidRPr="00B642CF">
        <w:rPr>
          <w:rStyle w:val="Refdenotaalpie"/>
          <w:spacing w:val="0"/>
          <w:lang w:val="es-ES"/>
        </w:rPr>
        <w:footnoteReference w:id="16"/>
      </w:r>
      <w:r w:rsidRPr="00B642CF">
        <w:rPr>
          <w:spacing w:val="0"/>
          <w:szCs w:val="20"/>
          <w:lang w:val="es-ES"/>
        </w:rPr>
        <w:t>. A continuación, se exponen los hechos de acuerdo al siguiente orden:</w:t>
      </w:r>
      <w:r w:rsidR="00E26D1F" w:rsidRPr="00B642CF">
        <w:rPr>
          <w:spacing w:val="0"/>
          <w:szCs w:val="20"/>
          <w:lang w:val="es-ES"/>
        </w:rPr>
        <w:t xml:space="preserve"> </w:t>
      </w:r>
      <w:r w:rsidRPr="00B642CF">
        <w:rPr>
          <w:spacing w:val="0"/>
          <w:szCs w:val="20"/>
          <w:lang w:val="es-ES"/>
        </w:rPr>
        <w:t>A)</w:t>
      </w:r>
      <w:r w:rsidRPr="00B642CF">
        <w:rPr>
          <w:rFonts w:eastAsia="Calibri"/>
          <w:spacing w:val="0"/>
          <w:szCs w:val="20"/>
          <w:lang w:val="es-ES"/>
        </w:rPr>
        <w:t xml:space="preserve"> </w:t>
      </w:r>
      <w:r w:rsidR="004F3CE2" w:rsidRPr="00B642CF">
        <w:rPr>
          <w:rFonts w:eastAsia="Calibri"/>
          <w:spacing w:val="0"/>
          <w:szCs w:val="20"/>
          <w:lang w:val="es-ES"/>
        </w:rPr>
        <w:t>El régimen de reparaciones por violaciones a los derechos humanos durante la dictadura en Argentina</w:t>
      </w:r>
      <w:r w:rsidRPr="00B642CF">
        <w:rPr>
          <w:rFonts w:eastAsia="Calibri"/>
          <w:spacing w:val="0"/>
          <w:szCs w:val="20"/>
          <w:lang w:val="es-ES"/>
        </w:rPr>
        <w:t xml:space="preserve">; B) </w:t>
      </w:r>
      <w:r w:rsidR="004F3CE2" w:rsidRPr="00B642CF">
        <w:rPr>
          <w:rFonts w:eastAsia="Calibri"/>
          <w:spacing w:val="0"/>
          <w:szCs w:val="20"/>
          <w:lang w:val="es-ES"/>
        </w:rPr>
        <w:t>Los hechos ocurridos al señor Almeida durante la época de la dictadura</w:t>
      </w:r>
      <w:r w:rsidR="00051FF7" w:rsidRPr="00B642CF">
        <w:rPr>
          <w:rFonts w:eastAsia="Calibri"/>
          <w:spacing w:val="0"/>
          <w:szCs w:val="20"/>
          <w:lang w:val="es-ES"/>
        </w:rPr>
        <w:t>, y</w:t>
      </w:r>
      <w:r w:rsidRPr="00B642CF">
        <w:rPr>
          <w:rFonts w:eastAsia="Calibri"/>
          <w:spacing w:val="0"/>
          <w:szCs w:val="20"/>
          <w:lang w:val="es-ES"/>
        </w:rPr>
        <w:t xml:space="preserve"> C) </w:t>
      </w:r>
      <w:r w:rsidR="004F3CE2" w:rsidRPr="00B642CF">
        <w:rPr>
          <w:rFonts w:eastAsia="Calibri"/>
          <w:spacing w:val="0"/>
          <w:szCs w:val="20"/>
          <w:lang w:val="es-ES"/>
        </w:rPr>
        <w:t>El procedimiento de solicitud de reparación del señor Almeida en el ámbito interno</w:t>
      </w:r>
      <w:r w:rsidRPr="00B642CF">
        <w:rPr>
          <w:rFonts w:eastAsia="Calibri"/>
          <w:spacing w:val="0"/>
          <w:szCs w:val="20"/>
          <w:lang w:val="es-ES"/>
        </w:rPr>
        <w:t xml:space="preserve">. </w:t>
      </w:r>
    </w:p>
    <w:p w14:paraId="67852BB7" w14:textId="77777777" w:rsidR="004F3CE2" w:rsidRPr="00B642CF" w:rsidRDefault="004F3CE2" w:rsidP="004F3CE2">
      <w:pPr>
        <w:rPr>
          <w:lang w:val="es-ES" w:eastAsia="es-MX"/>
        </w:rPr>
      </w:pPr>
    </w:p>
    <w:p w14:paraId="7AEB0516" w14:textId="77777777" w:rsidR="00705991" w:rsidRPr="00B642CF" w:rsidRDefault="004F3CE2" w:rsidP="00B642CF">
      <w:pPr>
        <w:pStyle w:val="Ttulo2"/>
        <w:keepNext/>
        <w:numPr>
          <w:ilvl w:val="1"/>
          <w:numId w:val="1"/>
        </w:numPr>
        <w:tabs>
          <w:tab w:val="clear" w:pos="567"/>
          <w:tab w:val="clear" w:pos="993"/>
          <w:tab w:val="left" w:pos="1134"/>
        </w:tabs>
        <w:spacing w:before="0" w:after="0"/>
        <w:ind w:left="1134" w:hanging="567"/>
        <w:contextualSpacing w:val="0"/>
        <w:rPr>
          <w:lang w:val="es-ES"/>
        </w:rPr>
      </w:pPr>
      <w:bookmarkStart w:id="155" w:name="_Toc59089820"/>
      <w:r w:rsidRPr="00B642CF">
        <w:rPr>
          <w:lang w:val="es-ES"/>
        </w:rPr>
        <w:t>El régimen de reparaciones por violaciones a los derechos humanos durante la dictadura en Argentina</w:t>
      </w:r>
      <w:bookmarkEnd w:id="155"/>
    </w:p>
    <w:p w14:paraId="252F15A1" w14:textId="77777777" w:rsidR="004F3CE2" w:rsidRPr="00B642CF" w:rsidRDefault="004F3CE2" w:rsidP="004F3CE2">
      <w:pPr>
        <w:rPr>
          <w:lang w:val="es-ES"/>
        </w:rPr>
      </w:pPr>
    </w:p>
    <w:p w14:paraId="1A5D860D" w14:textId="004963C8" w:rsidR="00705991" w:rsidRPr="00B642CF" w:rsidRDefault="000077CA" w:rsidP="00705991">
      <w:pPr>
        <w:pStyle w:val="PrrafodeSentencia"/>
        <w:rPr>
          <w:spacing w:val="0"/>
          <w:szCs w:val="20"/>
          <w:lang w:val="es-ES"/>
        </w:rPr>
      </w:pPr>
      <w:r w:rsidRPr="00B642CF">
        <w:rPr>
          <w:spacing w:val="0"/>
          <w:szCs w:val="20"/>
          <w:lang w:val="es-ES"/>
        </w:rPr>
        <w:t xml:space="preserve">En 1976, un golpe de </w:t>
      </w:r>
      <w:r w:rsidR="00C53278" w:rsidRPr="00B642CF">
        <w:rPr>
          <w:spacing w:val="0"/>
          <w:szCs w:val="20"/>
          <w:lang w:val="es-ES"/>
        </w:rPr>
        <w:t>e</w:t>
      </w:r>
      <w:r w:rsidRPr="00B642CF">
        <w:rPr>
          <w:spacing w:val="0"/>
          <w:szCs w:val="20"/>
          <w:lang w:val="es-ES"/>
        </w:rPr>
        <w:t xml:space="preserve">stado instaló </w:t>
      </w:r>
      <w:r w:rsidR="00C53278" w:rsidRPr="00B642CF">
        <w:rPr>
          <w:spacing w:val="0"/>
          <w:szCs w:val="20"/>
          <w:lang w:val="es-ES"/>
        </w:rPr>
        <w:t xml:space="preserve">en Argentina </w:t>
      </w:r>
      <w:r w:rsidRPr="00B642CF">
        <w:rPr>
          <w:spacing w:val="0"/>
          <w:szCs w:val="20"/>
          <w:lang w:val="es-ES"/>
        </w:rPr>
        <w:t>una dictadura que se mantuvo en el poder hasta diciembre de 1983</w:t>
      </w:r>
      <w:r w:rsidR="00090315" w:rsidRPr="00B642CF">
        <w:rPr>
          <w:spacing w:val="0"/>
          <w:szCs w:val="20"/>
          <w:lang w:val="es-ES"/>
        </w:rPr>
        <w:t>, cometiendo de forma sistemática graves violaciones a los Derechos Humanos</w:t>
      </w:r>
      <w:r w:rsidRPr="00B642CF">
        <w:rPr>
          <w:spacing w:val="0"/>
          <w:szCs w:val="20"/>
          <w:lang w:val="es-ES"/>
        </w:rPr>
        <w:t>. Con el retorno a la democracia, las víctimas comenzaron a presentar recursos judiciales para demandar resarcimiento por las graves violaciones a los derechos humanos sufridas durante la dictadura. Sin embargo, esta vía resultó ineficaz para atender las situaciones planteadas. En particular, debido a la clandestinidad que caracterizó el terrorismo de Estado, resultaba difícil cumplir con los estándares probatorios. Además, el régimen de prescripción de la acción civil, esta</w:t>
      </w:r>
      <w:r w:rsidR="007A5E35">
        <w:rPr>
          <w:spacing w:val="0"/>
          <w:szCs w:val="20"/>
          <w:lang w:val="es-ES"/>
        </w:rPr>
        <w:t>blecido en el artículo 4037 del Código Civil</w:t>
      </w:r>
      <w:r w:rsidRPr="00B642CF">
        <w:rPr>
          <w:spacing w:val="0"/>
          <w:szCs w:val="20"/>
          <w:lang w:val="es-ES"/>
        </w:rPr>
        <w:t xml:space="preserve"> vigente en la época, limitaba a dos años la posibilidad de presentar las acciones ju</w:t>
      </w:r>
      <w:r w:rsidR="009B3776" w:rsidRPr="00B642CF">
        <w:rPr>
          <w:spacing w:val="0"/>
          <w:szCs w:val="20"/>
          <w:lang w:val="es-ES"/>
        </w:rPr>
        <w:t>diciales</w:t>
      </w:r>
      <w:r w:rsidR="009B3776" w:rsidRPr="00B642CF">
        <w:rPr>
          <w:rStyle w:val="Refdenotaalpie"/>
          <w:spacing w:val="0"/>
          <w:lang w:val="es-ES"/>
        </w:rPr>
        <w:footnoteReference w:id="17"/>
      </w:r>
      <w:r w:rsidR="009B3776" w:rsidRPr="00B642CF">
        <w:rPr>
          <w:spacing w:val="0"/>
          <w:szCs w:val="20"/>
          <w:lang w:val="es-ES"/>
        </w:rPr>
        <w:t>.</w:t>
      </w:r>
    </w:p>
    <w:p w14:paraId="10EC5BEB" w14:textId="77777777" w:rsidR="009B3776" w:rsidRPr="00B642CF" w:rsidRDefault="009B3776" w:rsidP="009B3776">
      <w:pPr>
        <w:rPr>
          <w:lang w:val="es-ES" w:eastAsia="es-MX"/>
        </w:rPr>
      </w:pPr>
    </w:p>
    <w:p w14:paraId="568F0CE1" w14:textId="281DC2CC" w:rsidR="001C144B" w:rsidRPr="00B642CF" w:rsidRDefault="009B3776" w:rsidP="009B3776">
      <w:pPr>
        <w:pStyle w:val="PrrafodeSentencia"/>
        <w:rPr>
          <w:spacing w:val="0"/>
        </w:rPr>
      </w:pPr>
      <w:r w:rsidRPr="00B642CF">
        <w:rPr>
          <w:spacing w:val="0"/>
        </w:rPr>
        <w:t>Frente a estas dificultades, el Estado argentino decidió establecer un régimen legal de medidas de reparación de las víctimas de la dictadura. Las primeras medidas tuvi</w:t>
      </w:r>
      <w:r w:rsidR="00A302B3" w:rsidRPr="00B642CF">
        <w:rPr>
          <w:spacing w:val="0"/>
        </w:rPr>
        <w:t>eron un carácter de restitución. D</w:t>
      </w:r>
      <w:r w:rsidRPr="00B642CF">
        <w:rPr>
          <w:spacing w:val="0"/>
        </w:rPr>
        <w:t xml:space="preserve">e esta forma, en 1984, se dictaron leyes que reincorporaron a funcionarios públicos que habían sido </w:t>
      </w:r>
      <w:r w:rsidR="00E81E4F" w:rsidRPr="00B642CF">
        <w:rPr>
          <w:spacing w:val="0"/>
        </w:rPr>
        <w:t>cesados</w:t>
      </w:r>
      <w:r w:rsidRPr="00B642CF">
        <w:rPr>
          <w:spacing w:val="0"/>
        </w:rPr>
        <w:t xml:space="preserve"> de sus cargos</w:t>
      </w:r>
      <w:r w:rsidR="00E81E4F" w:rsidRPr="00B642CF">
        <w:rPr>
          <w:spacing w:val="0"/>
        </w:rPr>
        <w:t xml:space="preserve"> por causas políticas o gremiales</w:t>
      </w:r>
      <w:r w:rsidR="00E81E4F" w:rsidRPr="00B642CF">
        <w:rPr>
          <w:rStyle w:val="Refdenotaalpie"/>
          <w:spacing w:val="0"/>
        </w:rPr>
        <w:footnoteReference w:id="18"/>
      </w:r>
      <w:r w:rsidRPr="00B642CF">
        <w:rPr>
          <w:spacing w:val="0"/>
        </w:rPr>
        <w:t>.</w:t>
      </w:r>
      <w:r w:rsidR="00C45773" w:rsidRPr="00B642CF">
        <w:rPr>
          <w:spacing w:val="0"/>
        </w:rPr>
        <w:t xml:space="preserve"> Posteriormente</w:t>
      </w:r>
      <w:r w:rsidR="00B42683" w:rsidRPr="00B642CF">
        <w:rPr>
          <w:spacing w:val="0"/>
        </w:rPr>
        <w:t>,</w:t>
      </w:r>
      <w:r w:rsidR="00C45773" w:rsidRPr="00B642CF">
        <w:rPr>
          <w:spacing w:val="0"/>
        </w:rPr>
        <w:t xml:space="preserve"> se aprobaron medidas que otorgaron una pensión a los y las cónyuges, hijos e hijas de las personas detenidas o desaparecidas durante el régimen</w:t>
      </w:r>
      <w:r w:rsidR="00E551BE" w:rsidRPr="00B642CF">
        <w:rPr>
          <w:spacing w:val="0"/>
        </w:rPr>
        <w:t xml:space="preserve"> dictatorial</w:t>
      </w:r>
      <w:r w:rsidR="00C45773" w:rsidRPr="00B642CF">
        <w:rPr>
          <w:rStyle w:val="Refdenotaalpie"/>
          <w:spacing w:val="0"/>
        </w:rPr>
        <w:footnoteReference w:id="19"/>
      </w:r>
      <w:r w:rsidR="00C45773" w:rsidRPr="00B642CF">
        <w:rPr>
          <w:spacing w:val="0"/>
        </w:rPr>
        <w:t xml:space="preserve">. </w:t>
      </w:r>
    </w:p>
    <w:p w14:paraId="48EDEAA8" w14:textId="77777777" w:rsidR="001C144B" w:rsidRPr="00B642CF" w:rsidRDefault="001C144B" w:rsidP="001C144B">
      <w:pPr>
        <w:rPr>
          <w:lang w:val="es-CR" w:eastAsia="es-MX"/>
        </w:rPr>
      </w:pPr>
    </w:p>
    <w:p w14:paraId="6A4FFD7B" w14:textId="31CF5A70" w:rsidR="007763DC" w:rsidRPr="00B642CF" w:rsidRDefault="00C45773" w:rsidP="009B3776">
      <w:pPr>
        <w:pStyle w:val="PrrafodeSentencia"/>
        <w:rPr>
          <w:spacing w:val="0"/>
        </w:rPr>
      </w:pPr>
      <w:r w:rsidRPr="00B642CF">
        <w:rPr>
          <w:spacing w:val="0"/>
        </w:rPr>
        <w:t>Las medidas indemnizatorias se tomaron a partir de 1991, en aplicación de un acuerdo de solución amistosa con la Comisión</w:t>
      </w:r>
      <w:r w:rsidR="006D75C2" w:rsidRPr="00B642CF">
        <w:rPr>
          <w:spacing w:val="0"/>
        </w:rPr>
        <w:t xml:space="preserve"> </w:t>
      </w:r>
      <w:r w:rsidR="006D75C2" w:rsidRPr="00B642CF">
        <w:rPr>
          <w:bCs/>
          <w:spacing w:val="0"/>
        </w:rPr>
        <w:t>Interamericana</w:t>
      </w:r>
      <w:r w:rsidRPr="00B642CF">
        <w:rPr>
          <w:spacing w:val="0"/>
        </w:rPr>
        <w:t xml:space="preserve">. En efecto, </w:t>
      </w:r>
      <w:r w:rsidR="001C144B" w:rsidRPr="00B642CF">
        <w:rPr>
          <w:spacing w:val="0"/>
        </w:rPr>
        <w:t>en 1989</w:t>
      </w:r>
      <w:r w:rsidR="00B42683" w:rsidRPr="00B642CF">
        <w:rPr>
          <w:spacing w:val="0"/>
        </w:rPr>
        <w:t>,</w:t>
      </w:r>
      <w:r w:rsidR="001C144B" w:rsidRPr="00B642CF">
        <w:rPr>
          <w:spacing w:val="0"/>
        </w:rPr>
        <w:t xml:space="preserve"> un grupo de personas que habían sido detenidas ilegalmente por la Junta militar presentaron peticiones ante la Comisión denunciando que los fallos de la Corte Suprema </w:t>
      </w:r>
      <w:r w:rsidR="00395BA9">
        <w:rPr>
          <w:spacing w:val="0"/>
        </w:rPr>
        <w:t>de</w:t>
      </w:r>
      <w:r w:rsidR="005D09F4">
        <w:rPr>
          <w:spacing w:val="0"/>
        </w:rPr>
        <w:t xml:space="preserve"> Justicia de</w:t>
      </w:r>
      <w:r w:rsidR="00395BA9">
        <w:rPr>
          <w:spacing w:val="0"/>
        </w:rPr>
        <w:t xml:space="preserve"> la Nación </w:t>
      </w:r>
      <w:r w:rsidR="001C144B" w:rsidRPr="00B642CF">
        <w:rPr>
          <w:spacing w:val="0"/>
        </w:rPr>
        <w:t xml:space="preserve">que declararon la prescripción de sus acciones por daños </w:t>
      </w:r>
      <w:r w:rsidR="00D72B7F" w:rsidRPr="00B642CF">
        <w:rPr>
          <w:spacing w:val="0"/>
        </w:rPr>
        <w:t>y</w:t>
      </w:r>
      <w:r w:rsidR="001C144B" w:rsidRPr="00B642CF">
        <w:rPr>
          <w:spacing w:val="0"/>
        </w:rPr>
        <w:t xml:space="preserve"> perjuicios, violaban el derecho a la </w:t>
      </w:r>
      <w:r w:rsidR="00E551BE" w:rsidRPr="00B642CF">
        <w:rPr>
          <w:spacing w:val="0"/>
        </w:rPr>
        <w:t>j</w:t>
      </w:r>
      <w:r w:rsidR="001C144B" w:rsidRPr="00B642CF">
        <w:rPr>
          <w:spacing w:val="0"/>
        </w:rPr>
        <w:t>usticia y las garantías judiciales</w:t>
      </w:r>
      <w:r w:rsidR="001C144B" w:rsidRPr="00B642CF">
        <w:rPr>
          <w:rStyle w:val="Refdenotaalpie"/>
          <w:spacing w:val="0"/>
        </w:rPr>
        <w:footnoteReference w:id="20"/>
      </w:r>
      <w:r w:rsidR="001C144B" w:rsidRPr="00B642CF">
        <w:rPr>
          <w:spacing w:val="0"/>
        </w:rPr>
        <w:t xml:space="preserve">. En el marco del acuerdo de solución amistosa con la Comisión, </w:t>
      </w:r>
      <w:r w:rsidR="00DF1451" w:rsidRPr="00B642CF">
        <w:rPr>
          <w:spacing w:val="0"/>
        </w:rPr>
        <w:t>el Estado promulgó el Decreto No. 70/91 del 10 de enero de 1991</w:t>
      </w:r>
      <w:r w:rsidR="007763DC" w:rsidRPr="00B642CF">
        <w:rPr>
          <w:spacing w:val="0"/>
        </w:rPr>
        <w:t>,</w:t>
      </w:r>
      <w:r w:rsidR="00DF1451" w:rsidRPr="00B642CF">
        <w:rPr>
          <w:spacing w:val="0"/>
        </w:rPr>
        <w:t xml:space="preserve"> por el que se establecieron beneficios para aquellas personas que hubieran sido puestas a disposición del Poder Ejecutivo Nacional (en adelante </w:t>
      </w:r>
      <w:r w:rsidR="00F045D8">
        <w:rPr>
          <w:spacing w:val="0"/>
        </w:rPr>
        <w:t>“</w:t>
      </w:r>
      <w:r w:rsidR="00DF1451" w:rsidRPr="00B642CF">
        <w:rPr>
          <w:spacing w:val="0"/>
        </w:rPr>
        <w:t>PEN</w:t>
      </w:r>
      <w:r w:rsidR="00F045D8">
        <w:rPr>
          <w:spacing w:val="0"/>
        </w:rPr>
        <w:t>”</w:t>
      </w:r>
      <w:r w:rsidR="00DF1451" w:rsidRPr="00B642CF">
        <w:rPr>
          <w:spacing w:val="0"/>
        </w:rPr>
        <w:t>) por acto emanado de éste</w:t>
      </w:r>
      <w:r w:rsidR="003D1FFA" w:rsidRPr="00B642CF">
        <w:rPr>
          <w:spacing w:val="0"/>
        </w:rPr>
        <w:t>, antes del 10 de diciembre de 1983 y que, habiendo iniciado juicio por indemnización por daños y perjuicios por tal motivo antes del 10 de septiembre de 1985, no hubieran obtenido satisfacción por haberse hecho lugar a la prescripción por medio de sentencia firme</w:t>
      </w:r>
      <w:r w:rsidR="003D1FFA" w:rsidRPr="00B642CF">
        <w:rPr>
          <w:rStyle w:val="Refdenotaalpie"/>
          <w:spacing w:val="0"/>
        </w:rPr>
        <w:footnoteReference w:id="21"/>
      </w:r>
      <w:r w:rsidR="003D1FFA" w:rsidRPr="00B642CF">
        <w:rPr>
          <w:spacing w:val="0"/>
        </w:rPr>
        <w:t>.</w:t>
      </w:r>
      <w:r w:rsidR="007763DC" w:rsidRPr="00B642CF">
        <w:rPr>
          <w:spacing w:val="0"/>
        </w:rPr>
        <w:t xml:space="preserve"> El 27 de noviembre de 1991 se aprobó la Ley No. 24</w:t>
      </w:r>
      <w:r w:rsidR="0057677D" w:rsidRPr="00B642CF">
        <w:rPr>
          <w:spacing w:val="0"/>
        </w:rPr>
        <w:t>.</w:t>
      </w:r>
      <w:r w:rsidR="007763DC" w:rsidRPr="00B642CF">
        <w:rPr>
          <w:spacing w:val="0"/>
        </w:rPr>
        <w:t>043</w:t>
      </w:r>
      <w:r w:rsidR="005775CA">
        <w:rPr>
          <w:spacing w:val="0"/>
        </w:rPr>
        <w:t>,</w:t>
      </w:r>
      <w:r w:rsidR="007763DC" w:rsidRPr="00B642CF">
        <w:rPr>
          <w:spacing w:val="0"/>
        </w:rPr>
        <w:t xml:space="preserve"> por la que se otorgó beneficios a las personas que hubieran sido puestas a disposición del PEN durante la vigencia del estado de sitio o </w:t>
      </w:r>
      <w:r w:rsidR="00E551BE" w:rsidRPr="00B642CF">
        <w:rPr>
          <w:spacing w:val="0"/>
        </w:rPr>
        <w:t xml:space="preserve">que, </w:t>
      </w:r>
      <w:r w:rsidR="007763DC" w:rsidRPr="00B642CF">
        <w:rPr>
          <w:spacing w:val="0"/>
        </w:rPr>
        <w:t>siendo civiles</w:t>
      </w:r>
      <w:r w:rsidR="00E551BE" w:rsidRPr="00B642CF">
        <w:rPr>
          <w:spacing w:val="0"/>
        </w:rPr>
        <w:t>,</w:t>
      </w:r>
      <w:r w:rsidR="007763DC" w:rsidRPr="00B642CF">
        <w:rPr>
          <w:spacing w:val="0"/>
        </w:rPr>
        <w:t xml:space="preserve"> hubiesen sufrido detención en virtud de actos emanados de tribunales militares</w:t>
      </w:r>
      <w:r w:rsidR="007763DC" w:rsidRPr="00B642CF">
        <w:rPr>
          <w:rStyle w:val="Refdenotaalpie"/>
          <w:spacing w:val="0"/>
        </w:rPr>
        <w:footnoteReference w:id="22"/>
      </w:r>
      <w:r w:rsidR="007763DC" w:rsidRPr="00B642CF">
        <w:rPr>
          <w:spacing w:val="0"/>
        </w:rPr>
        <w:t>. Esta ley establece</w:t>
      </w:r>
      <w:r w:rsidR="00F86520" w:rsidRPr="00B642CF">
        <w:rPr>
          <w:spacing w:val="0"/>
        </w:rPr>
        <w:t>, en particular</w:t>
      </w:r>
      <w:r w:rsidR="007763DC" w:rsidRPr="00B642CF">
        <w:rPr>
          <w:spacing w:val="0"/>
        </w:rPr>
        <w:t>:</w:t>
      </w:r>
    </w:p>
    <w:p w14:paraId="19BC3858" w14:textId="77777777" w:rsidR="007763DC" w:rsidRPr="00B642CF" w:rsidRDefault="007763DC" w:rsidP="007763DC">
      <w:pPr>
        <w:rPr>
          <w:lang w:val="es-CR" w:eastAsia="es-MX"/>
        </w:rPr>
      </w:pPr>
    </w:p>
    <w:p w14:paraId="64CA4795" w14:textId="77777777" w:rsidR="007763DC" w:rsidRPr="00B642CF" w:rsidRDefault="007763DC" w:rsidP="007763DC">
      <w:pPr>
        <w:ind w:left="567" w:right="567"/>
        <w:rPr>
          <w:sz w:val="18"/>
          <w:szCs w:val="18"/>
          <w:lang w:val="es-CR" w:eastAsia="es-MX"/>
        </w:rPr>
      </w:pPr>
      <w:r w:rsidRPr="00B642CF">
        <w:rPr>
          <w:sz w:val="18"/>
          <w:szCs w:val="18"/>
          <w:lang w:val="es-CR" w:eastAsia="es-MX"/>
        </w:rPr>
        <w:t>Artículo 1. Las personas que durante la vigencia del estado de sitio hubieran sido puestas a disposición del Poder Ejecutivo Nacional, por decisión de éste, o que siendo civiles hubiesen sufrido detención en virtud de actos emanados de tribunales militares, hayan o no iniciado juicio por daños y perjuicios, podrán acogerse a los beneficios de esta ley, siempre que no hubiesen percibido indemnización alguna en virtud de sentencia judicial, con motivo de los hechos contemplados en la presente.</w:t>
      </w:r>
    </w:p>
    <w:p w14:paraId="3F290123" w14:textId="77777777" w:rsidR="007763DC" w:rsidRPr="00B642CF" w:rsidRDefault="007763DC" w:rsidP="007763DC">
      <w:pPr>
        <w:ind w:left="567" w:right="567"/>
        <w:rPr>
          <w:sz w:val="18"/>
          <w:szCs w:val="18"/>
          <w:lang w:val="es-CR" w:eastAsia="es-MX"/>
        </w:rPr>
      </w:pPr>
    </w:p>
    <w:p w14:paraId="231D65AC" w14:textId="77777777" w:rsidR="007763DC" w:rsidRPr="00B642CF" w:rsidRDefault="007763DC" w:rsidP="007763DC">
      <w:pPr>
        <w:ind w:left="567" w:right="567"/>
        <w:rPr>
          <w:sz w:val="18"/>
          <w:szCs w:val="18"/>
          <w:lang w:val="es-CR" w:eastAsia="es-MX"/>
        </w:rPr>
      </w:pPr>
      <w:r w:rsidRPr="00B642CF">
        <w:rPr>
          <w:sz w:val="18"/>
          <w:szCs w:val="18"/>
          <w:lang w:val="es-CR" w:eastAsia="es-MX"/>
        </w:rPr>
        <w:t>Artículo 2. Para acogerse a los beneficios de esta ley, las personas mencionadas en el artículo anterior deberán reunir alguno de los siguientes requisitos:</w:t>
      </w:r>
    </w:p>
    <w:p w14:paraId="39D235AD" w14:textId="77777777" w:rsidR="007763DC" w:rsidRPr="00B642CF" w:rsidRDefault="007763DC" w:rsidP="007763DC">
      <w:pPr>
        <w:ind w:left="708" w:right="567"/>
        <w:rPr>
          <w:sz w:val="18"/>
          <w:szCs w:val="18"/>
          <w:lang w:val="es-CR" w:eastAsia="es-MX"/>
        </w:rPr>
      </w:pPr>
      <w:r w:rsidRPr="00B642CF">
        <w:rPr>
          <w:sz w:val="18"/>
          <w:szCs w:val="18"/>
          <w:lang w:val="es-CR" w:eastAsia="es-MX"/>
        </w:rPr>
        <w:t>a) Haber sido puestas a disposición del Poder Ejecutivo Nacional antes del 10 de diciembre de 1983.</w:t>
      </w:r>
    </w:p>
    <w:p w14:paraId="5061FE8B" w14:textId="77777777" w:rsidR="007763DC" w:rsidRPr="00B642CF" w:rsidRDefault="007763DC" w:rsidP="00F86520">
      <w:pPr>
        <w:ind w:left="708" w:right="567"/>
        <w:rPr>
          <w:sz w:val="18"/>
          <w:szCs w:val="18"/>
          <w:lang w:val="es-CR" w:eastAsia="es-MX"/>
        </w:rPr>
      </w:pPr>
      <w:r w:rsidRPr="00B642CF">
        <w:rPr>
          <w:sz w:val="18"/>
          <w:szCs w:val="18"/>
          <w:lang w:val="es-CR" w:eastAsia="es-MX"/>
        </w:rPr>
        <w:t>b) En condición de civiles, haber sido privadas de su libertad por actos emanados de tribunales militares, haya habido o no sentencia condenatoria en este fuero.</w:t>
      </w:r>
    </w:p>
    <w:p w14:paraId="5A6F0C63" w14:textId="77777777" w:rsidR="00F86520" w:rsidRPr="00B642CF" w:rsidRDefault="00F86520" w:rsidP="007763DC">
      <w:pPr>
        <w:ind w:left="567" w:right="567"/>
        <w:rPr>
          <w:sz w:val="18"/>
          <w:szCs w:val="18"/>
          <w:lang w:val="es-CR" w:eastAsia="es-MX"/>
        </w:rPr>
      </w:pPr>
    </w:p>
    <w:p w14:paraId="713B0F66" w14:textId="77777777" w:rsidR="00F86520" w:rsidRPr="00B642CF" w:rsidRDefault="00F86520" w:rsidP="00F86520">
      <w:pPr>
        <w:ind w:left="567" w:right="567"/>
        <w:rPr>
          <w:sz w:val="18"/>
          <w:szCs w:val="18"/>
          <w:lang w:val="es-CR" w:eastAsia="es-MX"/>
        </w:rPr>
      </w:pPr>
      <w:r w:rsidRPr="00B642CF">
        <w:rPr>
          <w:sz w:val="18"/>
          <w:szCs w:val="18"/>
          <w:lang w:val="es-CR" w:eastAsia="es-MX"/>
        </w:rPr>
        <w:t>Artículo 3. La solicitud del beneficio se hará ante el Ministerio del Interior, quien comprobará en forma sumarísima el cumplimiento de los recaudos exigidos por los artículos anteriores y el lapso que duró la vigencia de la medida mencionada en el artículo 2°, incisos a) y b).</w:t>
      </w:r>
    </w:p>
    <w:p w14:paraId="01CAA94E" w14:textId="77777777" w:rsidR="00F86520" w:rsidRPr="00B642CF" w:rsidRDefault="00F86520" w:rsidP="00F86520">
      <w:pPr>
        <w:ind w:left="567" w:right="567"/>
        <w:rPr>
          <w:sz w:val="18"/>
          <w:szCs w:val="18"/>
          <w:lang w:val="es-CR" w:eastAsia="es-MX"/>
        </w:rPr>
      </w:pPr>
      <w:r w:rsidRPr="00B642CF">
        <w:rPr>
          <w:sz w:val="18"/>
          <w:szCs w:val="18"/>
          <w:lang w:val="es-CR" w:eastAsia="es-MX"/>
        </w:rPr>
        <w:t>La resolución que deniegue en forma total o parcial el beneficio, será recurrible dentro de los diez (10) días de notificada ante la Cámara Nacional de Apelaciones en lo Contencioso Administrativo Federal de la Capital Federal. El recurso se presentará fundado y el Ministerio del Interior lo elevará a la Cámara con su opinión dentro del quinto día. La Cámara decidirá sin más trámite dentro del plazo de veinte (20) días de recibidas las actuaciones.</w:t>
      </w:r>
    </w:p>
    <w:p w14:paraId="56CDC284" w14:textId="77777777" w:rsidR="00F86520" w:rsidRPr="00B642CF" w:rsidRDefault="00F86520" w:rsidP="00F86520">
      <w:pPr>
        <w:ind w:left="567" w:right="567"/>
        <w:rPr>
          <w:sz w:val="18"/>
          <w:szCs w:val="18"/>
          <w:lang w:val="es-CR" w:eastAsia="es-MX"/>
        </w:rPr>
      </w:pPr>
    </w:p>
    <w:p w14:paraId="2EAC301A" w14:textId="77777777" w:rsidR="00F86520" w:rsidRPr="00B642CF" w:rsidRDefault="00F86520" w:rsidP="00F86520">
      <w:pPr>
        <w:ind w:left="567" w:right="567"/>
        <w:rPr>
          <w:sz w:val="18"/>
          <w:szCs w:val="18"/>
          <w:lang w:val="es-CR" w:eastAsia="es-MX"/>
        </w:rPr>
      </w:pPr>
      <w:r w:rsidRPr="00B642CF">
        <w:rPr>
          <w:sz w:val="18"/>
          <w:szCs w:val="18"/>
          <w:lang w:val="es-CR" w:eastAsia="es-MX"/>
        </w:rPr>
        <w:t xml:space="preserve">Artículo 4. El beneficio que establece la presente ley será igual a la treintava parte de la remuneración mensual asignada a la categoría superior del escalafón para el personal civil de la administración pública nacional (aprobado por el Decreto N° 1428 del 22 de febrero de 1973, o el que lo reemplace), por cada día que duró la medida mencionada en el artículo </w:t>
      </w:r>
      <w:r w:rsidR="00AA417B" w:rsidRPr="00B642CF">
        <w:rPr>
          <w:sz w:val="18"/>
          <w:szCs w:val="18"/>
          <w:lang w:val="es-CR" w:eastAsia="es-MX"/>
        </w:rPr>
        <w:t>2,</w:t>
      </w:r>
      <w:r w:rsidRPr="00B642CF">
        <w:rPr>
          <w:sz w:val="18"/>
          <w:szCs w:val="18"/>
          <w:lang w:val="es-CR" w:eastAsia="es-MX"/>
        </w:rPr>
        <w:t xml:space="preserve"> incisos a) y b), respecto a cada beneficiario. A este efecto se considerará remuneración mensual a la totalidad de los rubros que integran el salario del agente sujetos a aportes jubilatorios, con exclusión de los adicionales particulares (antigüedad, título, etc.), y se tomará la correspondiente al mes en que se otorgue el beneficio.</w:t>
      </w:r>
    </w:p>
    <w:p w14:paraId="1EBE2060" w14:textId="77777777" w:rsidR="00F86520" w:rsidRPr="00B642CF" w:rsidRDefault="00F86520" w:rsidP="00F86520">
      <w:pPr>
        <w:ind w:left="567" w:right="567"/>
        <w:rPr>
          <w:sz w:val="18"/>
          <w:szCs w:val="18"/>
          <w:lang w:val="es-CR" w:eastAsia="es-MX"/>
        </w:rPr>
      </w:pPr>
      <w:r w:rsidRPr="00B642CF">
        <w:rPr>
          <w:sz w:val="18"/>
          <w:szCs w:val="18"/>
          <w:lang w:val="es-CR" w:eastAsia="es-MX"/>
        </w:rPr>
        <w:t>Para el cómputo del lapso aludido en el párrafo anterior, se tomará en cuenta el acto del Poder Ejecutivo que decretó la medida o el arresto efectivo no dispuesto por orden de autoridad judicial competente, y el acto que la dejó sin efecto con carácter particular o como consecuencia del cese del estado de sitio.</w:t>
      </w:r>
    </w:p>
    <w:p w14:paraId="7EECCEEC" w14:textId="77777777" w:rsidR="00F86520" w:rsidRPr="00B642CF" w:rsidRDefault="00F86520" w:rsidP="00F86520">
      <w:pPr>
        <w:ind w:left="567" w:right="567"/>
        <w:rPr>
          <w:sz w:val="18"/>
          <w:szCs w:val="18"/>
          <w:lang w:val="es-CR" w:eastAsia="es-MX"/>
        </w:rPr>
      </w:pPr>
      <w:r w:rsidRPr="00B642CF">
        <w:rPr>
          <w:sz w:val="18"/>
          <w:szCs w:val="18"/>
          <w:lang w:val="es-CR" w:eastAsia="es-MX"/>
        </w:rPr>
        <w:t>Los arrestos domiciliarios o libertad vigilada no serán considerados como cese de la medida. […]</w:t>
      </w:r>
    </w:p>
    <w:p w14:paraId="5DCB41F2" w14:textId="77777777" w:rsidR="007763DC" w:rsidRPr="00B642CF" w:rsidRDefault="007763DC" w:rsidP="007763DC">
      <w:pPr>
        <w:rPr>
          <w:lang w:val="es-CR" w:eastAsia="es-MX"/>
        </w:rPr>
      </w:pPr>
    </w:p>
    <w:p w14:paraId="59ADD7D3" w14:textId="11B41FFB" w:rsidR="009B3776" w:rsidRPr="00B642CF" w:rsidRDefault="007763DC" w:rsidP="009B3776">
      <w:pPr>
        <w:pStyle w:val="PrrafodeSentencia"/>
        <w:rPr>
          <w:spacing w:val="0"/>
        </w:rPr>
      </w:pPr>
      <w:r w:rsidRPr="00B642CF">
        <w:rPr>
          <w:spacing w:val="0"/>
        </w:rPr>
        <w:t>Esta política de indemnización fue ampliada y completada por otras leyes que establecieron beneficios a diversas categorías de víctimas de la dictadura y sus derechohabientes</w:t>
      </w:r>
      <w:r w:rsidRPr="00B642CF">
        <w:rPr>
          <w:rStyle w:val="Refdenotaalpie"/>
          <w:spacing w:val="0"/>
        </w:rPr>
        <w:footnoteReference w:id="23"/>
      </w:r>
      <w:r w:rsidRPr="00B642CF">
        <w:rPr>
          <w:spacing w:val="0"/>
        </w:rPr>
        <w:t>.</w:t>
      </w:r>
      <w:r w:rsidR="00051FF7" w:rsidRPr="00B642CF">
        <w:rPr>
          <w:spacing w:val="0"/>
        </w:rPr>
        <w:t xml:space="preserve"> Asimismo, por medio de la Ley No. 27</w:t>
      </w:r>
      <w:r w:rsidR="0057677D" w:rsidRPr="00B642CF">
        <w:rPr>
          <w:spacing w:val="0"/>
        </w:rPr>
        <w:t>.</w:t>
      </w:r>
      <w:r w:rsidR="00051FF7" w:rsidRPr="00B642CF">
        <w:rPr>
          <w:spacing w:val="0"/>
        </w:rPr>
        <w:t>143 del 27 de mayo de 2015, se estableció que los beneficios establecidos en el conjunto normativo de reparaciones no tiene plazo de caducidad</w:t>
      </w:r>
      <w:r w:rsidR="00051FF7" w:rsidRPr="00B642CF">
        <w:rPr>
          <w:rStyle w:val="Refdenotaalpie"/>
          <w:spacing w:val="0"/>
        </w:rPr>
        <w:footnoteReference w:id="24"/>
      </w:r>
      <w:r w:rsidR="00051FF7" w:rsidRPr="00B642CF">
        <w:rPr>
          <w:spacing w:val="0"/>
        </w:rPr>
        <w:t>.</w:t>
      </w:r>
    </w:p>
    <w:p w14:paraId="7D3D9D9A" w14:textId="77777777" w:rsidR="004F3CE2" w:rsidRPr="00B642CF" w:rsidRDefault="004F3CE2" w:rsidP="004F3CE2">
      <w:pPr>
        <w:rPr>
          <w:lang w:val="es-ES" w:eastAsia="es-MX"/>
        </w:rPr>
      </w:pPr>
    </w:p>
    <w:p w14:paraId="3FD428FD" w14:textId="77777777" w:rsidR="004F3CE2" w:rsidRPr="00B642CF" w:rsidRDefault="004F3CE2" w:rsidP="00B642CF">
      <w:pPr>
        <w:pStyle w:val="Ttulo2"/>
        <w:keepNext/>
        <w:numPr>
          <w:ilvl w:val="1"/>
          <w:numId w:val="9"/>
        </w:numPr>
        <w:tabs>
          <w:tab w:val="clear" w:pos="567"/>
          <w:tab w:val="clear" w:pos="993"/>
          <w:tab w:val="left" w:pos="1134"/>
          <w:tab w:val="left" w:pos="1276"/>
        </w:tabs>
        <w:spacing w:before="0" w:after="0"/>
        <w:ind w:left="1134" w:hanging="567"/>
        <w:contextualSpacing w:val="0"/>
        <w:rPr>
          <w:lang w:val="es-ES"/>
        </w:rPr>
      </w:pPr>
      <w:bookmarkStart w:id="156" w:name="_Toc59089821"/>
      <w:bookmarkStart w:id="157" w:name="_Toc492973697"/>
      <w:r w:rsidRPr="00B642CF">
        <w:rPr>
          <w:lang w:val="es-ES"/>
        </w:rPr>
        <w:t>Los hechos ocurridos al señor Almeida durante la época de la dictadura</w:t>
      </w:r>
      <w:bookmarkEnd w:id="156"/>
    </w:p>
    <w:p w14:paraId="4935381E" w14:textId="77777777" w:rsidR="00705991" w:rsidRPr="00B642CF" w:rsidRDefault="00705991" w:rsidP="004F3CE2">
      <w:pPr>
        <w:pStyle w:val="Ttulo2"/>
        <w:keepNext/>
        <w:numPr>
          <w:ilvl w:val="0"/>
          <w:numId w:val="0"/>
        </w:numPr>
        <w:tabs>
          <w:tab w:val="clear" w:pos="567"/>
          <w:tab w:val="clear" w:pos="993"/>
          <w:tab w:val="left" w:pos="1134"/>
          <w:tab w:val="left" w:pos="1276"/>
        </w:tabs>
        <w:spacing w:before="0" w:after="0"/>
        <w:ind w:left="1434"/>
        <w:contextualSpacing w:val="0"/>
        <w:rPr>
          <w:lang w:val="es-ES"/>
        </w:rPr>
      </w:pPr>
      <w:r w:rsidRPr="00B642CF">
        <w:rPr>
          <w:lang w:val="es-ES"/>
        </w:rPr>
        <w:t xml:space="preserve"> </w:t>
      </w:r>
    </w:p>
    <w:p w14:paraId="19B6B84F" w14:textId="755FBEB1" w:rsidR="00705991" w:rsidRPr="00B642CF" w:rsidRDefault="00E66855" w:rsidP="00705991">
      <w:pPr>
        <w:pStyle w:val="PrrafodeSentencia"/>
        <w:rPr>
          <w:spacing w:val="0"/>
          <w:szCs w:val="20"/>
          <w:lang w:val="es-ES"/>
        </w:rPr>
      </w:pPr>
      <w:r w:rsidRPr="00B642CF">
        <w:rPr>
          <w:spacing w:val="0"/>
          <w:szCs w:val="20"/>
          <w:lang w:val="es-ES"/>
        </w:rPr>
        <w:t>El señor Rufino Jorge Almeida nació el 4 de mayo de 1956 en la ciudad de La Plata y se encuentra casado con la señora Claudia Graciela Esteves. E</w:t>
      </w:r>
      <w:r w:rsidR="00862393" w:rsidRPr="00B642CF">
        <w:rPr>
          <w:spacing w:val="0"/>
          <w:szCs w:val="20"/>
          <w:lang w:val="es-ES"/>
        </w:rPr>
        <w:t>l 4</w:t>
      </w:r>
      <w:r w:rsidRPr="00B642CF">
        <w:rPr>
          <w:spacing w:val="0"/>
          <w:szCs w:val="20"/>
          <w:lang w:val="es-ES"/>
        </w:rPr>
        <w:t xml:space="preserve"> de junio de 1978 fue secuestrado por integrantes de las Fuerzas Armadas y de seguridad argentinas junto con su esposa</w:t>
      </w:r>
      <w:r w:rsidRPr="00B642CF">
        <w:rPr>
          <w:rStyle w:val="Refdenotaalpie"/>
          <w:spacing w:val="0"/>
          <w:lang w:val="es-ES"/>
        </w:rPr>
        <w:footnoteReference w:id="25"/>
      </w:r>
      <w:r w:rsidRPr="00B642CF">
        <w:rPr>
          <w:spacing w:val="0"/>
          <w:szCs w:val="20"/>
          <w:lang w:val="es-ES"/>
        </w:rPr>
        <w:t>. Permaneció 54 días en calidad de detenido-desaparecido en el campo clandestino de detención conocido como “El Banco”</w:t>
      </w:r>
      <w:r w:rsidR="00862393" w:rsidRPr="00B642CF">
        <w:rPr>
          <w:rStyle w:val="Refdenotaalpie"/>
          <w:spacing w:val="0"/>
          <w:lang w:val="es-ES"/>
        </w:rPr>
        <w:footnoteReference w:id="26"/>
      </w:r>
      <w:r w:rsidRPr="00B642CF">
        <w:rPr>
          <w:spacing w:val="0"/>
          <w:szCs w:val="20"/>
          <w:lang w:val="es-ES"/>
        </w:rPr>
        <w:t>, en donde fue torturado</w:t>
      </w:r>
      <w:r w:rsidR="00A72BCC" w:rsidRPr="00B642CF">
        <w:rPr>
          <w:rStyle w:val="Refdenotaalpie"/>
          <w:spacing w:val="0"/>
          <w:lang w:val="es-ES"/>
        </w:rPr>
        <w:footnoteReference w:id="27"/>
      </w:r>
      <w:r w:rsidRPr="00B642CF">
        <w:rPr>
          <w:spacing w:val="0"/>
          <w:szCs w:val="20"/>
          <w:lang w:val="es-ES"/>
        </w:rPr>
        <w:t>.</w:t>
      </w:r>
    </w:p>
    <w:p w14:paraId="11C96746" w14:textId="77777777" w:rsidR="00A72BCC" w:rsidRPr="00B642CF" w:rsidRDefault="00A72BCC" w:rsidP="00A72BCC">
      <w:pPr>
        <w:rPr>
          <w:lang w:val="es-ES" w:eastAsia="es-MX"/>
        </w:rPr>
      </w:pPr>
    </w:p>
    <w:p w14:paraId="768BA139" w14:textId="5E2F8406" w:rsidR="00A72BCC" w:rsidRPr="00B642CF" w:rsidRDefault="00A72BCC" w:rsidP="00A72BCC">
      <w:pPr>
        <w:pStyle w:val="PrrafodeSentencia"/>
        <w:rPr>
          <w:spacing w:val="0"/>
        </w:rPr>
      </w:pPr>
      <w:r w:rsidRPr="00B642CF">
        <w:rPr>
          <w:spacing w:val="0"/>
        </w:rPr>
        <w:t>Al ser liberado de esta detención</w:t>
      </w:r>
      <w:r w:rsidR="00A302B3" w:rsidRPr="00B642CF">
        <w:rPr>
          <w:spacing w:val="0"/>
        </w:rPr>
        <w:t>,</w:t>
      </w:r>
      <w:r w:rsidR="00862393" w:rsidRPr="00B642CF">
        <w:rPr>
          <w:spacing w:val="0"/>
        </w:rPr>
        <w:t xml:space="preserve"> el 27 de julio de 1978</w:t>
      </w:r>
      <w:r w:rsidRPr="00B642CF">
        <w:rPr>
          <w:spacing w:val="0"/>
        </w:rPr>
        <w:t>, fue puesto en un régimen de “libertad vigilada</w:t>
      </w:r>
      <w:r w:rsidR="00402096" w:rsidRPr="00B642CF">
        <w:rPr>
          <w:spacing w:val="0"/>
        </w:rPr>
        <w:t xml:space="preserve"> de facto</w:t>
      </w:r>
      <w:r w:rsidRPr="00B642CF">
        <w:rPr>
          <w:spacing w:val="0"/>
        </w:rPr>
        <w:t>”</w:t>
      </w:r>
      <w:r w:rsidRPr="00B642CF">
        <w:rPr>
          <w:rStyle w:val="Refdenotaalpie"/>
          <w:spacing w:val="0"/>
        </w:rPr>
        <w:footnoteReference w:id="28"/>
      </w:r>
      <w:r w:rsidRPr="00B642CF">
        <w:rPr>
          <w:spacing w:val="0"/>
        </w:rPr>
        <w:t>. En efecto, al momento de su liberación el señor Almeida y su esposa fueron puestos bajo custodia del padre del primero. A partir de ese momento</w:t>
      </w:r>
      <w:r w:rsidR="00167C66" w:rsidRPr="00B642CF">
        <w:rPr>
          <w:spacing w:val="0"/>
        </w:rPr>
        <w:t xml:space="preserve">, comenzó un control que puede ser equiparado al régimen de libertad vigilada, en donde eran sometidos a visitas por parte de guardias del campo clandestino </w:t>
      </w:r>
      <w:r w:rsidR="00B703B6" w:rsidRPr="00B642CF">
        <w:rPr>
          <w:spacing w:val="0"/>
        </w:rPr>
        <w:t>“</w:t>
      </w:r>
      <w:r w:rsidR="000150F8" w:rsidRPr="00B642CF">
        <w:rPr>
          <w:spacing w:val="0"/>
        </w:rPr>
        <w:t>El Ban</w:t>
      </w:r>
      <w:r w:rsidR="00167C66" w:rsidRPr="00B642CF">
        <w:rPr>
          <w:spacing w:val="0"/>
        </w:rPr>
        <w:t>co</w:t>
      </w:r>
      <w:r w:rsidR="00B703B6" w:rsidRPr="00B642CF">
        <w:rPr>
          <w:spacing w:val="0"/>
        </w:rPr>
        <w:t>”</w:t>
      </w:r>
      <w:r w:rsidR="00167C66" w:rsidRPr="00B642CF">
        <w:rPr>
          <w:spacing w:val="0"/>
        </w:rPr>
        <w:t>. Asimismo, se les entregó un número de teléfono pa</w:t>
      </w:r>
      <w:r w:rsidR="00F52A20" w:rsidRPr="00B642CF">
        <w:rPr>
          <w:spacing w:val="0"/>
        </w:rPr>
        <w:t>ra efectuar llamadas de control</w:t>
      </w:r>
      <w:r w:rsidR="00F52A20" w:rsidRPr="00B642CF">
        <w:rPr>
          <w:rStyle w:val="Refdenotaalpie"/>
          <w:spacing w:val="0"/>
        </w:rPr>
        <w:footnoteReference w:id="29"/>
      </w:r>
      <w:r w:rsidR="00F52A20" w:rsidRPr="00B642CF">
        <w:rPr>
          <w:spacing w:val="0"/>
        </w:rPr>
        <w:t>.</w:t>
      </w:r>
      <w:r w:rsidR="00167C66" w:rsidRPr="00B642CF">
        <w:rPr>
          <w:b/>
          <w:spacing w:val="0"/>
        </w:rPr>
        <w:t xml:space="preserve"> </w:t>
      </w:r>
      <w:r w:rsidR="00167C66" w:rsidRPr="00B642CF">
        <w:rPr>
          <w:spacing w:val="0"/>
        </w:rPr>
        <w:t>Este régimen de libertad vigila</w:t>
      </w:r>
      <w:r w:rsidR="00F52A20" w:rsidRPr="00B642CF">
        <w:rPr>
          <w:spacing w:val="0"/>
        </w:rPr>
        <w:t>da cesó el 30 de abril de 1983.</w:t>
      </w:r>
    </w:p>
    <w:p w14:paraId="65B4FBC5" w14:textId="77777777" w:rsidR="004F3CE2" w:rsidRPr="00B642CF" w:rsidRDefault="004F3CE2" w:rsidP="004F3CE2">
      <w:pPr>
        <w:rPr>
          <w:lang w:val="es-ES" w:eastAsia="es-MX"/>
        </w:rPr>
      </w:pPr>
    </w:p>
    <w:p w14:paraId="6B2B9C57" w14:textId="77777777" w:rsidR="00705991" w:rsidRPr="00B642CF" w:rsidRDefault="004F3CE2" w:rsidP="00B642CF">
      <w:pPr>
        <w:pStyle w:val="Ttulo2"/>
        <w:keepNext/>
        <w:numPr>
          <w:ilvl w:val="0"/>
          <w:numId w:val="5"/>
        </w:numPr>
        <w:tabs>
          <w:tab w:val="clear" w:pos="567"/>
          <w:tab w:val="clear" w:pos="993"/>
          <w:tab w:val="left" w:pos="1134"/>
          <w:tab w:val="left" w:pos="1276"/>
        </w:tabs>
        <w:spacing w:before="0" w:after="0"/>
        <w:ind w:left="1134" w:hanging="567"/>
        <w:contextualSpacing w:val="0"/>
        <w:rPr>
          <w:lang w:val="es-ES"/>
        </w:rPr>
      </w:pPr>
      <w:bookmarkStart w:id="158" w:name="_Toc59089822"/>
      <w:r w:rsidRPr="00B642CF">
        <w:rPr>
          <w:lang w:val="es-ES"/>
        </w:rPr>
        <w:t>El procedimiento de solicitud de reparación del señor Almeida en el ámbito interno</w:t>
      </w:r>
      <w:bookmarkEnd w:id="158"/>
    </w:p>
    <w:p w14:paraId="0319A567" w14:textId="77777777" w:rsidR="004F3CE2" w:rsidRPr="00B642CF" w:rsidRDefault="004F3CE2" w:rsidP="004F3CE2">
      <w:pPr>
        <w:rPr>
          <w:lang w:val="es-ES"/>
        </w:rPr>
      </w:pPr>
    </w:p>
    <w:p w14:paraId="09EB1432" w14:textId="00E9E970" w:rsidR="00705991" w:rsidRPr="00B642CF" w:rsidRDefault="00862393" w:rsidP="00705991">
      <w:pPr>
        <w:pStyle w:val="PrrafodeSentencia"/>
        <w:rPr>
          <w:spacing w:val="0"/>
          <w:szCs w:val="20"/>
          <w:lang w:val="es-ES"/>
        </w:rPr>
      </w:pPr>
      <w:r w:rsidRPr="00B642CF">
        <w:rPr>
          <w:spacing w:val="0"/>
          <w:szCs w:val="20"/>
          <w:lang w:val="es-ES"/>
        </w:rPr>
        <w:t>El 21 de febrero de 1995 el señ</w:t>
      </w:r>
      <w:r w:rsidR="00FB1DDF" w:rsidRPr="00B642CF">
        <w:rPr>
          <w:spacing w:val="0"/>
          <w:szCs w:val="20"/>
          <w:lang w:val="es-ES"/>
        </w:rPr>
        <w:t>or Almeida presentó una solicitu</w:t>
      </w:r>
      <w:r w:rsidRPr="00B642CF">
        <w:rPr>
          <w:spacing w:val="0"/>
          <w:szCs w:val="20"/>
          <w:lang w:val="es-ES"/>
        </w:rPr>
        <w:t xml:space="preserve">d de los beneficios previstos por la Ley </w:t>
      </w:r>
      <w:r w:rsidR="005B06BF" w:rsidRPr="00B642CF">
        <w:rPr>
          <w:spacing w:val="0"/>
          <w:szCs w:val="20"/>
          <w:lang w:val="es-ES"/>
        </w:rPr>
        <w:t xml:space="preserve">No. </w:t>
      </w:r>
      <w:r w:rsidRPr="00B642CF">
        <w:rPr>
          <w:spacing w:val="0"/>
          <w:szCs w:val="20"/>
          <w:lang w:val="es-ES"/>
        </w:rPr>
        <w:t>24.043</w:t>
      </w:r>
      <w:r w:rsidRPr="00B642CF">
        <w:rPr>
          <w:rStyle w:val="Refdenotaalpie"/>
          <w:spacing w:val="0"/>
          <w:lang w:val="es-ES"/>
        </w:rPr>
        <w:footnoteReference w:id="30"/>
      </w:r>
      <w:r w:rsidRPr="00B642CF">
        <w:rPr>
          <w:spacing w:val="0"/>
          <w:szCs w:val="20"/>
          <w:lang w:val="es-ES"/>
        </w:rPr>
        <w:t xml:space="preserve">. Luego de que la Secretaría de Derechos Humanos y </w:t>
      </w:r>
      <w:r w:rsidR="00386956" w:rsidRPr="00B642CF">
        <w:rPr>
          <w:spacing w:val="0"/>
          <w:szCs w:val="20"/>
          <w:lang w:val="es-ES"/>
        </w:rPr>
        <w:t>S</w:t>
      </w:r>
      <w:r w:rsidRPr="00B642CF">
        <w:rPr>
          <w:spacing w:val="0"/>
          <w:szCs w:val="20"/>
          <w:lang w:val="es-ES"/>
        </w:rPr>
        <w:t>ociales corroborara el cumplimiento de los requisitos legales</w:t>
      </w:r>
      <w:r w:rsidRPr="00B642CF">
        <w:rPr>
          <w:rStyle w:val="Refdenotaalpie"/>
          <w:spacing w:val="0"/>
          <w:lang w:val="es-ES"/>
        </w:rPr>
        <w:footnoteReference w:id="31"/>
      </w:r>
      <w:r w:rsidRPr="00B642CF">
        <w:rPr>
          <w:spacing w:val="0"/>
          <w:szCs w:val="20"/>
          <w:lang w:val="es-ES"/>
        </w:rPr>
        <w:t>, el Minist</w:t>
      </w:r>
      <w:r w:rsidR="005D09F4">
        <w:rPr>
          <w:spacing w:val="0"/>
          <w:szCs w:val="20"/>
          <w:lang w:val="es-ES"/>
        </w:rPr>
        <w:t>e</w:t>
      </w:r>
      <w:r w:rsidRPr="00B642CF">
        <w:rPr>
          <w:spacing w:val="0"/>
          <w:szCs w:val="20"/>
          <w:lang w:val="es-ES"/>
        </w:rPr>
        <w:t>r</w:t>
      </w:r>
      <w:r w:rsidR="005D09F4">
        <w:rPr>
          <w:spacing w:val="0"/>
          <w:szCs w:val="20"/>
          <w:lang w:val="es-ES"/>
        </w:rPr>
        <w:t>i</w:t>
      </w:r>
      <w:r w:rsidRPr="00B642CF">
        <w:rPr>
          <w:spacing w:val="0"/>
          <w:szCs w:val="20"/>
          <w:lang w:val="es-ES"/>
        </w:rPr>
        <w:t>o del Interior, por medio de la resolución No. 2638/96 del 3 de octubre de 1996, resolvi</w:t>
      </w:r>
      <w:r w:rsidR="00280EFB" w:rsidRPr="00B642CF">
        <w:rPr>
          <w:spacing w:val="0"/>
          <w:szCs w:val="20"/>
          <w:lang w:val="es-ES"/>
        </w:rPr>
        <w:t xml:space="preserve">ó reconocer el derecho a la indemnización del </w:t>
      </w:r>
      <w:r w:rsidR="005D09F4">
        <w:rPr>
          <w:spacing w:val="0"/>
          <w:szCs w:val="20"/>
          <w:lang w:val="es-ES"/>
        </w:rPr>
        <w:t>s</w:t>
      </w:r>
      <w:r w:rsidR="00280EFB" w:rsidRPr="00B642CF">
        <w:rPr>
          <w:spacing w:val="0"/>
          <w:szCs w:val="20"/>
          <w:lang w:val="es-ES"/>
        </w:rPr>
        <w:t>eñor Almeida por 54 días de detención ilegal</w:t>
      </w:r>
      <w:r w:rsidR="00280EFB" w:rsidRPr="00B642CF">
        <w:rPr>
          <w:rStyle w:val="Refdenotaalpie"/>
          <w:spacing w:val="0"/>
          <w:lang w:val="es-ES"/>
        </w:rPr>
        <w:footnoteReference w:id="32"/>
      </w:r>
      <w:r w:rsidR="00280EFB" w:rsidRPr="00B642CF">
        <w:rPr>
          <w:spacing w:val="0"/>
          <w:szCs w:val="20"/>
          <w:lang w:val="es-ES"/>
        </w:rPr>
        <w:t>. Esta resolución fue notificada al señor Almeida el 8 de octubre de 1996</w:t>
      </w:r>
      <w:r w:rsidR="00280EFB" w:rsidRPr="00B642CF">
        <w:rPr>
          <w:rStyle w:val="Refdenotaalpie"/>
          <w:spacing w:val="0"/>
          <w:lang w:val="es-ES"/>
        </w:rPr>
        <w:footnoteReference w:id="33"/>
      </w:r>
      <w:r w:rsidR="00280EFB" w:rsidRPr="00B642CF">
        <w:rPr>
          <w:spacing w:val="0"/>
          <w:szCs w:val="20"/>
          <w:lang w:val="es-ES"/>
        </w:rPr>
        <w:t>.</w:t>
      </w:r>
    </w:p>
    <w:p w14:paraId="1A72895A" w14:textId="77777777" w:rsidR="00280EFB" w:rsidRPr="00B642CF" w:rsidRDefault="00280EFB" w:rsidP="00280EFB">
      <w:pPr>
        <w:rPr>
          <w:lang w:val="es-ES" w:eastAsia="es-MX"/>
        </w:rPr>
      </w:pPr>
    </w:p>
    <w:p w14:paraId="370BFB3B" w14:textId="0D5EF845" w:rsidR="00280EFB" w:rsidRPr="00B642CF" w:rsidRDefault="00280EFB" w:rsidP="00280EFB">
      <w:pPr>
        <w:pStyle w:val="PrrafodeSentencia"/>
        <w:rPr>
          <w:spacing w:val="0"/>
        </w:rPr>
      </w:pPr>
      <w:r w:rsidRPr="00B642CF">
        <w:rPr>
          <w:spacing w:val="0"/>
        </w:rPr>
        <w:t>El 6 de noviembre de 1996 el señor Almeida presentó un recurso de apelación ante el Minist</w:t>
      </w:r>
      <w:r w:rsidR="005D09F4">
        <w:rPr>
          <w:spacing w:val="0"/>
        </w:rPr>
        <w:t>e</w:t>
      </w:r>
      <w:r w:rsidRPr="00B642CF">
        <w:rPr>
          <w:spacing w:val="0"/>
        </w:rPr>
        <w:t>r</w:t>
      </w:r>
      <w:r w:rsidR="005D09F4">
        <w:rPr>
          <w:spacing w:val="0"/>
        </w:rPr>
        <w:t>i</w:t>
      </w:r>
      <w:r w:rsidRPr="00B642CF">
        <w:rPr>
          <w:spacing w:val="0"/>
        </w:rPr>
        <w:t>o del Interior. Alegó que la resolución 2638/96 no tomó en cuenta para el cálculo de su indemnización los 1795 días en que fue mantenido en una suerte de libertad vigilada</w:t>
      </w:r>
      <w:r w:rsidRPr="00B642CF">
        <w:rPr>
          <w:rStyle w:val="Refdenotaalpie"/>
          <w:spacing w:val="0"/>
        </w:rPr>
        <w:footnoteReference w:id="34"/>
      </w:r>
      <w:r w:rsidRPr="00B642CF">
        <w:rPr>
          <w:spacing w:val="0"/>
        </w:rPr>
        <w:t xml:space="preserve">. </w:t>
      </w:r>
      <w:r w:rsidR="008D2E1E" w:rsidRPr="00B642CF">
        <w:rPr>
          <w:spacing w:val="0"/>
        </w:rPr>
        <w:t>El 25 de marzo de 1999 la Cámara Nacional en lo Contencioso Administrativo Federal confirmó la resolución apelada, considerando</w:t>
      </w:r>
      <w:r w:rsidR="00205D10" w:rsidRPr="00B642CF">
        <w:rPr>
          <w:spacing w:val="0"/>
        </w:rPr>
        <w:t xml:space="preserve"> que</w:t>
      </w:r>
      <w:r w:rsidR="008D2E1E" w:rsidRPr="00B642CF">
        <w:rPr>
          <w:spacing w:val="0"/>
        </w:rPr>
        <w:t>:</w:t>
      </w:r>
    </w:p>
    <w:p w14:paraId="61B1E434" w14:textId="77777777" w:rsidR="008D2E1E" w:rsidRPr="00B642CF" w:rsidRDefault="008D2E1E" w:rsidP="008D2E1E">
      <w:pPr>
        <w:rPr>
          <w:lang w:val="es-CR" w:eastAsia="es-MX"/>
        </w:rPr>
      </w:pPr>
    </w:p>
    <w:p w14:paraId="008C9847" w14:textId="13C41FB6" w:rsidR="008D2E1E" w:rsidRPr="00B642CF" w:rsidRDefault="00205D10" w:rsidP="008D2E1E">
      <w:pPr>
        <w:ind w:left="567" w:right="567"/>
        <w:rPr>
          <w:sz w:val="18"/>
          <w:szCs w:val="18"/>
          <w:lang w:val="es-CR" w:eastAsia="es-MX"/>
        </w:rPr>
      </w:pPr>
      <w:r w:rsidRPr="00B642CF">
        <w:rPr>
          <w:sz w:val="18"/>
          <w:szCs w:val="18"/>
          <w:lang w:val="es-CR" w:eastAsia="es-MX"/>
        </w:rPr>
        <w:t>La pretensión del actor consistente en que el lapso de detención se compute hasta el 30 de abril de 1983 porque hasta esa fecha, una vez dispuesta su libertad el 27 de julio de 1978, habría tenido que reportar a “Colores”, Javier y el Turco Julián, debe ser desestimada porque, cualquiera sea la verdad de sus dichos, su situación no es la contemplada por la ley 21650</w:t>
      </w:r>
      <w:r w:rsidR="007F7CC9" w:rsidRPr="00B642CF">
        <w:rPr>
          <w:rStyle w:val="Refdenotaalpie"/>
          <w:lang w:val="es-CR" w:eastAsia="es-MX"/>
        </w:rPr>
        <w:footnoteReference w:id="35"/>
      </w:r>
      <w:r w:rsidRPr="00B642CF">
        <w:rPr>
          <w:sz w:val="18"/>
          <w:szCs w:val="18"/>
          <w:lang w:val="es-CR" w:eastAsia="es-MX"/>
        </w:rPr>
        <w:t>, a la que, implícitamente, remite la ley 24043 cuando prescribe que la libertad vigilada no debe ser considerada como cese de la medida restrictiva de la libertad y, por ende, autoriza el extender el plazo de detención sujeto a indemnización hasta la obtención de la libertad total</w:t>
      </w:r>
      <w:r w:rsidRPr="00B642CF">
        <w:rPr>
          <w:rStyle w:val="Refdenotaalpie"/>
          <w:lang w:val="es-CR" w:eastAsia="es-MX"/>
        </w:rPr>
        <w:footnoteReference w:id="36"/>
      </w:r>
      <w:r w:rsidRPr="00B642CF">
        <w:rPr>
          <w:sz w:val="18"/>
          <w:szCs w:val="18"/>
          <w:lang w:val="es-CR" w:eastAsia="es-MX"/>
        </w:rPr>
        <w:t>.</w:t>
      </w:r>
    </w:p>
    <w:p w14:paraId="2CBA9929" w14:textId="77777777" w:rsidR="004F3CE2" w:rsidRPr="00B642CF" w:rsidRDefault="004F3CE2" w:rsidP="004F3CE2">
      <w:pPr>
        <w:rPr>
          <w:lang w:val="es-ES" w:eastAsia="es-MX"/>
        </w:rPr>
      </w:pPr>
    </w:p>
    <w:p w14:paraId="0D928AAC" w14:textId="68A00F0D" w:rsidR="00205D10" w:rsidRPr="00B642CF" w:rsidRDefault="00205D10" w:rsidP="00205D10">
      <w:pPr>
        <w:pStyle w:val="PrrafodeSentencia"/>
        <w:rPr>
          <w:spacing w:val="0"/>
        </w:rPr>
      </w:pPr>
      <w:r w:rsidRPr="00B642CF">
        <w:rPr>
          <w:spacing w:val="0"/>
        </w:rPr>
        <w:t>El 22 de abril de 1999 el señor Almeida interpuso un recurso extraordinario en contra de la resolución de la Cámara Nacional en lo Contencioso Administrativo Federal. En particular, alegó que la Corte Suprema de Justicia ha</w:t>
      </w:r>
      <w:r w:rsidR="00055BDB" w:rsidRPr="00B642CF">
        <w:rPr>
          <w:spacing w:val="0"/>
        </w:rPr>
        <w:t>bía</w:t>
      </w:r>
      <w:r w:rsidRPr="00B642CF">
        <w:rPr>
          <w:spacing w:val="0"/>
        </w:rPr>
        <w:t xml:space="preserve"> hecho una interpretación m</w:t>
      </w:r>
      <w:r w:rsidR="00A302B3" w:rsidRPr="00B642CF">
        <w:rPr>
          <w:spacing w:val="0"/>
        </w:rPr>
        <w:t>ás amplia de lo que debía</w:t>
      </w:r>
      <w:r w:rsidRPr="00B642CF">
        <w:rPr>
          <w:spacing w:val="0"/>
        </w:rPr>
        <w:t xml:space="preserve"> considerarse dentro del concepto de libertad vigilada</w:t>
      </w:r>
      <w:r w:rsidR="00051FF7" w:rsidRPr="00B642CF">
        <w:rPr>
          <w:rStyle w:val="Refdenotaalpie"/>
          <w:spacing w:val="0"/>
        </w:rPr>
        <w:footnoteReference w:id="37"/>
      </w:r>
      <w:r w:rsidRPr="00B642CF">
        <w:rPr>
          <w:spacing w:val="0"/>
        </w:rPr>
        <w:t>.</w:t>
      </w:r>
      <w:r w:rsidR="00051FF7" w:rsidRPr="00B642CF">
        <w:rPr>
          <w:spacing w:val="0"/>
        </w:rPr>
        <w:t xml:space="preserve"> Para argumentar su pretensión hizo referencia a otros </w:t>
      </w:r>
      <w:r w:rsidR="00A302B3" w:rsidRPr="00B642CF">
        <w:rPr>
          <w:spacing w:val="0"/>
        </w:rPr>
        <w:t>expedientes</w:t>
      </w:r>
      <w:r w:rsidR="00051FF7" w:rsidRPr="00B642CF">
        <w:rPr>
          <w:spacing w:val="0"/>
        </w:rPr>
        <w:t xml:space="preserve"> en donde la Corte había conocido de casos similares. </w:t>
      </w:r>
    </w:p>
    <w:p w14:paraId="49DEA01E" w14:textId="77777777" w:rsidR="00051FF7" w:rsidRPr="00B642CF" w:rsidRDefault="00051FF7" w:rsidP="00051FF7">
      <w:pPr>
        <w:rPr>
          <w:lang w:val="es-CR" w:eastAsia="es-MX"/>
        </w:rPr>
      </w:pPr>
    </w:p>
    <w:p w14:paraId="7CB186DC" w14:textId="414CB4DE" w:rsidR="00051FF7" w:rsidRPr="00B642CF" w:rsidRDefault="00051FF7" w:rsidP="00051FF7">
      <w:pPr>
        <w:pStyle w:val="PrrafodeSentencia"/>
        <w:rPr>
          <w:spacing w:val="0"/>
        </w:rPr>
      </w:pPr>
      <w:r w:rsidRPr="00B642CF">
        <w:rPr>
          <w:spacing w:val="0"/>
        </w:rPr>
        <w:t xml:space="preserve">En efecto, </w:t>
      </w:r>
      <w:r w:rsidR="00DF014B" w:rsidRPr="00B642CF">
        <w:rPr>
          <w:spacing w:val="0"/>
        </w:rPr>
        <w:t xml:space="preserve">el 15 de </w:t>
      </w:r>
      <w:r w:rsidR="00CC7CBF" w:rsidRPr="00B642CF">
        <w:rPr>
          <w:spacing w:val="0"/>
        </w:rPr>
        <w:t>j</w:t>
      </w:r>
      <w:r w:rsidR="00DF014B" w:rsidRPr="00B642CF">
        <w:rPr>
          <w:spacing w:val="0"/>
        </w:rPr>
        <w:t>ulio de 1997 la Corte Suprema de Justicia de la Nación emitió sentencia en el caso “Noro, Horacio José c. Ministerio del Interior” en donde resolvió el recurso de apelación presentado por el Estado en contra de la resolución de la Cámara Nacional en lo Contencioso Administrativo Federal que concedió el beneficio de la Ley No. 24</w:t>
      </w:r>
      <w:r w:rsidR="00F927C3" w:rsidRPr="00B642CF">
        <w:rPr>
          <w:spacing w:val="0"/>
        </w:rPr>
        <w:t>.</w:t>
      </w:r>
      <w:r w:rsidR="00DF014B" w:rsidRPr="00B642CF">
        <w:rPr>
          <w:spacing w:val="0"/>
        </w:rPr>
        <w:t>043 a favor del señor Noro. En este fallo la Corte Suprema estableció que:</w:t>
      </w:r>
    </w:p>
    <w:p w14:paraId="418F93EB" w14:textId="77777777" w:rsidR="00DF014B" w:rsidRPr="00B642CF" w:rsidRDefault="00DF014B" w:rsidP="00DF014B">
      <w:pPr>
        <w:ind w:left="567" w:right="567"/>
        <w:rPr>
          <w:lang w:val="es-CR" w:eastAsia="es-MX"/>
        </w:rPr>
      </w:pPr>
    </w:p>
    <w:p w14:paraId="3C2A6AB9" w14:textId="111C28CA" w:rsidR="00DF014B" w:rsidRPr="00B642CF" w:rsidRDefault="00DF014B" w:rsidP="00DF014B">
      <w:pPr>
        <w:ind w:left="567" w:right="567"/>
        <w:rPr>
          <w:sz w:val="18"/>
          <w:szCs w:val="18"/>
          <w:lang w:val="es-CR" w:eastAsia="es-MX"/>
        </w:rPr>
      </w:pPr>
      <w:r w:rsidRPr="00B642CF">
        <w:rPr>
          <w:sz w:val="18"/>
          <w:szCs w:val="18"/>
          <w:lang w:val="es-CR" w:eastAsia="es-MX"/>
        </w:rPr>
        <w:t>[L]a finalidad de la ley 24.043 fue otorgar una compensación económica a personas privadas del derecho</w:t>
      </w:r>
      <w:r w:rsidR="00386956" w:rsidRPr="00B642CF">
        <w:rPr>
          <w:sz w:val="18"/>
          <w:szCs w:val="18"/>
          <w:lang w:val="es-CR" w:eastAsia="es-MX"/>
        </w:rPr>
        <w:t xml:space="preserve"> constitucional a la libertad, n</w:t>
      </w:r>
      <w:r w:rsidRPr="00B642CF">
        <w:rPr>
          <w:sz w:val="18"/>
          <w:szCs w:val="18"/>
          <w:lang w:val="es-CR" w:eastAsia="es-MX"/>
        </w:rPr>
        <w:t>o en virtud de una orden de autoridad judicial competente, sino en razón de actos –cualquiera que hubiese sido su expresión formal- ilegítimos emanados en ciertas circunstancias de tribunales militares o de quienes ejercían el Poder Ejecutivo de la Nación durante el último gobierno de facto. Lo esencial no es la forma que revistió el acto de autoridad – y mucho menos su adecuación a las exigencias del art. 5 de la ley 21.650- sino la demostración del menoscabo efectivo a la libertad, en los diversos grados contemplados por la ley 24.043.</w:t>
      </w:r>
    </w:p>
    <w:p w14:paraId="424D1891" w14:textId="77777777" w:rsidR="00DF014B" w:rsidRPr="00B642CF" w:rsidRDefault="00DF014B" w:rsidP="00DF014B">
      <w:pPr>
        <w:ind w:left="567" w:right="567"/>
        <w:rPr>
          <w:sz w:val="18"/>
          <w:szCs w:val="18"/>
          <w:lang w:val="es-CR" w:eastAsia="es-MX"/>
        </w:rPr>
      </w:pPr>
      <w:r w:rsidRPr="00B642CF">
        <w:rPr>
          <w:sz w:val="18"/>
          <w:szCs w:val="18"/>
          <w:lang w:val="es-CR" w:eastAsia="es-MX"/>
        </w:rPr>
        <w:t>[…]</w:t>
      </w:r>
    </w:p>
    <w:p w14:paraId="22B458F4" w14:textId="660DB332" w:rsidR="00DF014B" w:rsidRPr="00B642CF" w:rsidRDefault="00DF014B" w:rsidP="00DF014B">
      <w:pPr>
        <w:ind w:left="567" w:right="567"/>
        <w:rPr>
          <w:sz w:val="18"/>
          <w:szCs w:val="18"/>
          <w:lang w:val="es-CR" w:eastAsia="es-MX"/>
        </w:rPr>
      </w:pPr>
      <w:r w:rsidRPr="00B642CF">
        <w:rPr>
          <w:sz w:val="18"/>
          <w:szCs w:val="18"/>
          <w:lang w:val="es-CR" w:eastAsia="es-MX"/>
        </w:rPr>
        <w:t xml:space="preserve">Que en este orden de ideas, la ley dispuso que a los efectos de tener por configurado el cese de </w:t>
      </w:r>
      <w:r w:rsidR="00AA417B" w:rsidRPr="00B642CF">
        <w:rPr>
          <w:sz w:val="18"/>
          <w:szCs w:val="18"/>
          <w:lang w:val="es-CR" w:eastAsia="es-MX"/>
        </w:rPr>
        <w:t>las medidas</w:t>
      </w:r>
      <w:r w:rsidRPr="00B642CF">
        <w:rPr>
          <w:sz w:val="18"/>
          <w:szCs w:val="18"/>
          <w:lang w:val="es-CR" w:eastAsia="es-MX"/>
        </w:rPr>
        <w:t xml:space="preserve"> (los supuestos contemplados en el art. 2) no se considerará el arresto domiciliario y la libertad vigilada. Habida cuenta de que el propósito fue satisfacer razones de equidad y de justicia, y dado que la ley no contiene definición alguna, corresponde incluir dentro de la figura de “libertad vigilada” tanto los casos que formalmente se ajustaron a la reglamentación del gobierno de facto</w:t>
      </w:r>
      <w:r w:rsidR="00386956" w:rsidRPr="00B642CF">
        <w:rPr>
          <w:sz w:val="18"/>
          <w:szCs w:val="18"/>
          <w:lang w:val="es-CR" w:eastAsia="es-MX"/>
        </w:rPr>
        <w:t xml:space="preserve"> […]</w:t>
      </w:r>
      <w:r w:rsidRPr="00B642CF">
        <w:rPr>
          <w:sz w:val="18"/>
          <w:szCs w:val="18"/>
          <w:lang w:val="es-CR" w:eastAsia="es-MX"/>
        </w:rPr>
        <w:t>, como aquellos otros en que la persona fue sujeta a un estado de control y de dependencia falto de garantías o</w:t>
      </w:r>
      <w:r w:rsidR="00386956" w:rsidRPr="00B642CF">
        <w:rPr>
          <w:sz w:val="18"/>
          <w:szCs w:val="18"/>
          <w:lang w:val="es-CR" w:eastAsia="es-MX"/>
        </w:rPr>
        <w:t>-</w:t>
      </w:r>
      <w:r w:rsidRPr="00B642CF">
        <w:rPr>
          <w:sz w:val="18"/>
          <w:szCs w:val="18"/>
          <w:lang w:val="es-CR" w:eastAsia="es-MX"/>
        </w:rPr>
        <w:t xml:space="preserve"> sin el pleno goce de las garantías, demostrable en los hechos, que representó un menoscabo equiparable de su libertad</w:t>
      </w:r>
      <w:r w:rsidRPr="00B642CF">
        <w:rPr>
          <w:rStyle w:val="Refdenotaalpie"/>
          <w:lang w:val="es-CR" w:eastAsia="es-MX"/>
        </w:rPr>
        <w:footnoteReference w:id="38"/>
      </w:r>
      <w:r w:rsidRPr="00B642CF">
        <w:rPr>
          <w:sz w:val="18"/>
          <w:szCs w:val="18"/>
          <w:lang w:val="es-CR" w:eastAsia="es-MX"/>
        </w:rPr>
        <w:t>.</w:t>
      </w:r>
    </w:p>
    <w:p w14:paraId="7BC56027" w14:textId="77777777" w:rsidR="00DF014B" w:rsidRPr="00B642CF" w:rsidRDefault="00DF014B" w:rsidP="00DF014B">
      <w:pPr>
        <w:rPr>
          <w:lang w:val="es-CR" w:eastAsia="es-MX"/>
        </w:rPr>
      </w:pPr>
    </w:p>
    <w:p w14:paraId="5E06BE5D" w14:textId="17251253" w:rsidR="00205D10" w:rsidRPr="00B642CF" w:rsidRDefault="009D1798" w:rsidP="009D1798">
      <w:pPr>
        <w:pStyle w:val="PrrafodeSentencia"/>
        <w:rPr>
          <w:spacing w:val="0"/>
        </w:rPr>
      </w:pPr>
      <w:r w:rsidRPr="00B642CF">
        <w:rPr>
          <w:spacing w:val="0"/>
        </w:rPr>
        <w:t xml:space="preserve">El 8 de junio de 1999 la Cámara Nacional en lo Contencioso Administrativo Federal denegó el recurso </w:t>
      </w:r>
      <w:r w:rsidR="00CC7CBF" w:rsidRPr="00B642CF">
        <w:rPr>
          <w:spacing w:val="0"/>
        </w:rPr>
        <w:t>extraordinario</w:t>
      </w:r>
      <w:r w:rsidRPr="00B642CF">
        <w:rPr>
          <w:spacing w:val="0"/>
        </w:rPr>
        <w:t xml:space="preserve"> interpuesto por el señor Almeida, en cuanto no demostró un supuesto de excepción </w:t>
      </w:r>
      <w:r w:rsidR="00DC3F03" w:rsidRPr="00B642CF">
        <w:rPr>
          <w:spacing w:val="0"/>
        </w:rPr>
        <w:t>que demostrara</w:t>
      </w:r>
      <w:r w:rsidRPr="00B642CF">
        <w:rPr>
          <w:spacing w:val="0"/>
        </w:rPr>
        <w:t xml:space="preserve"> fallas de razonamiento lógico en que se sustenta</w:t>
      </w:r>
      <w:r w:rsidR="00055BDB" w:rsidRPr="00B642CF">
        <w:rPr>
          <w:spacing w:val="0"/>
        </w:rPr>
        <w:t>ba</w:t>
      </w:r>
      <w:r w:rsidRPr="00B642CF">
        <w:rPr>
          <w:spacing w:val="0"/>
        </w:rPr>
        <w:t xml:space="preserve"> la sentencia o una manifiesta carencia de fundamentación normativa</w:t>
      </w:r>
      <w:r w:rsidRPr="00B642CF">
        <w:rPr>
          <w:rStyle w:val="Refdenotaalpie"/>
          <w:spacing w:val="0"/>
        </w:rPr>
        <w:footnoteReference w:id="39"/>
      </w:r>
      <w:r w:rsidRPr="00B642CF">
        <w:rPr>
          <w:spacing w:val="0"/>
        </w:rPr>
        <w:t>. El señor Almeida interpuso un recurso de queja ante la Corte Suprema de Justicia de la Nación el 7 de julio de 1999</w:t>
      </w:r>
      <w:r w:rsidRPr="00B642CF">
        <w:rPr>
          <w:rStyle w:val="Refdenotaalpie"/>
          <w:spacing w:val="0"/>
        </w:rPr>
        <w:footnoteReference w:id="40"/>
      </w:r>
      <w:r w:rsidR="00F93E5E" w:rsidRPr="00B642CF">
        <w:rPr>
          <w:spacing w:val="0"/>
        </w:rPr>
        <w:t>, el cual fue declarado inadmisible por resolución del 2 de diciembre de 1999</w:t>
      </w:r>
      <w:r w:rsidR="00F93E5E" w:rsidRPr="00B642CF">
        <w:rPr>
          <w:rStyle w:val="Refdenotaalpie"/>
          <w:spacing w:val="0"/>
        </w:rPr>
        <w:footnoteReference w:id="41"/>
      </w:r>
      <w:r w:rsidR="00F93E5E" w:rsidRPr="00B642CF">
        <w:rPr>
          <w:spacing w:val="0"/>
        </w:rPr>
        <w:t>.</w:t>
      </w:r>
    </w:p>
    <w:p w14:paraId="43C1DBEA" w14:textId="77777777" w:rsidR="00F93E5E" w:rsidRPr="00B642CF" w:rsidRDefault="00F93E5E" w:rsidP="00F93E5E">
      <w:pPr>
        <w:rPr>
          <w:lang w:val="es-CR" w:eastAsia="es-MX"/>
        </w:rPr>
      </w:pPr>
    </w:p>
    <w:p w14:paraId="7F1E6995" w14:textId="289B72C9" w:rsidR="00F93E5E" w:rsidRPr="00B642CF" w:rsidRDefault="00F93E5E" w:rsidP="00F93E5E">
      <w:pPr>
        <w:pStyle w:val="PrrafodeSentencia"/>
        <w:rPr>
          <w:spacing w:val="0"/>
        </w:rPr>
      </w:pPr>
      <w:r w:rsidRPr="00B642CF">
        <w:rPr>
          <w:spacing w:val="0"/>
        </w:rPr>
        <w:t>El 28 de noviembre de 2003 la Cámara Nacional en lo Contencioso Administrativo Federal, emitió una sentencia en el marco de la causa No.</w:t>
      </w:r>
      <w:r w:rsidR="00642F82" w:rsidRPr="00B642CF">
        <w:rPr>
          <w:spacing w:val="0"/>
        </w:rPr>
        <w:t xml:space="preserve"> 143625/2002: </w:t>
      </w:r>
      <w:r w:rsidR="00B54B2A" w:rsidRPr="00B642CF">
        <w:rPr>
          <w:spacing w:val="0"/>
        </w:rPr>
        <w:t>“</w:t>
      </w:r>
      <w:r w:rsidR="00642F82" w:rsidRPr="00B642CF">
        <w:rPr>
          <w:spacing w:val="0"/>
        </w:rPr>
        <w:t>Robasto, Jorge Enrique C. Ministerio de Justicia y Derechos Humanos</w:t>
      </w:r>
      <w:r w:rsidR="00B54B2A" w:rsidRPr="00B642CF">
        <w:rPr>
          <w:spacing w:val="0"/>
        </w:rPr>
        <w:t>”</w:t>
      </w:r>
      <w:r w:rsidR="00642F82" w:rsidRPr="00B642CF">
        <w:rPr>
          <w:spacing w:val="0"/>
        </w:rPr>
        <w:t>. Esta sentencia tenía como objeto resolver un recurso de apelación en contra de una resolución del Ministerio de Justicia y Derechos Humanos</w:t>
      </w:r>
      <w:r w:rsidR="00C32774" w:rsidRPr="00B642CF">
        <w:rPr>
          <w:spacing w:val="0"/>
        </w:rPr>
        <w:t xml:space="preserve"> </w:t>
      </w:r>
      <w:r w:rsidR="00DC3F03" w:rsidRPr="00B642CF">
        <w:rPr>
          <w:spacing w:val="0"/>
        </w:rPr>
        <w:t>que no</w:t>
      </w:r>
      <w:r w:rsidR="00C32774" w:rsidRPr="00B642CF">
        <w:rPr>
          <w:spacing w:val="0"/>
        </w:rPr>
        <w:t xml:space="preserve"> tomó en cuenta el período en</w:t>
      </w:r>
      <w:r w:rsidR="00DC3F03" w:rsidRPr="00B642CF">
        <w:rPr>
          <w:spacing w:val="0"/>
        </w:rPr>
        <w:t xml:space="preserve"> el Sr. Robasto</w:t>
      </w:r>
      <w:r w:rsidR="00C32774" w:rsidRPr="00B642CF">
        <w:rPr>
          <w:spacing w:val="0"/>
        </w:rPr>
        <w:t xml:space="preserve"> se encontró bajo el régimen de libertad vigilada</w:t>
      </w:r>
      <w:r w:rsidR="00DC3F03" w:rsidRPr="00B642CF">
        <w:rPr>
          <w:spacing w:val="0"/>
        </w:rPr>
        <w:t>, para el cálculo de la indemnización prevista por la Ley No. 24.043</w:t>
      </w:r>
      <w:r w:rsidR="00C32774" w:rsidRPr="00B642CF">
        <w:rPr>
          <w:spacing w:val="0"/>
        </w:rPr>
        <w:t xml:space="preserve">. En el estudio del recurso, la Cámara hizo referencia al precedente del caso </w:t>
      </w:r>
      <w:r w:rsidR="00C32774" w:rsidRPr="00B642CF">
        <w:rPr>
          <w:i/>
          <w:spacing w:val="0"/>
        </w:rPr>
        <w:t>Noro</w:t>
      </w:r>
      <w:r w:rsidR="00C32774" w:rsidRPr="00B642CF">
        <w:rPr>
          <w:spacing w:val="0"/>
        </w:rPr>
        <w:t xml:space="preserve"> ante la Corte Suprema. En particular, consideró que:</w:t>
      </w:r>
    </w:p>
    <w:p w14:paraId="4CC58791" w14:textId="77777777" w:rsidR="00C32774" w:rsidRPr="00B642CF" w:rsidRDefault="00C32774" w:rsidP="00C32774">
      <w:pPr>
        <w:rPr>
          <w:lang w:val="es-CR" w:eastAsia="es-MX"/>
        </w:rPr>
      </w:pPr>
    </w:p>
    <w:p w14:paraId="50EEAB0E" w14:textId="77777777" w:rsidR="00C32774" w:rsidRPr="00B642CF" w:rsidRDefault="00C32774" w:rsidP="00C32774">
      <w:pPr>
        <w:ind w:left="567" w:right="567"/>
        <w:rPr>
          <w:sz w:val="18"/>
          <w:szCs w:val="18"/>
          <w:lang w:val="es-CR" w:eastAsia="es-MX"/>
        </w:rPr>
      </w:pPr>
      <w:r w:rsidRPr="00B642CF">
        <w:rPr>
          <w:sz w:val="18"/>
          <w:szCs w:val="18"/>
          <w:lang w:val="es-CR" w:eastAsia="es-MX"/>
        </w:rPr>
        <w:t>[S]e halla suficientemente acreditado en autos que el recurrente se encontró en la situación limitativa de su libertad personal considerada por el legislador al redactar el párrafo tercero del art. 4 de la ley 24043, en cuanto establece que los arrestos domiciliarios o la libertad vigilada no serán considerados como cese de la medida, pues de aquella resulta la obligación que pesaba sobre él – cuanto menos- de reportarse telefónicamente para conocer su paradero</w:t>
      </w:r>
      <w:r w:rsidRPr="00B642CF">
        <w:rPr>
          <w:rStyle w:val="Refdenotaalpie"/>
          <w:sz w:val="18"/>
          <w:szCs w:val="18"/>
          <w:lang w:val="es-CR" w:eastAsia="es-MX"/>
        </w:rPr>
        <w:footnoteReference w:id="42"/>
      </w:r>
      <w:r w:rsidRPr="00B642CF">
        <w:rPr>
          <w:sz w:val="18"/>
          <w:szCs w:val="18"/>
          <w:lang w:val="es-CR" w:eastAsia="es-MX"/>
        </w:rPr>
        <w:t>.</w:t>
      </w:r>
    </w:p>
    <w:p w14:paraId="6F2508B5" w14:textId="77777777" w:rsidR="00AD7197" w:rsidRPr="00B642CF" w:rsidRDefault="00AD7197" w:rsidP="00AD7197">
      <w:pPr>
        <w:rPr>
          <w:lang w:val="es-ES" w:eastAsia="es-MX"/>
        </w:rPr>
      </w:pPr>
    </w:p>
    <w:p w14:paraId="7ACBF2AC" w14:textId="3234B169" w:rsidR="00C32774" w:rsidRPr="00B642CF" w:rsidRDefault="00C32774" w:rsidP="00C32774">
      <w:pPr>
        <w:pStyle w:val="PrrafodeSentencia"/>
        <w:rPr>
          <w:spacing w:val="0"/>
        </w:rPr>
      </w:pPr>
      <w:r w:rsidRPr="00B642CF">
        <w:rPr>
          <w:spacing w:val="0"/>
        </w:rPr>
        <w:t xml:space="preserve">Tomando en cuenta la similitud del caso </w:t>
      </w:r>
      <w:r w:rsidRPr="00B642CF">
        <w:rPr>
          <w:i/>
          <w:spacing w:val="0"/>
        </w:rPr>
        <w:t>Robasto</w:t>
      </w:r>
      <w:r w:rsidRPr="00B642CF">
        <w:rPr>
          <w:spacing w:val="0"/>
        </w:rPr>
        <w:t xml:space="preserve"> con su situación, el señor Almeida presentó, el 27 de diciembre de 2004, ante el Ministerio de Justicia y Derechos Humanos, un recurso de revocatoria, ampliado el 28 de marzo de 2006, a efectos de modificar la resolución administrativa No. 2638/96</w:t>
      </w:r>
      <w:r w:rsidR="00566224" w:rsidRPr="00B642CF">
        <w:rPr>
          <w:spacing w:val="0"/>
        </w:rPr>
        <w:t xml:space="preserve"> a fin de adaptarla a los nuevos criterios que </w:t>
      </w:r>
      <w:r w:rsidR="00B54B2A" w:rsidRPr="00B642CF">
        <w:rPr>
          <w:spacing w:val="0"/>
        </w:rPr>
        <w:t xml:space="preserve">se </w:t>
      </w:r>
      <w:r w:rsidR="00566224" w:rsidRPr="00B642CF">
        <w:rPr>
          <w:spacing w:val="0"/>
        </w:rPr>
        <w:t>v</w:t>
      </w:r>
      <w:r w:rsidR="00B54B2A" w:rsidRPr="00B642CF">
        <w:rPr>
          <w:spacing w:val="0"/>
        </w:rPr>
        <w:t>enía</w:t>
      </w:r>
      <w:r w:rsidR="00566224" w:rsidRPr="00B642CF">
        <w:rPr>
          <w:spacing w:val="0"/>
        </w:rPr>
        <w:t xml:space="preserve"> aplicando a situaciones idénticas</w:t>
      </w:r>
      <w:r w:rsidR="00420EFD" w:rsidRPr="00B642CF">
        <w:rPr>
          <w:rStyle w:val="Refdenotaalpie"/>
          <w:spacing w:val="0"/>
        </w:rPr>
        <w:footnoteReference w:id="43"/>
      </w:r>
      <w:r w:rsidRPr="00B642CF">
        <w:rPr>
          <w:spacing w:val="0"/>
        </w:rPr>
        <w:t>. En efecto, el señor Almeida indicó que, a partir de dicho precedente, la Secretaría de Derechos Humanos modificó su criterio de interpretación de los alcances de la Ley No. 24</w:t>
      </w:r>
      <w:r w:rsidR="0057677D" w:rsidRPr="00B642CF">
        <w:rPr>
          <w:spacing w:val="0"/>
        </w:rPr>
        <w:t>.</w:t>
      </w:r>
      <w:r w:rsidRPr="00B642CF">
        <w:rPr>
          <w:spacing w:val="0"/>
        </w:rPr>
        <w:t>043 incluyendo como indemnizables los casos de libertad vigilada dispuesta por autoridad competente en el marco de una aparente legalidad.</w:t>
      </w:r>
      <w:r w:rsidR="008620CA" w:rsidRPr="00B642CF">
        <w:rPr>
          <w:spacing w:val="0"/>
        </w:rPr>
        <w:t xml:space="preserve"> Mediante resolución No. 1243/2006, </w:t>
      </w:r>
      <w:r w:rsidR="00420EFD" w:rsidRPr="00B642CF">
        <w:rPr>
          <w:spacing w:val="0"/>
        </w:rPr>
        <w:t xml:space="preserve">del 14 de agosto de 2006, </w:t>
      </w:r>
      <w:r w:rsidR="008620CA" w:rsidRPr="00B642CF">
        <w:rPr>
          <w:spacing w:val="0"/>
        </w:rPr>
        <w:t>el Ministerio de Justicia y Derechos Humanos rechazó el recurso de revocatoria al considerar que el Señor Almeida estaba solicitando la modificación de una sentencia judicial</w:t>
      </w:r>
      <w:r w:rsidR="00420EFD" w:rsidRPr="00B642CF">
        <w:rPr>
          <w:rStyle w:val="Refdenotaalpie"/>
          <w:spacing w:val="0"/>
        </w:rPr>
        <w:footnoteReference w:id="44"/>
      </w:r>
      <w:r w:rsidR="00420EFD" w:rsidRPr="00B642CF">
        <w:rPr>
          <w:spacing w:val="0"/>
        </w:rPr>
        <w:t>.</w:t>
      </w:r>
      <w:r w:rsidR="005E3A94" w:rsidRPr="00B642CF">
        <w:rPr>
          <w:spacing w:val="0"/>
        </w:rPr>
        <w:t xml:space="preserve"> El 29 de agosto de 2006 el señor Almeida presentó un recurso de reconsideración ante el Ministerio de Justicia y Derechos Humanos</w:t>
      </w:r>
      <w:r w:rsidR="005E3A94" w:rsidRPr="00B642CF">
        <w:rPr>
          <w:rStyle w:val="Refdenotaalpie"/>
          <w:spacing w:val="0"/>
        </w:rPr>
        <w:footnoteReference w:id="45"/>
      </w:r>
      <w:r w:rsidR="005E3A94" w:rsidRPr="00B642CF">
        <w:rPr>
          <w:spacing w:val="0"/>
        </w:rPr>
        <w:t>. El 25 de septiembre de 2006 el Ministerio de Justicia y Derechos Humanos rechazó esta gestión considerando que “el rechazo de la queja interpuesta ante la Corte Suprema de Justicia de la Nación pone fin a cualquier intento de revisar la cuestión en debate”</w:t>
      </w:r>
      <w:r w:rsidR="005E3A94" w:rsidRPr="00B642CF">
        <w:rPr>
          <w:rStyle w:val="Refdenotaalpie"/>
          <w:spacing w:val="0"/>
        </w:rPr>
        <w:footnoteReference w:id="46"/>
      </w:r>
      <w:r w:rsidR="005E3A94" w:rsidRPr="00B642CF">
        <w:rPr>
          <w:spacing w:val="0"/>
        </w:rPr>
        <w:t>.</w:t>
      </w:r>
    </w:p>
    <w:p w14:paraId="7D29B87A" w14:textId="77777777" w:rsidR="00206314" w:rsidRPr="00B642CF" w:rsidRDefault="00206314" w:rsidP="00206314">
      <w:pPr>
        <w:rPr>
          <w:lang w:val="es-CR" w:eastAsia="es-MX"/>
        </w:rPr>
      </w:pPr>
    </w:p>
    <w:p w14:paraId="6B854A0E" w14:textId="42AA30E7" w:rsidR="00B54B2A" w:rsidRPr="00B642CF" w:rsidRDefault="0047046F" w:rsidP="00B54B2A">
      <w:pPr>
        <w:pStyle w:val="PrrafodeSentencia"/>
        <w:rPr>
          <w:spacing w:val="0"/>
        </w:rPr>
      </w:pPr>
      <w:r w:rsidRPr="00B642CF">
        <w:rPr>
          <w:spacing w:val="0"/>
        </w:rPr>
        <w:t>Mediante la resolución M.I. No. 14 del 18 de enero de 1999, se le reconocieron a la señora Claudia Graciela Estevez, esposa del señor Almeida, 57 días indemnizables en concepto de beneficio previsto por la Ley No. 24</w:t>
      </w:r>
      <w:r w:rsidR="0057677D" w:rsidRPr="00B642CF">
        <w:rPr>
          <w:spacing w:val="0"/>
        </w:rPr>
        <w:t>.</w:t>
      </w:r>
      <w:r w:rsidRPr="00B642CF">
        <w:rPr>
          <w:spacing w:val="0"/>
        </w:rPr>
        <w:t>043. En octubre de 2014, la señora Estevez, solicitó nuevamente el otorgamiento del beneficio de la Ley No. 24.043, esta vez por la privación de libertad sufrida durante el período en que estuvo sometida a una libertad vigilada</w:t>
      </w:r>
      <w:r w:rsidR="00544178" w:rsidRPr="00B642CF">
        <w:rPr>
          <w:spacing w:val="0"/>
        </w:rPr>
        <w:t xml:space="preserve"> en las mismas condiciones que su esposo, Rufino Jorge Almeida</w:t>
      </w:r>
      <w:r w:rsidRPr="00B642CF">
        <w:rPr>
          <w:spacing w:val="0"/>
        </w:rPr>
        <w:t>.</w:t>
      </w:r>
      <w:r w:rsidR="00544178" w:rsidRPr="00B642CF">
        <w:rPr>
          <w:spacing w:val="0"/>
        </w:rPr>
        <w:t xml:space="preserve"> Por medio de resolución de 22 de mayo de 2015, el Ministerio de Justicia y Derechos Humanos decidió otorgar el beneficio a la señora Estevez por un total a 1709 días indemnizables</w:t>
      </w:r>
      <w:r w:rsidR="00544178" w:rsidRPr="00B642CF">
        <w:rPr>
          <w:rStyle w:val="Refdenotaalpie"/>
          <w:spacing w:val="0"/>
        </w:rPr>
        <w:footnoteReference w:id="47"/>
      </w:r>
      <w:r w:rsidR="00544178" w:rsidRPr="00B642CF">
        <w:rPr>
          <w:spacing w:val="0"/>
        </w:rPr>
        <w:t>.</w:t>
      </w:r>
    </w:p>
    <w:p w14:paraId="72F01BA2" w14:textId="6D5F479B" w:rsidR="00C32774" w:rsidRPr="00B642CF" w:rsidRDefault="00C32774" w:rsidP="00C32774">
      <w:pPr>
        <w:rPr>
          <w:lang w:val="es-CR" w:eastAsia="es-MX"/>
        </w:rPr>
      </w:pPr>
    </w:p>
    <w:p w14:paraId="2CE91001" w14:textId="77777777" w:rsidR="00E26D1F" w:rsidRPr="00B642CF" w:rsidRDefault="00E26D1F" w:rsidP="00E26D1F">
      <w:pPr>
        <w:pStyle w:val="Ttulo"/>
        <w:spacing w:before="0" w:after="0"/>
        <w:rPr>
          <w:rStyle w:val="Ttulo1Car"/>
          <w:b/>
          <w:szCs w:val="20"/>
          <w:lang w:val="es-ES"/>
        </w:rPr>
      </w:pPr>
      <w:bookmarkStart w:id="159" w:name="_Toc59089823"/>
      <w:bookmarkStart w:id="160" w:name="_Toc192586"/>
      <w:bookmarkStart w:id="161" w:name="_Toc32394183"/>
      <w:bookmarkStart w:id="162" w:name="_Toc36823502"/>
      <w:bookmarkStart w:id="163" w:name="_Toc4402735"/>
      <w:bookmarkStart w:id="164" w:name="_Toc4402974"/>
      <w:bookmarkStart w:id="165" w:name="_Toc8209859"/>
      <w:bookmarkEnd w:id="157"/>
      <w:r w:rsidRPr="00B642CF">
        <w:rPr>
          <w:rStyle w:val="Ttulo1Car"/>
          <w:b/>
          <w:szCs w:val="20"/>
          <w:lang w:val="es-ES"/>
        </w:rPr>
        <w:t>VII</w:t>
      </w:r>
      <w:r w:rsidRPr="00B642CF">
        <w:rPr>
          <w:rStyle w:val="Ttulo1Car"/>
          <w:b/>
          <w:szCs w:val="20"/>
          <w:lang w:val="es-ES"/>
        </w:rPr>
        <w:br/>
        <w:t>FONDO</w:t>
      </w:r>
      <w:bookmarkEnd w:id="159"/>
    </w:p>
    <w:p w14:paraId="0417C26B" w14:textId="77777777" w:rsidR="00E26D1F" w:rsidRPr="00B642CF" w:rsidRDefault="00E26D1F" w:rsidP="00E26D1F">
      <w:pPr>
        <w:rPr>
          <w:rFonts w:eastAsiaTheme="majorEastAsia"/>
          <w:lang w:val="es-ES" w:eastAsia="es-ES"/>
        </w:rPr>
      </w:pPr>
    </w:p>
    <w:p w14:paraId="1E8A445C" w14:textId="332933A3" w:rsidR="00E26D1F" w:rsidRPr="00B642CF" w:rsidRDefault="00E26D1F" w:rsidP="00E26D1F">
      <w:pPr>
        <w:pStyle w:val="PrrafodeSentencia"/>
        <w:rPr>
          <w:spacing w:val="0"/>
        </w:rPr>
      </w:pPr>
      <w:r w:rsidRPr="00B642CF">
        <w:rPr>
          <w:spacing w:val="0"/>
        </w:rPr>
        <w:t>El presente caso se relaciona con la alegada falta de indemnización del señor Rufino Jorge Almeida por el tiempo que permaneció bajo un régimen similar al de libertad vigilada. Como fue señalado en esta Sentencia (</w:t>
      </w:r>
      <w:r w:rsidRPr="00B642CF">
        <w:rPr>
          <w:i/>
          <w:spacing w:val="0"/>
        </w:rPr>
        <w:t>supra</w:t>
      </w:r>
      <w:r w:rsidR="00395821">
        <w:rPr>
          <w:spacing w:val="0"/>
        </w:rPr>
        <w:t xml:space="preserve"> párrs.</w:t>
      </w:r>
      <w:r w:rsidRPr="00B642CF">
        <w:rPr>
          <w:spacing w:val="0"/>
        </w:rPr>
        <w:t xml:space="preserve"> 14 a 24), el Estado efectuó un reconocimiento total de responsabilidad en relación con las determinaciones realizadas por la Comisión en su Informe de Fondo, por lo que no se consider</w:t>
      </w:r>
      <w:r w:rsidR="00B703B6" w:rsidRPr="00B642CF">
        <w:rPr>
          <w:spacing w:val="0"/>
        </w:rPr>
        <w:t>a</w:t>
      </w:r>
      <w:r w:rsidRPr="00B642CF">
        <w:rPr>
          <w:spacing w:val="0"/>
        </w:rPr>
        <w:t xml:space="preserve"> necesario realizar un análisis detallado de las violacione</w:t>
      </w:r>
      <w:r w:rsidR="005B6735" w:rsidRPr="00B642CF">
        <w:rPr>
          <w:spacing w:val="0"/>
        </w:rPr>
        <w:t>s alegadas por la Comisión y la</w:t>
      </w:r>
      <w:r w:rsidRPr="00B642CF">
        <w:rPr>
          <w:spacing w:val="0"/>
        </w:rPr>
        <w:t xml:space="preserve"> representante, las cuales fueron reconocidas por el Estado. </w:t>
      </w:r>
    </w:p>
    <w:p w14:paraId="314F474F" w14:textId="77777777" w:rsidR="00E26D1F" w:rsidRPr="00B642CF" w:rsidRDefault="00E26D1F" w:rsidP="00E26D1F">
      <w:pPr>
        <w:rPr>
          <w:rFonts w:eastAsiaTheme="majorEastAsia"/>
          <w:lang w:val="es-ES" w:eastAsia="es-MX"/>
        </w:rPr>
      </w:pPr>
    </w:p>
    <w:p w14:paraId="496F6941" w14:textId="7EF9B945" w:rsidR="00E26D1F" w:rsidRPr="00B642CF" w:rsidRDefault="00E26D1F" w:rsidP="00E26D1F">
      <w:pPr>
        <w:pStyle w:val="Ttulo"/>
        <w:spacing w:before="0" w:after="0"/>
        <w:rPr>
          <w:sz w:val="20"/>
          <w:lang w:val="es-ES"/>
        </w:rPr>
      </w:pPr>
      <w:bookmarkStart w:id="166" w:name="_Toc48736698"/>
      <w:bookmarkStart w:id="167" w:name="_Toc54542120"/>
      <w:bookmarkStart w:id="168" w:name="_Toc59089824"/>
      <w:r w:rsidRPr="00B642CF">
        <w:rPr>
          <w:sz w:val="20"/>
          <w:lang w:val="es-ES"/>
        </w:rPr>
        <w:t>VII-1</w:t>
      </w:r>
      <w:r w:rsidRPr="00B642CF">
        <w:rPr>
          <w:sz w:val="20"/>
          <w:lang w:val="es-ES"/>
        </w:rPr>
        <w:br/>
      </w:r>
      <w:bookmarkEnd w:id="166"/>
      <w:r w:rsidR="002848DF">
        <w:rPr>
          <w:sz w:val="20"/>
          <w:lang w:val="es-ES"/>
        </w:rPr>
        <w:t>DER</w:t>
      </w:r>
      <w:r w:rsidR="000F1805">
        <w:rPr>
          <w:sz w:val="20"/>
          <w:lang w:val="es-ES"/>
        </w:rPr>
        <w:t xml:space="preserve">ECHO </w:t>
      </w:r>
      <w:r w:rsidR="002848DF">
        <w:rPr>
          <w:sz w:val="20"/>
          <w:lang w:val="es-ES"/>
        </w:rPr>
        <w:t xml:space="preserve">A LAS </w:t>
      </w:r>
      <w:r w:rsidR="007A5E35">
        <w:rPr>
          <w:sz w:val="20"/>
          <w:lang w:val="es-ES"/>
        </w:rPr>
        <w:t>GARANTÍAS JUDICIALES</w:t>
      </w:r>
      <w:r w:rsidR="007A5E35">
        <w:rPr>
          <w:rStyle w:val="Refdenotaalpie"/>
          <w:lang w:val="es-ES"/>
        </w:rPr>
        <w:footnoteReference w:id="48"/>
      </w:r>
      <w:r w:rsidR="007A5E35">
        <w:rPr>
          <w:sz w:val="20"/>
          <w:lang w:val="es-ES"/>
        </w:rPr>
        <w:t xml:space="preserve">, </w:t>
      </w:r>
      <w:r w:rsidRPr="00B642CF">
        <w:rPr>
          <w:sz w:val="20"/>
          <w:lang w:val="es-ES"/>
        </w:rPr>
        <w:t>IGUALDAD ANTE LA LEY</w:t>
      </w:r>
      <w:r w:rsidRPr="00B642CF">
        <w:rPr>
          <w:rStyle w:val="Refdenotaalpie"/>
          <w:lang w:val="es-ES"/>
        </w:rPr>
        <w:footnoteReference w:id="49"/>
      </w:r>
      <w:r w:rsidRPr="00B642CF">
        <w:rPr>
          <w:sz w:val="20"/>
          <w:lang w:val="es-ES"/>
        </w:rPr>
        <w:t>, PROTECCIÓN JUDICIAL</w:t>
      </w:r>
      <w:r w:rsidRPr="00B642CF">
        <w:rPr>
          <w:rStyle w:val="Refdenotaalpie"/>
          <w:lang w:val="es-ES"/>
        </w:rPr>
        <w:footnoteReference w:id="50"/>
      </w:r>
      <w:r w:rsidR="007A5E35">
        <w:rPr>
          <w:sz w:val="20"/>
          <w:lang w:val="es-ES"/>
        </w:rPr>
        <w:t xml:space="preserve"> </w:t>
      </w:r>
      <w:r w:rsidR="007A5E35" w:rsidRPr="007A5E35">
        <w:rPr>
          <w:sz w:val="20"/>
          <w:lang w:val="es-ES"/>
        </w:rPr>
        <w:t>EN RELACIÓN CON LAS OBLIGACIONES DE RESPETAR Y GARANTIZAR LOS DERECHOS</w:t>
      </w:r>
      <w:r w:rsidR="007A5E35">
        <w:rPr>
          <w:rStyle w:val="Refdenotaalpie"/>
          <w:lang w:val="es-ES"/>
        </w:rPr>
        <w:footnoteReference w:id="51"/>
      </w:r>
      <w:r w:rsidR="007A5E35">
        <w:rPr>
          <w:sz w:val="20"/>
          <w:lang w:val="es-ES"/>
        </w:rPr>
        <w:t xml:space="preserve"> Y EL </w:t>
      </w:r>
      <w:r w:rsidRPr="00B642CF">
        <w:rPr>
          <w:sz w:val="20"/>
          <w:lang w:val="es-ES"/>
        </w:rPr>
        <w:t>DEBER DE ADOPTAR MEDIDAS DE DERECHO INTERNO</w:t>
      </w:r>
      <w:r w:rsidRPr="00B642CF">
        <w:rPr>
          <w:rStyle w:val="Refdenotaalpie"/>
          <w:lang w:val="es-ES"/>
        </w:rPr>
        <w:footnoteReference w:id="52"/>
      </w:r>
      <w:bookmarkEnd w:id="167"/>
      <w:bookmarkEnd w:id="168"/>
    </w:p>
    <w:p w14:paraId="5225CE5C" w14:textId="77777777" w:rsidR="00E26D1F" w:rsidRPr="00B642CF" w:rsidRDefault="00E26D1F" w:rsidP="00E26D1F">
      <w:pPr>
        <w:rPr>
          <w:rFonts w:eastAsiaTheme="majorEastAsia"/>
          <w:lang w:val="es-ES" w:eastAsia="es-ES"/>
        </w:rPr>
      </w:pPr>
    </w:p>
    <w:p w14:paraId="0F6A80E8" w14:textId="77777777" w:rsidR="00E26D1F" w:rsidRPr="00B642CF" w:rsidRDefault="00E26D1F" w:rsidP="00B642CF">
      <w:pPr>
        <w:pStyle w:val="Ttulo2"/>
        <w:numPr>
          <w:ilvl w:val="1"/>
          <w:numId w:val="1"/>
        </w:numPr>
        <w:spacing w:before="0" w:after="0"/>
        <w:ind w:left="1134" w:hanging="567"/>
        <w:rPr>
          <w:rFonts w:eastAsiaTheme="majorEastAsia"/>
          <w:lang w:eastAsia="es-ES"/>
        </w:rPr>
      </w:pPr>
      <w:bookmarkStart w:id="169" w:name="_Toc54542121"/>
      <w:bookmarkStart w:id="170" w:name="_Toc59089825"/>
      <w:r w:rsidRPr="00B642CF">
        <w:rPr>
          <w:rFonts w:eastAsiaTheme="majorEastAsia"/>
          <w:lang w:eastAsia="es-ES"/>
        </w:rPr>
        <w:t>Argumentos de las partes y de la Comisión</w:t>
      </w:r>
      <w:bookmarkEnd w:id="169"/>
      <w:bookmarkEnd w:id="170"/>
    </w:p>
    <w:p w14:paraId="03E003D3" w14:textId="77777777" w:rsidR="00E26D1F" w:rsidRPr="00B642CF" w:rsidRDefault="00E26D1F" w:rsidP="00E26D1F">
      <w:pPr>
        <w:rPr>
          <w:rFonts w:eastAsiaTheme="majorEastAsia"/>
          <w:lang w:val="es-CR" w:eastAsia="es-ES"/>
        </w:rPr>
      </w:pPr>
    </w:p>
    <w:p w14:paraId="43FF6A54" w14:textId="30E36E3A" w:rsidR="00E26D1F" w:rsidRPr="00B642CF" w:rsidRDefault="00E26D1F" w:rsidP="00E26D1F">
      <w:pPr>
        <w:pStyle w:val="PrrafodeSentencia"/>
        <w:rPr>
          <w:b/>
          <w:spacing w:val="0"/>
        </w:rPr>
      </w:pPr>
      <w:r w:rsidRPr="00B642CF">
        <w:rPr>
          <w:spacing w:val="0"/>
        </w:rPr>
        <w:t xml:space="preserve">La </w:t>
      </w:r>
      <w:r w:rsidRPr="00B642CF">
        <w:rPr>
          <w:b/>
          <w:i/>
          <w:spacing w:val="0"/>
        </w:rPr>
        <w:t xml:space="preserve">Comisión </w:t>
      </w:r>
      <w:r w:rsidRPr="00B642CF">
        <w:rPr>
          <w:spacing w:val="0"/>
        </w:rPr>
        <w:t xml:space="preserve">recordó que “la reparación por </w:t>
      </w:r>
      <w:r w:rsidR="00386956" w:rsidRPr="00B642CF">
        <w:rPr>
          <w:spacing w:val="0"/>
        </w:rPr>
        <w:t xml:space="preserve">la </w:t>
      </w:r>
      <w:r w:rsidRPr="00B642CF">
        <w:rPr>
          <w:spacing w:val="0"/>
        </w:rPr>
        <w:t>violación de una obligación internacional del Estado, como por ejemplo una restricción a la libertad personal, no es de facultativo s</w:t>
      </w:r>
      <w:r w:rsidR="00F52A20" w:rsidRPr="00B642CF">
        <w:rPr>
          <w:spacing w:val="0"/>
        </w:rPr>
        <w:t>ino de imperativo cumplimiento”</w:t>
      </w:r>
      <w:r w:rsidRPr="00B642CF">
        <w:rPr>
          <w:i/>
          <w:spacing w:val="0"/>
        </w:rPr>
        <w:t xml:space="preserve"> </w:t>
      </w:r>
      <w:r w:rsidRPr="00B642CF">
        <w:rPr>
          <w:spacing w:val="0"/>
        </w:rPr>
        <w:t>por lo que la Ley No. 24.043 únicamente vino a regular un procedimiento especial para cumplir con esta obligación. Asimismo, afirmó que esta Ley “no pretende abarcar todos los casos de violaciones a los derechos humanos ocurridos en el marco de la última dictadura cívico-militar en el país y</w:t>
      </w:r>
      <w:r w:rsidR="00386956" w:rsidRPr="00B642CF">
        <w:rPr>
          <w:spacing w:val="0"/>
        </w:rPr>
        <w:t>,</w:t>
      </w:r>
      <w:r w:rsidRPr="00B642CF">
        <w:rPr>
          <w:spacing w:val="0"/>
        </w:rPr>
        <w:t xml:space="preserve"> por lo tanto, la exclusión de ciertos tipos de casos de los supuestos de la ley no resulta </w:t>
      </w:r>
      <w:r w:rsidRPr="00B642CF">
        <w:rPr>
          <w:i/>
          <w:spacing w:val="0"/>
        </w:rPr>
        <w:t>per se</w:t>
      </w:r>
      <w:r w:rsidRPr="00B642CF">
        <w:rPr>
          <w:spacing w:val="0"/>
        </w:rPr>
        <w:t xml:space="preserve"> violatoria del derecho a la igualdad</w:t>
      </w:r>
      <w:r w:rsidR="00386956" w:rsidRPr="00B642CF">
        <w:rPr>
          <w:spacing w:val="0"/>
        </w:rPr>
        <w:t xml:space="preserve"> ante la ley</w:t>
      </w:r>
      <w:r w:rsidRPr="00B642CF">
        <w:rPr>
          <w:spacing w:val="0"/>
        </w:rPr>
        <w:t>, siempre y cuando dicha exclusión responda a una justificación objetiva y razonable y resulte propor</w:t>
      </w:r>
      <w:r w:rsidR="00F52A20" w:rsidRPr="00B642CF">
        <w:rPr>
          <w:spacing w:val="0"/>
        </w:rPr>
        <w:t>cional a los fines perseguidos”.</w:t>
      </w:r>
      <w:r w:rsidRPr="00B642CF">
        <w:rPr>
          <w:b/>
          <w:spacing w:val="0"/>
        </w:rPr>
        <w:t xml:space="preserve"> </w:t>
      </w:r>
      <w:r w:rsidRPr="00B642CF">
        <w:rPr>
          <w:spacing w:val="0"/>
        </w:rPr>
        <w:t xml:space="preserve">Consideró, sin embargo, que la exclusión del supuesto de la libertad vigilada </w:t>
      </w:r>
      <w:r w:rsidRPr="00395821">
        <w:rPr>
          <w:i/>
          <w:spacing w:val="0"/>
        </w:rPr>
        <w:t>de facto</w:t>
      </w:r>
      <w:r w:rsidRPr="00B642CF">
        <w:rPr>
          <w:spacing w:val="0"/>
        </w:rPr>
        <w:t xml:space="preserve"> a la cual fue sometida el señor Almeida resulta violatoria al derecho a la igualdad ante la ley, ya que el Estado no aportó una explicación que permita concluir que dicha excl</w:t>
      </w:r>
      <w:r w:rsidR="00F52A20" w:rsidRPr="00B642CF">
        <w:rPr>
          <w:spacing w:val="0"/>
        </w:rPr>
        <w:t>usión fue objetiva y razonable.</w:t>
      </w:r>
    </w:p>
    <w:p w14:paraId="389EE697" w14:textId="77777777" w:rsidR="00E26D1F" w:rsidRPr="00B642CF" w:rsidRDefault="00E26D1F" w:rsidP="00E26D1F">
      <w:pPr>
        <w:rPr>
          <w:lang w:val="es-CR"/>
        </w:rPr>
      </w:pPr>
    </w:p>
    <w:p w14:paraId="43011309" w14:textId="3A0F832C" w:rsidR="00E26D1F" w:rsidRPr="00B642CF" w:rsidRDefault="00312A4A" w:rsidP="00E26D1F">
      <w:pPr>
        <w:pStyle w:val="PrrafodeSentencia"/>
        <w:rPr>
          <w:b/>
          <w:spacing w:val="0"/>
        </w:rPr>
      </w:pPr>
      <w:r w:rsidRPr="00B642CF">
        <w:rPr>
          <w:spacing w:val="0"/>
        </w:rPr>
        <w:t>L</w:t>
      </w:r>
      <w:r w:rsidR="00E26D1F" w:rsidRPr="00B642CF">
        <w:rPr>
          <w:spacing w:val="0"/>
        </w:rPr>
        <w:t xml:space="preserve">a Comisión consideró que esta situación, en términos generales, fue corregida con posterioridad mediante la interpretación establecida a partir del caso </w:t>
      </w:r>
      <w:r w:rsidR="00E26D1F" w:rsidRPr="00B642CF">
        <w:rPr>
          <w:i/>
          <w:spacing w:val="0"/>
        </w:rPr>
        <w:t>Robasto</w:t>
      </w:r>
      <w:r w:rsidR="008579BB" w:rsidRPr="00B642CF">
        <w:rPr>
          <w:spacing w:val="0"/>
        </w:rPr>
        <w:t>.</w:t>
      </w:r>
      <w:r w:rsidR="00E26D1F" w:rsidRPr="00B642CF">
        <w:rPr>
          <w:spacing w:val="0"/>
        </w:rPr>
        <w:t xml:space="preserve"> Sin embargo, subrayó que este cambio en la posición de las autoridades internas, no benefició al señor Almeida. En efecto, a pesar de presentar recursos tanto en sede administrativa como en sede judicial para obtener la reparación basada en estos nuevos criterios interpretativos, sus reclamos fueron rechazados con base en una consideración de índole procesal conforme a la cual en su caso existía una situación de cosa juzgada que impedía nuevas revisiones. De esta forma consideró que el Estado “es responsable por la violación del derecho a la protección judicial, establecido en el artículo 25.1 de la Convención Americana, leído conjuntamente con el derecho a la igualdad ante la ley establecido en</w:t>
      </w:r>
      <w:r w:rsidR="008579BB" w:rsidRPr="00B642CF">
        <w:rPr>
          <w:spacing w:val="0"/>
        </w:rPr>
        <w:t xml:space="preserve"> el artículo 24 […]”.</w:t>
      </w:r>
    </w:p>
    <w:p w14:paraId="1B44147E" w14:textId="77777777" w:rsidR="00E26D1F" w:rsidRPr="00B642CF" w:rsidRDefault="00E26D1F" w:rsidP="00E26D1F">
      <w:pPr>
        <w:rPr>
          <w:lang w:val="es-CR"/>
        </w:rPr>
      </w:pPr>
    </w:p>
    <w:p w14:paraId="1DD2DF8C" w14:textId="38BF8B2A" w:rsidR="00E26D1F" w:rsidRPr="00B642CF" w:rsidRDefault="005B6735" w:rsidP="00E26D1F">
      <w:pPr>
        <w:pStyle w:val="PrrafodeSentencia"/>
        <w:rPr>
          <w:b/>
          <w:spacing w:val="0"/>
        </w:rPr>
      </w:pPr>
      <w:r w:rsidRPr="00B642CF">
        <w:rPr>
          <w:spacing w:val="0"/>
        </w:rPr>
        <w:t>La</w:t>
      </w:r>
      <w:r w:rsidR="00E26D1F" w:rsidRPr="00B642CF">
        <w:rPr>
          <w:spacing w:val="0"/>
        </w:rPr>
        <w:t xml:space="preserve"> </w:t>
      </w:r>
      <w:r w:rsidRPr="00B642CF">
        <w:rPr>
          <w:b/>
          <w:i/>
          <w:spacing w:val="0"/>
        </w:rPr>
        <w:t xml:space="preserve">representante </w:t>
      </w:r>
      <w:r w:rsidRPr="00B642CF">
        <w:rPr>
          <w:spacing w:val="0"/>
        </w:rPr>
        <w:t>se adhirió</w:t>
      </w:r>
      <w:r w:rsidR="00E26D1F" w:rsidRPr="00B642CF">
        <w:rPr>
          <w:spacing w:val="0"/>
        </w:rPr>
        <w:t xml:space="preserve"> a las conclusiones de la Comisión en</w:t>
      </w:r>
      <w:r w:rsidR="00312A4A" w:rsidRPr="00B642CF">
        <w:rPr>
          <w:spacing w:val="0"/>
        </w:rPr>
        <w:t xml:space="preserve"> su Informe de Fondo. Subrayó</w:t>
      </w:r>
      <w:r w:rsidR="00E26D1F" w:rsidRPr="00B642CF">
        <w:rPr>
          <w:spacing w:val="0"/>
        </w:rPr>
        <w:t xml:space="preserve"> que, a pesar del cambio de criterio operado luego del caso </w:t>
      </w:r>
      <w:r w:rsidR="00E26D1F" w:rsidRPr="00B642CF">
        <w:rPr>
          <w:i/>
          <w:spacing w:val="0"/>
        </w:rPr>
        <w:t xml:space="preserve">Robasto </w:t>
      </w:r>
      <w:r w:rsidR="00E26D1F" w:rsidRPr="00B642CF">
        <w:rPr>
          <w:spacing w:val="0"/>
        </w:rPr>
        <w:t>y de las revisiones en cuanto al tratamiento de la prueba, “este criterio, una y otra vez se vio cuestionado dentro del propio Estado, originando tratamientos desiguales, según los momentos históricos, y los Ministros de Justicia y Derechos Humanos que se enco</w:t>
      </w:r>
      <w:r w:rsidR="008579BB" w:rsidRPr="00B642CF">
        <w:rPr>
          <w:spacing w:val="0"/>
        </w:rPr>
        <w:t>ntraban a cargo de la cartera”.</w:t>
      </w:r>
      <w:r w:rsidR="00E26D1F" w:rsidRPr="00B642CF">
        <w:rPr>
          <w:b/>
          <w:spacing w:val="0"/>
        </w:rPr>
        <w:t xml:space="preserve"> </w:t>
      </w:r>
      <w:r w:rsidR="00E26D1F" w:rsidRPr="00B642CF">
        <w:rPr>
          <w:spacing w:val="0"/>
        </w:rPr>
        <w:t>En los</w:t>
      </w:r>
      <w:r w:rsidRPr="00B642CF">
        <w:rPr>
          <w:spacing w:val="0"/>
        </w:rPr>
        <w:t xml:space="preserve"> alegatos finales, puntualizó</w:t>
      </w:r>
      <w:r w:rsidR="00E26D1F" w:rsidRPr="00B642CF">
        <w:rPr>
          <w:spacing w:val="0"/>
        </w:rPr>
        <w:t xml:space="preserve"> al considerar que “al aplicar restrictivamente la ley 24043 excluyendo [el caso del señor Almeida], se violó el </w:t>
      </w:r>
      <w:r w:rsidR="008579BB" w:rsidRPr="00B642CF">
        <w:rPr>
          <w:spacing w:val="0"/>
        </w:rPr>
        <w:t>art. 24 de la Convención, y al</w:t>
      </w:r>
      <w:r w:rsidR="00E26D1F" w:rsidRPr="00B642CF">
        <w:rPr>
          <w:spacing w:val="0"/>
        </w:rPr>
        <w:t xml:space="preserve"> no existir recursos internos adecuados para la restitución del derecho violado, se incumplió también con el a</w:t>
      </w:r>
      <w:r w:rsidR="008579BB" w:rsidRPr="00B642CF">
        <w:rPr>
          <w:spacing w:val="0"/>
        </w:rPr>
        <w:t>rtículo 25.1 de la Convención”.</w:t>
      </w:r>
      <w:r w:rsidR="00E26D1F" w:rsidRPr="00B642CF">
        <w:rPr>
          <w:b/>
          <w:spacing w:val="0"/>
        </w:rPr>
        <w:t xml:space="preserve"> </w:t>
      </w:r>
    </w:p>
    <w:p w14:paraId="3DD6B30F" w14:textId="77777777" w:rsidR="00E26D1F" w:rsidRPr="00B642CF" w:rsidRDefault="00E26D1F" w:rsidP="00E26D1F">
      <w:pPr>
        <w:rPr>
          <w:rFonts w:eastAsiaTheme="majorEastAsia"/>
          <w:lang w:val="es-CR"/>
        </w:rPr>
      </w:pPr>
    </w:p>
    <w:p w14:paraId="70A01EF0" w14:textId="22F1946A" w:rsidR="00E26D1F" w:rsidRPr="00B642CF" w:rsidRDefault="00E26D1F" w:rsidP="00E26D1F">
      <w:pPr>
        <w:pStyle w:val="PrrafodeSentencia"/>
        <w:rPr>
          <w:b/>
          <w:spacing w:val="0"/>
        </w:rPr>
      </w:pPr>
      <w:r w:rsidRPr="00B642CF">
        <w:rPr>
          <w:spacing w:val="0"/>
        </w:rPr>
        <w:t xml:space="preserve">El </w:t>
      </w:r>
      <w:r w:rsidRPr="00B642CF">
        <w:rPr>
          <w:b/>
          <w:i/>
          <w:spacing w:val="0"/>
        </w:rPr>
        <w:t xml:space="preserve">Estado </w:t>
      </w:r>
      <w:r w:rsidRPr="00B642CF">
        <w:rPr>
          <w:spacing w:val="0"/>
        </w:rPr>
        <w:t>reconoció su responsabilidad por la violación a los artículos 24 y 25.1 en relación con los artículos 1.1 y 2 de la Convención</w:t>
      </w:r>
      <w:r w:rsidR="001214CF">
        <w:rPr>
          <w:spacing w:val="0"/>
        </w:rPr>
        <w:t>;</w:t>
      </w:r>
      <w:r w:rsidRPr="00B642CF">
        <w:rPr>
          <w:spacing w:val="0"/>
        </w:rPr>
        <w:t xml:space="preserve"> sin embargo, subrayó “la marcada excepcionalidad del caso del Sr. Almeida en el que no se reflejó oportunamente el cambio de criterio de la justicia argentina y de la administración por lo que hace ya varios años se ha resuelto que situaciones como las que atravesara se hallan contempladas en el supuesto de libertad vigilad</w:t>
      </w:r>
      <w:r w:rsidR="008579BB" w:rsidRPr="00B642CF">
        <w:rPr>
          <w:spacing w:val="0"/>
        </w:rPr>
        <w:t>a prevista en la Ley 24.043”.</w:t>
      </w:r>
      <w:r w:rsidRPr="00B642CF">
        <w:rPr>
          <w:b/>
          <w:spacing w:val="0"/>
        </w:rPr>
        <w:t xml:space="preserve"> </w:t>
      </w:r>
      <w:r w:rsidRPr="00B642CF">
        <w:rPr>
          <w:spacing w:val="0"/>
        </w:rPr>
        <w:t xml:space="preserve">Agregó, en sus alegatos finales, que la aplicación del precedente del caso </w:t>
      </w:r>
      <w:r w:rsidRPr="00B642CF">
        <w:rPr>
          <w:i/>
          <w:spacing w:val="0"/>
        </w:rPr>
        <w:t>Noro</w:t>
      </w:r>
      <w:r w:rsidRPr="00B642CF">
        <w:rPr>
          <w:spacing w:val="0"/>
        </w:rPr>
        <w:t xml:space="preserve"> de la Corte Suprema, en sede judicial y administrativa “ha conducido al resultado que en definitiva es exigido por la Convención Americana y que está aquí en disputa: la aplicación equitativa de la ley 24.043 respecto de los supuestos de libertad vigilada de </w:t>
      </w:r>
      <w:r w:rsidRPr="00B642CF">
        <w:rPr>
          <w:i/>
          <w:spacing w:val="0"/>
        </w:rPr>
        <w:t>iure</w:t>
      </w:r>
      <w:r w:rsidRPr="00B642CF">
        <w:rPr>
          <w:spacing w:val="0"/>
        </w:rPr>
        <w:t xml:space="preserve"> y de </w:t>
      </w:r>
      <w:r w:rsidRPr="00B642CF">
        <w:rPr>
          <w:i/>
          <w:spacing w:val="0"/>
        </w:rPr>
        <w:t>facto</w:t>
      </w:r>
      <w:r w:rsidR="0088426D" w:rsidRPr="00B642CF">
        <w:rPr>
          <w:spacing w:val="0"/>
        </w:rPr>
        <w:t>”.</w:t>
      </w:r>
    </w:p>
    <w:p w14:paraId="49CFCAE2" w14:textId="77777777" w:rsidR="00E26D1F" w:rsidRPr="00B642CF" w:rsidRDefault="00E26D1F" w:rsidP="00E26D1F">
      <w:pPr>
        <w:rPr>
          <w:lang w:val="es-CR"/>
        </w:rPr>
      </w:pPr>
    </w:p>
    <w:p w14:paraId="43A716F2" w14:textId="77777777" w:rsidR="00E26D1F" w:rsidRPr="00B642CF" w:rsidRDefault="00E26D1F" w:rsidP="00B642CF">
      <w:pPr>
        <w:pStyle w:val="Ttulo2"/>
        <w:numPr>
          <w:ilvl w:val="0"/>
          <w:numId w:val="0"/>
        </w:numPr>
        <w:spacing w:before="0" w:after="0"/>
        <w:ind w:left="1134" w:hanging="567"/>
      </w:pPr>
      <w:bookmarkStart w:id="171" w:name="_Toc54542122"/>
      <w:bookmarkStart w:id="172" w:name="_Toc59089826"/>
      <w:r w:rsidRPr="00B642CF">
        <w:rPr>
          <w:rFonts w:eastAsia="Batang"/>
          <w:lang w:eastAsia="es-MX"/>
        </w:rPr>
        <w:t>B. Consideraciones de la Corte</w:t>
      </w:r>
      <w:bookmarkEnd w:id="171"/>
      <w:bookmarkEnd w:id="172"/>
    </w:p>
    <w:p w14:paraId="7C280964" w14:textId="77777777" w:rsidR="00E26D1F" w:rsidRPr="00B642CF" w:rsidRDefault="00E26D1F" w:rsidP="00E26D1F"/>
    <w:p w14:paraId="26FD4C79" w14:textId="0D30B21F" w:rsidR="00E26D1F" w:rsidRPr="00B642CF" w:rsidRDefault="00E26D1F" w:rsidP="00E26D1F">
      <w:pPr>
        <w:pStyle w:val="PrrafodeSentencia"/>
        <w:rPr>
          <w:spacing w:val="0"/>
        </w:rPr>
      </w:pPr>
      <w:r w:rsidRPr="00B642CF">
        <w:rPr>
          <w:spacing w:val="0"/>
        </w:rPr>
        <w:t>Esta Corte ha reconocido que</w:t>
      </w:r>
      <w:r w:rsidR="001214CF">
        <w:rPr>
          <w:spacing w:val="0"/>
        </w:rPr>
        <w:t>,</w:t>
      </w:r>
      <w:r w:rsidRPr="00B642CF">
        <w:rPr>
          <w:spacing w:val="0"/>
        </w:rPr>
        <w:t xml:space="preserve"> de existir mecanismos nacionales para determinar formas de rep</w:t>
      </w:r>
      <w:r w:rsidR="00D405E6">
        <w:rPr>
          <w:spacing w:val="0"/>
        </w:rPr>
        <w:t>aración, esos procedimientos y sus</w:t>
      </w:r>
      <w:r w:rsidRPr="00B642CF">
        <w:rPr>
          <w:spacing w:val="0"/>
        </w:rPr>
        <w:t xml:space="preserve"> resultados deben ser valorados</w:t>
      </w:r>
      <w:r w:rsidRPr="00B642CF">
        <w:rPr>
          <w:rStyle w:val="Refdenotaalpie"/>
          <w:spacing w:val="0"/>
        </w:rPr>
        <w:footnoteReference w:id="53"/>
      </w:r>
      <w:r w:rsidRPr="00B642CF">
        <w:rPr>
          <w:spacing w:val="0"/>
        </w:rPr>
        <w:t>, ya que constituyen un esfuerzo por parte del Estado en dirección de un proceso colectivo de reparación y de paz social. Así también, destaca diversos documentos en el contexto internacional que reconocen expresamente el derecho de las víctimas de violaciones a derechos humanos de acceder a recursos y obtener reparaciones individuales; tales como la Declaración sobre los principios fundamentales de justicia para las víctimas de delitos y abuso de poder</w:t>
      </w:r>
      <w:r w:rsidRPr="00B642CF">
        <w:rPr>
          <w:rStyle w:val="Refdenotaalpie"/>
          <w:rFonts w:cs="Verdana"/>
          <w:spacing w:val="0"/>
        </w:rPr>
        <w:footnoteReference w:id="54"/>
      </w:r>
      <w:r w:rsidRPr="00B642CF">
        <w:rPr>
          <w:spacing w:val="0"/>
        </w:rPr>
        <w:t>, el Conjunto de principios para la protección y la promoción de los derechos humanos mediante la lucha contra la impunidad</w:t>
      </w:r>
      <w:r w:rsidRPr="00B642CF">
        <w:rPr>
          <w:rStyle w:val="Refdenotaalpie"/>
          <w:rFonts w:cs="Verdana"/>
          <w:spacing w:val="0"/>
        </w:rPr>
        <w:footnoteReference w:id="55"/>
      </w:r>
      <w:r w:rsidRPr="00B642CF">
        <w:rPr>
          <w:spacing w:val="0"/>
        </w:rPr>
        <w:t>, y los Principios y directrices básicos sobre el derecho de las víctimas de violaciones manifiestas de las normas internacionales de derechos humanos y del derecho internacional humanitario a interponer recursos y obtener reparaciones</w:t>
      </w:r>
      <w:r w:rsidRPr="00B642CF">
        <w:rPr>
          <w:rStyle w:val="Refdenotaalpie"/>
          <w:rFonts w:cs="Verdana"/>
          <w:spacing w:val="0"/>
        </w:rPr>
        <w:footnoteReference w:id="56"/>
      </w:r>
      <w:r w:rsidRPr="00B642CF">
        <w:rPr>
          <w:spacing w:val="0"/>
        </w:rPr>
        <w:t>. En similar sentido, a lo establecido por esta Corte, el Tribunal Europeo de Derechos Humanos ha reconocido la compatibilidad entre medidas colectivas e individuales</w:t>
      </w:r>
      <w:r w:rsidRPr="00B642CF">
        <w:rPr>
          <w:rStyle w:val="Refdenotaalpie"/>
          <w:spacing w:val="0"/>
        </w:rPr>
        <w:footnoteReference w:id="57"/>
      </w:r>
      <w:r w:rsidRPr="00B642CF">
        <w:rPr>
          <w:spacing w:val="0"/>
        </w:rPr>
        <w:t>. Estos mecanismos deben satisfacer criterios de objetividad, razonabilidad y efectividad para reparar adecuadamente las violaciones de derechos</w:t>
      </w:r>
      <w:r w:rsidRPr="00B642CF">
        <w:rPr>
          <w:rStyle w:val="Refdenotaalpie"/>
          <w:spacing w:val="0"/>
        </w:rPr>
        <w:footnoteReference w:id="58"/>
      </w:r>
      <w:r w:rsidRPr="00B642CF">
        <w:rPr>
          <w:spacing w:val="0"/>
        </w:rPr>
        <w:t>.</w:t>
      </w:r>
    </w:p>
    <w:p w14:paraId="5E6B7D45" w14:textId="77777777" w:rsidR="00E26D1F" w:rsidRPr="00B642CF" w:rsidRDefault="00E26D1F" w:rsidP="00E26D1F">
      <w:pPr>
        <w:rPr>
          <w:lang w:val="es-CR" w:eastAsia="es-MX"/>
        </w:rPr>
      </w:pPr>
    </w:p>
    <w:p w14:paraId="5CB1AC90" w14:textId="71640540" w:rsidR="00E26D1F" w:rsidRPr="00B642CF" w:rsidRDefault="00E26D1F" w:rsidP="00E26D1F">
      <w:pPr>
        <w:pStyle w:val="PrrafodeSentencia"/>
        <w:rPr>
          <w:spacing w:val="0"/>
        </w:rPr>
      </w:pPr>
      <w:r w:rsidRPr="00B642CF">
        <w:rPr>
          <w:spacing w:val="0"/>
        </w:rPr>
        <w:t xml:space="preserve">A partir de la década de los 1990, Argentina comenzó a desarrollar una política de medidas administrativas de reparación de las víctimas de la última dictadura (ver </w:t>
      </w:r>
      <w:r w:rsidRPr="00B642CF">
        <w:rPr>
          <w:i/>
          <w:spacing w:val="0"/>
        </w:rPr>
        <w:t xml:space="preserve">supra </w:t>
      </w:r>
      <w:r w:rsidR="00A86DCD" w:rsidRPr="00B642CF">
        <w:rPr>
          <w:spacing w:val="0"/>
        </w:rPr>
        <w:t>párr.</w:t>
      </w:r>
      <w:r w:rsidRPr="00B642CF">
        <w:rPr>
          <w:spacing w:val="0"/>
        </w:rPr>
        <w:t xml:space="preserve"> 29 a 32). Entre estas medidas, la Ley </w:t>
      </w:r>
      <w:r w:rsidR="002A0F3D" w:rsidRPr="00B642CF">
        <w:rPr>
          <w:spacing w:val="0"/>
        </w:rPr>
        <w:t xml:space="preserve">No. </w:t>
      </w:r>
      <w:r w:rsidRPr="00B642CF">
        <w:rPr>
          <w:spacing w:val="0"/>
        </w:rPr>
        <w:t>24.043 estableció beneficios a las personas que hubieran sido puestas a disposición del PEN durante la vigencia del estado de sitio, o siendo civiles, hubiesen sufrido detención en virtud de actos emanados de tribunales militares. En un principio, se e</w:t>
      </w:r>
      <w:r w:rsidR="00447CBD" w:rsidRPr="00B642CF">
        <w:rPr>
          <w:spacing w:val="0"/>
        </w:rPr>
        <w:t xml:space="preserve">ntendió que estaban excluidas </w:t>
      </w:r>
      <w:r w:rsidRPr="00B642CF">
        <w:rPr>
          <w:spacing w:val="0"/>
        </w:rPr>
        <w:t>de este mecanismo de indemnización aquellas situaciones de libertad vigilada</w:t>
      </w:r>
      <w:r w:rsidRPr="00B642CF">
        <w:rPr>
          <w:i/>
          <w:spacing w:val="0"/>
        </w:rPr>
        <w:t xml:space="preserve"> de facto</w:t>
      </w:r>
      <w:r w:rsidRPr="00B642CF">
        <w:rPr>
          <w:spacing w:val="0"/>
        </w:rPr>
        <w:t xml:space="preserve">, es decir, aquellas en la cuales no había </w:t>
      </w:r>
      <w:r w:rsidR="00CC4060" w:rsidRPr="00B642CF">
        <w:rPr>
          <w:spacing w:val="0"/>
        </w:rPr>
        <w:t>un decreto que imponía formalmente esta medida.</w:t>
      </w:r>
      <w:r w:rsidRPr="00B642CF">
        <w:rPr>
          <w:spacing w:val="0"/>
        </w:rPr>
        <w:t xml:space="preserve">  </w:t>
      </w:r>
      <w:r w:rsidR="00D405E6">
        <w:rPr>
          <w:spacing w:val="0"/>
        </w:rPr>
        <w:t>No obstante, posteriormente esta</w:t>
      </w:r>
      <w:r w:rsidRPr="00B642CF">
        <w:rPr>
          <w:spacing w:val="0"/>
        </w:rPr>
        <w:t xml:space="preserve"> interpretación fue modificada en sede judicial. En efecto, la Corte Suprema de Justicia, en su fallo de 1997 del caso </w:t>
      </w:r>
      <w:r w:rsidRPr="00B642CF">
        <w:rPr>
          <w:i/>
          <w:spacing w:val="0"/>
        </w:rPr>
        <w:t>Noro</w:t>
      </w:r>
      <w:r w:rsidRPr="00B642CF">
        <w:rPr>
          <w:spacing w:val="0"/>
        </w:rPr>
        <w:t>, estableció explícitamente que la finalidad de la ley era otorgar una compensación económica a personas privadas de su derecho constitucional de libertad, sin tomar en cuenta la forma del acto de autoridad que llevó a esa privación (</w:t>
      </w:r>
      <w:r w:rsidRPr="00B642CF">
        <w:rPr>
          <w:i/>
          <w:spacing w:val="0"/>
        </w:rPr>
        <w:t xml:space="preserve">supra </w:t>
      </w:r>
      <w:r w:rsidRPr="00B642CF">
        <w:rPr>
          <w:spacing w:val="0"/>
        </w:rPr>
        <w:t xml:space="preserve">párr. 38), y esta interpretación fue adoptaba por la Cámara Nacional en lo Contencioso Administrativo Federal a partir del caso </w:t>
      </w:r>
      <w:r w:rsidRPr="00B642CF">
        <w:rPr>
          <w:i/>
          <w:spacing w:val="0"/>
        </w:rPr>
        <w:t>Robasto</w:t>
      </w:r>
      <w:r w:rsidRPr="00B642CF">
        <w:rPr>
          <w:spacing w:val="0"/>
        </w:rPr>
        <w:t xml:space="preserve"> fallado en el año 2003</w:t>
      </w:r>
      <w:r w:rsidR="00AC64E7" w:rsidRPr="00B642CF">
        <w:rPr>
          <w:spacing w:val="0"/>
        </w:rPr>
        <w:t xml:space="preserve"> (</w:t>
      </w:r>
      <w:r w:rsidR="00AC64E7" w:rsidRPr="00B642CF">
        <w:rPr>
          <w:i/>
          <w:spacing w:val="0"/>
        </w:rPr>
        <w:t xml:space="preserve">supra </w:t>
      </w:r>
      <w:r w:rsidR="00FB1DDF" w:rsidRPr="00B642CF">
        <w:rPr>
          <w:spacing w:val="0"/>
        </w:rPr>
        <w:t>párr. 40</w:t>
      </w:r>
      <w:r w:rsidR="00AC64E7" w:rsidRPr="00B642CF">
        <w:rPr>
          <w:spacing w:val="0"/>
        </w:rPr>
        <w:t>)</w:t>
      </w:r>
      <w:r w:rsidRPr="00B642CF">
        <w:rPr>
          <w:spacing w:val="0"/>
        </w:rPr>
        <w:t>.</w:t>
      </w:r>
    </w:p>
    <w:p w14:paraId="2735EAC1" w14:textId="77777777" w:rsidR="00E26D1F" w:rsidRPr="00B642CF" w:rsidRDefault="00E26D1F" w:rsidP="00E26D1F">
      <w:pPr>
        <w:rPr>
          <w:lang w:val="es-CR" w:eastAsia="es-MX"/>
        </w:rPr>
      </w:pPr>
    </w:p>
    <w:p w14:paraId="5A7BAACE" w14:textId="1A12D53E" w:rsidR="00E26D1F" w:rsidRPr="00B642CF" w:rsidRDefault="00E26D1F" w:rsidP="00E26D1F">
      <w:pPr>
        <w:pStyle w:val="PrrafodeSentencia"/>
        <w:rPr>
          <w:spacing w:val="0"/>
        </w:rPr>
      </w:pPr>
      <w:r w:rsidRPr="00B642CF">
        <w:rPr>
          <w:spacing w:val="0"/>
        </w:rPr>
        <w:t>El señor Almeida presentó</w:t>
      </w:r>
      <w:r w:rsidR="002A0F3D" w:rsidRPr="00B642CF">
        <w:rPr>
          <w:spacing w:val="0"/>
        </w:rPr>
        <w:t xml:space="preserve"> en el año 1995 </w:t>
      </w:r>
      <w:r w:rsidRPr="00B642CF">
        <w:rPr>
          <w:spacing w:val="0"/>
        </w:rPr>
        <w:t>su demanda administrativa por la privación de libertad sufrida durante el período de la dictadura, es decir, ante</w:t>
      </w:r>
      <w:r w:rsidR="002A0F3D" w:rsidRPr="00B642CF">
        <w:rPr>
          <w:spacing w:val="0"/>
        </w:rPr>
        <w:t>s</w:t>
      </w:r>
      <w:r w:rsidRPr="00B642CF">
        <w:rPr>
          <w:spacing w:val="0"/>
        </w:rPr>
        <w:t xml:space="preserve"> </w:t>
      </w:r>
      <w:r w:rsidR="002A0F3D" w:rsidRPr="00B642CF">
        <w:rPr>
          <w:spacing w:val="0"/>
        </w:rPr>
        <w:t>de</w:t>
      </w:r>
      <w:r w:rsidRPr="00B642CF">
        <w:rPr>
          <w:spacing w:val="0"/>
        </w:rPr>
        <w:t xml:space="preserve">l cambio de criterio operado por los precedentes </w:t>
      </w:r>
      <w:r w:rsidRPr="00B642CF">
        <w:rPr>
          <w:i/>
          <w:spacing w:val="0"/>
        </w:rPr>
        <w:t xml:space="preserve">Noro </w:t>
      </w:r>
      <w:r w:rsidRPr="00B642CF">
        <w:rPr>
          <w:spacing w:val="0"/>
        </w:rPr>
        <w:t xml:space="preserve">y </w:t>
      </w:r>
      <w:r w:rsidRPr="00B642CF">
        <w:rPr>
          <w:i/>
          <w:spacing w:val="0"/>
        </w:rPr>
        <w:t>Robasto</w:t>
      </w:r>
      <w:r w:rsidRPr="00B642CF">
        <w:rPr>
          <w:spacing w:val="0"/>
        </w:rPr>
        <w:t>. De esta forma</w:t>
      </w:r>
      <w:r w:rsidR="00D405E6">
        <w:rPr>
          <w:spacing w:val="0"/>
        </w:rPr>
        <w:t>,</w:t>
      </w:r>
      <w:r w:rsidRPr="00B642CF">
        <w:rPr>
          <w:spacing w:val="0"/>
        </w:rPr>
        <w:t xml:space="preserve"> únicamente se le concedió una indemnización por el tiempo en que estuvo en un campo de detención ilegal, sin tomar en cuenta el tiempo que estuvo sometido a un régimen de libertad vigilada </w:t>
      </w:r>
      <w:r w:rsidRPr="00B642CF">
        <w:rPr>
          <w:i/>
          <w:spacing w:val="0"/>
        </w:rPr>
        <w:t>de facto</w:t>
      </w:r>
      <w:r w:rsidRPr="00B642CF">
        <w:rPr>
          <w:spacing w:val="0"/>
        </w:rPr>
        <w:t xml:space="preserve"> (</w:t>
      </w:r>
      <w:r w:rsidRPr="00B642CF">
        <w:rPr>
          <w:i/>
          <w:spacing w:val="0"/>
        </w:rPr>
        <w:t>supra</w:t>
      </w:r>
      <w:r w:rsidRPr="00B642CF">
        <w:rPr>
          <w:spacing w:val="0"/>
        </w:rPr>
        <w:t xml:space="preserve"> párr. 35). El señor Almeida presentó un recurso de apelación</w:t>
      </w:r>
      <w:r w:rsidR="00312A4A" w:rsidRPr="00B642CF">
        <w:rPr>
          <w:spacing w:val="0"/>
        </w:rPr>
        <w:t xml:space="preserve"> ante</w:t>
      </w:r>
      <w:r w:rsidRPr="00B642CF">
        <w:rPr>
          <w:spacing w:val="0"/>
        </w:rPr>
        <w:t xml:space="preserve"> la Cámara Nacional en lo Contencioso Administrativo Federal</w:t>
      </w:r>
      <w:r w:rsidR="00312A4A" w:rsidRPr="00B642CF">
        <w:rPr>
          <w:spacing w:val="0"/>
        </w:rPr>
        <w:t>,</w:t>
      </w:r>
      <w:r w:rsidRPr="00B642CF">
        <w:rPr>
          <w:spacing w:val="0"/>
        </w:rPr>
        <w:t xml:space="preserve"> el cual fue denegado.  </w:t>
      </w:r>
    </w:p>
    <w:p w14:paraId="55547F9F" w14:textId="77777777" w:rsidR="00E26D1F" w:rsidRPr="00B642CF" w:rsidRDefault="00E26D1F" w:rsidP="00E26D1F">
      <w:pPr>
        <w:rPr>
          <w:lang w:val="es-CR"/>
        </w:rPr>
      </w:pPr>
    </w:p>
    <w:p w14:paraId="25B0C7FC" w14:textId="0051C119" w:rsidR="00E26D1F" w:rsidRPr="00B642CF" w:rsidRDefault="00E26D1F" w:rsidP="00E26D1F">
      <w:pPr>
        <w:pStyle w:val="PrrafodeSentencia"/>
        <w:rPr>
          <w:spacing w:val="0"/>
        </w:rPr>
      </w:pPr>
      <w:r w:rsidRPr="00B642CF">
        <w:rPr>
          <w:spacing w:val="0"/>
        </w:rPr>
        <w:t xml:space="preserve">Luego del cambio de posición por parte de la Corte Suprema de Justicia con el caso </w:t>
      </w:r>
      <w:r w:rsidRPr="00B642CF">
        <w:rPr>
          <w:i/>
          <w:spacing w:val="0"/>
        </w:rPr>
        <w:t xml:space="preserve">Noro </w:t>
      </w:r>
      <w:r w:rsidRPr="00B642CF">
        <w:rPr>
          <w:spacing w:val="0"/>
        </w:rPr>
        <w:t>de 1997, el señor Almeida presentó un recurso extraordinario en contra de la resolución de la Cámara Nacional de lo Contencioso Administrativo Federal, haciendo justamente referencia al cambio jurisprudencial. Sin embargo, dicho recurso le fue denegado (</w:t>
      </w:r>
      <w:r w:rsidRPr="00B642CF">
        <w:rPr>
          <w:i/>
          <w:spacing w:val="0"/>
        </w:rPr>
        <w:t>supra</w:t>
      </w:r>
      <w:r w:rsidRPr="00B642CF">
        <w:rPr>
          <w:spacing w:val="0"/>
        </w:rPr>
        <w:t xml:space="preserve"> </w:t>
      </w:r>
      <w:r w:rsidR="00417486">
        <w:rPr>
          <w:spacing w:val="0"/>
        </w:rPr>
        <w:t>párr.</w:t>
      </w:r>
      <w:r w:rsidRPr="00B642CF">
        <w:rPr>
          <w:spacing w:val="0"/>
        </w:rPr>
        <w:t xml:space="preserve"> 39) y el recurso de queja presentado ante la Corte Suprema de Justic</w:t>
      </w:r>
      <w:r w:rsidR="00417486">
        <w:rPr>
          <w:spacing w:val="0"/>
        </w:rPr>
        <w:t>i</w:t>
      </w:r>
      <w:r w:rsidRPr="00B642CF">
        <w:rPr>
          <w:spacing w:val="0"/>
        </w:rPr>
        <w:t xml:space="preserve">a fue declarado inadmisible. A partir del precedente del caso </w:t>
      </w:r>
      <w:r w:rsidRPr="00B642CF">
        <w:rPr>
          <w:i/>
          <w:spacing w:val="0"/>
        </w:rPr>
        <w:t>Robasto</w:t>
      </w:r>
      <w:r w:rsidRPr="00B642CF">
        <w:rPr>
          <w:spacing w:val="0"/>
        </w:rPr>
        <w:t xml:space="preserve"> de 2003, las autoridades administrativas comenzaron a aplicar de forma sistemática el criterio de asimilación de las situaciones de libertad vigilada </w:t>
      </w:r>
      <w:r w:rsidRPr="00B642CF">
        <w:rPr>
          <w:i/>
          <w:spacing w:val="0"/>
        </w:rPr>
        <w:t>de iure</w:t>
      </w:r>
      <w:r w:rsidRPr="00B642CF">
        <w:rPr>
          <w:spacing w:val="0"/>
        </w:rPr>
        <w:t xml:space="preserve"> y </w:t>
      </w:r>
      <w:r w:rsidRPr="00B642CF">
        <w:rPr>
          <w:i/>
          <w:spacing w:val="0"/>
        </w:rPr>
        <w:t>de facto</w:t>
      </w:r>
      <w:r w:rsidRPr="00B642CF">
        <w:rPr>
          <w:spacing w:val="0"/>
        </w:rPr>
        <w:t xml:space="preserve"> a efectos de establecer los beneficios de la Ley </w:t>
      </w:r>
      <w:r w:rsidR="005B06BF" w:rsidRPr="00B642CF">
        <w:rPr>
          <w:spacing w:val="0"/>
        </w:rPr>
        <w:t xml:space="preserve">No. </w:t>
      </w:r>
      <w:r w:rsidRPr="00B642CF">
        <w:rPr>
          <w:spacing w:val="0"/>
        </w:rPr>
        <w:t>24.043. Lo anterior motivó al señor Almeida a presentar ante el Ministerio de Justicia y Derechos Humanos un recurso de revocatoria</w:t>
      </w:r>
      <w:r w:rsidR="002A0F3D" w:rsidRPr="00B642CF">
        <w:rPr>
          <w:spacing w:val="0"/>
        </w:rPr>
        <w:t xml:space="preserve"> d</w:t>
      </w:r>
      <w:r w:rsidR="00A86DCD" w:rsidRPr="00B642CF">
        <w:rPr>
          <w:spacing w:val="0"/>
        </w:rPr>
        <w:t>e</w:t>
      </w:r>
      <w:r w:rsidR="002A0F3D" w:rsidRPr="00B642CF">
        <w:rPr>
          <w:spacing w:val="0"/>
        </w:rPr>
        <w:t xml:space="preserve"> las resoluciones previamente adoptadas</w:t>
      </w:r>
      <w:r w:rsidRPr="00B642CF">
        <w:rPr>
          <w:spacing w:val="0"/>
        </w:rPr>
        <w:t>, el cual le fue denegado, al considerarse que el señor Almeida estaba solicitando una modificación de una sentencia judicial (</w:t>
      </w:r>
      <w:r w:rsidRPr="00B642CF">
        <w:rPr>
          <w:i/>
          <w:spacing w:val="0"/>
        </w:rPr>
        <w:t xml:space="preserve">supra </w:t>
      </w:r>
      <w:r w:rsidRPr="00B642CF">
        <w:rPr>
          <w:spacing w:val="0"/>
        </w:rPr>
        <w:t>párr. 41).</w:t>
      </w:r>
    </w:p>
    <w:p w14:paraId="09F4E47E" w14:textId="77777777" w:rsidR="00E26D1F" w:rsidRPr="00B642CF" w:rsidRDefault="00E26D1F" w:rsidP="00E26D1F">
      <w:pPr>
        <w:rPr>
          <w:lang w:val="es-CR" w:eastAsia="es-MX"/>
        </w:rPr>
      </w:pPr>
    </w:p>
    <w:p w14:paraId="12EE765D" w14:textId="5EEC5FAB" w:rsidR="00E26D1F" w:rsidRPr="00B642CF" w:rsidRDefault="00E26D1F" w:rsidP="00E26D1F">
      <w:pPr>
        <w:pStyle w:val="PrrafodeSentencia"/>
        <w:rPr>
          <w:spacing w:val="0"/>
        </w:rPr>
      </w:pPr>
      <w:r w:rsidRPr="00B642CF">
        <w:rPr>
          <w:spacing w:val="0"/>
        </w:rPr>
        <w:t xml:space="preserve">No obstante, a su esposa, la señora Claudia Graciela Estevez, quien se encontraba en idéntica situación fáctica respecto del señor </w:t>
      </w:r>
      <w:r w:rsidRPr="00B642CF">
        <w:rPr>
          <w:bCs/>
          <w:spacing w:val="0"/>
        </w:rPr>
        <w:t>Alme</w:t>
      </w:r>
      <w:r w:rsidR="00C824E2" w:rsidRPr="00B642CF">
        <w:rPr>
          <w:bCs/>
          <w:spacing w:val="0"/>
        </w:rPr>
        <w:t>i</w:t>
      </w:r>
      <w:r w:rsidRPr="00B642CF">
        <w:rPr>
          <w:bCs/>
          <w:spacing w:val="0"/>
        </w:rPr>
        <w:t>da</w:t>
      </w:r>
      <w:r w:rsidRPr="00B642CF">
        <w:rPr>
          <w:spacing w:val="0"/>
        </w:rPr>
        <w:t xml:space="preserve"> y a quien en el año 1999 también le había sido denegada en sede administrativa la indemnización prevista por la Ley </w:t>
      </w:r>
      <w:r w:rsidR="005B06BF" w:rsidRPr="00B642CF">
        <w:rPr>
          <w:spacing w:val="0"/>
        </w:rPr>
        <w:t xml:space="preserve">No. </w:t>
      </w:r>
      <w:r w:rsidRPr="00B642CF">
        <w:rPr>
          <w:spacing w:val="0"/>
        </w:rPr>
        <w:t>24.043</w:t>
      </w:r>
      <w:r w:rsidR="00447CBD" w:rsidRPr="00B642CF">
        <w:rPr>
          <w:spacing w:val="0"/>
        </w:rPr>
        <w:t>,</w:t>
      </w:r>
      <w:r w:rsidRPr="00B642CF">
        <w:rPr>
          <w:spacing w:val="0"/>
        </w:rPr>
        <w:t xml:space="preserve"> en relación con el tiempo en que estuvo sujeta al régimen de libertad vigilada</w:t>
      </w:r>
      <w:r w:rsidR="00447CBD" w:rsidRPr="00B642CF">
        <w:rPr>
          <w:spacing w:val="0"/>
        </w:rPr>
        <w:t xml:space="preserve"> </w:t>
      </w:r>
      <w:r w:rsidR="00447CBD" w:rsidRPr="00B642CF">
        <w:rPr>
          <w:i/>
          <w:spacing w:val="0"/>
        </w:rPr>
        <w:t>de facto</w:t>
      </w:r>
      <w:r w:rsidRPr="00B642CF">
        <w:rPr>
          <w:spacing w:val="0"/>
        </w:rPr>
        <w:t>, el Ministerio de Justicia y Derechos Humanos, por medio de resolución de 22 de mayo de 2015, decidió otorgar</w:t>
      </w:r>
      <w:r w:rsidR="00312A4A" w:rsidRPr="00B642CF">
        <w:rPr>
          <w:spacing w:val="0"/>
        </w:rPr>
        <w:t>le</w:t>
      </w:r>
      <w:r w:rsidRPr="00B642CF">
        <w:rPr>
          <w:spacing w:val="0"/>
        </w:rPr>
        <w:t xml:space="preserve"> dicho beneficio, en aplicación de los precedentes establecidos en los casos </w:t>
      </w:r>
      <w:r w:rsidRPr="00B642CF">
        <w:rPr>
          <w:i/>
          <w:spacing w:val="0"/>
        </w:rPr>
        <w:t>Noro</w:t>
      </w:r>
      <w:r w:rsidRPr="00B642CF">
        <w:rPr>
          <w:spacing w:val="0"/>
        </w:rPr>
        <w:t xml:space="preserve"> y </w:t>
      </w:r>
      <w:r w:rsidRPr="00B642CF">
        <w:rPr>
          <w:i/>
          <w:spacing w:val="0"/>
        </w:rPr>
        <w:t>Robas</w:t>
      </w:r>
      <w:r w:rsidR="00312A4A" w:rsidRPr="00B642CF">
        <w:rPr>
          <w:i/>
          <w:spacing w:val="0"/>
        </w:rPr>
        <w:t>t</w:t>
      </w:r>
      <w:r w:rsidRPr="00B642CF">
        <w:rPr>
          <w:i/>
          <w:spacing w:val="0"/>
        </w:rPr>
        <w:t>o</w:t>
      </w:r>
      <w:r w:rsidRPr="00B642CF">
        <w:rPr>
          <w:spacing w:val="0"/>
        </w:rPr>
        <w:t xml:space="preserve">. Es decir, que ante una idéntica situación fáctica en relación con el régimen de libertad vigilada al que estuvieron sometidos tanto el señor Almeida como la señora Estevez, el primero fue objeto de un trato diferenciado no justificado en relación con el reconocimiento del beneficio previsto </w:t>
      </w:r>
      <w:r w:rsidR="00312A4A" w:rsidRPr="00B642CF">
        <w:rPr>
          <w:spacing w:val="0"/>
        </w:rPr>
        <w:t xml:space="preserve">en la Ley </w:t>
      </w:r>
      <w:r w:rsidR="005B06BF" w:rsidRPr="00B642CF">
        <w:rPr>
          <w:spacing w:val="0"/>
        </w:rPr>
        <w:t xml:space="preserve">No. </w:t>
      </w:r>
      <w:r w:rsidR="00312A4A" w:rsidRPr="00B642CF">
        <w:rPr>
          <w:spacing w:val="0"/>
        </w:rPr>
        <w:t>24.043</w:t>
      </w:r>
      <w:r w:rsidR="002A0F3D" w:rsidRPr="00B642CF">
        <w:rPr>
          <w:spacing w:val="0"/>
        </w:rPr>
        <w:t xml:space="preserve">, </w:t>
      </w:r>
      <w:r w:rsidR="00D405E6">
        <w:rPr>
          <w:spacing w:val="0"/>
        </w:rPr>
        <w:t>con respecto al</w:t>
      </w:r>
      <w:r w:rsidR="002A0F3D" w:rsidRPr="00B642CF">
        <w:rPr>
          <w:spacing w:val="0"/>
        </w:rPr>
        <w:t xml:space="preserve"> período en que estuvo sometido a un régimen de libertad vigilada </w:t>
      </w:r>
      <w:r w:rsidR="002A0F3D" w:rsidRPr="00B642CF">
        <w:rPr>
          <w:i/>
          <w:spacing w:val="0"/>
        </w:rPr>
        <w:t>de facto</w:t>
      </w:r>
      <w:r w:rsidR="00312A4A" w:rsidRPr="00B642CF">
        <w:rPr>
          <w:spacing w:val="0"/>
        </w:rPr>
        <w:t>, lo que resultó</w:t>
      </w:r>
      <w:r w:rsidRPr="00B642CF">
        <w:rPr>
          <w:spacing w:val="0"/>
        </w:rPr>
        <w:t xml:space="preserve"> contrario al artículo 24 de la Convención.</w:t>
      </w:r>
    </w:p>
    <w:p w14:paraId="613F974A" w14:textId="77777777" w:rsidR="00E26D1F" w:rsidRPr="00B642CF" w:rsidRDefault="00E26D1F" w:rsidP="00E26D1F">
      <w:pPr>
        <w:rPr>
          <w:lang w:val="es-CR" w:eastAsia="es-MX"/>
        </w:rPr>
      </w:pPr>
    </w:p>
    <w:p w14:paraId="5F9BD2FD" w14:textId="0532B4AD" w:rsidR="00E26D1F" w:rsidRPr="00B642CF" w:rsidRDefault="00E26D1F" w:rsidP="00E26D1F">
      <w:pPr>
        <w:pStyle w:val="PrrafodeSentencia"/>
        <w:rPr>
          <w:spacing w:val="0"/>
        </w:rPr>
      </w:pPr>
      <w:r w:rsidRPr="00B642CF">
        <w:rPr>
          <w:spacing w:val="0"/>
        </w:rPr>
        <w:t>De esta forma, el reconocimiento del Estado implica considerar que el señor Almeida no tuvo acceso a un recurso o proceso efectivo qu</w:t>
      </w:r>
      <w:r w:rsidR="002A0F3D" w:rsidRPr="00B642CF">
        <w:rPr>
          <w:spacing w:val="0"/>
        </w:rPr>
        <w:t xml:space="preserve">e </w:t>
      </w:r>
      <w:r w:rsidRPr="00B642CF">
        <w:rPr>
          <w:spacing w:val="0"/>
        </w:rPr>
        <w:t xml:space="preserve">permitiera aplicar los nuevos criterios interpretativos de la Ley </w:t>
      </w:r>
      <w:r w:rsidR="005B06BF" w:rsidRPr="00B642CF">
        <w:rPr>
          <w:spacing w:val="0"/>
        </w:rPr>
        <w:t xml:space="preserve">No. </w:t>
      </w:r>
      <w:r w:rsidRPr="00B642CF">
        <w:rPr>
          <w:spacing w:val="0"/>
        </w:rPr>
        <w:t xml:space="preserve">24.043 a su caso y, en definitiva, poner fin a la desigualdad a la que se le había sometido al no tomar en cuenta los días en que estuvo bajo libertad vigilada </w:t>
      </w:r>
      <w:r w:rsidRPr="00B642CF">
        <w:rPr>
          <w:i/>
          <w:spacing w:val="0"/>
        </w:rPr>
        <w:t>de facto</w:t>
      </w:r>
      <w:r w:rsidR="002A0F3D" w:rsidRPr="00B642CF">
        <w:rPr>
          <w:i/>
          <w:spacing w:val="0"/>
        </w:rPr>
        <w:t xml:space="preserve"> </w:t>
      </w:r>
      <w:r w:rsidR="002A0F3D" w:rsidRPr="00B642CF">
        <w:rPr>
          <w:spacing w:val="0"/>
        </w:rPr>
        <w:t>para el cálculo de la indemnización prevista en dicha normativa</w:t>
      </w:r>
      <w:r w:rsidRPr="00B642CF">
        <w:rPr>
          <w:spacing w:val="0"/>
        </w:rPr>
        <w:t xml:space="preserve">. En consecuencia, </w:t>
      </w:r>
      <w:r w:rsidR="005D51BB">
        <w:rPr>
          <w:spacing w:val="0"/>
        </w:rPr>
        <w:t>la Corte</w:t>
      </w:r>
      <w:r w:rsidR="005D51BB" w:rsidRPr="00B642CF">
        <w:rPr>
          <w:spacing w:val="0"/>
        </w:rPr>
        <w:t xml:space="preserve"> </w:t>
      </w:r>
      <w:r w:rsidRPr="00B642CF">
        <w:rPr>
          <w:spacing w:val="0"/>
        </w:rPr>
        <w:t>concluye que el Estado es responsable de la violación a los artículos 8.1,</w:t>
      </w:r>
      <w:r w:rsidR="00CF0528" w:rsidRPr="00B642CF">
        <w:rPr>
          <w:b/>
          <w:bCs/>
          <w:spacing w:val="0"/>
        </w:rPr>
        <w:t xml:space="preserve"> </w:t>
      </w:r>
      <w:r w:rsidR="00CF0528" w:rsidRPr="00B642CF">
        <w:rPr>
          <w:bCs/>
          <w:spacing w:val="0"/>
        </w:rPr>
        <w:t>24</w:t>
      </w:r>
      <w:r w:rsidR="00616772">
        <w:rPr>
          <w:bCs/>
          <w:spacing w:val="0"/>
        </w:rPr>
        <w:t xml:space="preserve"> y</w:t>
      </w:r>
      <w:r w:rsidRPr="00B642CF">
        <w:rPr>
          <w:spacing w:val="0"/>
        </w:rPr>
        <w:t xml:space="preserve"> 25.1</w:t>
      </w:r>
      <w:r w:rsidR="005D51BB" w:rsidRPr="005D51BB">
        <w:rPr>
          <w:spacing w:val="0"/>
        </w:rPr>
        <w:t xml:space="preserve"> </w:t>
      </w:r>
      <w:r w:rsidR="005D51BB" w:rsidRPr="00B642CF">
        <w:rPr>
          <w:spacing w:val="0"/>
        </w:rPr>
        <w:t>de la Convención</w:t>
      </w:r>
      <w:r w:rsidR="005D51BB">
        <w:rPr>
          <w:spacing w:val="0"/>
        </w:rPr>
        <w:t>,</w:t>
      </w:r>
      <w:r w:rsidRPr="00B642CF">
        <w:rPr>
          <w:spacing w:val="0"/>
        </w:rPr>
        <w:t xml:space="preserve"> en relación </w:t>
      </w:r>
      <w:r w:rsidR="00CF0528" w:rsidRPr="00B642CF">
        <w:rPr>
          <w:spacing w:val="0"/>
        </w:rPr>
        <w:t xml:space="preserve">con </w:t>
      </w:r>
      <w:r w:rsidR="005D51BB">
        <w:rPr>
          <w:spacing w:val="0"/>
        </w:rPr>
        <w:t>los artículos</w:t>
      </w:r>
      <w:r w:rsidR="005D51BB" w:rsidRPr="00B642CF">
        <w:rPr>
          <w:spacing w:val="0"/>
        </w:rPr>
        <w:t xml:space="preserve"> </w:t>
      </w:r>
      <w:r w:rsidRPr="00B642CF">
        <w:rPr>
          <w:spacing w:val="0"/>
        </w:rPr>
        <w:t xml:space="preserve">1.1. y 2 </w:t>
      </w:r>
      <w:r w:rsidR="005D51BB">
        <w:rPr>
          <w:spacing w:val="0"/>
        </w:rPr>
        <w:t>del mismo instrumento,</w:t>
      </w:r>
      <w:r w:rsidR="00616772">
        <w:rPr>
          <w:spacing w:val="0"/>
        </w:rPr>
        <w:t xml:space="preserve"> </w:t>
      </w:r>
      <w:r w:rsidRPr="00B642CF">
        <w:rPr>
          <w:spacing w:val="0"/>
        </w:rPr>
        <w:t>en perjuicio del señor Almeida.</w:t>
      </w:r>
    </w:p>
    <w:p w14:paraId="6C312363" w14:textId="77777777" w:rsidR="006B2BE6" w:rsidRPr="00B642CF" w:rsidRDefault="006B2BE6" w:rsidP="006B2BE6">
      <w:pPr>
        <w:rPr>
          <w:rFonts w:eastAsiaTheme="majorEastAsia"/>
          <w:lang w:val="es-CR" w:eastAsia="es-ES"/>
        </w:rPr>
      </w:pPr>
    </w:p>
    <w:p w14:paraId="00610DE4" w14:textId="126C80CF" w:rsidR="00705991" w:rsidRPr="00B642CF" w:rsidRDefault="00D02784" w:rsidP="00AD7197">
      <w:pPr>
        <w:pStyle w:val="Ttulo"/>
        <w:spacing w:before="0" w:after="0"/>
        <w:rPr>
          <w:rStyle w:val="Ttulo1Car"/>
          <w:b/>
          <w:szCs w:val="20"/>
          <w:lang w:val="es-ES"/>
        </w:rPr>
      </w:pPr>
      <w:bookmarkStart w:id="173" w:name="_Toc59089827"/>
      <w:r w:rsidRPr="00B642CF">
        <w:rPr>
          <w:rStyle w:val="Ttulo1Car"/>
          <w:b/>
          <w:szCs w:val="20"/>
          <w:lang w:val="es-ES"/>
        </w:rPr>
        <w:t>VII</w:t>
      </w:r>
      <w:bookmarkStart w:id="174" w:name="_Toc514063464"/>
      <w:bookmarkStart w:id="175" w:name="_Toc512961873"/>
      <w:bookmarkStart w:id="176" w:name="_Toc512499056"/>
      <w:bookmarkStart w:id="177" w:name="_Toc504661265"/>
      <w:bookmarkStart w:id="178" w:name="_Toc504656637"/>
      <w:bookmarkStart w:id="179" w:name="_Toc503594905"/>
      <w:bookmarkStart w:id="180" w:name="_Toc502891614"/>
      <w:bookmarkStart w:id="181" w:name="_Toc502023070"/>
      <w:bookmarkStart w:id="182" w:name="_Toc499146734"/>
      <w:r w:rsidRPr="00B642CF">
        <w:rPr>
          <w:rStyle w:val="Ttulo1Car"/>
          <w:b/>
          <w:szCs w:val="20"/>
          <w:lang w:val="es-ES"/>
        </w:rPr>
        <w:t>I</w:t>
      </w:r>
      <w:r w:rsidRPr="00B642CF">
        <w:rPr>
          <w:rStyle w:val="Ttulo1Car"/>
          <w:b/>
          <w:szCs w:val="20"/>
          <w:lang w:val="es-ES"/>
        </w:rPr>
        <w:br/>
        <w:t>REPARACIONE</w:t>
      </w:r>
      <w:bookmarkEnd w:id="160"/>
      <w:bookmarkEnd w:id="174"/>
      <w:bookmarkEnd w:id="175"/>
      <w:bookmarkEnd w:id="176"/>
      <w:bookmarkEnd w:id="177"/>
      <w:bookmarkEnd w:id="178"/>
      <w:bookmarkEnd w:id="179"/>
      <w:bookmarkEnd w:id="180"/>
      <w:bookmarkEnd w:id="181"/>
      <w:bookmarkEnd w:id="182"/>
      <w:r w:rsidRPr="00B642CF">
        <w:rPr>
          <w:rStyle w:val="Ttulo1Car"/>
          <w:b/>
          <w:szCs w:val="20"/>
          <w:lang w:val="es-ES"/>
        </w:rPr>
        <w:t>S</w:t>
      </w:r>
      <w:bookmarkEnd w:id="161"/>
      <w:bookmarkEnd w:id="162"/>
      <w:bookmarkEnd w:id="173"/>
    </w:p>
    <w:p w14:paraId="265E9702" w14:textId="77777777" w:rsidR="00AD7197" w:rsidRPr="00B642CF" w:rsidRDefault="00AD7197" w:rsidP="00AD7197">
      <w:pPr>
        <w:rPr>
          <w:lang w:val="es-ES" w:eastAsia="es-ES"/>
        </w:rPr>
      </w:pPr>
    </w:p>
    <w:p w14:paraId="15D3DD88" w14:textId="77777777" w:rsidR="00AD7197" w:rsidRPr="00B642CF" w:rsidRDefault="00705991" w:rsidP="00705991">
      <w:pPr>
        <w:pStyle w:val="PrrafodeSentencia"/>
        <w:rPr>
          <w:spacing w:val="0"/>
          <w:szCs w:val="20"/>
          <w:lang w:val="es-ES"/>
        </w:rPr>
      </w:pPr>
      <w:r w:rsidRPr="00B642CF">
        <w:rPr>
          <w:spacing w:val="0"/>
          <w:szCs w:val="20"/>
          <w:lang w:val="es-ES"/>
        </w:rPr>
        <w:t>Sobre la base de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B642CF">
        <w:rPr>
          <w:rStyle w:val="Refdenotaalpie"/>
          <w:spacing w:val="0"/>
          <w:lang w:val="es-ES"/>
        </w:rPr>
        <w:footnoteReference w:id="59"/>
      </w:r>
      <w:r w:rsidRPr="00B642CF">
        <w:rPr>
          <w:spacing w:val="0"/>
          <w:szCs w:val="20"/>
          <w:lang w:val="es-ES"/>
        </w:rPr>
        <w:t>.</w:t>
      </w:r>
    </w:p>
    <w:p w14:paraId="7BE655F0" w14:textId="77777777" w:rsidR="00AD7197" w:rsidRPr="00B642CF" w:rsidRDefault="00AD7197" w:rsidP="00AD7197">
      <w:pPr>
        <w:rPr>
          <w:lang w:val="es-ES" w:eastAsia="es-MX"/>
        </w:rPr>
      </w:pPr>
    </w:p>
    <w:p w14:paraId="4E7BC67B" w14:textId="77777777" w:rsidR="00AD7197" w:rsidRPr="00B642CF" w:rsidRDefault="00AD7197" w:rsidP="00AD7197">
      <w:pPr>
        <w:pStyle w:val="PrrafodeSentencia"/>
        <w:rPr>
          <w:spacing w:val="0"/>
        </w:rPr>
      </w:pPr>
      <w:r w:rsidRPr="00B642CF">
        <w:rPr>
          <w:spacing w:val="0"/>
        </w:rPr>
        <w:t>La reparación del daño ocasionado por la infracción de una obligación internacional requiere, siempre que sea posible, la plena restitución (</w:t>
      </w:r>
      <w:r w:rsidRPr="00B642CF">
        <w:rPr>
          <w:i/>
          <w:spacing w:val="0"/>
        </w:rPr>
        <w:t>restitutio in integrum</w:t>
      </w:r>
      <w:r w:rsidRPr="00B642CF">
        <w:rPr>
          <w:spacing w:val="0"/>
        </w:rPr>
        <w:t>), que consiste en el restablecimiento de la situación anterior. De no ser posible, como ocurre en la mayoría de los casos de violaciones de derechos humanos, el Tribunal determinará medidas para garantizar los derechos conculcados y reparar las consecuencias que las infracciones produjeron</w:t>
      </w:r>
      <w:r w:rsidRPr="00B642CF">
        <w:rPr>
          <w:rStyle w:val="Refdenotaalpie"/>
          <w:spacing w:val="0"/>
        </w:rPr>
        <w:footnoteReference w:id="60"/>
      </w:r>
      <w:r w:rsidRPr="00B642CF">
        <w:rPr>
          <w:spacing w:val="0"/>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B642CF">
        <w:rPr>
          <w:rStyle w:val="Refdenotaalpie"/>
          <w:spacing w:val="0"/>
        </w:rPr>
        <w:footnoteReference w:id="61"/>
      </w:r>
      <w:r w:rsidRPr="00B642CF">
        <w:rPr>
          <w:spacing w:val="0"/>
        </w:rPr>
        <w:t>.</w:t>
      </w:r>
    </w:p>
    <w:p w14:paraId="7D7A44E8" w14:textId="77777777" w:rsidR="00AD7197" w:rsidRPr="00B642CF" w:rsidRDefault="00AD7197" w:rsidP="00AD7197">
      <w:pPr>
        <w:rPr>
          <w:lang w:val="es-ES" w:eastAsia="es-MX"/>
        </w:rPr>
      </w:pPr>
    </w:p>
    <w:p w14:paraId="56B26B85" w14:textId="278A0C64" w:rsidR="00705991" w:rsidRPr="00B642CF" w:rsidRDefault="00705991" w:rsidP="00705991">
      <w:pPr>
        <w:pStyle w:val="PrrafodeSentencia"/>
        <w:rPr>
          <w:spacing w:val="0"/>
          <w:szCs w:val="20"/>
          <w:lang w:val="es-ES"/>
        </w:rPr>
      </w:pPr>
      <w:r w:rsidRPr="00B642CF">
        <w:rPr>
          <w:spacing w:val="0"/>
          <w:szCs w:val="20"/>
          <w:lang w:val="es-ES"/>
        </w:rPr>
        <w:t>Además, este Tribunal ha establecido que las reparaciones deben tener un nexo causal con los hechos del caso, las violaciones declaradas, los daños acreditados, así como las medidas solicitadas para reparar los daños respectivos. Por tanto, la Corte deberá analizar dicha concurrencia para pronunciarse debidamente y conforme a derecho</w:t>
      </w:r>
      <w:r w:rsidRPr="00B642CF">
        <w:rPr>
          <w:rStyle w:val="Refdenotaalpie"/>
          <w:spacing w:val="0"/>
          <w:lang w:val="es-ES"/>
        </w:rPr>
        <w:footnoteReference w:id="62"/>
      </w:r>
      <w:r w:rsidRPr="00B642CF">
        <w:rPr>
          <w:spacing w:val="0"/>
          <w:szCs w:val="20"/>
          <w:lang w:val="es-ES"/>
        </w:rPr>
        <w:t>.</w:t>
      </w:r>
    </w:p>
    <w:p w14:paraId="15D3B53F" w14:textId="77777777" w:rsidR="00AD7197" w:rsidRPr="00B642CF" w:rsidRDefault="00AD7197" w:rsidP="00AD7197">
      <w:pPr>
        <w:rPr>
          <w:lang w:val="es-ES" w:eastAsia="es-MX"/>
        </w:rPr>
      </w:pPr>
    </w:p>
    <w:p w14:paraId="2FE9A594" w14:textId="2D4BA6CF" w:rsidR="00F93E5E" w:rsidRPr="00B642CF" w:rsidRDefault="00705991" w:rsidP="00F93E5E">
      <w:pPr>
        <w:pStyle w:val="PrrafodeSentencia"/>
        <w:rPr>
          <w:spacing w:val="0"/>
          <w:szCs w:val="20"/>
          <w:lang w:val="es-ES"/>
        </w:rPr>
      </w:pPr>
      <w:r w:rsidRPr="00B642CF">
        <w:rPr>
          <w:spacing w:val="0"/>
          <w:szCs w:val="20"/>
          <w:lang w:val="es-ES"/>
        </w:rPr>
        <w:t xml:space="preserve">En consecuencia, </w:t>
      </w:r>
      <w:r w:rsidR="00AD7197" w:rsidRPr="00B642CF">
        <w:rPr>
          <w:spacing w:val="0"/>
          <w:szCs w:val="20"/>
          <w:lang w:val="es-ES"/>
        </w:rPr>
        <w:t>tomando en cuenta el reconocimiento de responsabilidad del Estado y las violaciones reconocidas</w:t>
      </w:r>
      <w:r w:rsidRPr="00B642CF">
        <w:rPr>
          <w:spacing w:val="0"/>
          <w:szCs w:val="20"/>
          <w:lang w:val="es-ES"/>
        </w:rPr>
        <w:t>, el Tribunal procederá a analizar las pretensiones presentadas por la Comi</w:t>
      </w:r>
      <w:r w:rsidR="005B6735" w:rsidRPr="00B642CF">
        <w:rPr>
          <w:spacing w:val="0"/>
          <w:szCs w:val="20"/>
          <w:lang w:val="es-ES"/>
        </w:rPr>
        <w:t>sión y la representante</w:t>
      </w:r>
      <w:r w:rsidRPr="00B642CF">
        <w:rPr>
          <w:spacing w:val="0"/>
          <w:szCs w:val="20"/>
          <w:lang w:val="es-ES"/>
        </w:rPr>
        <w:t>, así como las observaciones del Estado a las mismas, a la luz de los criterios fijados en su jurisprudencia en relación con la naturaleza y alcance de la obligación de reparar, con el objeto de disponer las medidas dirigidas a reparar los daños ocasionados.</w:t>
      </w:r>
    </w:p>
    <w:p w14:paraId="3181E799" w14:textId="77777777" w:rsidR="00AD7197" w:rsidRPr="00B642CF" w:rsidRDefault="00AD7197" w:rsidP="00AD7197">
      <w:pPr>
        <w:rPr>
          <w:lang w:val="es-ES" w:eastAsia="es-MX"/>
        </w:rPr>
      </w:pPr>
    </w:p>
    <w:p w14:paraId="5F9EA156" w14:textId="77777777" w:rsidR="00705991" w:rsidRPr="00B642CF" w:rsidRDefault="00705991" w:rsidP="00B642CF">
      <w:pPr>
        <w:pStyle w:val="Ttulo2"/>
        <w:numPr>
          <w:ilvl w:val="1"/>
          <w:numId w:val="1"/>
        </w:numPr>
        <w:spacing w:before="0" w:after="0"/>
        <w:ind w:left="1134" w:hanging="567"/>
      </w:pPr>
      <w:bookmarkStart w:id="183" w:name="_Toc59089828"/>
      <w:r w:rsidRPr="00B642CF">
        <w:t>Parte Lesionada</w:t>
      </w:r>
      <w:bookmarkEnd w:id="183"/>
    </w:p>
    <w:p w14:paraId="63A04864" w14:textId="77777777" w:rsidR="00AD7197" w:rsidRPr="00B642CF" w:rsidRDefault="00AD7197" w:rsidP="00AD7197">
      <w:pPr>
        <w:rPr>
          <w:lang w:val="es-CR"/>
        </w:rPr>
      </w:pPr>
    </w:p>
    <w:p w14:paraId="1706109A" w14:textId="77777777" w:rsidR="00705991" w:rsidRPr="00B642CF" w:rsidRDefault="00705991" w:rsidP="00705991">
      <w:pPr>
        <w:pStyle w:val="PrrafodeSentencia"/>
        <w:rPr>
          <w:spacing w:val="0"/>
          <w:szCs w:val="20"/>
          <w:lang w:val="es-ES"/>
        </w:rPr>
      </w:pPr>
      <w:r w:rsidRPr="00B642CF">
        <w:rPr>
          <w:spacing w:val="0"/>
          <w:szCs w:val="20"/>
          <w:lang w:val="es-ES"/>
        </w:rPr>
        <w:t>Este Tribunal considera parte lesionada, en los términos del artículo 63.1 de la Convención, a quien ha sido declarada víctima de la violación de algún derecho reconocido en la misma. Por lo tanto, esta Corte considera como “parte lesionada</w:t>
      </w:r>
      <w:r w:rsidR="00AD7197" w:rsidRPr="00B642CF">
        <w:rPr>
          <w:spacing w:val="0"/>
          <w:szCs w:val="20"/>
          <w:lang w:val="es-ES"/>
        </w:rPr>
        <w:t xml:space="preserve">” al señor </w:t>
      </w:r>
      <w:r w:rsidR="0022792D" w:rsidRPr="00B642CF">
        <w:rPr>
          <w:spacing w:val="0"/>
          <w:szCs w:val="20"/>
          <w:lang w:val="es-ES"/>
        </w:rPr>
        <w:t>Rufino Jorge Almeida</w:t>
      </w:r>
      <w:r w:rsidRPr="00B642CF">
        <w:rPr>
          <w:spacing w:val="0"/>
          <w:szCs w:val="20"/>
          <w:lang w:val="es-ES"/>
        </w:rPr>
        <w:t>.</w:t>
      </w:r>
    </w:p>
    <w:p w14:paraId="5EB7A97A" w14:textId="77777777" w:rsidR="006518DD" w:rsidRPr="00B642CF" w:rsidRDefault="006518DD" w:rsidP="006518DD">
      <w:pPr>
        <w:rPr>
          <w:lang w:val="es-ES" w:eastAsia="es-MX"/>
        </w:rPr>
      </w:pPr>
    </w:p>
    <w:p w14:paraId="46ED9CBD" w14:textId="4F6C537C" w:rsidR="006518DD" w:rsidRPr="00B642CF" w:rsidRDefault="006518DD" w:rsidP="00B642CF">
      <w:pPr>
        <w:pStyle w:val="Ttulo2"/>
        <w:numPr>
          <w:ilvl w:val="1"/>
          <w:numId w:val="28"/>
        </w:numPr>
        <w:spacing w:before="0" w:after="0"/>
        <w:ind w:left="1134" w:hanging="567"/>
      </w:pPr>
      <w:bookmarkStart w:id="184" w:name="_Toc59089829"/>
      <w:r w:rsidRPr="00B642CF">
        <w:t>Medidas de restitución</w:t>
      </w:r>
      <w:bookmarkEnd w:id="184"/>
      <w:r w:rsidR="002A327F" w:rsidRPr="00B642CF">
        <w:t xml:space="preserve"> </w:t>
      </w:r>
    </w:p>
    <w:p w14:paraId="24A2DC53" w14:textId="77777777" w:rsidR="00705991" w:rsidRPr="00B642CF" w:rsidRDefault="00705991" w:rsidP="006518DD">
      <w:pPr>
        <w:pStyle w:val="Ttulo2"/>
        <w:numPr>
          <w:ilvl w:val="0"/>
          <w:numId w:val="0"/>
        </w:numPr>
        <w:spacing w:before="0" w:after="0"/>
        <w:ind w:left="1434"/>
      </w:pPr>
      <w:r w:rsidRPr="00B642CF">
        <w:t xml:space="preserve"> </w:t>
      </w:r>
    </w:p>
    <w:p w14:paraId="16EB1194" w14:textId="4636728E" w:rsidR="00705991" w:rsidRPr="00B642CF" w:rsidRDefault="00705991" w:rsidP="002A327F">
      <w:pPr>
        <w:pStyle w:val="PrrafodeSentencia"/>
        <w:rPr>
          <w:spacing w:val="0"/>
        </w:rPr>
      </w:pPr>
      <w:r w:rsidRPr="00B642CF">
        <w:rPr>
          <w:spacing w:val="0"/>
        </w:rPr>
        <w:t xml:space="preserve">La </w:t>
      </w:r>
      <w:r w:rsidRPr="00B642CF">
        <w:rPr>
          <w:b/>
          <w:i/>
          <w:spacing w:val="0"/>
        </w:rPr>
        <w:t xml:space="preserve">Comisión </w:t>
      </w:r>
      <w:r w:rsidRPr="00B642CF">
        <w:rPr>
          <w:spacing w:val="0"/>
        </w:rPr>
        <w:t xml:space="preserve">solicitó </w:t>
      </w:r>
      <w:r w:rsidR="006518DD" w:rsidRPr="00B642CF">
        <w:rPr>
          <w:spacing w:val="0"/>
        </w:rPr>
        <w:t>“[o]frecer al señor Rufino Jorge Almeida un mecanismo idóneo, efectivo y expedito, a fin de que se reconsidere su solicitud de indemnización, tomando en consideración los argumentos por él planteados sobre la violación al derecho a la igualdad ante la ley, tanto en el marco del primer proceso administrativo y los posteriores recursos judiciales; como en el marco de sus posteriores solicitudes tras el precedente del caso Robasto</w:t>
      </w:r>
      <w:r w:rsidRPr="00B642CF">
        <w:rPr>
          <w:spacing w:val="0"/>
        </w:rPr>
        <w:t>”.</w:t>
      </w:r>
      <w:r w:rsidR="005B6735" w:rsidRPr="00B642CF">
        <w:rPr>
          <w:spacing w:val="0"/>
        </w:rPr>
        <w:t xml:space="preserve"> La</w:t>
      </w:r>
      <w:r w:rsidR="006518DD" w:rsidRPr="00B642CF">
        <w:rPr>
          <w:spacing w:val="0"/>
        </w:rPr>
        <w:t xml:space="preserve"> </w:t>
      </w:r>
      <w:r w:rsidR="006518DD" w:rsidRPr="00B642CF">
        <w:rPr>
          <w:b/>
          <w:i/>
          <w:spacing w:val="0"/>
        </w:rPr>
        <w:t>representante</w:t>
      </w:r>
      <w:r w:rsidR="006518DD" w:rsidRPr="00B642CF">
        <w:rPr>
          <w:b/>
          <w:spacing w:val="0"/>
        </w:rPr>
        <w:t xml:space="preserve"> </w:t>
      </w:r>
      <w:r w:rsidR="005B6735" w:rsidRPr="00B642CF">
        <w:rPr>
          <w:spacing w:val="0"/>
        </w:rPr>
        <w:t>se adhirió</w:t>
      </w:r>
      <w:r w:rsidR="006518DD" w:rsidRPr="00B642CF">
        <w:rPr>
          <w:spacing w:val="0"/>
        </w:rPr>
        <w:t xml:space="preserve"> a la solicitud presentada por la Comisión en los mismo</w:t>
      </w:r>
      <w:r w:rsidR="00AF465C" w:rsidRPr="00B642CF">
        <w:rPr>
          <w:spacing w:val="0"/>
        </w:rPr>
        <w:t>s</w:t>
      </w:r>
      <w:r w:rsidR="006518DD" w:rsidRPr="00B642CF">
        <w:rPr>
          <w:spacing w:val="0"/>
        </w:rPr>
        <w:t xml:space="preserve"> términos.</w:t>
      </w:r>
    </w:p>
    <w:p w14:paraId="530E21CC" w14:textId="77777777" w:rsidR="006518DD" w:rsidRPr="00B642CF" w:rsidRDefault="006518DD" w:rsidP="006518DD">
      <w:pPr>
        <w:rPr>
          <w:lang w:val="es-ES" w:eastAsia="es-MX"/>
        </w:rPr>
      </w:pPr>
    </w:p>
    <w:p w14:paraId="60337071" w14:textId="29FBEF46" w:rsidR="00705991" w:rsidRPr="00B642CF" w:rsidRDefault="00705991" w:rsidP="00705991">
      <w:pPr>
        <w:pStyle w:val="PrrafodeSentencia"/>
        <w:rPr>
          <w:spacing w:val="0"/>
          <w:szCs w:val="20"/>
          <w:lang w:val="es-ES"/>
        </w:rPr>
      </w:pPr>
      <w:r w:rsidRPr="00B642CF">
        <w:rPr>
          <w:spacing w:val="0"/>
          <w:szCs w:val="20"/>
          <w:lang w:val="es-ES"/>
        </w:rPr>
        <w:t xml:space="preserve">El </w:t>
      </w:r>
      <w:r w:rsidRPr="00B642CF">
        <w:rPr>
          <w:b/>
          <w:i/>
          <w:spacing w:val="0"/>
          <w:szCs w:val="20"/>
          <w:lang w:val="es-ES"/>
        </w:rPr>
        <w:t>Estado</w:t>
      </w:r>
      <w:r w:rsidR="00B42683" w:rsidRPr="00B642CF">
        <w:rPr>
          <w:b/>
          <w:i/>
          <w:spacing w:val="0"/>
          <w:szCs w:val="20"/>
          <w:lang w:val="es-ES"/>
        </w:rPr>
        <w:t>,</w:t>
      </w:r>
      <w:r w:rsidRPr="00B642CF">
        <w:rPr>
          <w:b/>
          <w:i/>
          <w:spacing w:val="0"/>
          <w:szCs w:val="20"/>
          <w:lang w:val="es-ES"/>
        </w:rPr>
        <w:t xml:space="preserve"> </w:t>
      </w:r>
      <w:r w:rsidR="00AF465C" w:rsidRPr="00B642CF">
        <w:rPr>
          <w:spacing w:val="0"/>
          <w:szCs w:val="20"/>
          <w:lang w:val="es-ES"/>
        </w:rPr>
        <w:t>en el marco de su reconocimiento de responsabilidad</w:t>
      </w:r>
      <w:r w:rsidR="00B42683" w:rsidRPr="00B642CF">
        <w:rPr>
          <w:spacing w:val="0"/>
          <w:szCs w:val="20"/>
          <w:lang w:val="es-ES"/>
        </w:rPr>
        <w:t>,</w:t>
      </w:r>
      <w:r w:rsidR="00AF465C" w:rsidRPr="00B642CF">
        <w:rPr>
          <w:spacing w:val="0"/>
          <w:szCs w:val="20"/>
          <w:lang w:val="es-ES"/>
        </w:rPr>
        <w:t xml:space="preserve"> se comprometió a “revaluar la solicitud de indemnización oportunamente interpuesta por el señor Almeida, en línea con lo dispuesto en el Informe de Fondo de la </w:t>
      </w:r>
      <w:r w:rsidR="002B7A3A">
        <w:rPr>
          <w:spacing w:val="0"/>
          <w:szCs w:val="20"/>
          <w:lang w:val="es-ES"/>
        </w:rPr>
        <w:t>[Comisión]</w:t>
      </w:r>
      <w:r w:rsidR="002B7A3A" w:rsidRPr="00B642CF">
        <w:rPr>
          <w:spacing w:val="0"/>
          <w:szCs w:val="20"/>
          <w:lang w:val="es-ES"/>
        </w:rPr>
        <w:t xml:space="preserve"> </w:t>
      </w:r>
      <w:r w:rsidR="00AF465C" w:rsidRPr="00B642CF">
        <w:rPr>
          <w:spacing w:val="0"/>
          <w:szCs w:val="20"/>
          <w:lang w:val="es-ES"/>
        </w:rPr>
        <w:t>y en el punto</w:t>
      </w:r>
      <w:r w:rsidR="0088426D" w:rsidRPr="00B642CF">
        <w:rPr>
          <w:spacing w:val="0"/>
          <w:szCs w:val="20"/>
          <w:lang w:val="es-ES"/>
        </w:rPr>
        <w:t xml:space="preserve"> c.3.1. del </w:t>
      </w:r>
      <w:r w:rsidR="004B6396">
        <w:rPr>
          <w:spacing w:val="0"/>
          <w:szCs w:val="20"/>
          <w:lang w:val="es-ES"/>
        </w:rPr>
        <w:t>[escrito de solicitudes y argumentos]</w:t>
      </w:r>
      <w:r w:rsidR="004B6396" w:rsidRPr="00B642CF">
        <w:rPr>
          <w:spacing w:val="0"/>
          <w:szCs w:val="20"/>
          <w:lang w:val="es-ES"/>
        </w:rPr>
        <w:t xml:space="preserve"> </w:t>
      </w:r>
      <w:r w:rsidR="0088426D" w:rsidRPr="00B642CF">
        <w:rPr>
          <w:spacing w:val="0"/>
          <w:szCs w:val="20"/>
          <w:lang w:val="es-ES"/>
        </w:rPr>
        <w:t>de la Víctima”</w:t>
      </w:r>
      <w:r w:rsidRPr="00B642CF">
        <w:rPr>
          <w:spacing w:val="0"/>
          <w:szCs w:val="20"/>
          <w:lang w:val="es-ES"/>
        </w:rPr>
        <w:t>.</w:t>
      </w:r>
      <w:r w:rsidR="009752C1" w:rsidRPr="00B642CF">
        <w:rPr>
          <w:spacing w:val="0"/>
          <w:szCs w:val="20"/>
          <w:lang w:val="es-ES"/>
        </w:rPr>
        <w:t xml:space="preserve"> </w:t>
      </w:r>
    </w:p>
    <w:p w14:paraId="306D7705" w14:textId="77777777" w:rsidR="00AF465C" w:rsidRPr="00B642CF" w:rsidRDefault="00AF465C" w:rsidP="00AF465C">
      <w:pPr>
        <w:rPr>
          <w:lang w:val="es-ES" w:eastAsia="es-MX"/>
        </w:rPr>
      </w:pPr>
    </w:p>
    <w:p w14:paraId="2528BAF3" w14:textId="7CFC3B58" w:rsidR="00595444" w:rsidRPr="00B642CF" w:rsidRDefault="00AF465C" w:rsidP="00932E8C">
      <w:pPr>
        <w:pStyle w:val="PrrafodeSentencia"/>
        <w:rPr>
          <w:spacing w:val="0"/>
          <w:szCs w:val="20"/>
          <w:lang w:val="es-ES"/>
        </w:rPr>
      </w:pPr>
      <w:r w:rsidRPr="00B642CF">
        <w:rPr>
          <w:spacing w:val="0"/>
          <w:szCs w:val="20"/>
          <w:lang w:val="es-ES"/>
        </w:rPr>
        <w:t xml:space="preserve">En el presente caso, y tomando en cuenta el reconocimiento realizado por el Estado, esta Corte </w:t>
      </w:r>
      <w:r w:rsidR="00616772">
        <w:rPr>
          <w:spacing w:val="0"/>
          <w:szCs w:val="20"/>
          <w:lang w:val="es-ES"/>
        </w:rPr>
        <w:t>determinó</w:t>
      </w:r>
      <w:r w:rsidR="00616772" w:rsidRPr="00B642CF">
        <w:rPr>
          <w:spacing w:val="0"/>
          <w:szCs w:val="20"/>
          <w:lang w:val="es-ES"/>
        </w:rPr>
        <w:t xml:space="preserve"> </w:t>
      </w:r>
      <w:r w:rsidRPr="00B642CF">
        <w:rPr>
          <w:spacing w:val="0"/>
          <w:szCs w:val="20"/>
          <w:lang w:val="es-ES"/>
        </w:rPr>
        <w:t>que hubo una violación al derecho a contar con una motivación adecuada, a la igualdad ante la ley y a la protección judicial cons</w:t>
      </w:r>
      <w:r w:rsidR="00627F2F" w:rsidRPr="00B642CF">
        <w:rPr>
          <w:spacing w:val="0"/>
          <w:szCs w:val="20"/>
          <w:lang w:val="es-ES"/>
        </w:rPr>
        <w:t>agrados en los artículos 8.1</w:t>
      </w:r>
      <w:r w:rsidR="00025FB1" w:rsidRPr="00B642CF">
        <w:rPr>
          <w:spacing w:val="0"/>
          <w:szCs w:val="20"/>
          <w:lang w:val="es-ES"/>
        </w:rPr>
        <w:t>, 24</w:t>
      </w:r>
      <w:r w:rsidRPr="00B642CF">
        <w:rPr>
          <w:spacing w:val="0"/>
          <w:szCs w:val="20"/>
          <w:lang w:val="es-ES"/>
        </w:rPr>
        <w:t xml:space="preserve"> y 25</w:t>
      </w:r>
      <w:r w:rsidR="00616772">
        <w:rPr>
          <w:spacing w:val="0"/>
          <w:szCs w:val="20"/>
          <w:lang w:val="es-ES"/>
        </w:rPr>
        <w:t>.</w:t>
      </w:r>
      <w:r w:rsidRPr="00B642CF">
        <w:rPr>
          <w:spacing w:val="0"/>
          <w:szCs w:val="20"/>
          <w:lang w:val="es-ES"/>
        </w:rPr>
        <w:t xml:space="preserve">1 de la Convención, </w:t>
      </w:r>
      <w:r w:rsidR="00D405E6">
        <w:rPr>
          <w:spacing w:val="0"/>
          <w:szCs w:val="20"/>
          <w:lang w:val="es-ES"/>
        </w:rPr>
        <w:t xml:space="preserve">en </w:t>
      </w:r>
      <w:r w:rsidRPr="00B642CF">
        <w:rPr>
          <w:spacing w:val="0"/>
          <w:szCs w:val="20"/>
          <w:lang w:val="es-ES"/>
        </w:rPr>
        <w:t>relación con las obligaciones establecidas en los artículos 1.1 y 2 del mismo instrumento (</w:t>
      </w:r>
      <w:r w:rsidRPr="00B642CF">
        <w:rPr>
          <w:i/>
          <w:spacing w:val="0"/>
          <w:szCs w:val="20"/>
          <w:lang w:val="es-ES"/>
        </w:rPr>
        <w:t xml:space="preserve">supra </w:t>
      </w:r>
      <w:r w:rsidR="00A86DCD" w:rsidRPr="00B642CF">
        <w:rPr>
          <w:spacing w:val="0"/>
          <w:szCs w:val="20"/>
          <w:lang w:val="es-ES"/>
        </w:rPr>
        <w:t>párr.</w:t>
      </w:r>
      <w:r w:rsidRPr="00B642CF">
        <w:rPr>
          <w:spacing w:val="0"/>
          <w:szCs w:val="20"/>
          <w:lang w:val="es-ES"/>
        </w:rPr>
        <w:t xml:space="preserve"> </w:t>
      </w:r>
      <w:r w:rsidR="00AC64E7" w:rsidRPr="00B642CF">
        <w:rPr>
          <w:spacing w:val="0"/>
          <w:szCs w:val="20"/>
          <w:lang w:val="es-ES"/>
        </w:rPr>
        <w:t>53</w:t>
      </w:r>
      <w:r w:rsidRPr="00B642CF">
        <w:rPr>
          <w:spacing w:val="0"/>
          <w:szCs w:val="20"/>
          <w:lang w:val="es-ES"/>
        </w:rPr>
        <w:t>).</w:t>
      </w:r>
      <w:r w:rsidR="00512D39" w:rsidRPr="00B642CF">
        <w:rPr>
          <w:spacing w:val="0"/>
          <w:szCs w:val="20"/>
          <w:lang w:val="es-ES"/>
        </w:rPr>
        <w:t xml:space="preserve"> </w:t>
      </w:r>
      <w:r w:rsidR="00595444" w:rsidRPr="00B642CF">
        <w:rPr>
          <w:spacing w:val="0"/>
          <w:szCs w:val="20"/>
          <w:lang w:val="es-ES"/>
        </w:rPr>
        <w:t>En efecto, a</w:t>
      </w:r>
      <w:r w:rsidR="00512D39" w:rsidRPr="00B642CF">
        <w:rPr>
          <w:spacing w:val="0"/>
          <w:szCs w:val="20"/>
          <w:lang w:val="es-ES"/>
        </w:rPr>
        <w:t>l señor Almeida</w:t>
      </w:r>
      <w:r w:rsidR="00312A4A" w:rsidRPr="00B642CF">
        <w:rPr>
          <w:spacing w:val="0"/>
          <w:szCs w:val="20"/>
          <w:lang w:val="es-ES"/>
        </w:rPr>
        <w:t>,</w:t>
      </w:r>
      <w:r w:rsidR="00512D39" w:rsidRPr="00B642CF">
        <w:rPr>
          <w:spacing w:val="0"/>
          <w:szCs w:val="20"/>
          <w:lang w:val="es-ES"/>
        </w:rPr>
        <w:t xml:space="preserve"> </w:t>
      </w:r>
      <w:r w:rsidR="000D053A" w:rsidRPr="00B642CF">
        <w:rPr>
          <w:spacing w:val="0"/>
          <w:szCs w:val="20"/>
          <w:lang w:val="es-ES"/>
        </w:rPr>
        <w:t>inicialmente</w:t>
      </w:r>
      <w:r w:rsidR="00312A4A" w:rsidRPr="00B642CF">
        <w:rPr>
          <w:spacing w:val="0"/>
          <w:szCs w:val="20"/>
          <w:lang w:val="es-ES"/>
        </w:rPr>
        <w:t>,</w:t>
      </w:r>
      <w:r w:rsidR="000D053A" w:rsidRPr="00B642CF">
        <w:rPr>
          <w:spacing w:val="0"/>
          <w:szCs w:val="20"/>
          <w:lang w:val="es-ES"/>
        </w:rPr>
        <w:t xml:space="preserve"> le fueron denegadas</w:t>
      </w:r>
      <w:r w:rsidR="00595444" w:rsidRPr="00B642CF">
        <w:rPr>
          <w:spacing w:val="0"/>
          <w:szCs w:val="20"/>
          <w:lang w:val="es-ES"/>
        </w:rPr>
        <w:t>,</w:t>
      </w:r>
      <w:r w:rsidR="000D053A" w:rsidRPr="00B642CF">
        <w:rPr>
          <w:spacing w:val="0"/>
          <w:szCs w:val="20"/>
          <w:lang w:val="es-ES"/>
        </w:rPr>
        <w:t xml:space="preserve"> en sede </w:t>
      </w:r>
      <w:r w:rsidR="001C365C" w:rsidRPr="00B642CF">
        <w:rPr>
          <w:spacing w:val="0"/>
          <w:szCs w:val="20"/>
          <w:lang w:val="es-ES"/>
        </w:rPr>
        <w:t xml:space="preserve">administrativa y </w:t>
      </w:r>
      <w:r w:rsidR="00595444" w:rsidRPr="00B642CF">
        <w:rPr>
          <w:spacing w:val="0"/>
          <w:szCs w:val="20"/>
          <w:lang w:val="es-ES"/>
        </w:rPr>
        <w:t xml:space="preserve">judicial, </w:t>
      </w:r>
      <w:r w:rsidR="000D053A" w:rsidRPr="00B642CF">
        <w:rPr>
          <w:spacing w:val="0"/>
          <w:szCs w:val="20"/>
          <w:lang w:val="es-ES"/>
        </w:rPr>
        <w:t>sus pretensiones indemnizatorias</w:t>
      </w:r>
      <w:r w:rsidR="00595444" w:rsidRPr="00B642CF">
        <w:rPr>
          <w:spacing w:val="0"/>
          <w:szCs w:val="20"/>
          <w:lang w:val="es-ES"/>
        </w:rPr>
        <w:t>,</w:t>
      </w:r>
      <w:r w:rsidR="000D053A" w:rsidRPr="00B642CF">
        <w:rPr>
          <w:spacing w:val="0"/>
          <w:szCs w:val="20"/>
          <w:lang w:val="es-ES"/>
        </w:rPr>
        <w:t xml:space="preserve"> </w:t>
      </w:r>
      <w:r w:rsidR="001C365C" w:rsidRPr="00B642CF">
        <w:rPr>
          <w:spacing w:val="0"/>
          <w:szCs w:val="20"/>
          <w:lang w:val="es-ES"/>
        </w:rPr>
        <w:t xml:space="preserve">con fundamento en la Ley </w:t>
      </w:r>
      <w:r w:rsidR="005B06BF" w:rsidRPr="00B642CF">
        <w:rPr>
          <w:spacing w:val="0"/>
          <w:szCs w:val="20"/>
          <w:lang w:val="es-ES"/>
        </w:rPr>
        <w:t xml:space="preserve">No. </w:t>
      </w:r>
      <w:r w:rsidR="001C365C" w:rsidRPr="00B642CF">
        <w:rPr>
          <w:spacing w:val="0"/>
          <w:szCs w:val="20"/>
          <w:lang w:val="es-ES"/>
        </w:rPr>
        <w:t xml:space="preserve">24.043, </w:t>
      </w:r>
      <w:r w:rsidR="000D053A" w:rsidRPr="00B642CF">
        <w:rPr>
          <w:spacing w:val="0"/>
          <w:szCs w:val="20"/>
          <w:lang w:val="es-ES"/>
        </w:rPr>
        <w:t xml:space="preserve">por el tiempo que estuvo </w:t>
      </w:r>
      <w:r w:rsidR="00512D39" w:rsidRPr="00B642CF">
        <w:rPr>
          <w:spacing w:val="0"/>
          <w:szCs w:val="20"/>
          <w:lang w:val="es-ES"/>
        </w:rPr>
        <w:t>bajo libertad vigilada</w:t>
      </w:r>
      <w:r w:rsidR="00B42683" w:rsidRPr="00B642CF">
        <w:rPr>
          <w:spacing w:val="0"/>
          <w:szCs w:val="20"/>
          <w:lang w:val="es-ES"/>
        </w:rPr>
        <w:t xml:space="preserve"> </w:t>
      </w:r>
      <w:r w:rsidR="00B42683" w:rsidRPr="00B642CF">
        <w:rPr>
          <w:i/>
          <w:spacing w:val="0"/>
          <w:szCs w:val="20"/>
          <w:lang w:val="es-ES"/>
        </w:rPr>
        <w:t>de facto</w:t>
      </w:r>
      <w:r w:rsidR="00595444" w:rsidRPr="00B642CF">
        <w:rPr>
          <w:spacing w:val="0"/>
          <w:szCs w:val="20"/>
          <w:lang w:val="es-ES"/>
        </w:rPr>
        <w:t xml:space="preserve"> durante la dictadura</w:t>
      </w:r>
      <w:r w:rsidR="00512D39" w:rsidRPr="00B642CF">
        <w:rPr>
          <w:spacing w:val="0"/>
          <w:szCs w:val="20"/>
          <w:lang w:val="es-ES"/>
        </w:rPr>
        <w:t xml:space="preserve">. </w:t>
      </w:r>
      <w:r w:rsidR="001C365C" w:rsidRPr="00B642CF">
        <w:rPr>
          <w:spacing w:val="0"/>
          <w:szCs w:val="20"/>
          <w:lang w:val="es-ES"/>
        </w:rPr>
        <w:t xml:space="preserve">Posteriormente, </w:t>
      </w:r>
      <w:r w:rsidR="00512D39" w:rsidRPr="00B642CF">
        <w:rPr>
          <w:spacing w:val="0"/>
          <w:szCs w:val="20"/>
          <w:lang w:val="es-ES"/>
        </w:rPr>
        <w:t xml:space="preserve">después del cambio de jurisprudencia </w:t>
      </w:r>
      <w:r w:rsidR="00595444" w:rsidRPr="00B642CF">
        <w:rPr>
          <w:spacing w:val="0"/>
          <w:szCs w:val="20"/>
          <w:lang w:val="es-ES"/>
        </w:rPr>
        <w:t xml:space="preserve">en la materia </w:t>
      </w:r>
      <w:r w:rsidR="00512D39" w:rsidRPr="00B642CF">
        <w:rPr>
          <w:spacing w:val="0"/>
          <w:szCs w:val="20"/>
          <w:lang w:val="es-ES"/>
        </w:rPr>
        <w:t xml:space="preserve">y a pesar de presentar un cuadro fáctico idéntico a la solicitud de indemnización presentada por </w:t>
      </w:r>
      <w:r w:rsidR="00595444" w:rsidRPr="00B642CF">
        <w:rPr>
          <w:spacing w:val="0"/>
          <w:szCs w:val="20"/>
          <w:lang w:val="es-ES"/>
        </w:rPr>
        <w:t xml:space="preserve">su esposa, </w:t>
      </w:r>
      <w:r w:rsidR="00512D39" w:rsidRPr="00B642CF">
        <w:rPr>
          <w:spacing w:val="0"/>
          <w:szCs w:val="20"/>
          <w:lang w:val="es-ES"/>
        </w:rPr>
        <w:t xml:space="preserve">la señora Claudia Graciela Estevez, </w:t>
      </w:r>
      <w:r w:rsidR="00595444" w:rsidRPr="00B642CF">
        <w:rPr>
          <w:spacing w:val="0"/>
          <w:szCs w:val="20"/>
          <w:lang w:val="es-ES"/>
        </w:rPr>
        <w:t xml:space="preserve">el recurso de revocatoria que interpuso en sede administrativa fue infructuoso, mientras que a su esposa le fue </w:t>
      </w:r>
      <w:r w:rsidR="00512D39" w:rsidRPr="00B642CF">
        <w:rPr>
          <w:spacing w:val="0"/>
          <w:szCs w:val="20"/>
          <w:lang w:val="es-ES"/>
        </w:rPr>
        <w:t>finalmente reconocido</w:t>
      </w:r>
      <w:r w:rsidR="00627F2F" w:rsidRPr="00B642CF">
        <w:rPr>
          <w:spacing w:val="0"/>
          <w:szCs w:val="20"/>
          <w:lang w:val="es-ES"/>
        </w:rPr>
        <w:t xml:space="preserve"> en sede administrativa</w:t>
      </w:r>
      <w:r w:rsidR="00512D39" w:rsidRPr="00B642CF">
        <w:rPr>
          <w:spacing w:val="0"/>
          <w:szCs w:val="20"/>
          <w:lang w:val="es-ES"/>
        </w:rPr>
        <w:t xml:space="preserve"> el beneficio establecido por la </w:t>
      </w:r>
      <w:r w:rsidR="00595444" w:rsidRPr="00B642CF">
        <w:rPr>
          <w:spacing w:val="0"/>
          <w:szCs w:val="20"/>
          <w:lang w:val="es-ES"/>
        </w:rPr>
        <w:t>L</w:t>
      </w:r>
      <w:r w:rsidR="00512D39" w:rsidRPr="00B642CF">
        <w:rPr>
          <w:spacing w:val="0"/>
          <w:szCs w:val="20"/>
          <w:lang w:val="es-ES"/>
        </w:rPr>
        <w:t xml:space="preserve">ey </w:t>
      </w:r>
      <w:r w:rsidR="005B06BF" w:rsidRPr="00B642CF">
        <w:rPr>
          <w:spacing w:val="0"/>
          <w:szCs w:val="20"/>
          <w:lang w:val="es-ES"/>
        </w:rPr>
        <w:t xml:space="preserve">No. </w:t>
      </w:r>
      <w:r w:rsidR="00512D39" w:rsidRPr="00B642CF">
        <w:rPr>
          <w:spacing w:val="0"/>
          <w:szCs w:val="20"/>
          <w:lang w:val="es-ES"/>
        </w:rPr>
        <w:t>24</w:t>
      </w:r>
      <w:r w:rsidR="00595444" w:rsidRPr="00B642CF">
        <w:rPr>
          <w:spacing w:val="0"/>
          <w:szCs w:val="20"/>
          <w:lang w:val="es-ES"/>
        </w:rPr>
        <w:t>.</w:t>
      </w:r>
      <w:r w:rsidR="00512D39" w:rsidRPr="00B642CF">
        <w:rPr>
          <w:spacing w:val="0"/>
          <w:szCs w:val="20"/>
          <w:lang w:val="es-ES"/>
        </w:rPr>
        <w:t xml:space="preserve">043 durante el tiempo que estuvo bajo libertad vigilada. </w:t>
      </w:r>
    </w:p>
    <w:p w14:paraId="0F4474A0" w14:textId="77777777" w:rsidR="00AF465C" w:rsidRPr="00B642CF" w:rsidRDefault="00AF465C" w:rsidP="00932E8C">
      <w:pPr>
        <w:pStyle w:val="PrrafodeSentencia"/>
        <w:numPr>
          <w:ilvl w:val="0"/>
          <w:numId w:val="0"/>
        </w:numPr>
        <w:rPr>
          <w:spacing w:val="0"/>
          <w:lang w:val="es-ES"/>
        </w:rPr>
      </w:pPr>
    </w:p>
    <w:p w14:paraId="4A145E9D" w14:textId="77390169" w:rsidR="00090315" w:rsidRPr="00B642CF" w:rsidRDefault="00447CBD" w:rsidP="00486EC8">
      <w:pPr>
        <w:pStyle w:val="PrrafodeSentencia"/>
        <w:rPr>
          <w:spacing w:val="0"/>
          <w:szCs w:val="20"/>
          <w:lang w:val="es-ES"/>
        </w:rPr>
      </w:pPr>
      <w:r w:rsidRPr="00B642CF">
        <w:rPr>
          <w:spacing w:val="0"/>
          <w:szCs w:val="20"/>
          <w:lang w:val="es-ES"/>
        </w:rPr>
        <w:t>Tanto la Comisión como la representante</w:t>
      </w:r>
      <w:r w:rsidR="006D3529" w:rsidRPr="00B642CF">
        <w:rPr>
          <w:spacing w:val="0"/>
          <w:szCs w:val="20"/>
          <w:lang w:val="es-ES"/>
        </w:rPr>
        <w:t xml:space="preserve"> han solicitado que se ordene </w:t>
      </w:r>
      <w:r w:rsidRPr="00B642CF">
        <w:rPr>
          <w:spacing w:val="0"/>
          <w:szCs w:val="20"/>
          <w:lang w:val="es-ES"/>
        </w:rPr>
        <w:t>a</w:t>
      </w:r>
      <w:r w:rsidR="006D3529" w:rsidRPr="00B642CF">
        <w:rPr>
          <w:spacing w:val="0"/>
          <w:szCs w:val="20"/>
          <w:lang w:val="es-ES"/>
        </w:rPr>
        <w:t>l</w:t>
      </w:r>
      <w:r w:rsidRPr="00B642CF">
        <w:rPr>
          <w:spacing w:val="0"/>
          <w:szCs w:val="20"/>
          <w:lang w:val="es-ES"/>
        </w:rPr>
        <w:t xml:space="preserve"> Estado</w:t>
      </w:r>
      <w:r w:rsidR="006D3529" w:rsidRPr="00B642CF">
        <w:rPr>
          <w:spacing w:val="0"/>
          <w:szCs w:val="20"/>
          <w:lang w:val="es-ES"/>
        </w:rPr>
        <w:t>, como medida de restitución,</w:t>
      </w:r>
      <w:r w:rsidRPr="00B642CF">
        <w:rPr>
          <w:spacing w:val="0"/>
          <w:szCs w:val="20"/>
          <w:lang w:val="es-ES"/>
        </w:rPr>
        <w:t xml:space="preserve"> </w:t>
      </w:r>
      <w:r w:rsidR="006D3529" w:rsidRPr="00B642CF">
        <w:rPr>
          <w:spacing w:val="0"/>
          <w:szCs w:val="20"/>
          <w:lang w:val="es-ES"/>
        </w:rPr>
        <w:t xml:space="preserve">poner a disposición del señor </w:t>
      </w:r>
      <w:r w:rsidR="00A86DCD" w:rsidRPr="00B642CF">
        <w:rPr>
          <w:spacing w:val="0"/>
          <w:szCs w:val="20"/>
          <w:lang w:val="es-ES"/>
        </w:rPr>
        <w:t>Almeida</w:t>
      </w:r>
      <w:r w:rsidR="006D3529" w:rsidRPr="00B642CF">
        <w:rPr>
          <w:spacing w:val="0"/>
          <w:szCs w:val="20"/>
          <w:lang w:val="es-ES"/>
        </w:rPr>
        <w:t xml:space="preserve"> </w:t>
      </w:r>
      <w:r w:rsidRPr="00B642CF">
        <w:rPr>
          <w:spacing w:val="0"/>
          <w:szCs w:val="20"/>
          <w:lang w:val="es-ES"/>
        </w:rPr>
        <w:t>un mecanismo idóneo a fin de que se reconsidere su solicitud de indemnización. N</w:t>
      </w:r>
      <w:r w:rsidR="00467295" w:rsidRPr="00B642CF">
        <w:rPr>
          <w:spacing w:val="0"/>
          <w:szCs w:val="20"/>
          <w:lang w:val="es-ES"/>
        </w:rPr>
        <w:t xml:space="preserve">o obstante, tomando en consideración </w:t>
      </w:r>
      <w:r w:rsidR="006D3529" w:rsidRPr="00B642CF">
        <w:rPr>
          <w:spacing w:val="0"/>
          <w:szCs w:val="20"/>
          <w:lang w:val="es-ES"/>
        </w:rPr>
        <w:t xml:space="preserve">que ya han transcurrido más de </w:t>
      </w:r>
      <w:r w:rsidR="00467295" w:rsidRPr="00B642CF">
        <w:rPr>
          <w:spacing w:val="0"/>
          <w:szCs w:val="20"/>
          <w:lang w:val="es-ES"/>
        </w:rPr>
        <w:t xml:space="preserve">25 años </w:t>
      </w:r>
      <w:r w:rsidR="006D3529" w:rsidRPr="00B642CF">
        <w:rPr>
          <w:spacing w:val="0"/>
          <w:szCs w:val="20"/>
          <w:lang w:val="es-ES"/>
        </w:rPr>
        <w:t>desde que el señor Almeida pre</w:t>
      </w:r>
      <w:r w:rsidR="00D405E6">
        <w:rPr>
          <w:spacing w:val="0"/>
          <w:szCs w:val="20"/>
          <w:lang w:val="es-ES"/>
        </w:rPr>
        <w:t>sentó su reclamación inicial, y</w:t>
      </w:r>
      <w:r w:rsidR="00467295" w:rsidRPr="00B642CF">
        <w:rPr>
          <w:spacing w:val="0"/>
          <w:szCs w:val="20"/>
          <w:lang w:val="es-ES"/>
        </w:rPr>
        <w:t xml:space="preserve"> que la víctima </w:t>
      </w:r>
      <w:r w:rsidR="008418AB" w:rsidRPr="00B642CF">
        <w:rPr>
          <w:spacing w:val="0"/>
          <w:szCs w:val="20"/>
          <w:lang w:val="es-ES"/>
        </w:rPr>
        <w:t xml:space="preserve">ha intentado diversas vías administrativas y judiciales para </w:t>
      </w:r>
      <w:r w:rsidR="00467295" w:rsidRPr="00B642CF">
        <w:rPr>
          <w:spacing w:val="0"/>
          <w:szCs w:val="20"/>
          <w:lang w:val="es-ES"/>
        </w:rPr>
        <w:t xml:space="preserve">que su </w:t>
      </w:r>
      <w:r w:rsidR="006D3529" w:rsidRPr="00B642CF">
        <w:rPr>
          <w:spacing w:val="0"/>
          <w:szCs w:val="20"/>
          <w:lang w:val="es-ES"/>
        </w:rPr>
        <w:t xml:space="preserve">solicitud </w:t>
      </w:r>
      <w:r w:rsidR="00467295" w:rsidRPr="00B642CF">
        <w:rPr>
          <w:spacing w:val="0"/>
          <w:szCs w:val="20"/>
          <w:lang w:val="es-ES"/>
        </w:rPr>
        <w:t xml:space="preserve">de indemnización </w:t>
      </w:r>
      <w:r w:rsidR="006D3529" w:rsidRPr="00B642CF">
        <w:rPr>
          <w:spacing w:val="0"/>
          <w:szCs w:val="20"/>
          <w:lang w:val="es-ES"/>
        </w:rPr>
        <w:t xml:space="preserve">sea reconsiderada, </w:t>
      </w:r>
      <w:r w:rsidR="00467295" w:rsidRPr="00B642CF">
        <w:rPr>
          <w:spacing w:val="0"/>
          <w:szCs w:val="20"/>
          <w:lang w:val="es-ES"/>
        </w:rPr>
        <w:t xml:space="preserve">la Corte </w:t>
      </w:r>
      <w:r w:rsidR="00486EC8" w:rsidRPr="00B642CF">
        <w:rPr>
          <w:spacing w:val="0"/>
          <w:szCs w:val="20"/>
          <w:lang w:val="es-ES"/>
        </w:rPr>
        <w:t>ordena al Estado que</w:t>
      </w:r>
      <w:r w:rsidR="006D3529" w:rsidRPr="00B642CF">
        <w:rPr>
          <w:spacing w:val="0"/>
          <w:szCs w:val="20"/>
          <w:lang w:val="es-ES"/>
        </w:rPr>
        <w:t xml:space="preserve"> </w:t>
      </w:r>
      <w:r w:rsidR="003B74B8" w:rsidRPr="00B642CF">
        <w:rPr>
          <w:bCs/>
          <w:spacing w:val="0"/>
          <w:szCs w:val="20"/>
          <w:lang w:val="es-ES"/>
        </w:rPr>
        <w:t>pague al señor Rufino Jorge Almeida</w:t>
      </w:r>
      <w:r w:rsidR="007006AC" w:rsidRPr="00B642CF">
        <w:rPr>
          <w:bCs/>
          <w:spacing w:val="0"/>
          <w:szCs w:val="20"/>
          <w:lang w:val="es-ES"/>
        </w:rPr>
        <w:t>, en equidad,</w:t>
      </w:r>
      <w:r w:rsidR="003B74B8" w:rsidRPr="00B642CF">
        <w:rPr>
          <w:bCs/>
          <w:spacing w:val="0"/>
          <w:szCs w:val="20"/>
          <w:lang w:val="es-ES"/>
        </w:rPr>
        <w:t xml:space="preserve"> la suma de US</w:t>
      </w:r>
      <w:r w:rsidR="002848DF">
        <w:rPr>
          <w:bCs/>
          <w:spacing w:val="0"/>
          <w:szCs w:val="20"/>
          <w:lang w:val="es-ES"/>
        </w:rPr>
        <w:t>D</w:t>
      </w:r>
      <w:r w:rsidR="003B74B8" w:rsidRPr="00B642CF">
        <w:rPr>
          <w:bCs/>
          <w:spacing w:val="0"/>
          <w:szCs w:val="20"/>
          <w:lang w:val="es-ES"/>
        </w:rPr>
        <w:t>$</w:t>
      </w:r>
      <w:r w:rsidR="002848DF">
        <w:rPr>
          <w:bCs/>
          <w:spacing w:val="0"/>
          <w:szCs w:val="20"/>
          <w:lang w:val="es-ES"/>
        </w:rPr>
        <w:t xml:space="preserve"> </w:t>
      </w:r>
      <w:r w:rsidR="003B74B8" w:rsidRPr="00B642CF">
        <w:rPr>
          <w:bCs/>
          <w:spacing w:val="0"/>
          <w:szCs w:val="20"/>
          <w:lang w:val="es-ES"/>
        </w:rPr>
        <w:t>125</w:t>
      </w:r>
      <w:r w:rsidR="006D3529" w:rsidRPr="00B642CF">
        <w:rPr>
          <w:bCs/>
          <w:spacing w:val="0"/>
          <w:szCs w:val="20"/>
          <w:lang w:val="es-ES"/>
        </w:rPr>
        <w:t>.</w:t>
      </w:r>
      <w:r w:rsidR="003B74B8" w:rsidRPr="00B642CF">
        <w:rPr>
          <w:bCs/>
          <w:spacing w:val="0"/>
          <w:szCs w:val="20"/>
          <w:lang w:val="es-ES"/>
        </w:rPr>
        <w:t>000</w:t>
      </w:r>
      <w:r w:rsidR="00A132F4">
        <w:rPr>
          <w:bCs/>
          <w:spacing w:val="0"/>
          <w:szCs w:val="20"/>
          <w:lang w:val="es-ES"/>
        </w:rPr>
        <w:t>,00</w:t>
      </w:r>
      <w:r w:rsidR="003B74B8" w:rsidRPr="00B642CF">
        <w:rPr>
          <w:bCs/>
          <w:spacing w:val="0"/>
          <w:szCs w:val="20"/>
          <w:lang w:val="es-ES"/>
        </w:rPr>
        <w:t xml:space="preserve"> </w:t>
      </w:r>
      <w:r w:rsidR="00A132F4">
        <w:rPr>
          <w:bCs/>
          <w:spacing w:val="0"/>
          <w:szCs w:val="20"/>
          <w:lang w:val="es-ES"/>
        </w:rPr>
        <w:t xml:space="preserve">(ciento veinticinco mil </w:t>
      </w:r>
      <w:r w:rsidR="003B74B8" w:rsidRPr="00B642CF">
        <w:rPr>
          <w:bCs/>
          <w:spacing w:val="0"/>
          <w:szCs w:val="20"/>
          <w:lang w:val="es-ES"/>
        </w:rPr>
        <w:t>dólares</w:t>
      </w:r>
      <w:r w:rsidR="00A132F4">
        <w:rPr>
          <w:bCs/>
          <w:spacing w:val="0"/>
          <w:szCs w:val="20"/>
          <w:lang w:val="es-ES"/>
        </w:rPr>
        <w:t xml:space="preserve"> de los Estados Unidos de América)</w:t>
      </w:r>
      <w:r w:rsidR="007006AC" w:rsidRPr="00B642CF">
        <w:rPr>
          <w:rStyle w:val="Refdenotaalpie"/>
          <w:bCs/>
          <w:spacing w:val="0"/>
          <w:lang w:val="es-ES"/>
        </w:rPr>
        <w:footnoteReference w:id="63"/>
      </w:r>
      <w:r w:rsidR="003B74B8" w:rsidRPr="00B642CF">
        <w:rPr>
          <w:bCs/>
          <w:spacing w:val="0"/>
          <w:szCs w:val="20"/>
          <w:lang w:val="es-ES"/>
        </w:rPr>
        <w:t xml:space="preserve"> por concepto de indemnización </w:t>
      </w:r>
      <w:r w:rsidR="00467295" w:rsidRPr="00B642CF">
        <w:rPr>
          <w:bCs/>
          <w:spacing w:val="0"/>
          <w:szCs w:val="20"/>
          <w:lang w:val="es-ES"/>
        </w:rPr>
        <w:t xml:space="preserve">por </w:t>
      </w:r>
      <w:r w:rsidR="003B74B8" w:rsidRPr="00B642CF">
        <w:rPr>
          <w:bCs/>
          <w:spacing w:val="0"/>
          <w:szCs w:val="20"/>
          <w:lang w:val="es-ES"/>
        </w:rPr>
        <w:t xml:space="preserve">el tiempo que permaneció en un régimen de libertad vigilada </w:t>
      </w:r>
      <w:r w:rsidR="003B74B8" w:rsidRPr="00B642CF">
        <w:rPr>
          <w:bCs/>
          <w:i/>
          <w:iCs/>
          <w:spacing w:val="0"/>
          <w:szCs w:val="20"/>
          <w:lang w:val="es-ES"/>
        </w:rPr>
        <w:t>de facto.</w:t>
      </w:r>
      <w:r w:rsidR="00486EC8" w:rsidRPr="00B642CF">
        <w:rPr>
          <w:spacing w:val="0"/>
          <w:szCs w:val="20"/>
          <w:lang w:val="es-ES"/>
        </w:rPr>
        <w:t xml:space="preserve"> </w:t>
      </w:r>
    </w:p>
    <w:p w14:paraId="7E22B49C" w14:textId="1283758E" w:rsidR="00387D8C" w:rsidRPr="00B642CF" w:rsidRDefault="00387D8C" w:rsidP="00387D8C">
      <w:pPr>
        <w:rPr>
          <w:lang w:val="es-ES" w:eastAsia="es-MX"/>
        </w:rPr>
      </w:pPr>
    </w:p>
    <w:p w14:paraId="1477C76D" w14:textId="500E5BD7" w:rsidR="00705991" w:rsidRPr="00B642CF" w:rsidRDefault="00B642CF" w:rsidP="00B642CF">
      <w:pPr>
        <w:pStyle w:val="Ttulo2"/>
        <w:numPr>
          <w:ilvl w:val="0"/>
          <w:numId w:val="0"/>
        </w:numPr>
        <w:spacing w:before="0" w:after="0"/>
        <w:ind w:left="1134" w:hanging="567"/>
      </w:pPr>
      <w:bookmarkStart w:id="185" w:name="_Toc59089830"/>
      <w:r>
        <w:t xml:space="preserve">C. </w:t>
      </w:r>
      <w:r w:rsidR="00705991" w:rsidRPr="00B642CF">
        <w:t>Medidas de satisfacción</w:t>
      </w:r>
      <w:bookmarkEnd w:id="185"/>
      <w:r w:rsidR="00705991" w:rsidRPr="00B642CF">
        <w:t xml:space="preserve"> </w:t>
      </w:r>
    </w:p>
    <w:p w14:paraId="522A52B9" w14:textId="77777777" w:rsidR="003B4E3B" w:rsidRPr="00B642CF" w:rsidRDefault="003B4E3B" w:rsidP="003B4E3B">
      <w:pPr>
        <w:rPr>
          <w:lang w:val="es-CR"/>
        </w:rPr>
      </w:pPr>
    </w:p>
    <w:p w14:paraId="3CB470E7" w14:textId="0C882E48" w:rsidR="003B4E3B" w:rsidRPr="00B642CF" w:rsidRDefault="003B4E3B" w:rsidP="003B4E3B">
      <w:pPr>
        <w:pStyle w:val="PrrafodeSentencia"/>
        <w:spacing w:before="120" w:after="120"/>
        <w:rPr>
          <w:spacing w:val="0"/>
        </w:rPr>
      </w:pPr>
      <w:r w:rsidRPr="00B642CF">
        <w:rPr>
          <w:spacing w:val="0"/>
        </w:rPr>
        <w:t xml:space="preserve">Ni la </w:t>
      </w:r>
      <w:r w:rsidRPr="00B642CF">
        <w:rPr>
          <w:b/>
          <w:i/>
          <w:spacing w:val="0"/>
        </w:rPr>
        <w:t>Comisión</w:t>
      </w:r>
      <w:r w:rsidR="005B6735" w:rsidRPr="00B642CF">
        <w:rPr>
          <w:spacing w:val="0"/>
        </w:rPr>
        <w:t xml:space="preserve"> ni la</w:t>
      </w:r>
      <w:r w:rsidRPr="00B642CF">
        <w:rPr>
          <w:spacing w:val="0"/>
        </w:rPr>
        <w:t xml:space="preserve"> </w:t>
      </w:r>
      <w:r w:rsidR="005B6735" w:rsidRPr="00B642CF">
        <w:rPr>
          <w:b/>
          <w:i/>
          <w:spacing w:val="0"/>
        </w:rPr>
        <w:t>representante</w:t>
      </w:r>
      <w:r w:rsidRPr="00B642CF">
        <w:rPr>
          <w:b/>
          <w:i/>
          <w:spacing w:val="0"/>
        </w:rPr>
        <w:t xml:space="preserve"> </w:t>
      </w:r>
      <w:r w:rsidRPr="00B642CF">
        <w:rPr>
          <w:spacing w:val="0"/>
        </w:rPr>
        <w:t>presentaron recomendaciones o argumentos específicos sobre este punto.</w:t>
      </w:r>
    </w:p>
    <w:p w14:paraId="715C24C2" w14:textId="77777777" w:rsidR="003B4E3B" w:rsidRPr="00B642CF" w:rsidRDefault="003B4E3B" w:rsidP="003B4E3B">
      <w:pPr>
        <w:pStyle w:val="PrrafodeSentencia"/>
        <w:spacing w:before="120" w:after="120"/>
        <w:rPr>
          <w:spacing w:val="0"/>
        </w:rPr>
      </w:pPr>
      <w:r w:rsidRPr="00B642CF">
        <w:rPr>
          <w:spacing w:val="0"/>
        </w:rPr>
        <w:t xml:space="preserve">El </w:t>
      </w:r>
      <w:r w:rsidRPr="00B642CF">
        <w:rPr>
          <w:b/>
          <w:i/>
          <w:spacing w:val="0"/>
        </w:rPr>
        <w:t>Estado</w:t>
      </w:r>
      <w:r w:rsidRPr="00B642CF">
        <w:rPr>
          <w:spacing w:val="0"/>
        </w:rPr>
        <w:t xml:space="preserve"> no presentó alegatos específicos sobre este punto.</w:t>
      </w:r>
    </w:p>
    <w:p w14:paraId="0307D2BE" w14:textId="05B47870" w:rsidR="009D6DEE" w:rsidRPr="00B642CF" w:rsidRDefault="003B4E3B" w:rsidP="009D6DEE">
      <w:pPr>
        <w:pStyle w:val="PrrafodeSentencia"/>
        <w:spacing w:before="120" w:after="120"/>
        <w:rPr>
          <w:rFonts w:eastAsiaTheme="minorHAnsi" w:cs="Verdana"/>
          <w:spacing w:val="0"/>
          <w:lang w:eastAsia="en-US"/>
        </w:rPr>
      </w:pPr>
      <w:r w:rsidRPr="00B642CF">
        <w:rPr>
          <w:spacing w:val="0"/>
          <w:lang w:bidi="en-US"/>
        </w:rPr>
        <w:t xml:space="preserve">La </w:t>
      </w:r>
      <w:r w:rsidRPr="00B642CF">
        <w:rPr>
          <w:b/>
          <w:i/>
          <w:spacing w:val="0"/>
          <w:lang w:bidi="en-US"/>
        </w:rPr>
        <w:t>Corte</w:t>
      </w:r>
      <w:r w:rsidRPr="00B642CF">
        <w:rPr>
          <w:spacing w:val="0"/>
          <w:lang w:bidi="en-US"/>
        </w:rPr>
        <w:t xml:space="preserve"> estima, como lo ha dispuesto en otros casos</w:t>
      </w:r>
      <w:r w:rsidRPr="00B642CF">
        <w:rPr>
          <w:rStyle w:val="Refdenotaalpie"/>
          <w:rFonts w:eastAsia="MS Mincho"/>
          <w:spacing w:val="0"/>
          <w:lang w:bidi="en-US"/>
        </w:rPr>
        <w:footnoteReference w:id="64"/>
      </w:r>
      <w:r w:rsidRPr="00B642CF">
        <w:rPr>
          <w:spacing w:val="0"/>
          <w:lang w:bidi="en-US"/>
        </w:rPr>
        <w:t xml:space="preserve">, que el Estado debe publicar, en el plazo de seis meses, contado a partir de la notificación de la presente Sentencia: a) el resumen oficial de la presente Sentencia elaborado por la Corte, por una sola vez, en el Diario Oficial en un tamaño de letra legible y </w:t>
      </w:r>
      <w:r w:rsidRPr="00B642CF">
        <w:rPr>
          <w:spacing w:val="0"/>
        </w:rPr>
        <w:t>adecuado</w:t>
      </w:r>
      <w:r w:rsidRPr="00B642CF">
        <w:rPr>
          <w:spacing w:val="0"/>
          <w:lang w:bidi="en-US"/>
        </w:rPr>
        <w:t xml:space="preserve"> y b) la presente Sentencia en su integridad, disponible por un período de un año, en un sitio </w:t>
      </w:r>
      <w:r w:rsidRPr="00B642CF">
        <w:rPr>
          <w:i/>
          <w:spacing w:val="0"/>
          <w:lang w:bidi="en-US"/>
        </w:rPr>
        <w:t>web</w:t>
      </w:r>
      <w:r w:rsidRPr="00B642CF">
        <w:rPr>
          <w:spacing w:val="0"/>
          <w:lang w:bidi="en-US"/>
        </w:rPr>
        <w:t xml:space="preserve"> oficial del Estado.</w:t>
      </w:r>
      <w:r w:rsidRPr="00B642CF">
        <w:rPr>
          <w:i/>
          <w:spacing w:val="0"/>
          <w:lang w:bidi="en-US"/>
        </w:rPr>
        <w:t xml:space="preserve"> </w:t>
      </w:r>
      <w:r w:rsidRPr="00B642CF">
        <w:rPr>
          <w:rFonts w:eastAsiaTheme="minorHAnsi" w:cs="Verdana"/>
          <w:spacing w:val="0"/>
          <w:lang w:eastAsia="en-US"/>
        </w:rPr>
        <w:t xml:space="preserve">El Estado deberá informar de forma inmediata a este Tribunal una vez que proceda a realizar cada una </w:t>
      </w:r>
      <w:r w:rsidRPr="00B642CF">
        <w:rPr>
          <w:spacing w:val="0"/>
          <w:lang w:bidi="en-US"/>
        </w:rPr>
        <w:t>de</w:t>
      </w:r>
      <w:r w:rsidRPr="00B642CF">
        <w:rPr>
          <w:rFonts w:eastAsiaTheme="minorHAnsi" w:cs="Verdana"/>
          <w:spacing w:val="0"/>
          <w:lang w:eastAsia="en-US"/>
        </w:rPr>
        <w:t xml:space="preserve"> las publicaciones dispuestas, independientemente del plazo de un año para presentar su primer informe dispuesto en el punto resolutivo </w:t>
      </w:r>
      <w:r w:rsidR="00000AE6" w:rsidRPr="00B642CF">
        <w:rPr>
          <w:rFonts w:eastAsiaTheme="minorHAnsi" w:cs="Verdana"/>
          <w:spacing w:val="0"/>
          <w:lang w:eastAsia="en-US"/>
        </w:rPr>
        <w:t>8</w:t>
      </w:r>
      <w:r w:rsidRPr="00B642CF">
        <w:rPr>
          <w:rFonts w:eastAsiaTheme="minorHAnsi" w:cs="Verdana"/>
          <w:spacing w:val="0"/>
          <w:lang w:eastAsia="en-US"/>
        </w:rPr>
        <w:t xml:space="preserve"> de la Sentencia.</w:t>
      </w:r>
    </w:p>
    <w:p w14:paraId="777D2671" w14:textId="77777777" w:rsidR="009D6DEE" w:rsidRPr="00B642CF" w:rsidRDefault="009D6DEE" w:rsidP="009D6DEE">
      <w:pPr>
        <w:rPr>
          <w:rFonts w:eastAsiaTheme="minorHAnsi"/>
          <w:lang w:val="es-CR"/>
        </w:rPr>
      </w:pPr>
    </w:p>
    <w:p w14:paraId="189A8476" w14:textId="448641D2" w:rsidR="009D6DEE" w:rsidRPr="00B642CF" w:rsidRDefault="009D6DEE" w:rsidP="00B642CF">
      <w:pPr>
        <w:pStyle w:val="Ttulo2"/>
        <w:numPr>
          <w:ilvl w:val="0"/>
          <w:numId w:val="5"/>
        </w:numPr>
        <w:ind w:left="1134" w:hanging="567"/>
        <w:rPr>
          <w:lang w:eastAsia="es-MX"/>
        </w:rPr>
      </w:pPr>
      <w:bookmarkStart w:id="186" w:name="_Toc59089831"/>
      <w:r w:rsidRPr="00B642CF">
        <w:rPr>
          <w:lang w:eastAsia="es-MX"/>
        </w:rPr>
        <w:t>Garantías de no repetición</w:t>
      </w:r>
      <w:bookmarkEnd w:id="186"/>
    </w:p>
    <w:p w14:paraId="7AD85DAF" w14:textId="77777777" w:rsidR="009D6DEE" w:rsidRPr="00B642CF" w:rsidRDefault="009D6DEE" w:rsidP="009D6DEE">
      <w:pPr>
        <w:rPr>
          <w:lang w:val="es-ES" w:eastAsia="es-MX"/>
        </w:rPr>
      </w:pPr>
    </w:p>
    <w:p w14:paraId="598EF2F7" w14:textId="1A238C36" w:rsidR="009D6DEE" w:rsidRPr="00B642CF" w:rsidRDefault="009D6DEE" w:rsidP="009D6DEE">
      <w:pPr>
        <w:pStyle w:val="PrrafodeSentencia"/>
        <w:rPr>
          <w:spacing w:val="0"/>
          <w:szCs w:val="20"/>
          <w:lang w:val="es-ES"/>
        </w:rPr>
      </w:pPr>
      <w:r w:rsidRPr="00B642CF">
        <w:rPr>
          <w:spacing w:val="0"/>
          <w:szCs w:val="20"/>
          <w:lang w:val="es-ES"/>
        </w:rPr>
        <w:t xml:space="preserve">La </w:t>
      </w:r>
      <w:r w:rsidRPr="00B642CF">
        <w:rPr>
          <w:b/>
          <w:i/>
          <w:spacing w:val="0"/>
          <w:szCs w:val="20"/>
          <w:lang w:val="es-ES"/>
        </w:rPr>
        <w:t xml:space="preserve">representante </w:t>
      </w:r>
      <w:r w:rsidRPr="00B642CF">
        <w:rPr>
          <w:spacing w:val="0"/>
        </w:rPr>
        <w:t xml:space="preserve">solicitó </w:t>
      </w:r>
      <w:r w:rsidRPr="00B642CF">
        <w:rPr>
          <w:spacing w:val="0"/>
          <w:szCs w:val="20"/>
          <w:lang w:val="es-ES"/>
        </w:rPr>
        <w:t>al Estado disponer las medidas administrativas y legales necesarias para la reapertura de la totalidad de los casos en que se haya rechazado la reparación de víctimas del terroris</w:t>
      </w:r>
      <w:r w:rsidR="00D405E6">
        <w:rPr>
          <w:spacing w:val="0"/>
          <w:szCs w:val="20"/>
          <w:lang w:val="es-ES"/>
        </w:rPr>
        <w:t>mo de estado en el marco de la L</w:t>
      </w:r>
      <w:r w:rsidRPr="00B642CF">
        <w:rPr>
          <w:spacing w:val="0"/>
          <w:szCs w:val="20"/>
          <w:lang w:val="es-ES"/>
        </w:rPr>
        <w:t xml:space="preserve">ey </w:t>
      </w:r>
      <w:r w:rsidR="00D405E6">
        <w:rPr>
          <w:spacing w:val="0"/>
          <w:szCs w:val="20"/>
          <w:lang w:val="es-ES"/>
        </w:rPr>
        <w:t>No. 24.</w:t>
      </w:r>
      <w:r w:rsidRPr="00B642CF">
        <w:rPr>
          <w:spacing w:val="0"/>
          <w:szCs w:val="20"/>
          <w:lang w:val="es-ES"/>
        </w:rPr>
        <w:t xml:space="preserve">043, a los efectos de su nuevo tratamiento a la luz de los criterios desarrollados por la propia jurisprudencia interna, en el respeto de los derechos humanos de las víctimas del terrorismo de Estado. La </w:t>
      </w:r>
      <w:r w:rsidRPr="00B642CF">
        <w:rPr>
          <w:b/>
          <w:i/>
          <w:spacing w:val="0"/>
          <w:szCs w:val="20"/>
          <w:lang w:val="es-ES"/>
        </w:rPr>
        <w:t xml:space="preserve">Comisión </w:t>
      </w:r>
      <w:r w:rsidRPr="00B642CF">
        <w:rPr>
          <w:spacing w:val="0"/>
          <w:szCs w:val="20"/>
          <w:lang w:val="es-ES"/>
        </w:rPr>
        <w:t>no se pronunció sobre este alegato.</w:t>
      </w:r>
    </w:p>
    <w:p w14:paraId="5C0BD940" w14:textId="77777777" w:rsidR="009D6DEE" w:rsidRPr="00B642CF" w:rsidRDefault="009D6DEE" w:rsidP="009D6DEE">
      <w:pPr>
        <w:rPr>
          <w:lang w:val="es-ES" w:eastAsia="es-MX"/>
        </w:rPr>
      </w:pPr>
    </w:p>
    <w:p w14:paraId="4D9A5F31" w14:textId="09431FAD" w:rsidR="009D6DEE" w:rsidRPr="00B642CF" w:rsidRDefault="009D6DEE" w:rsidP="009D6DEE">
      <w:pPr>
        <w:pStyle w:val="PrrafodeSentencia"/>
        <w:rPr>
          <w:b/>
          <w:spacing w:val="0"/>
          <w:szCs w:val="20"/>
          <w:lang w:val="es-ES"/>
        </w:rPr>
      </w:pPr>
      <w:r w:rsidRPr="00B642CF">
        <w:rPr>
          <w:spacing w:val="0"/>
          <w:szCs w:val="20"/>
          <w:lang w:val="es-ES"/>
        </w:rPr>
        <w:t xml:space="preserve">El </w:t>
      </w:r>
      <w:r w:rsidRPr="00B642CF">
        <w:rPr>
          <w:b/>
          <w:i/>
          <w:spacing w:val="0"/>
          <w:szCs w:val="20"/>
          <w:lang w:val="es-ES"/>
        </w:rPr>
        <w:t>Estado</w:t>
      </w:r>
      <w:r w:rsidRPr="00B642CF">
        <w:rPr>
          <w:spacing w:val="0"/>
          <w:szCs w:val="20"/>
          <w:lang w:val="es-ES"/>
        </w:rPr>
        <w:t xml:space="preserve"> argumentó que las medidas de no repetición solicitadas por la representante “desconocen la excepcionalidad que caracterizar la situación del </w:t>
      </w:r>
      <w:r w:rsidR="00F07036">
        <w:rPr>
          <w:spacing w:val="0"/>
          <w:szCs w:val="20"/>
          <w:lang w:val="es-ES"/>
        </w:rPr>
        <w:t>[señor]</w:t>
      </w:r>
      <w:r w:rsidRPr="00B642CF">
        <w:rPr>
          <w:spacing w:val="0"/>
          <w:szCs w:val="20"/>
          <w:lang w:val="es-ES"/>
        </w:rPr>
        <w:t>Almeida” y recuerda que la Comisión reconoció en su Informe de fondo que la situación “en términos generales fue corregida con posterioridad mediant</w:t>
      </w:r>
      <w:r w:rsidR="0088426D" w:rsidRPr="00B642CF">
        <w:rPr>
          <w:spacing w:val="0"/>
          <w:szCs w:val="20"/>
          <w:lang w:val="es-ES"/>
        </w:rPr>
        <w:t>e […] interpretación judicial”.</w:t>
      </w:r>
    </w:p>
    <w:p w14:paraId="3642A6B4" w14:textId="77777777" w:rsidR="009D6DEE" w:rsidRPr="00B642CF" w:rsidRDefault="009D6DEE" w:rsidP="009D6DEE">
      <w:pPr>
        <w:rPr>
          <w:lang w:val="es-ES" w:eastAsia="es-MX"/>
        </w:rPr>
      </w:pPr>
    </w:p>
    <w:p w14:paraId="7398E675" w14:textId="495E9090" w:rsidR="009D6DEE" w:rsidRPr="00B642CF" w:rsidRDefault="009D6DEE" w:rsidP="009D6DEE">
      <w:pPr>
        <w:pStyle w:val="PrrafodeSentencia"/>
        <w:rPr>
          <w:spacing w:val="0"/>
        </w:rPr>
      </w:pPr>
      <w:r w:rsidRPr="00B642CF">
        <w:rPr>
          <w:spacing w:val="0"/>
        </w:rPr>
        <w:t xml:space="preserve">La Corte observa que existe la posibilidad que otras personas pudieran encontrarse en el mismo supuesto fáctico del señor Almeida. En ese sentido, como garantía de no repetición, se ordena al Estado que, </w:t>
      </w:r>
      <w:r w:rsidRPr="00B642CF">
        <w:rPr>
          <w:bCs/>
          <w:spacing w:val="0"/>
        </w:rPr>
        <w:t xml:space="preserve">en sede administrativa, revise la situación de las personas que así lo soliciten y se encuentren en la misma situación fáctica del señor Almeida, a la luz de los criterios jurisprudenciales desarrollados a partir de los casos </w:t>
      </w:r>
      <w:r w:rsidRPr="00B642CF">
        <w:rPr>
          <w:bCs/>
          <w:i/>
          <w:spacing w:val="0"/>
        </w:rPr>
        <w:t>Noro</w:t>
      </w:r>
      <w:r w:rsidRPr="00B642CF">
        <w:rPr>
          <w:bCs/>
          <w:spacing w:val="0"/>
        </w:rPr>
        <w:t xml:space="preserve"> y </w:t>
      </w:r>
      <w:r w:rsidRPr="00B642CF">
        <w:rPr>
          <w:bCs/>
          <w:i/>
          <w:spacing w:val="0"/>
        </w:rPr>
        <w:t>Robasto</w:t>
      </w:r>
      <w:r w:rsidRPr="00B642CF">
        <w:rPr>
          <w:bCs/>
          <w:spacing w:val="0"/>
        </w:rPr>
        <w:t xml:space="preserve">. </w:t>
      </w:r>
      <w:r w:rsidRPr="00B642CF">
        <w:rPr>
          <w:spacing w:val="0"/>
        </w:rPr>
        <w:t xml:space="preserve">Para ello, el Estado deberá dar publicidad a esta medida para hacerla del conocimiento de las personas potencialmente interesadas. De esta forma, deberá mantener publicado, por un período de tres meses y de manera visible, un aviso en las páginas oficiales de internet de los órganos estatales que considere pertinentes, </w:t>
      </w:r>
      <w:r w:rsidRPr="00B642CF">
        <w:rPr>
          <w:bCs/>
          <w:spacing w:val="0"/>
        </w:rPr>
        <w:t>en particular la página de la Secretaría de Derechos Humanos del Ministerio de Justicia y Derechos Humanos. Asimismo, deberá notificar a las principales organizaciones no gubernamentales de derechos humanos</w:t>
      </w:r>
      <w:r w:rsidRPr="00B642CF">
        <w:rPr>
          <w:spacing w:val="0"/>
        </w:rPr>
        <w:t xml:space="preserve">. Las personas interesadas deberán presentar sus solicitudes de indemnización en un plazo de doce meses, plazo que empezará a correr cuando concluyan los tres meses desde la difusión de dicho aviso. </w:t>
      </w:r>
      <w:r w:rsidRPr="00B642CF">
        <w:rPr>
          <w:bCs/>
          <w:spacing w:val="0"/>
        </w:rPr>
        <w:t>El Estado está obligado a observar sus obligaciones internacionales en materia de igualdad ante la ley, no siendo oponible la situación de cosa juzgada a las reclamaciones presentadas y debe permitir a los interesados presentar toda la información necesaria para acreditar sus reclamos.</w:t>
      </w:r>
    </w:p>
    <w:p w14:paraId="2DCC6AFC" w14:textId="77777777" w:rsidR="00B57DA3" w:rsidRPr="00B642CF" w:rsidRDefault="00B57DA3" w:rsidP="00B57DA3">
      <w:pPr>
        <w:rPr>
          <w:lang w:val="es-CR" w:eastAsia="es-MX"/>
        </w:rPr>
      </w:pPr>
    </w:p>
    <w:p w14:paraId="16311B6B" w14:textId="35E60DAA" w:rsidR="00705991" w:rsidRPr="00B642CF" w:rsidRDefault="00705991" w:rsidP="00B642CF">
      <w:pPr>
        <w:pStyle w:val="Ttulo2"/>
        <w:numPr>
          <w:ilvl w:val="0"/>
          <w:numId w:val="5"/>
        </w:numPr>
        <w:spacing w:before="0" w:after="0"/>
        <w:ind w:left="1134" w:hanging="567"/>
      </w:pPr>
      <w:bookmarkStart w:id="187" w:name="_Toc59089832"/>
      <w:r w:rsidRPr="00B642CF">
        <w:t>Otras medidas solicitadas</w:t>
      </w:r>
      <w:bookmarkEnd w:id="187"/>
    </w:p>
    <w:p w14:paraId="74F5917D" w14:textId="77777777" w:rsidR="003D463C" w:rsidRPr="00B642CF" w:rsidRDefault="003D463C" w:rsidP="003D463C">
      <w:pPr>
        <w:rPr>
          <w:lang w:val="es-CR"/>
        </w:rPr>
      </w:pPr>
    </w:p>
    <w:p w14:paraId="0BDB5C67" w14:textId="2733EFB9" w:rsidR="003D463C" w:rsidRPr="00B642CF" w:rsidRDefault="003D463C" w:rsidP="003D463C">
      <w:pPr>
        <w:pStyle w:val="PrrafodeSentencia"/>
        <w:rPr>
          <w:spacing w:val="0"/>
        </w:rPr>
      </w:pPr>
      <w:r w:rsidRPr="00B642CF">
        <w:rPr>
          <w:spacing w:val="0"/>
        </w:rPr>
        <w:t>En el apartad</w:t>
      </w:r>
      <w:r w:rsidR="005B6735" w:rsidRPr="00B642CF">
        <w:rPr>
          <w:spacing w:val="0"/>
        </w:rPr>
        <w:t>o de medidas no pecuniarias, la</w:t>
      </w:r>
      <w:r w:rsidRPr="00B642CF">
        <w:rPr>
          <w:spacing w:val="0"/>
        </w:rPr>
        <w:t xml:space="preserve"> </w:t>
      </w:r>
      <w:r w:rsidRPr="00B642CF">
        <w:rPr>
          <w:b/>
          <w:i/>
          <w:spacing w:val="0"/>
        </w:rPr>
        <w:t>representante</w:t>
      </w:r>
      <w:r w:rsidRPr="00B642CF">
        <w:rPr>
          <w:b/>
          <w:spacing w:val="0"/>
        </w:rPr>
        <w:t xml:space="preserve"> </w:t>
      </w:r>
      <w:r w:rsidR="005B6735" w:rsidRPr="00B642CF">
        <w:rPr>
          <w:spacing w:val="0"/>
        </w:rPr>
        <w:t>solicitó</w:t>
      </w:r>
      <w:r w:rsidRPr="00B642CF">
        <w:rPr>
          <w:spacing w:val="0"/>
        </w:rPr>
        <w:t xml:space="preserve"> las siguientes medidas:</w:t>
      </w:r>
    </w:p>
    <w:p w14:paraId="30928FC6" w14:textId="1FFD21A2" w:rsidR="00C966D8" w:rsidRPr="00B642CF" w:rsidRDefault="00C966D8" w:rsidP="003D463C">
      <w:pPr>
        <w:ind w:left="567" w:right="567"/>
        <w:rPr>
          <w:sz w:val="18"/>
          <w:szCs w:val="18"/>
          <w:lang w:val="es-ES" w:eastAsia="es-MX"/>
        </w:rPr>
      </w:pPr>
    </w:p>
    <w:p w14:paraId="4D000903" w14:textId="45F71ED7" w:rsidR="00C966D8" w:rsidRPr="00B642CF" w:rsidRDefault="00C966D8" w:rsidP="003D463C">
      <w:pPr>
        <w:ind w:left="567" w:right="567"/>
        <w:rPr>
          <w:sz w:val="18"/>
          <w:szCs w:val="18"/>
          <w:lang w:val="es-ES" w:eastAsia="es-MX"/>
        </w:rPr>
      </w:pPr>
      <w:r w:rsidRPr="00B642CF">
        <w:rPr>
          <w:sz w:val="18"/>
          <w:szCs w:val="18"/>
          <w:lang w:val="es-ES" w:eastAsia="es-MX"/>
        </w:rPr>
        <w:t>Que el Estado Argentino actualice la gestión administrativa del Ministerio de Justicia y Derechos Humanos en lo que se refiere a la aplicación de las políticas reparatorias garantizando la implementación de un mecanismo idóneo, efectivo y expedito para el tratamiento y la resolución del presente caso en especial, y de las restantes solicitudes de reparación aún pendientes de resolución o que en el futuro se inicien.</w:t>
      </w:r>
    </w:p>
    <w:p w14:paraId="34670AC1" w14:textId="6731F88C" w:rsidR="00C966D8" w:rsidRPr="00B642CF" w:rsidRDefault="00C966D8" w:rsidP="003D463C">
      <w:pPr>
        <w:ind w:left="567" w:right="567"/>
        <w:rPr>
          <w:sz w:val="18"/>
          <w:szCs w:val="18"/>
          <w:lang w:val="es-ES" w:eastAsia="es-MX"/>
        </w:rPr>
      </w:pPr>
      <w:r w:rsidRPr="00B642CF">
        <w:rPr>
          <w:sz w:val="18"/>
          <w:szCs w:val="18"/>
          <w:lang w:val="es-ES" w:eastAsia="es-MX"/>
        </w:rPr>
        <w:t>[…]</w:t>
      </w:r>
    </w:p>
    <w:p w14:paraId="797495C9" w14:textId="7D141550" w:rsidR="003D463C" w:rsidRPr="00B642CF" w:rsidRDefault="003D463C" w:rsidP="003D463C">
      <w:pPr>
        <w:ind w:left="567" w:right="567"/>
        <w:rPr>
          <w:sz w:val="18"/>
          <w:szCs w:val="18"/>
          <w:lang w:val="es-ES" w:eastAsia="es-MX"/>
        </w:rPr>
      </w:pPr>
      <w:r w:rsidRPr="00B642CF">
        <w:rPr>
          <w:sz w:val="18"/>
          <w:szCs w:val="18"/>
          <w:lang w:val="es-ES" w:eastAsia="es-MX"/>
        </w:rPr>
        <w:t>[que] el Estado deberá instruir en forma específica a los cuerpos de abogados, jueces, funcionarios del poder judicial y personal involucrado en el tratamiento de los pedidos d</w:t>
      </w:r>
      <w:r w:rsidR="00D72B7F" w:rsidRPr="00B642CF">
        <w:rPr>
          <w:sz w:val="18"/>
          <w:szCs w:val="18"/>
          <w:lang w:val="es-ES" w:eastAsia="es-MX"/>
        </w:rPr>
        <w:t>e</w:t>
      </w:r>
      <w:r w:rsidRPr="00B642CF">
        <w:rPr>
          <w:sz w:val="18"/>
          <w:szCs w:val="18"/>
          <w:lang w:val="es-ES" w:eastAsia="es-MX"/>
        </w:rPr>
        <w:t xml:space="preserve"> reparación, para que se unifique y adecue el criterio de valoración de los testimonios de las víctimas de los delitos de lesa humanidad y demás prueba que se produzca en cada caso concreto, a los criterios de la CIDH y la Corte Interamericana de Derechos Humanos.</w:t>
      </w:r>
    </w:p>
    <w:p w14:paraId="06829880" w14:textId="296B7A70" w:rsidR="00C966D8" w:rsidRPr="00B642CF" w:rsidRDefault="00C966D8" w:rsidP="003D463C">
      <w:pPr>
        <w:ind w:left="567" w:right="567"/>
        <w:rPr>
          <w:sz w:val="18"/>
          <w:szCs w:val="18"/>
          <w:lang w:val="es-ES" w:eastAsia="es-MX"/>
        </w:rPr>
      </w:pPr>
      <w:r w:rsidRPr="00B642CF">
        <w:rPr>
          <w:sz w:val="18"/>
          <w:szCs w:val="18"/>
          <w:lang w:val="es-ES" w:eastAsia="es-MX"/>
        </w:rPr>
        <w:t>Deberá por ende instruir a los referidos para que tomen en especial consideración la denuncia de los hechos realizada por la propia víctima como prueba de especial relevancia, cuando por el contexto de clandestinidad e ilegalidad en que ocurrieron los hechos no puede requerirse prueba documental o testimonial complementaria.</w:t>
      </w:r>
    </w:p>
    <w:p w14:paraId="1B44F0A2" w14:textId="67A46A42" w:rsidR="00C966D8" w:rsidRPr="00B642CF" w:rsidRDefault="00C966D8" w:rsidP="003D463C">
      <w:pPr>
        <w:ind w:left="567" w:right="567"/>
        <w:rPr>
          <w:sz w:val="18"/>
          <w:szCs w:val="18"/>
          <w:lang w:val="es-ES" w:eastAsia="es-MX"/>
        </w:rPr>
      </w:pPr>
      <w:r w:rsidRPr="00B642CF">
        <w:rPr>
          <w:sz w:val="18"/>
          <w:szCs w:val="18"/>
          <w:lang w:val="es-ES" w:eastAsia="es-MX"/>
        </w:rPr>
        <w:t>Asimismo se deberá instruir a los funcionarios intervinientes para que se ajusten a los antecedentes ya existentes en la materia.</w:t>
      </w:r>
    </w:p>
    <w:p w14:paraId="48DCE3F4" w14:textId="3F0F6C3D" w:rsidR="005753AD" w:rsidRPr="00B642CF" w:rsidRDefault="00D405E6" w:rsidP="00D405E6">
      <w:pPr>
        <w:ind w:left="567" w:right="567"/>
        <w:rPr>
          <w:sz w:val="18"/>
          <w:szCs w:val="18"/>
          <w:lang w:val="es-ES" w:eastAsia="es-MX"/>
        </w:rPr>
      </w:pPr>
      <w:r>
        <w:rPr>
          <w:sz w:val="18"/>
          <w:szCs w:val="18"/>
          <w:lang w:val="es-ES" w:eastAsia="es-MX"/>
        </w:rPr>
        <w:t>[…]</w:t>
      </w:r>
    </w:p>
    <w:p w14:paraId="7700DDC3" w14:textId="77777777" w:rsidR="003D463C" w:rsidRPr="00B642CF" w:rsidRDefault="003D463C" w:rsidP="003D463C">
      <w:pPr>
        <w:ind w:left="567" w:right="567"/>
        <w:rPr>
          <w:sz w:val="18"/>
          <w:szCs w:val="18"/>
          <w:lang w:val="es-ES" w:eastAsia="es-MX"/>
        </w:rPr>
      </w:pPr>
      <w:r w:rsidRPr="00B642CF">
        <w:rPr>
          <w:sz w:val="18"/>
          <w:szCs w:val="18"/>
          <w:lang w:val="es-ES" w:eastAsia="es-MX"/>
        </w:rPr>
        <w:t>El [E]stado deberá realizar capacitaciones periódicas a los diversos agentes, funcionarios e integrantes de los tres poderes del Estado (ejecutivo, Legislativo y Judicial) en materia de derechos humanos, en especial tratamiento de testigos y valoración de testimonios de víctimas de violaciones a los derechos humanos conforme los criterios vigentes en la materia.</w:t>
      </w:r>
    </w:p>
    <w:p w14:paraId="77488077" w14:textId="50404315" w:rsidR="003D463C" w:rsidRPr="00B642CF" w:rsidRDefault="003D463C" w:rsidP="003D463C">
      <w:pPr>
        <w:ind w:left="567" w:right="567"/>
        <w:rPr>
          <w:b/>
          <w:sz w:val="18"/>
          <w:szCs w:val="18"/>
          <w:lang w:val="es-ES" w:eastAsia="es-MX"/>
        </w:rPr>
      </w:pPr>
      <w:r w:rsidRPr="00B642CF">
        <w:rPr>
          <w:sz w:val="18"/>
          <w:szCs w:val="18"/>
          <w:lang w:val="es-ES" w:eastAsia="es-MX"/>
        </w:rPr>
        <w:t>El [E]stado deberá adecuar la normativa procesal y de fondo interna de modo que se ajuste al derecho de las personas a contar con decisiones judiciales debidamente motivadas de los recursos interpuestos en todas las instancias administrativas y judiciales, incluyendo la Corte Suprema de Justicia de la Nación, en especial cuando se trata de reparaciones y/o denuncias por violaciones a los derechos humanos.</w:t>
      </w:r>
    </w:p>
    <w:p w14:paraId="33755489" w14:textId="77777777" w:rsidR="003D463C" w:rsidRPr="00B642CF" w:rsidRDefault="003D463C" w:rsidP="003D463C">
      <w:pPr>
        <w:pStyle w:val="PrrafodeSentencia"/>
        <w:numPr>
          <w:ilvl w:val="0"/>
          <w:numId w:val="0"/>
        </w:numPr>
        <w:rPr>
          <w:spacing w:val="0"/>
          <w:szCs w:val="20"/>
          <w:lang w:val="es-ES"/>
        </w:rPr>
      </w:pPr>
    </w:p>
    <w:p w14:paraId="40781D2C" w14:textId="4D0B78DF" w:rsidR="005753AD" w:rsidRPr="00B642CF" w:rsidRDefault="005753AD" w:rsidP="005753AD">
      <w:pPr>
        <w:pStyle w:val="PrrafodeSentencia"/>
        <w:rPr>
          <w:spacing w:val="0"/>
          <w:szCs w:val="20"/>
          <w:lang w:val="es-ES"/>
        </w:rPr>
      </w:pPr>
      <w:r w:rsidRPr="00B642CF">
        <w:rPr>
          <w:spacing w:val="0"/>
          <w:szCs w:val="20"/>
          <w:lang w:val="es-ES"/>
        </w:rPr>
        <w:t xml:space="preserve">El </w:t>
      </w:r>
      <w:r w:rsidRPr="00B642CF">
        <w:rPr>
          <w:b/>
          <w:i/>
          <w:spacing w:val="0"/>
          <w:szCs w:val="20"/>
          <w:lang w:val="es-ES"/>
        </w:rPr>
        <w:t>Estado</w:t>
      </w:r>
      <w:r w:rsidRPr="00B642CF">
        <w:rPr>
          <w:spacing w:val="0"/>
          <w:szCs w:val="20"/>
          <w:lang w:val="es-ES"/>
        </w:rPr>
        <w:t xml:space="preserve"> </w:t>
      </w:r>
      <w:r w:rsidR="009752C1" w:rsidRPr="00B642CF">
        <w:rPr>
          <w:spacing w:val="0"/>
          <w:szCs w:val="20"/>
          <w:lang w:val="es-ES"/>
        </w:rPr>
        <w:t>rechazó</w:t>
      </w:r>
      <w:r w:rsidRPr="00B642CF">
        <w:rPr>
          <w:spacing w:val="0"/>
          <w:szCs w:val="20"/>
          <w:lang w:val="es-ES"/>
        </w:rPr>
        <w:t xml:space="preserve"> las medidas de no repetición sol</w:t>
      </w:r>
      <w:r w:rsidR="005B6735" w:rsidRPr="00B642CF">
        <w:rPr>
          <w:spacing w:val="0"/>
          <w:szCs w:val="20"/>
          <w:lang w:val="es-ES"/>
        </w:rPr>
        <w:t>icitadas por la representante</w:t>
      </w:r>
      <w:r w:rsidR="009752C1" w:rsidRPr="00B642CF">
        <w:rPr>
          <w:spacing w:val="0"/>
          <w:szCs w:val="20"/>
          <w:lang w:val="es-ES"/>
        </w:rPr>
        <w:t>, resaltando la excepcionalidad del caso del</w:t>
      </w:r>
      <w:r w:rsidR="002848DF">
        <w:rPr>
          <w:spacing w:val="0"/>
          <w:szCs w:val="20"/>
          <w:lang w:val="es-ES"/>
        </w:rPr>
        <w:t xml:space="preserve"> </w:t>
      </w:r>
      <w:r w:rsidR="00CD4CB6">
        <w:rPr>
          <w:spacing w:val="0"/>
          <w:szCs w:val="20"/>
          <w:lang w:val="es-ES"/>
        </w:rPr>
        <w:t>señor</w:t>
      </w:r>
      <w:r w:rsidR="009752C1" w:rsidRPr="00B642CF">
        <w:rPr>
          <w:spacing w:val="0"/>
          <w:szCs w:val="20"/>
          <w:lang w:val="es-ES"/>
        </w:rPr>
        <w:t xml:space="preserve"> Almeida. </w:t>
      </w:r>
      <w:r w:rsidRPr="00B642CF">
        <w:rPr>
          <w:spacing w:val="0"/>
          <w:szCs w:val="20"/>
          <w:lang w:val="es-ES"/>
        </w:rPr>
        <w:t>De esta forma, al considerar que “tanto la justicia como la administración han incorporado hace años ya una interpretación amplia de los supuestos de libertad vigilada”, solicit</w:t>
      </w:r>
      <w:r w:rsidR="00CD4CB6">
        <w:rPr>
          <w:spacing w:val="0"/>
          <w:szCs w:val="20"/>
          <w:lang w:val="es-ES"/>
        </w:rPr>
        <w:t>ó</w:t>
      </w:r>
      <w:r w:rsidR="0088426D" w:rsidRPr="00B642CF">
        <w:rPr>
          <w:spacing w:val="0"/>
          <w:szCs w:val="20"/>
          <w:lang w:val="es-ES"/>
        </w:rPr>
        <w:t xml:space="preserve"> que se recha</w:t>
      </w:r>
      <w:r w:rsidR="00CD4CB6">
        <w:rPr>
          <w:spacing w:val="0"/>
          <w:szCs w:val="20"/>
          <w:lang w:val="es-ES"/>
        </w:rPr>
        <w:t>zaran</w:t>
      </w:r>
      <w:r w:rsidR="0088426D" w:rsidRPr="00B642CF">
        <w:rPr>
          <w:spacing w:val="0"/>
          <w:szCs w:val="20"/>
          <w:lang w:val="es-ES"/>
        </w:rPr>
        <w:t xml:space="preserve"> estas medidas.</w:t>
      </w:r>
    </w:p>
    <w:p w14:paraId="5B03F6ED" w14:textId="77777777" w:rsidR="005753AD" w:rsidRPr="00B642CF" w:rsidRDefault="005753AD" w:rsidP="005753AD">
      <w:pPr>
        <w:rPr>
          <w:lang w:val="es-ES" w:eastAsia="es-MX"/>
        </w:rPr>
      </w:pPr>
    </w:p>
    <w:p w14:paraId="3738D6A0" w14:textId="442FD585" w:rsidR="003D463C" w:rsidRPr="00B642CF" w:rsidRDefault="005753AD" w:rsidP="005753AD">
      <w:pPr>
        <w:pStyle w:val="PrrafodeSentencia"/>
        <w:rPr>
          <w:spacing w:val="0"/>
        </w:rPr>
      </w:pPr>
      <w:r w:rsidRPr="00B642CF">
        <w:rPr>
          <w:spacing w:val="0"/>
          <w:szCs w:val="20"/>
          <w:lang w:val="es-ES"/>
        </w:rPr>
        <w:t xml:space="preserve">Este Tribunal toma nota del precedente establecido el 8 de noviembre de 2003 por la </w:t>
      </w:r>
      <w:r w:rsidRPr="00B642CF">
        <w:rPr>
          <w:spacing w:val="0"/>
        </w:rPr>
        <w:t>Cámara Nacional en lo Contencioso Administrativo Federal, en la causa No. 143625/2002: Robasto, Jorge Enrique C. Ministerio de Justicia y Derechos Humanos (</w:t>
      </w:r>
      <w:r w:rsidRPr="00B642CF">
        <w:rPr>
          <w:i/>
          <w:spacing w:val="0"/>
        </w:rPr>
        <w:t xml:space="preserve">supra </w:t>
      </w:r>
      <w:r w:rsidRPr="00B642CF">
        <w:rPr>
          <w:spacing w:val="0"/>
        </w:rPr>
        <w:t>párr. 40) con respecto a la interpretación amplia del concepto de libertad vigilada. Asimismo, toma nota de los ejemplos presentados por el Estado de expedientes administrativos tramitados con posterioridad a este precedente en donde se reconoce el pago de la indemnización por los días en que estuvieron sometidos a un régimen de libertad vigilada</w:t>
      </w:r>
      <w:r w:rsidRPr="00B642CF">
        <w:rPr>
          <w:rStyle w:val="Refdenotaalpie"/>
          <w:spacing w:val="0"/>
        </w:rPr>
        <w:footnoteReference w:id="65"/>
      </w:r>
      <w:r w:rsidRPr="00B642CF">
        <w:rPr>
          <w:spacing w:val="0"/>
        </w:rPr>
        <w:t xml:space="preserve">. De esta forma se considera que la exclusión de la libertad vigilada </w:t>
      </w:r>
      <w:r w:rsidRPr="00B642CF">
        <w:rPr>
          <w:i/>
          <w:spacing w:val="0"/>
        </w:rPr>
        <w:t>de facto</w:t>
      </w:r>
      <w:r w:rsidRPr="00B642CF">
        <w:rPr>
          <w:spacing w:val="0"/>
        </w:rPr>
        <w:t xml:space="preserve"> dentro del alcance de la Ley </w:t>
      </w:r>
      <w:r w:rsidR="005B06BF" w:rsidRPr="00B642CF">
        <w:rPr>
          <w:spacing w:val="0"/>
        </w:rPr>
        <w:t xml:space="preserve">No. </w:t>
      </w:r>
      <w:r w:rsidRPr="00B642CF">
        <w:rPr>
          <w:spacing w:val="0"/>
        </w:rPr>
        <w:t xml:space="preserve">24.043 es una situación que ya fue corregida y que la ampliación del criterio está siendo aplicada por las autoridades administrativas y judiciales. </w:t>
      </w:r>
      <w:r w:rsidR="00B42683" w:rsidRPr="00B642CF">
        <w:rPr>
          <w:spacing w:val="0"/>
        </w:rPr>
        <w:t>Por consiguiente, este Tribunal</w:t>
      </w:r>
      <w:r w:rsidRPr="00B642CF">
        <w:rPr>
          <w:spacing w:val="0"/>
        </w:rPr>
        <w:t xml:space="preserve"> </w:t>
      </w:r>
      <w:r w:rsidR="00616421" w:rsidRPr="00B642CF">
        <w:rPr>
          <w:spacing w:val="0"/>
          <w:szCs w:val="20"/>
          <w:lang w:val="es-ES"/>
        </w:rPr>
        <w:t xml:space="preserve">no </w:t>
      </w:r>
      <w:r w:rsidR="00B42683" w:rsidRPr="00B642CF">
        <w:rPr>
          <w:spacing w:val="0"/>
          <w:szCs w:val="20"/>
          <w:lang w:val="es-ES"/>
        </w:rPr>
        <w:t xml:space="preserve">estima </w:t>
      </w:r>
      <w:r w:rsidR="00616421" w:rsidRPr="00B642CF">
        <w:rPr>
          <w:spacing w:val="0"/>
          <w:szCs w:val="20"/>
          <w:lang w:val="es-ES"/>
        </w:rPr>
        <w:t xml:space="preserve">necesario ordenar medidas </w:t>
      </w:r>
      <w:r w:rsidRPr="00B642CF">
        <w:rPr>
          <w:spacing w:val="0"/>
          <w:szCs w:val="20"/>
          <w:lang w:val="es-ES"/>
        </w:rPr>
        <w:t xml:space="preserve">de modificación normativa o medidas </w:t>
      </w:r>
      <w:r w:rsidR="00616421" w:rsidRPr="00B642CF">
        <w:rPr>
          <w:spacing w:val="0"/>
          <w:szCs w:val="20"/>
          <w:lang w:val="es-ES"/>
        </w:rPr>
        <w:t>de capacitación. Asimismo, con respecto a la última medida solicitada, se considera que no tiene relación directa con los hechos del caso.</w:t>
      </w:r>
    </w:p>
    <w:p w14:paraId="59A0EF18" w14:textId="40448EB6" w:rsidR="00705991" w:rsidRPr="00B642CF" w:rsidRDefault="00705991" w:rsidP="003D463C">
      <w:pPr>
        <w:pStyle w:val="PrrafodeSentencia"/>
        <w:numPr>
          <w:ilvl w:val="0"/>
          <w:numId w:val="0"/>
        </w:numPr>
        <w:rPr>
          <w:spacing w:val="0"/>
          <w:szCs w:val="20"/>
          <w:lang w:val="es-ES"/>
        </w:rPr>
      </w:pPr>
    </w:p>
    <w:p w14:paraId="0E014543" w14:textId="38ECA902" w:rsidR="00705991" w:rsidRPr="00B642CF" w:rsidRDefault="00705991" w:rsidP="00B642CF">
      <w:pPr>
        <w:pStyle w:val="Ttulo2"/>
        <w:numPr>
          <w:ilvl w:val="0"/>
          <w:numId w:val="5"/>
        </w:numPr>
        <w:spacing w:before="0" w:after="0"/>
        <w:ind w:left="1134" w:hanging="567"/>
      </w:pPr>
      <w:bookmarkStart w:id="188" w:name="_Toc59089833"/>
      <w:r w:rsidRPr="00B642CF">
        <w:t>Indemnizaciones compensatorias</w:t>
      </w:r>
      <w:bookmarkEnd w:id="188"/>
    </w:p>
    <w:p w14:paraId="61CAD123" w14:textId="77777777" w:rsidR="003D463C" w:rsidRPr="00B642CF" w:rsidRDefault="003D463C" w:rsidP="003D463C">
      <w:pPr>
        <w:rPr>
          <w:lang w:val="es-CR"/>
        </w:rPr>
      </w:pPr>
    </w:p>
    <w:p w14:paraId="3CC61597" w14:textId="39A683D2" w:rsidR="00705991" w:rsidRPr="00B642CF" w:rsidRDefault="00705991" w:rsidP="003D463C">
      <w:pPr>
        <w:pStyle w:val="Ttulo3"/>
        <w:spacing w:after="0"/>
      </w:pPr>
      <w:r w:rsidRPr="00B642CF">
        <w:tab/>
      </w:r>
      <w:bookmarkStart w:id="189" w:name="_Toc59089834"/>
      <w:r w:rsidR="00B642CF">
        <w:t xml:space="preserve">F. </w:t>
      </w:r>
      <w:r w:rsidRPr="00B642CF">
        <w:t>1. Daño material</w:t>
      </w:r>
      <w:bookmarkEnd w:id="189"/>
    </w:p>
    <w:p w14:paraId="383752C4" w14:textId="7B8A6E30" w:rsidR="00D07448" w:rsidRPr="00B642CF" w:rsidRDefault="00D07448" w:rsidP="00D07448">
      <w:pPr>
        <w:rPr>
          <w:lang w:val="es-ES" w:eastAsia="es-MX"/>
        </w:rPr>
      </w:pPr>
    </w:p>
    <w:p w14:paraId="3D6F0298" w14:textId="3EF2CBA2" w:rsidR="00705991" w:rsidRPr="00B642CF" w:rsidRDefault="00705991" w:rsidP="00705991">
      <w:pPr>
        <w:pStyle w:val="PrrafodeSentencia"/>
        <w:rPr>
          <w:spacing w:val="0"/>
          <w:szCs w:val="20"/>
          <w:lang w:val="es-ES"/>
        </w:rPr>
      </w:pPr>
      <w:r w:rsidRPr="00B642CF">
        <w:rPr>
          <w:spacing w:val="0"/>
          <w:szCs w:val="20"/>
          <w:lang w:val="es-ES"/>
        </w:rPr>
        <w:t xml:space="preserve">La </w:t>
      </w:r>
      <w:r w:rsidRPr="00B642CF">
        <w:rPr>
          <w:b/>
          <w:i/>
          <w:spacing w:val="0"/>
          <w:szCs w:val="20"/>
          <w:lang w:val="es-ES"/>
        </w:rPr>
        <w:t xml:space="preserve">Comisión </w:t>
      </w:r>
      <w:r w:rsidRPr="00B642CF">
        <w:rPr>
          <w:spacing w:val="0"/>
          <w:szCs w:val="20"/>
          <w:lang w:val="es-ES"/>
        </w:rPr>
        <w:t xml:space="preserve">solicitó a la Corte que ordenara </w:t>
      </w:r>
      <w:r w:rsidR="003E37E6" w:rsidRPr="00B642CF">
        <w:rPr>
          <w:spacing w:val="0"/>
          <w:szCs w:val="20"/>
          <w:lang w:val="es-ES"/>
        </w:rPr>
        <w:t>reparar de manera integral a la víctima</w:t>
      </w:r>
      <w:r w:rsidRPr="00B642CF">
        <w:rPr>
          <w:spacing w:val="0"/>
          <w:szCs w:val="20"/>
          <w:lang w:val="es-ES"/>
        </w:rPr>
        <w:t xml:space="preserve"> </w:t>
      </w:r>
      <w:r w:rsidR="00EE74BB" w:rsidRPr="00B642CF">
        <w:rPr>
          <w:spacing w:val="0"/>
          <w:szCs w:val="20"/>
          <w:lang w:val="es-ES"/>
        </w:rPr>
        <w:t>tomando en cuenta el daño material por la denegación de justicia de que fue víctima el señor Almeida</w:t>
      </w:r>
      <w:r w:rsidRPr="00B642CF">
        <w:rPr>
          <w:spacing w:val="0"/>
          <w:szCs w:val="20"/>
          <w:lang w:val="es-ES"/>
        </w:rPr>
        <w:t>.</w:t>
      </w:r>
    </w:p>
    <w:p w14:paraId="66C34F71" w14:textId="77777777" w:rsidR="003D463C" w:rsidRPr="00B642CF" w:rsidRDefault="003D463C" w:rsidP="003D463C">
      <w:pPr>
        <w:rPr>
          <w:lang w:val="es-ES" w:eastAsia="es-MX"/>
        </w:rPr>
      </w:pPr>
    </w:p>
    <w:p w14:paraId="6DCB942A" w14:textId="21697296" w:rsidR="00705991" w:rsidRPr="00B642CF" w:rsidRDefault="005B6735" w:rsidP="00705991">
      <w:pPr>
        <w:pStyle w:val="PrrafodeSentencia"/>
        <w:rPr>
          <w:spacing w:val="0"/>
          <w:szCs w:val="20"/>
          <w:lang w:val="es-ES"/>
        </w:rPr>
      </w:pPr>
      <w:r w:rsidRPr="00B642CF">
        <w:rPr>
          <w:spacing w:val="0"/>
          <w:szCs w:val="20"/>
          <w:lang w:val="es-ES"/>
        </w:rPr>
        <w:t>La</w:t>
      </w:r>
      <w:r w:rsidR="00705991" w:rsidRPr="00B642CF">
        <w:rPr>
          <w:spacing w:val="0"/>
          <w:szCs w:val="20"/>
          <w:lang w:val="es-ES"/>
        </w:rPr>
        <w:t xml:space="preserve"> </w:t>
      </w:r>
      <w:r w:rsidRPr="00B642CF">
        <w:rPr>
          <w:b/>
          <w:i/>
          <w:spacing w:val="0"/>
          <w:szCs w:val="20"/>
          <w:lang w:val="es-ES"/>
        </w:rPr>
        <w:t>representante</w:t>
      </w:r>
      <w:r w:rsidR="00705991" w:rsidRPr="00B642CF">
        <w:rPr>
          <w:b/>
          <w:i/>
          <w:spacing w:val="0"/>
          <w:szCs w:val="20"/>
          <w:lang w:val="es-ES"/>
        </w:rPr>
        <w:t xml:space="preserve"> </w:t>
      </w:r>
      <w:r w:rsidRPr="00B642CF">
        <w:rPr>
          <w:spacing w:val="0"/>
          <w:szCs w:val="20"/>
          <w:lang w:val="es-ES"/>
        </w:rPr>
        <w:t>solicitó</w:t>
      </w:r>
      <w:r w:rsidR="00705991" w:rsidRPr="00B642CF">
        <w:rPr>
          <w:spacing w:val="0"/>
          <w:szCs w:val="20"/>
          <w:lang w:val="es-ES"/>
        </w:rPr>
        <w:t xml:space="preserve"> </w:t>
      </w:r>
      <w:r w:rsidR="00EE74BB" w:rsidRPr="00B642CF">
        <w:rPr>
          <w:spacing w:val="0"/>
          <w:szCs w:val="20"/>
          <w:lang w:val="es-ES"/>
        </w:rPr>
        <w:t>que se restituyan todos los gastos incurridos en el proceso interno. Por la complejidad de cuantificar estos gastos y atendiendo al tiempo transcurrido y a la imposibilidad de p</w:t>
      </w:r>
      <w:r w:rsidRPr="00B642CF">
        <w:rPr>
          <w:spacing w:val="0"/>
          <w:szCs w:val="20"/>
          <w:lang w:val="es-ES"/>
        </w:rPr>
        <w:t>resentar comprobantes, solicitó</w:t>
      </w:r>
      <w:r w:rsidR="00EE74BB" w:rsidRPr="00B642CF">
        <w:rPr>
          <w:spacing w:val="0"/>
          <w:szCs w:val="20"/>
          <w:lang w:val="es-ES"/>
        </w:rPr>
        <w:t xml:space="preserve"> la “asignación de un monto figurativ</w:t>
      </w:r>
      <w:r w:rsidR="00D07448" w:rsidRPr="00B642CF">
        <w:rPr>
          <w:spacing w:val="0"/>
          <w:szCs w:val="20"/>
          <w:lang w:val="es-ES"/>
        </w:rPr>
        <w:t>o</w:t>
      </w:r>
      <w:r w:rsidR="00EE74BB" w:rsidRPr="00B642CF">
        <w:rPr>
          <w:spacing w:val="0"/>
          <w:szCs w:val="20"/>
          <w:lang w:val="es-ES"/>
        </w:rPr>
        <w:t xml:space="preserve"> y simbólico que refleje los gastos incurridos en materia legal en los más de 20 años de lucha por el r</w:t>
      </w:r>
      <w:r w:rsidR="0088426D" w:rsidRPr="00B642CF">
        <w:rPr>
          <w:spacing w:val="0"/>
          <w:szCs w:val="20"/>
          <w:lang w:val="es-ES"/>
        </w:rPr>
        <w:t>econocimiento de mis derechos”.</w:t>
      </w:r>
    </w:p>
    <w:p w14:paraId="36000199" w14:textId="77777777" w:rsidR="00EE74BB" w:rsidRPr="00B642CF" w:rsidRDefault="00EE74BB" w:rsidP="00EE74BB">
      <w:pPr>
        <w:rPr>
          <w:lang w:val="es-ES" w:eastAsia="es-MX"/>
        </w:rPr>
      </w:pPr>
    </w:p>
    <w:p w14:paraId="394A2B9D" w14:textId="5A7B248F" w:rsidR="00705991" w:rsidRPr="00B642CF" w:rsidRDefault="00705991" w:rsidP="00705991">
      <w:pPr>
        <w:pStyle w:val="PrrafodeSentencia"/>
        <w:rPr>
          <w:b/>
          <w:spacing w:val="0"/>
          <w:szCs w:val="20"/>
          <w:lang w:val="es-ES"/>
        </w:rPr>
      </w:pPr>
      <w:r w:rsidRPr="00B642CF">
        <w:rPr>
          <w:spacing w:val="0"/>
          <w:szCs w:val="20"/>
          <w:lang w:val="es-ES"/>
        </w:rPr>
        <w:t xml:space="preserve">El </w:t>
      </w:r>
      <w:r w:rsidRPr="00B642CF">
        <w:rPr>
          <w:b/>
          <w:i/>
          <w:spacing w:val="0"/>
          <w:szCs w:val="20"/>
          <w:lang w:val="es-ES"/>
        </w:rPr>
        <w:t>Estado</w:t>
      </w:r>
      <w:r w:rsidRPr="00B642CF">
        <w:rPr>
          <w:spacing w:val="0"/>
          <w:szCs w:val="20"/>
          <w:lang w:val="es-ES"/>
        </w:rPr>
        <w:t xml:space="preserve">, </w:t>
      </w:r>
      <w:r w:rsidR="00EE74BB" w:rsidRPr="00B642CF">
        <w:rPr>
          <w:spacing w:val="0"/>
          <w:szCs w:val="20"/>
          <w:lang w:val="es-ES"/>
        </w:rPr>
        <w:t>en su reconocimiento de responsabilidad, solicitó que la Corte “disponga las reparaciones pecuniarias […] sobre la</w:t>
      </w:r>
      <w:r w:rsidR="0088426D" w:rsidRPr="00B642CF">
        <w:rPr>
          <w:spacing w:val="0"/>
          <w:szCs w:val="20"/>
          <w:lang w:val="es-ES"/>
        </w:rPr>
        <w:t xml:space="preserve"> base del criterio de equidad”.</w:t>
      </w:r>
    </w:p>
    <w:p w14:paraId="6D78087D" w14:textId="649F3066" w:rsidR="00EE74BB" w:rsidRDefault="00EE74BB" w:rsidP="00EE74BB">
      <w:pPr>
        <w:rPr>
          <w:lang w:val="es-ES" w:eastAsia="es-MX"/>
        </w:rPr>
      </w:pPr>
    </w:p>
    <w:p w14:paraId="5DED6974" w14:textId="77777777" w:rsidR="007336E2" w:rsidRPr="00B642CF" w:rsidRDefault="007336E2" w:rsidP="007336E2">
      <w:pPr>
        <w:pStyle w:val="PrrafodeSentencia"/>
        <w:rPr>
          <w:spacing w:val="0"/>
          <w:szCs w:val="20"/>
          <w:lang w:val="es-ES"/>
        </w:rPr>
      </w:pPr>
      <w:r w:rsidRPr="00B642CF">
        <w:rPr>
          <w:spacing w:val="0"/>
          <w:szCs w:val="20"/>
          <w:lang w:val="es-ES"/>
        </w:rPr>
        <w:t>Este Tribunal ha desarrollado en su jurisprudencia que el daño material supone la pérdida o detrimento de los ingresos de las víctimas, los gastos efectuados con motivo de los hechos y las consecuencias de carácter pecuniario que tengan un nexo causal con los hechos del caso</w:t>
      </w:r>
      <w:r w:rsidRPr="00B642CF">
        <w:rPr>
          <w:rStyle w:val="Refdenotaalpie"/>
          <w:spacing w:val="0"/>
          <w:lang w:val="es-ES"/>
        </w:rPr>
        <w:footnoteReference w:id="66"/>
      </w:r>
      <w:r w:rsidRPr="00B642CF">
        <w:rPr>
          <w:spacing w:val="0"/>
          <w:szCs w:val="20"/>
          <w:lang w:val="es-ES"/>
        </w:rPr>
        <w:t xml:space="preserve">, es decir, se ven incluidos, el daño emergente y lucro cesante. </w:t>
      </w:r>
    </w:p>
    <w:p w14:paraId="4A1099F0" w14:textId="77777777" w:rsidR="007336E2" w:rsidRPr="00B642CF" w:rsidRDefault="007336E2" w:rsidP="00EE74BB">
      <w:pPr>
        <w:rPr>
          <w:lang w:val="es-ES" w:eastAsia="es-MX"/>
        </w:rPr>
      </w:pPr>
    </w:p>
    <w:p w14:paraId="30EA972D" w14:textId="7276033F" w:rsidR="00705991" w:rsidRPr="00B642CF" w:rsidRDefault="00705991" w:rsidP="00705991">
      <w:pPr>
        <w:pStyle w:val="PrrafodeSentencia"/>
        <w:rPr>
          <w:spacing w:val="0"/>
          <w:szCs w:val="20"/>
          <w:lang w:val="es-ES"/>
        </w:rPr>
      </w:pPr>
      <w:r w:rsidRPr="00B642CF">
        <w:rPr>
          <w:spacing w:val="0"/>
          <w:szCs w:val="20"/>
          <w:lang w:val="es-ES"/>
        </w:rPr>
        <w:t>En virtud de las circunstancias de este caso, la Corte considera razonable ordenar al Estado el pago de una indemnización por concepto</w:t>
      </w:r>
      <w:r w:rsidR="006D73C9" w:rsidRPr="00B642CF">
        <w:rPr>
          <w:spacing w:val="0"/>
          <w:szCs w:val="20"/>
          <w:lang w:val="es-ES"/>
        </w:rPr>
        <w:t xml:space="preserve"> de daño material a favor de la víctima</w:t>
      </w:r>
      <w:r w:rsidRPr="00B642CF">
        <w:rPr>
          <w:spacing w:val="0"/>
          <w:szCs w:val="20"/>
          <w:lang w:val="es-ES"/>
        </w:rPr>
        <w:t>.</w:t>
      </w:r>
      <w:r w:rsidR="00D07448" w:rsidRPr="00B642CF">
        <w:rPr>
          <w:spacing w:val="0"/>
          <w:szCs w:val="20"/>
          <w:lang w:val="es-ES"/>
        </w:rPr>
        <w:t xml:space="preserve"> En la declaración presentada por la víctima, el señor Almeida únicamente hizo referencia a la realización de “actividades junto a otros sobrevivientes y familiar</w:t>
      </w:r>
      <w:r w:rsidR="0088426D" w:rsidRPr="00B642CF">
        <w:rPr>
          <w:spacing w:val="0"/>
          <w:szCs w:val="20"/>
          <w:lang w:val="es-ES"/>
        </w:rPr>
        <w:t>es para reunir más testimonios”</w:t>
      </w:r>
      <w:r w:rsidR="00D07448" w:rsidRPr="00B642CF">
        <w:rPr>
          <w:b/>
          <w:spacing w:val="0"/>
          <w:szCs w:val="20"/>
          <w:lang w:val="es-ES"/>
        </w:rPr>
        <w:t xml:space="preserve"> </w:t>
      </w:r>
      <w:r w:rsidR="00D07448" w:rsidRPr="00B642CF">
        <w:rPr>
          <w:spacing w:val="0"/>
          <w:szCs w:val="20"/>
          <w:lang w:val="es-ES"/>
        </w:rPr>
        <w:t>y la realización de “un derrotero de trámites, de presentaciones judiciales, de debates políticos para lograr que las reparacione</w:t>
      </w:r>
      <w:r w:rsidR="0088426D" w:rsidRPr="00B642CF">
        <w:rPr>
          <w:spacing w:val="0"/>
          <w:szCs w:val="20"/>
          <w:lang w:val="es-ES"/>
        </w:rPr>
        <w:t>s se ampliaran a más afectados”</w:t>
      </w:r>
      <w:r w:rsidR="0088426D" w:rsidRPr="00B642CF">
        <w:rPr>
          <w:rStyle w:val="Refdenotaalpie"/>
          <w:spacing w:val="0"/>
          <w:lang w:val="es-ES"/>
        </w:rPr>
        <w:footnoteReference w:id="67"/>
      </w:r>
      <w:r w:rsidR="0088426D" w:rsidRPr="00B642CF">
        <w:rPr>
          <w:spacing w:val="0"/>
          <w:szCs w:val="20"/>
          <w:lang w:val="es-ES"/>
        </w:rPr>
        <w:t>.</w:t>
      </w:r>
      <w:r w:rsidR="005B6735" w:rsidRPr="00B642CF">
        <w:rPr>
          <w:spacing w:val="0"/>
          <w:szCs w:val="20"/>
          <w:lang w:val="es-ES"/>
        </w:rPr>
        <w:t xml:space="preserve"> Teniendo en cuenta que la representante no proporcionó</w:t>
      </w:r>
      <w:r w:rsidRPr="00B642CF">
        <w:rPr>
          <w:spacing w:val="0"/>
          <w:szCs w:val="20"/>
          <w:lang w:val="es-ES"/>
        </w:rPr>
        <w:t xml:space="preserve"> información que permita establecer con certeza el monto del daño material causado por los hechos examinados en este caso, este Tribunal fija en equidad la cantidad</w:t>
      </w:r>
      <w:r w:rsidR="002848DF">
        <w:rPr>
          <w:spacing w:val="0"/>
          <w:szCs w:val="20"/>
          <w:lang w:val="es-ES"/>
        </w:rPr>
        <w:t xml:space="preserve"> de USD</w:t>
      </w:r>
      <w:r w:rsidR="00EE74BB" w:rsidRPr="00B642CF">
        <w:rPr>
          <w:spacing w:val="0"/>
          <w:szCs w:val="20"/>
          <w:lang w:val="es-ES"/>
        </w:rPr>
        <w:t>$</w:t>
      </w:r>
      <w:r w:rsidR="002848DF">
        <w:rPr>
          <w:spacing w:val="0"/>
          <w:szCs w:val="20"/>
          <w:lang w:val="es-ES"/>
        </w:rPr>
        <w:t xml:space="preserve"> </w:t>
      </w:r>
      <w:r w:rsidR="00EE74BB" w:rsidRPr="00B642CF">
        <w:rPr>
          <w:spacing w:val="0"/>
          <w:szCs w:val="20"/>
          <w:lang w:val="es-ES"/>
        </w:rPr>
        <w:t>5</w:t>
      </w:r>
      <w:r w:rsidRPr="00B642CF">
        <w:rPr>
          <w:spacing w:val="0"/>
          <w:szCs w:val="20"/>
          <w:lang w:val="es-ES"/>
        </w:rPr>
        <w:t>.000 (</w:t>
      </w:r>
      <w:r w:rsidR="00EE74BB" w:rsidRPr="00B642CF">
        <w:rPr>
          <w:spacing w:val="0"/>
          <w:szCs w:val="20"/>
          <w:lang w:val="es-ES"/>
        </w:rPr>
        <w:t>cinco mil</w:t>
      </w:r>
      <w:r w:rsidRPr="00B642CF">
        <w:rPr>
          <w:spacing w:val="0"/>
          <w:szCs w:val="20"/>
          <w:lang w:val="es-ES"/>
        </w:rPr>
        <w:t xml:space="preserve"> dólares de los Estados Unidos de América) </w:t>
      </w:r>
      <w:r w:rsidR="0025114E" w:rsidRPr="00B642CF">
        <w:rPr>
          <w:spacing w:val="0"/>
          <w:szCs w:val="20"/>
          <w:lang w:val="es-ES"/>
        </w:rPr>
        <w:t xml:space="preserve">a favor de Rufino Jorge Almeida </w:t>
      </w:r>
      <w:r w:rsidRPr="00B642CF">
        <w:rPr>
          <w:spacing w:val="0"/>
          <w:szCs w:val="20"/>
          <w:lang w:val="es-ES"/>
        </w:rPr>
        <w:t xml:space="preserve">por </w:t>
      </w:r>
      <w:r w:rsidR="00EE74BB" w:rsidRPr="00B642CF">
        <w:rPr>
          <w:spacing w:val="0"/>
          <w:szCs w:val="20"/>
          <w:lang w:val="es-ES"/>
        </w:rPr>
        <w:t>los gastos incurridos a lo largo de estos 20 años de tramitación de su petición.</w:t>
      </w:r>
    </w:p>
    <w:p w14:paraId="1BC67DE7" w14:textId="4F52CD89" w:rsidR="00EE74BB" w:rsidRPr="00B642CF" w:rsidRDefault="00EE74BB" w:rsidP="00EE74BB">
      <w:pPr>
        <w:rPr>
          <w:lang w:val="es-ES" w:eastAsia="es-MX"/>
        </w:rPr>
      </w:pPr>
    </w:p>
    <w:p w14:paraId="28D8B5D3" w14:textId="693701B4" w:rsidR="00705991" w:rsidRPr="00B642CF" w:rsidRDefault="00705991" w:rsidP="00EE74BB">
      <w:pPr>
        <w:pStyle w:val="Ttulo3"/>
        <w:spacing w:after="0"/>
      </w:pPr>
      <w:r w:rsidRPr="00B642CF">
        <w:tab/>
      </w:r>
      <w:bookmarkStart w:id="190" w:name="_Toc59089835"/>
      <w:r w:rsidR="00B642CF">
        <w:t>F</w:t>
      </w:r>
      <w:r w:rsidRPr="00B642CF">
        <w:t>.2. Daño inmaterial</w:t>
      </w:r>
      <w:bookmarkEnd w:id="190"/>
    </w:p>
    <w:p w14:paraId="0817AB35" w14:textId="5639FA6E" w:rsidR="00EE74BB" w:rsidRPr="00B642CF" w:rsidRDefault="00EE74BB" w:rsidP="00EE74BB">
      <w:pPr>
        <w:rPr>
          <w:lang w:val="es-ES" w:eastAsia="es-MX"/>
        </w:rPr>
      </w:pPr>
    </w:p>
    <w:p w14:paraId="0F0FCCA6" w14:textId="6FF50E8E" w:rsidR="00705991" w:rsidRPr="00B642CF" w:rsidRDefault="00705991" w:rsidP="00705991">
      <w:pPr>
        <w:pStyle w:val="PrrafodeSentencia"/>
        <w:rPr>
          <w:b/>
          <w:spacing w:val="0"/>
          <w:szCs w:val="20"/>
          <w:lang w:val="es-ES"/>
        </w:rPr>
      </w:pPr>
      <w:r w:rsidRPr="00B642CF">
        <w:rPr>
          <w:spacing w:val="0"/>
          <w:szCs w:val="20"/>
          <w:lang w:val="es-ES"/>
        </w:rPr>
        <w:t xml:space="preserve">La </w:t>
      </w:r>
      <w:r w:rsidRPr="00B642CF">
        <w:rPr>
          <w:b/>
          <w:i/>
          <w:spacing w:val="0"/>
          <w:szCs w:val="20"/>
          <w:lang w:val="es-ES"/>
        </w:rPr>
        <w:t xml:space="preserve">Comisión </w:t>
      </w:r>
      <w:r w:rsidRPr="00B642CF">
        <w:rPr>
          <w:spacing w:val="0"/>
          <w:szCs w:val="20"/>
          <w:lang w:val="es-ES"/>
        </w:rPr>
        <w:t xml:space="preserve">solicitó a la Corte </w:t>
      </w:r>
      <w:r w:rsidR="003E37E6" w:rsidRPr="00B642CF">
        <w:rPr>
          <w:spacing w:val="0"/>
          <w:szCs w:val="20"/>
          <w:lang w:val="es-ES"/>
        </w:rPr>
        <w:t>reparar de manera integral a la víctima</w:t>
      </w:r>
      <w:r w:rsidRPr="00B642CF">
        <w:rPr>
          <w:spacing w:val="0"/>
          <w:szCs w:val="20"/>
          <w:lang w:val="es-ES"/>
        </w:rPr>
        <w:t xml:space="preserve"> en el aspecto moral.</w:t>
      </w:r>
    </w:p>
    <w:p w14:paraId="6C2ABF37" w14:textId="77777777" w:rsidR="00EE74BB" w:rsidRPr="00B642CF" w:rsidRDefault="00EE74BB" w:rsidP="00EE74BB">
      <w:pPr>
        <w:rPr>
          <w:lang w:val="es-ES" w:eastAsia="es-MX"/>
        </w:rPr>
      </w:pPr>
    </w:p>
    <w:p w14:paraId="3EF682B0" w14:textId="32FE46C5" w:rsidR="00705991" w:rsidRPr="00B642CF" w:rsidRDefault="005B6735" w:rsidP="00705991">
      <w:pPr>
        <w:pStyle w:val="PrrafodeSentencia"/>
        <w:rPr>
          <w:b/>
          <w:spacing w:val="0"/>
          <w:szCs w:val="20"/>
          <w:lang w:val="es-ES"/>
        </w:rPr>
      </w:pPr>
      <w:r w:rsidRPr="00B642CF">
        <w:rPr>
          <w:spacing w:val="0"/>
          <w:szCs w:val="20"/>
          <w:lang w:val="es-ES"/>
        </w:rPr>
        <w:t>La</w:t>
      </w:r>
      <w:r w:rsidR="00705991" w:rsidRPr="00B642CF">
        <w:rPr>
          <w:spacing w:val="0"/>
          <w:szCs w:val="20"/>
          <w:lang w:val="es-ES"/>
        </w:rPr>
        <w:t xml:space="preserve"> </w:t>
      </w:r>
      <w:r w:rsidR="00705991" w:rsidRPr="00B642CF">
        <w:rPr>
          <w:b/>
          <w:i/>
          <w:spacing w:val="0"/>
          <w:szCs w:val="20"/>
          <w:lang w:val="es-ES"/>
        </w:rPr>
        <w:t xml:space="preserve">representante </w:t>
      </w:r>
      <w:r w:rsidRPr="00B642CF">
        <w:rPr>
          <w:spacing w:val="0"/>
          <w:szCs w:val="20"/>
          <w:lang w:val="es-ES"/>
        </w:rPr>
        <w:t>solicitó</w:t>
      </w:r>
      <w:r w:rsidR="00705991" w:rsidRPr="00B642CF">
        <w:rPr>
          <w:spacing w:val="0"/>
          <w:szCs w:val="20"/>
          <w:lang w:val="es-ES"/>
        </w:rPr>
        <w:t xml:space="preserve"> a la Corte </w:t>
      </w:r>
      <w:r w:rsidR="00EE74BB" w:rsidRPr="00B642CF">
        <w:rPr>
          <w:spacing w:val="0"/>
          <w:szCs w:val="20"/>
          <w:lang w:val="es-ES"/>
        </w:rPr>
        <w:t xml:space="preserve">fijar la indemnización por daño moral conforme a la equidad, tomando en cuenta que “quien sufrió la violación a sus derechos humanos fundamentales durante la dictadura militar, vio reeditada tal situación al negársele la reparación correspondiente y el derecho a la igualdad respecto al acceso a un procedimiento adecuado </w:t>
      </w:r>
      <w:r w:rsidR="00C67BDA" w:rsidRPr="00B642CF">
        <w:rPr>
          <w:spacing w:val="0"/>
          <w:szCs w:val="20"/>
          <w:lang w:val="es-ES"/>
        </w:rPr>
        <w:t>para obtener dicha reparación”.</w:t>
      </w:r>
    </w:p>
    <w:p w14:paraId="12006E63" w14:textId="77777777" w:rsidR="00EE74BB" w:rsidRPr="00B642CF" w:rsidRDefault="00EE74BB" w:rsidP="00EE74BB">
      <w:pPr>
        <w:rPr>
          <w:lang w:val="es-ES" w:eastAsia="es-MX"/>
        </w:rPr>
      </w:pPr>
    </w:p>
    <w:p w14:paraId="35977447" w14:textId="18C52FBB" w:rsidR="00705991" w:rsidRDefault="00705991" w:rsidP="00705991">
      <w:pPr>
        <w:pStyle w:val="PrrafodeSentencia"/>
        <w:rPr>
          <w:spacing w:val="0"/>
          <w:szCs w:val="20"/>
          <w:lang w:val="es-ES"/>
        </w:rPr>
      </w:pPr>
      <w:r w:rsidRPr="00B642CF">
        <w:rPr>
          <w:spacing w:val="0"/>
          <w:szCs w:val="20"/>
          <w:lang w:val="es-ES"/>
        </w:rPr>
        <w:t xml:space="preserve">El </w:t>
      </w:r>
      <w:r w:rsidRPr="00B642CF">
        <w:rPr>
          <w:b/>
          <w:i/>
          <w:spacing w:val="0"/>
          <w:szCs w:val="20"/>
          <w:lang w:val="es-ES"/>
        </w:rPr>
        <w:t>Estado</w:t>
      </w:r>
      <w:r w:rsidRPr="00B642CF">
        <w:rPr>
          <w:spacing w:val="0"/>
          <w:szCs w:val="20"/>
          <w:lang w:val="es-ES"/>
        </w:rPr>
        <w:t xml:space="preserve">, </w:t>
      </w:r>
      <w:r w:rsidR="00EE74BB" w:rsidRPr="00B642CF">
        <w:rPr>
          <w:spacing w:val="0"/>
          <w:szCs w:val="20"/>
          <w:lang w:val="es-ES"/>
        </w:rPr>
        <w:t>en su reconocimiento de responsabilidad, solicitó que la Corte “disponga las reparaciones pecuniarias […] sobre la</w:t>
      </w:r>
      <w:r w:rsidR="00C67BDA" w:rsidRPr="00B642CF">
        <w:rPr>
          <w:spacing w:val="0"/>
          <w:szCs w:val="20"/>
          <w:lang w:val="es-ES"/>
        </w:rPr>
        <w:t xml:space="preserve"> base del criterio de equidad”.</w:t>
      </w:r>
    </w:p>
    <w:p w14:paraId="5FC4D0D4" w14:textId="32267F99" w:rsidR="007336E2" w:rsidRDefault="007336E2" w:rsidP="007336E2">
      <w:pPr>
        <w:rPr>
          <w:lang w:val="es-ES" w:eastAsia="es-MX"/>
        </w:rPr>
      </w:pPr>
    </w:p>
    <w:p w14:paraId="09F9D8F7" w14:textId="463A9CCC" w:rsidR="007336E2" w:rsidRPr="007336E2" w:rsidRDefault="007336E2" w:rsidP="007336E2">
      <w:pPr>
        <w:pStyle w:val="PrrafodeSentencia"/>
        <w:rPr>
          <w:spacing w:val="0"/>
          <w:szCs w:val="20"/>
          <w:lang w:val="es-ES"/>
        </w:rPr>
      </w:pPr>
      <w:r w:rsidRPr="00B642CF">
        <w:rPr>
          <w:spacing w:val="0"/>
          <w:szCs w:val="20"/>
          <w:lang w:val="es-ES"/>
        </w:rPr>
        <w:t>Este Tribunal ha desarrollado en su jurisprudencia el concepto de daño inmaterial, y ha establecido que este puede comprender tanto los sufrimientos y las aflicciones causados a la víctima directa y a sus allegados, como el menoscabo de valores muy significativos para las personas, así como las alteraciones, de carácter no pecuniario, en las condiciones de existencia de la víctima o su familia</w:t>
      </w:r>
      <w:r w:rsidRPr="00B642CF">
        <w:rPr>
          <w:rStyle w:val="Refdenotaalpie"/>
          <w:spacing w:val="0"/>
          <w:lang w:val="es-ES"/>
        </w:rPr>
        <w:footnoteReference w:id="68"/>
      </w:r>
      <w:r w:rsidRPr="00B642CF">
        <w:rPr>
          <w:spacing w:val="0"/>
          <w:szCs w:val="20"/>
          <w:lang w:val="es-ES"/>
        </w:rPr>
        <w:t>.</w:t>
      </w:r>
    </w:p>
    <w:p w14:paraId="0E5496FF" w14:textId="77777777" w:rsidR="00616421" w:rsidRPr="00B642CF" w:rsidRDefault="00616421" w:rsidP="00616421">
      <w:pPr>
        <w:rPr>
          <w:lang w:val="es-ES" w:eastAsia="es-MX"/>
        </w:rPr>
      </w:pPr>
    </w:p>
    <w:p w14:paraId="616C4F68" w14:textId="39695DF0" w:rsidR="001156A6" w:rsidRPr="00B642CF" w:rsidRDefault="00705991" w:rsidP="001156A6">
      <w:pPr>
        <w:pStyle w:val="PrrafodeSentencia"/>
        <w:rPr>
          <w:b/>
          <w:spacing w:val="0"/>
        </w:rPr>
      </w:pPr>
      <w:r w:rsidRPr="00B642CF">
        <w:rPr>
          <w:spacing w:val="0"/>
        </w:rPr>
        <w:t>La Corte acreditó en su Sentencia</w:t>
      </w:r>
      <w:r w:rsidR="001156A6" w:rsidRPr="00B642CF">
        <w:rPr>
          <w:spacing w:val="0"/>
        </w:rPr>
        <w:t>, de acuerdo con el reconocimiento realizado por el Estado,</w:t>
      </w:r>
      <w:r w:rsidRPr="00B642CF">
        <w:rPr>
          <w:spacing w:val="0"/>
        </w:rPr>
        <w:t xml:space="preserve"> que </w:t>
      </w:r>
      <w:r w:rsidR="00616421" w:rsidRPr="00B642CF">
        <w:rPr>
          <w:spacing w:val="0"/>
        </w:rPr>
        <w:t>Rufino Jorge Almeida</w:t>
      </w:r>
      <w:r w:rsidRPr="00B642CF">
        <w:rPr>
          <w:spacing w:val="0"/>
        </w:rPr>
        <w:t xml:space="preserve"> fue víctima de </w:t>
      </w:r>
      <w:r w:rsidR="00616421" w:rsidRPr="00B642CF">
        <w:rPr>
          <w:spacing w:val="0"/>
        </w:rPr>
        <w:t>violación a sus derec</w:t>
      </w:r>
      <w:r w:rsidR="007336E2">
        <w:rPr>
          <w:spacing w:val="0"/>
        </w:rPr>
        <w:t xml:space="preserve">hos a </w:t>
      </w:r>
      <w:r w:rsidR="00BA423E">
        <w:rPr>
          <w:spacing w:val="0"/>
        </w:rPr>
        <w:t xml:space="preserve">las </w:t>
      </w:r>
      <w:r w:rsidR="007336E2" w:rsidRPr="00B642CF">
        <w:rPr>
          <w:spacing w:val="0"/>
        </w:rPr>
        <w:t>garantías judiciales</w:t>
      </w:r>
      <w:r w:rsidR="007336E2">
        <w:rPr>
          <w:spacing w:val="0"/>
        </w:rPr>
        <w:t xml:space="preserve">, a la igualdad ante la ley </w:t>
      </w:r>
      <w:r w:rsidR="00616421" w:rsidRPr="00B642CF">
        <w:rPr>
          <w:spacing w:val="0"/>
        </w:rPr>
        <w:t>y a la protección judicial</w:t>
      </w:r>
      <w:r w:rsidRPr="00B642CF">
        <w:rPr>
          <w:spacing w:val="0"/>
        </w:rPr>
        <w:t xml:space="preserve">. </w:t>
      </w:r>
      <w:r w:rsidR="001156A6" w:rsidRPr="00B642CF">
        <w:rPr>
          <w:spacing w:val="0"/>
          <w:szCs w:val="20"/>
          <w:lang w:val="es-ES"/>
        </w:rPr>
        <w:t>Este Tribunal ha sostenido que el daño inmaterial resulta evidente, pues es propio de la naturaleza humana que toda persona que padece una violación a sus derechos humanos experimente un sufrimiento</w:t>
      </w:r>
      <w:r w:rsidR="001156A6" w:rsidRPr="00B642CF">
        <w:rPr>
          <w:rStyle w:val="Refdenotaalpie"/>
          <w:spacing w:val="0"/>
          <w:lang w:val="es-ES"/>
        </w:rPr>
        <w:footnoteReference w:id="69"/>
      </w:r>
      <w:r w:rsidR="00090315" w:rsidRPr="00B642CF">
        <w:rPr>
          <w:spacing w:val="0"/>
          <w:szCs w:val="20"/>
          <w:lang w:val="es-ES"/>
        </w:rPr>
        <w:t>.</w:t>
      </w:r>
    </w:p>
    <w:p w14:paraId="286B5299" w14:textId="77777777" w:rsidR="00D07448" w:rsidRPr="00B642CF" w:rsidRDefault="00D07448" w:rsidP="00D07448">
      <w:pPr>
        <w:rPr>
          <w:lang w:val="es-ES" w:eastAsia="es-MX"/>
        </w:rPr>
      </w:pPr>
    </w:p>
    <w:p w14:paraId="384C76F9" w14:textId="2E277529" w:rsidR="00705991" w:rsidRPr="00B642CF" w:rsidRDefault="00705991" w:rsidP="00705991">
      <w:pPr>
        <w:pStyle w:val="PrrafodeSentencia"/>
        <w:rPr>
          <w:spacing w:val="0"/>
          <w:szCs w:val="20"/>
          <w:lang w:val="es-ES"/>
        </w:rPr>
      </w:pPr>
      <w:r w:rsidRPr="00B642CF">
        <w:rPr>
          <w:spacing w:val="0"/>
          <w:szCs w:val="20"/>
          <w:lang w:val="es-ES"/>
        </w:rPr>
        <w:t xml:space="preserve">Teniendo en cuenta las circunstancias del caso y en consideración de los sufrimientos ocasionados a la víctima por </w:t>
      </w:r>
      <w:r w:rsidR="00616421" w:rsidRPr="00B642CF">
        <w:rPr>
          <w:spacing w:val="0"/>
          <w:szCs w:val="20"/>
          <w:lang w:val="es-ES"/>
        </w:rPr>
        <w:t>la dilación en el otorgamiento de las medidas de reparación</w:t>
      </w:r>
      <w:r w:rsidR="00D07448" w:rsidRPr="00B642CF">
        <w:rPr>
          <w:spacing w:val="0"/>
          <w:szCs w:val="20"/>
          <w:lang w:val="es-ES"/>
        </w:rPr>
        <w:t xml:space="preserve"> y </w:t>
      </w:r>
      <w:r w:rsidR="00A579FC" w:rsidRPr="00B642CF">
        <w:rPr>
          <w:spacing w:val="0"/>
          <w:szCs w:val="20"/>
          <w:lang w:val="es-ES"/>
        </w:rPr>
        <w:t>la afectación por el trato desigual luego de haber sido víctima del terrorismo de Estado</w:t>
      </w:r>
      <w:r w:rsidRPr="00B642CF">
        <w:rPr>
          <w:spacing w:val="0"/>
          <w:szCs w:val="20"/>
          <w:lang w:val="es-ES"/>
        </w:rPr>
        <w:t xml:space="preserve">, la Corte estima pertinente fijar, en equidad, la cantidad de USD$ </w:t>
      </w:r>
      <w:r w:rsidR="001156A6" w:rsidRPr="00B642CF">
        <w:rPr>
          <w:spacing w:val="0"/>
          <w:szCs w:val="20"/>
          <w:lang w:val="es-ES"/>
        </w:rPr>
        <w:t>20</w:t>
      </w:r>
      <w:r w:rsidRPr="00B642CF">
        <w:rPr>
          <w:spacing w:val="0"/>
          <w:szCs w:val="20"/>
          <w:lang w:val="es-ES"/>
        </w:rPr>
        <w:t>.000,00 (</w:t>
      </w:r>
      <w:r w:rsidR="001156A6" w:rsidRPr="00B642CF">
        <w:rPr>
          <w:spacing w:val="0"/>
          <w:szCs w:val="20"/>
          <w:lang w:val="es-ES"/>
        </w:rPr>
        <w:t>veinte</w:t>
      </w:r>
      <w:r w:rsidRPr="00B642CF">
        <w:rPr>
          <w:spacing w:val="0"/>
          <w:szCs w:val="20"/>
          <w:lang w:val="es-ES"/>
        </w:rPr>
        <w:t xml:space="preserve"> mil dólares de los Estados Unidos de América) en concepto de daño inmaterial a favor de </w:t>
      </w:r>
      <w:r w:rsidR="00616421" w:rsidRPr="00B642CF">
        <w:rPr>
          <w:spacing w:val="0"/>
          <w:szCs w:val="20"/>
          <w:lang w:val="es-ES"/>
        </w:rPr>
        <w:t>Rufino Jorge Almeida</w:t>
      </w:r>
      <w:r w:rsidRPr="00B642CF">
        <w:rPr>
          <w:spacing w:val="0"/>
          <w:szCs w:val="20"/>
          <w:lang w:val="es-ES"/>
        </w:rPr>
        <w:t xml:space="preserve">. </w:t>
      </w:r>
    </w:p>
    <w:p w14:paraId="1A7AFD6A" w14:textId="77777777" w:rsidR="00616421" w:rsidRPr="00B642CF" w:rsidRDefault="00616421" w:rsidP="00616421">
      <w:pPr>
        <w:rPr>
          <w:lang w:val="es-ES" w:eastAsia="es-MX"/>
        </w:rPr>
      </w:pPr>
    </w:p>
    <w:p w14:paraId="7B587AB6" w14:textId="490E95ED" w:rsidR="00705991" w:rsidRPr="00B642CF" w:rsidRDefault="00705991" w:rsidP="00B642CF">
      <w:pPr>
        <w:pStyle w:val="Ttulo2"/>
        <w:numPr>
          <w:ilvl w:val="0"/>
          <w:numId w:val="5"/>
        </w:numPr>
        <w:spacing w:before="0" w:after="0"/>
        <w:ind w:left="1134" w:hanging="567"/>
      </w:pPr>
      <w:bookmarkStart w:id="191" w:name="_Toc59089836"/>
      <w:r w:rsidRPr="00B642CF">
        <w:t>Costas y gastos</w:t>
      </w:r>
      <w:bookmarkEnd w:id="191"/>
    </w:p>
    <w:p w14:paraId="0C688298" w14:textId="77777777" w:rsidR="00616421" w:rsidRPr="00B642CF" w:rsidRDefault="00616421" w:rsidP="00616421">
      <w:pPr>
        <w:rPr>
          <w:lang w:val="es-CR"/>
        </w:rPr>
      </w:pPr>
    </w:p>
    <w:p w14:paraId="2066B90B" w14:textId="7AC40F27" w:rsidR="00705991" w:rsidRPr="00B642CF" w:rsidRDefault="005B6735" w:rsidP="00705991">
      <w:pPr>
        <w:pStyle w:val="PrrafodeSentencia"/>
        <w:rPr>
          <w:b/>
          <w:spacing w:val="0"/>
          <w:szCs w:val="20"/>
          <w:lang w:val="es-ES"/>
        </w:rPr>
      </w:pPr>
      <w:r w:rsidRPr="00B642CF">
        <w:rPr>
          <w:spacing w:val="0"/>
          <w:szCs w:val="20"/>
          <w:lang w:val="es-ES"/>
        </w:rPr>
        <w:t>La</w:t>
      </w:r>
      <w:r w:rsidR="00705991" w:rsidRPr="00B642CF">
        <w:rPr>
          <w:spacing w:val="0"/>
          <w:szCs w:val="20"/>
          <w:lang w:val="es-ES"/>
        </w:rPr>
        <w:t xml:space="preserve"> </w:t>
      </w:r>
      <w:r w:rsidRPr="00B642CF">
        <w:rPr>
          <w:b/>
          <w:i/>
          <w:spacing w:val="0"/>
          <w:szCs w:val="20"/>
          <w:lang w:val="es-ES"/>
        </w:rPr>
        <w:t>representante</w:t>
      </w:r>
      <w:r w:rsidR="00705991" w:rsidRPr="00B642CF">
        <w:rPr>
          <w:b/>
          <w:i/>
          <w:spacing w:val="0"/>
          <w:szCs w:val="20"/>
          <w:lang w:val="es-ES"/>
        </w:rPr>
        <w:t xml:space="preserve"> </w:t>
      </w:r>
      <w:r w:rsidRPr="00B642CF">
        <w:rPr>
          <w:spacing w:val="0"/>
          <w:szCs w:val="20"/>
          <w:lang w:val="es-ES"/>
        </w:rPr>
        <w:t>solicitó</w:t>
      </w:r>
      <w:r w:rsidR="00705991" w:rsidRPr="00B642CF">
        <w:rPr>
          <w:spacing w:val="0"/>
          <w:szCs w:val="20"/>
          <w:lang w:val="es-ES"/>
        </w:rPr>
        <w:t xml:space="preserve"> que, al momento de determinar las costas y gasto</w:t>
      </w:r>
      <w:r w:rsidR="00616421" w:rsidRPr="00B642CF">
        <w:rPr>
          <w:spacing w:val="0"/>
          <w:szCs w:val="20"/>
          <w:lang w:val="es-ES"/>
        </w:rPr>
        <w:t>s, este Tribunal considere los honorarios por la representación y acompañamiento de la denuncia, ante la Comisión y la Corte,</w:t>
      </w:r>
      <w:r w:rsidR="00C67BDA" w:rsidRPr="00B642CF">
        <w:rPr>
          <w:spacing w:val="0"/>
          <w:szCs w:val="20"/>
          <w:lang w:val="es-ES"/>
        </w:rPr>
        <w:t xml:space="preserve"> fijando los mismos en equidad.</w:t>
      </w:r>
    </w:p>
    <w:p w14:paraId="1FD59AD6" w14:textId="77777777" w:rsidR="00A579FC" w:rsidRPr="00B642CF" w:rsidRDefault="00A579FC" w:rsidP="00A579FC">
      <w:pPr>
        <w:rPr>
          <w:lang w:val="es-ES" w:eastAsia="es-MX"/>
        </w:rPr>
      </w:pPr>
    </w:p>
    <w:p w14:paraId="60A1D44A" w14:textId="4F97625A" w:rsidR="00A579FC" w:rsidRPr="00B642CF" w:rsidRDefault="00A579FC" w:rsidP="00A579FC">
      <w:pPr>
        <w:pStyle w:val="PrrafodeSentencia"/>
        <w:rPr>
          <w:spacing w:val="0"/>
        </w:rPr>
      </w:pPr>
      <w:r w:rsidRPr="00B642CF">
        <w:rPr>
          <w:spacing w:val="0"/>
        </w:rPr>
        <w:t xml:space="preserve">El </w:t>
      </w:r>
      <w:r w:rsidRPr="00B642CF">
        <w:rPr>
          <w:b/>
          <w:i/>
          <w:spacing w:val="0"/>
        </w:rPr>
        <w:t>Estado</w:t>
      </w:r>
      <w:r w:rsidRPr="00B642CF">
        <w:rPr>
          <w:spacing w:val="0"/>
        </w:rPr>
        <w:t>, en su reconocimiento de responsabilidad, solicitó que la Corte “disponga […] los montos en materia de costas y gastos sobre la</w:t>
      </w:r>
      <w:r w:rsidR="00C67BDA" w:rsidRPr="00B642CF">
        <w:rPr>
          <w:spacing w:val="0"/>
        </w:rPr>
        <w:t xml:space="preserve"> base del criterio de equidad”.</w:t>
      </w:r>
    </w:p>
    <w:p w14:paraId="3B59FED6" w14:textId="77777777" w:rsidR="00616421" w:rsidRPr="00B642CF" w:rsidRDefault="00616421" w:rsidP="00616421">
      <w:pPr>
        <w:rPr>
          <w:lang w:val="es-ES" w:eastAsia="es-MX"/>
        </w:rPr>
      </w:pPr>
    </w:p>
    <w:p w14:paraId="06923D6C" w14:textId="77777777" w:rsidR="00705991" w:rsidRPr="00B642CF" w:rsidRDefault="00705991" w:rsidP="00705991">
      <w:pPr>
        <w:pStyle w:val="PrrafodeSentencia"/>
        <w:rPr>
          <w:spacing w:val="0"/>
          <w:szCs w:val="20"/>
          <w:lang w:val="es-ES"/>
        </w:rPr>
      </w:pPr>
      <w:r w:rsidRPr="00B642CF">
        <w:rPr>
          <w:spacing w:val="0"/>
          <w:szCs w:val="20"/>
          <w:lang w:val="es-ES"/>
        </w:rPr>
        <w:t xml:space="preserve">La Corte reitera que, conforme a su jurisprudencia, las costas y gastos son parte del concepto de reparación, toda vez que la actividad desplegada por las víctimas con el fin de obtener justicia, tanto a nivel nacional como internacional, implica erogaciones que deben ser 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derechos humanos. Esta apreciación puede ser realizada con base en el principio de equidad y tomando en cuenta los gastos señalados por las partes, siempre que su </w:t>
      </w:r>
      <w:r w:rsidRPr="00B642CF">
        <w:rPr>
          <w:i/>
          <w:spacing w:val="0"/>
          <w:szCs w:val="20"/>
          <w:lang w:val="es-ES"/>
        </w:rPr>
        <w:t>quantum</w:t>
      </w:r>
      <w:r w:rsidRPr="00B642CF">
        <w:rPr>
          <w:spacing w:val="0"/>
          <w:szCs w:val="20"/>
          <w:lang w:val="es-ES"/>
        </w:rPr>
        <w:t xml:space="preserve"> sea razonable</w:t>
      </w:r>
      <w:r w:rsidRPr="00B642CF">
        <w:rPr>
          <w:rStyle w:val="Refdenotaalpie"/>
          <w:spacing w:val="0"/>
          <w:lang w:val="es-ES"/>
        </w:rPr>
        <w:footnoteReference w:id="70"/>
      </w:r>
      <w:r w:rsidRPr="00B642CF">
        <w:rPr>
          <w:spacing w:val="0"/>
          <w:szCs w:val="20"/>
          <w:lang w:val="es-ES"/>
        </w:rPr>
        <w:t>.</w:t>
      </w:r>
    </w:p>
    <w:p w14:paraId="334B1E5E" w14:textId="77777777" w:rsidR="00A579FC" w:rsidRPr="00B642CF" w:rsidRDefault="00A579FC" w:rsidP="00A579FC">
      <w:pPr>
        <w:rPr>
          <w:lang w:val="es-ES" w:eastAsia="es-MX"/>
        </w:rPr>
      </w:pPr>
    </w:p>
    <w:p w14:paraId="63D8D696" w14:textId="7FC997B2" w:rsidR="00705991" w:rsidRPr="00B642CF" w:rsidRDefault="005B6735" w:rsidP="00705991">
      <w:pPr>
        <w:pStyle w:val="PrrafodeSentencia"/>
        <w:rPr>
          <w:spacing w:val="0"/>
          <w:szCs w:val="20"/>
          <w:lang w:val="es-ES"/>
        </w:rPr>
      </w:pPr>
      <w:r w:rsidRPr="00B642CF">
        <w:rPr>
          <w:spacing w:val="0"/>
          <w:szCs w:val="20"/>
          <w:lang w:val="es-ES"/>
        </w:rPr>
        <w:t>Este Tribunal nota que la representante</w:t>
      </w:r>
      <w:r w:rsidR="00705991" w:rsidRPr="00B642CF">
        <w:rPr>
          <w:spacing w:val="0"/>
          <w:szCs w:val="20"/>
          <w:lang w:val="es-ES"/>
        </w:rPr>
        <w:t xml:space="preserve"> no </w:t>
      </w:r>
      <w:r w:rsidRPr="00B642CF">
        <w:rPr>
          <w:spacing w:val="0"/>
          <w:szCs w:val="20"/>
          <w:lang w:val="es-ES"/>
        </w:rPr>
        <w:t>solicitó</w:t>
      </w:r>
      <w:r w:rsidR="00705991" w:rsidRPr="00B642CF">
        <w:rPr>
          <w:spacing w:val="0"/>
          <w:szCs w:val="20"/>
          <w:lang w:val="es-ES"/>
        </w:rPr>
        <w:t xml:space="preserve"> un monto dinerario específico para el reintegro d</w:t>
      </w:r>
      <w:r w:rsidRPr="00B642CF">
        <w:rPr>
          <w:spacing w:val="0"/>
          <w:szCs w:val="20"/>
          <w:lang w:val="es-ES"/>
        </w:rPr>
        <w:t>e gastos y costas, ni acreditó</w:t>
      </w:r>
      <w:r w:rsidR="00705991" w:rsidRPr="00B642CF">
        <w:rPr>
          <w:spacing w:val="0"/>
          <w:szCs w:val="20"/>
          <w:lang w:val="es-ES"/>
        </w:rPr>
        <w:t xml:space="preserve"> en forma debida y razonada la totalidad de los gastos efectuados. En consecuencia, la Corte decide, por entenderlo razonable, fijar en equidad el p</w:t>
      </w:r>
      <w:r w:rsidR="00756772" w:rsidRPr="00B642CF">
        <w:rPr>
          <w:spacing w:val="0"/>
          <w:szCs w:val="20"/>
          <w:lang w:val="es-ES"/>
        </w:rPr>
        <w:t>ago de: un monto total de US</w:t>
      </w:r>
      <w:r w:rsidR="00BA423E">
        <w:rPr>
          <w:spacing w:val="0"/>
          <w:szCs w:val="20"/>
          <w:lang w:val="es-ES"/>
        </w:rPr>
        <w:t>D</w:t>
      </w:r>
      <w:r w:rsidR="00756772" w:rsidRPr="00B642CF">
        <w:rPr>
          <w:spacing w:val="0"/>
          <w:szCs w:val="20"/>
          <w:lang w:val="es-ES"/>
        </w:rPr>
        <w:t xml:space="preserve">$ </w:t>
      </w:r>
      <w:r w:rsidR="00D549B1" w:rsidRPr="00B642CF">
        <w:rPr>
          <w:spacing w:val="0"/>
          <w:szCs w:val="20"/>
          <w:lang w:val="es-ES"/>
        </w:rPr>
        <w:t>20</w:t>
      </w:r>
      <w:r w:rsidR="00756772" w:rsidRPr="00B642CF">
        <w:rPr>
          <w:spacing w:val="0"/>
          <w:szCs w:val="20"/>
          <w:lang w:val="es-ES"/>
        </w:rPr>
        <w:t>.000.00 (</w:t>
      </w:r>
      <w:r w:rsidR="00D549B1" w:rsidRPr="00B642CF">
        <w:rPr>
          <w:spacing w:val="0"/>
          <w:szCs w:val="20"/>
          <w:lang w:val="es-ES"/>
        </w:rPr>
        <w:t>veinte</w:t>
      </w:r>
      <w:r w:rsidR="00705991" w:rsidRPr="00B642CF">
        <w:rPr>
          <w:spacing w:val="0"/>
          <w:szCs w:val="20"/>
          <w:lang w:val="es-ES"/>
        </w:rPr>
        <w:t xml:space="preserve"> mil dólares de los Estados Unidos de América) por concepto de costas y gastos </w:t>
      </w:r>
      <w:r w:rsidR="00A579FC" w:rsidRPr="00B642CF">
        <w:rPr>
          <w:spacing w:val="0"/>
          <w:szCs w:val="20"/>
          <w:lang w:val="es-ES"/>
        </w:rPr>
        <w:t xml:space="preserve">a favor </w:t>
      </w:r>
      <w:r w:rsidR="00B13E5D" w:rsidRPr="00B642CF">
        <w:rPr>
          <w:spacing w:val="0"/>
          <w:szCs w:val="20"/>
          <w:lang w:val="es-ES"/>
        </w:rPr>
        <w:t>de la representante legal de la presunta víctima, señora Myriam Carsen</w:t>
      </w:r>
      <w:r w:rsidR="00705991" w:rsidRPr="00B642CF">
        <w:rPr>
          <w:spacing w:val="0"/>
          <w:szCs w:val="20"/>
          <w:lang w:val="es-ES"/>
        </w:rPr>
        <w:t>. En el procedimiento de supervisión de cumplimiento de la presente Sentencia, el Tribunal podrá disponer el reem</w:t>
      </w:r>
      <w:r w:rsidR="003E37E6" w:rsidRPr="00B642CF">
        <w:rPr>
          <w:spacing w:val="0"/>
          <w:szCs w:val="20"/>
          <w:lang w:val="es-ES"/>
        </w:rPr>
        <w:t>bolso por parte del Estado a la</w:t>
      </w:r>
      <w:r w:rsidR="00705991" w:rsidRPr="00B642CF">
        <w:rPr>
          <w:spacing w:val="0"/>
          <w:szCs w:val="20"/>
          <w:lang w:val="es-ES"/>
        </w:rPr>
        <w:t xml:space="preserve"> </w:t>
      </w:r>
      <w:r w:rsidR="003E37E6" w:rsidRPr="00B642CF">
        <w:rPr>
          <w:spacing w:val="0"/>
          <w:szCs w:val="20"/>
          <w:lang w:val="es-ES"/>
        </w:rPr>
        <w:t>víctima</w:t>
      </w:r>
      <w:r w:rsidRPr="00B642CF">
        <w:rPr>
          <w:spacing w:val="0"/>
          <w:szCs w:val="20"/>
          <w:lang w:val="es-ES"/>
        </w:rPr>
        <w:t xml:space="preserve"> o su</w:t>
      </w:r>
      <w:r w:rsidR="00705991" w:rsidRPr="00B642CF">
        <w:rPr>
          <w:spacing w:val="0"/>
          <w:szCs w:val="20"/>
          <w:lang w:val="es-ES"/>
        </w:rPr>
        <w:t xml:space="preserve"> representante de los gastos razonables debidamente comprobados en dicha etapa procesal</w:t>
      </w:r>
      <w:r w:rsidR="00705991" w:rsidRPr="00B642CF">
        <w:rPr>
          <w:rStyle w:val="Refdenotaalpie"/>
          <w:spacing w:val="0"/>
          <w:lang w:val="es-ES"/>
        </w:rPr>
        <w:footnoteReference w:id="71"/>
      </w:r>
      <w:r w:rsidR="00705991" w:rsidRPr="00B642CF">
        <w:rPr>
          <w:spacing w:val="0"/>
          <w:szCs w:val="20"/>
          <w:lang w:val="es-ES"/>
        </w:rPr>
        <w:t xml:space="preserve">. </w:t>
      </w:r>
    </w:p>
    <w:p w14:paraId="0680932B" w14:textId="39C0FCEA" w:rsidR="00724361" w:rsidRPr="00B642CF" w:rsidRDefault="00724361" w:rsidP="00A579FC">
      <w:pPr>
        <w:rPr>
          <w:lang w:val="es-ES" w:eastAsia="es-MX"/>
        </w:rPr>
      </w:pPr>
    </w:p>
    <w:p w14:paraId="0D9A8834" w14:textId="19F89471" w:rsidR="00705991" w:rsidRPr="00B642CF" w:rsidRDefault="00705991" w:rsidP="00B642CF">
      <w:pPr>
        <w:pStyle w:val="Ttulo2"/>
        <w:numPr>
          <w:ilvl w:val="0"/>
          <w:numId w:val="5"/>
        </w:numPr>
        <w:spacing w:before="0" w:after="0"/>
        <w:ind w:left="1134" w:hanging="567"/>
      </w:pPr>
      <w:bookmarkStart w:id="192" w:name="_Toc59089837"/>
      <w:r w:rsidRPr="00B642CF">
        <w:t>Modalidad de cumplimiento de los pagos ordenados</w:t>
      </w:r>
      <w:bookmarkEnd w:id="192"/>
    </w:p>
    <w:p w14:paraId="7C67F37A" w14:textId="77777777" w:rsidR="00724361" w:rsidRPr="00B642CF" w:rsidRDefault="00724361" w:rsidP="00724361">
      <w:pPr>
        <w:rPr>
          <w:lang w:val="es-CR"/>
        </w:rPr>
      </w:pPr>
    </w:p>
    <w:p w14:paraId="3AF47F30" w14:textId="4AFB24F8" w:rsidR="00705991" w:rsidRPr="00B642CF" w:rsidRDefault="00705991" w:rsidP="00705991">
      <w:pPr>
        <w:pStyle w:val="PrrafodeSentencia"/>
        <w:rPr>
          <w:spacing w:val="0"/>
          <w:szCs w:val="20"/>
          <w:lang w:val="es-ES"/>
        </w:rPr>
      </w:pPr>
      <w:r w:rsidRPr="00B642CF">
        <w:rPr>
          <w:spacing w:val="0"/>
          <w:szCs w:val="20"/>
          <w:lang w:val="es-ES"/>
        </w:rPr>
        <w:t>El Estado deberá efectuar el pago de</w:t>
      </w:r>
      <w:r w:rsidR="00000AE6" w:rsidRPr="00B642CF">
        <w:rPr>
          <w:spacing w:val="0"/>
          <w:szCs w:val="20"/>
          <w:lang w:val="es-ES"/>
        </w:rPr>
        <w:t xml:space="preserve"> la </w:t>
      </w:r>
      <w:r w:rsidR="00A44905" w:rsidRPr="00B642CF">
        <w:rPr>
          <w:spacing w:val="0"/>
          <w:szCs w:val="20"/>
          <w:lang w:val="es-ES"/>
        </w:rPr>
        <w:t xml:space="preserve">suma prevista en el párrafo </w:t>
      </w:r>
      <w:r w:rsidR="00C67BDA" w:rsidRPr="00B642CF">
        <w:rPr>
          <w:spacing w:val="0"/>
          <w:szCs w:val="20"/>
          <w:lang w:val="es-ES"/>
        </w:rPr>
        <w:t>62</w:t>
      </w:r>
      <w:r w:rsidR="00A44905" w:rsidRPr="00B642CF">
        <w:rPr>
          <w:spacing w:val="0"/>
          <w:szCs w:val="20"/>
          <w:lang w:val="es-ES"/>
        </w:rPr>
        <w:t xml:space="preserve"> </w:t>
      </w:r>
      <w:r w:rsidR="00000AE6" w:rsidRPr="00B642CF">
        <w:rPr>
          <w:spacing w:val="0"/>
          <w:szCs w:val="20"/>
          <w:lang w:val="es-ES"/>
        </w:rPr>
        <w:t>y</w:t>
      </w:r>
      <w:r w:rsidRPr="00B642CF">
        <w:rPr>
          <w:spacing w:val="0"/>
          <w:szCs w:val="20"/>
          <w:lang w:val="es-ES"/>
        </w:rPr>
        <w:t xml:space="preserve"> las indemnizaciones por concepto de daño material e inmaterial y el reintegro de costas y gastos establecidos en la presente Sentencia directamente a las personas indicadas en la misma, dentro del plazo de un año contado a partir de la notificación de la presente Sentencia.</w:t>
      </w:r>
    </w:p>
    <w:p w14:paraId="50C0359E" w14:textId="77777777" w:rsidR="00724361" w:rsidRPr="00B642CF" w:rsidRDefault="00724361" w:rsidP="00724361">
      <w:pPr>
        <w:rPr>
          <w:lang w:val="es-ES" w:eastAsia="es-MX"/>
        </w:rPr>
      </w:pPr>
    </w:p>
    <w:p w14:paraId="78D5DECA" w14:textId="77777777" w:rsidR="00705991" w:rsidRPr="00B642CF" w:rsidRDefault="00705991" w:rsidP="00705991">
      <w:pPr>
        <w:pStyle w:val="PrrafodeSentencia"/>
        <w:rPr>
          <w:spacing w:val="0"/>
          <w:szCs w:val="20"/>
          <w:lang w:val="es-ES"/>
        </w:rPr>
      </w:pPr>
      <w:r w:rsidRPr="00B642CF">
        <w:rPr>
          <w:spacing w:val="0"/>
          <w:szCs w:val="20"/>
          <w:lang w:val="es-ES"/>
        </w:rPr>
        <w:t>En caso de que los beneficiarios hayan fallecido o fallezcan antes de que les sea entregada la cantidad respectiva, esta se entregará directamente a sus derechohabientes, conforme al derecho interno aplicable.</w:t>
      </w:r>
    </w:p>
    <w:p w14:paraId="3FD0D6E8" w14:textId="77777777" w:rsidR="00724361" w:rsidRPr="00B642CF" w:rsidRDefault="00724361" w:rsidP="00724361">
      <w:pPr>
        <w:rPr>
          <w:lang w:val="es-ES" w:eastAsia="es-MX"/>
        </w:rPr>
      </w:pPr>
    </w:p>
    <w:p w14:paraId="49D14EEF" w14:textId="77777777" w:rsidR="00705991" w:rsidRPr="00B642CF" w:rsidRDefault="00705991" w:rsidP="00705991">
      <w:pPr>
        <w:pStyle w:val="PrrafodeSentencia"/>
        <w:rPr>
          <w:spacing w:val="0"/>
          <w:szCs w:val="20"/>
          <w:lang w:val="es-ES"/>
        </w:rPr>
      </w:pPr>
      <w:r w:rsidRPr="00B642CF">
        <w:rPr>
          <w:spacing w:val="0"/>
          <w:szCs w:val="20"/>
          <w:lang w:val="es-ES"/>
        </w:rPr>
        <w:t xml:space="preserve">El Estado debe cumplir sus obligaciones monetarias mediante el pago en dólares de los Estados Unidos de América o, de no ser esto posible, en su equivalente en moneda argentina, utilizando para el cálculo respectivo la tasa más alta y más beneficiosa para las personas beneficiarias que permita su ordenamiento interno, vigente al momento del pago. Durante la etapa de supervisión de cumplimento de la sentencia, la Corte podrá reajustar prudentemente el equivalente de estas cifras en moneda argentina, con el objeto de evitar que las variaciones cambiarias afecten sustancialmente el valor adquisitivo de esos montos. </w:t>
      </w:r>
    </w:p>
    <w:p w14:paraId="7DCDF9B1" w14:textId="77777777" w:rsidR="00724361" w:rsidRPr="00B642CF" w:rsidRDefault="00724361" w:rsidP="00724361">
      <w:pPr>
        <w:rPr>
          <w:lang w:val="es-ES" w:eastAsia="es-MX"/>
        </w:rPr>
      </w:pPr>
    </w:p>
    <w:p w14:paraId="61F0F775" w14:textId="77777777" w:rsidR="00705991" w:rsidRPr="00B642CF" w:rsidRDefault="00705991" w:rsidP="00705991">
      <w:pPr>
        <w:pStyle w:val="PrrafodeSentencia"/>
        <w:rPr>
          <w:spacing w:val="0"/>
          <w:szCs w:val="20"/>
          <w:lang w:val="es-ES"/>
        </w:rPr>
      </w:pPr>
      <w:r w:rsidRPr="00B642CF">
        <w:rPr>
          <w:spacing w:val="0"/>
          <w:szCs w:val="20"/>
          <w:lang w:val="es-ES"/>
        </w:rPr>
        <w:t xml:space="preserve">Si por causas atribuibles a los beneficiarios no fuese posible el pago de la cantidad determinada dentro del plazo indicado, el Estado consignará dicho monto a su favor en una cuenta o certificado de depósito en una institución financiera argentina solvente, en dólares de los Estados Unidos de América, y en las condiciones financieras más favorables que permitan la legislación y la práctica bancaria. Si no se reclama el monto correspondiente una vez transcurridos diez años, las cantidades serán devueltas al Estado con los intereses devengados. </w:t>
      </w:r>
    </w:p>
    <w:p w14:paraId="74521C97" w14:textId="77777777" w:rsidR="00724361" w:rsidRPr="00B642CF" w:rsidRDefault="00724361" w:rsidP="00724361">
      <w:pPr>
        <w:rPr>
          <w:lang w:val="es-ES" w:eastAsia="es-MX"/>
        </w:rPr>
      </w:pPr>
    </w:p>
    <w:p w14:paraId="0D1FCBF0" w14:textId="081A3EBF" w:rsidR="00705991" w:rsidRPr="00B642CF" w:rsidRDefault="00705991" w:rsidP="00705991">
      <w:pPr>
        <w:pStyle w:val="PrrafodeSentencia"/>
        <w:rPr>
          <w:spacing w:val="0"/>
          <w:szCs w:val="20"/>
          <w:lang w:val="es-ES"/>
        </w:rPr>
      </w:pPr>
      <w:r w:rsidRPr="00B642CF">
        <w:rPr>
          <w:spacing w:val="0"/>
          <w:szCs w:val="20"/>
          <w:lang w:val="es-ES"/>
        </w:rPr>
        <w:t xml:space="preserve">Las cantidades asignadas en la presente Sentencia como </w:t>
      </w:r>
      <w:r w:rsidR="00263076">
        <w:rPr>
          <w:spacing w:val="0"/>
          <w:szCs w:val="20"/>
          <w:lang w:val="es-ES"/>
        </w:rPr>
        <w:t xml:space="preserve">medida de restitución, </w:t>
      </w:r>
      <w:r w:rsidRPr="00B642CF">
        <w:rPr>
          <w:spacing w:val="0"/>
          <w:szCs w:val="20"/>
          <w:lang w:val="es-ES"/>
        </w:rPr>
        <w:t>indemnización por daños materiales e inmateriales, y como reintegro de costas y gastos, deberán ser entregadas a las personas indicadas en forma íntegra, conforme a lo establecido en esta Sentencia, sin reducciones derivadas de eventuales cargas fiscales.</w:t>
      </w:r>
    </w:p>
    <w:p w14:paraId="17DF6C10" w14:textId="77777777" w:rsidR="00724361" w:rsidRPr="00B642CF" w:rsidRDefault="00724361" w:rsidP="00724361">
      <w:pPr>
        <w:rPr>
          <w:lang w:val="es-ES" w:eastAsia="es-MX"/>
        </w:rPr>
      </w:pPr>
    </w:p>
    <w:p w14:paraId="71416C4A" w14:textId="7AFCE088" w:rsidR="00705991" w:rsidRPr="00B642CF" w:rsidRDefault="00705991" w:rsidP="00705991">
      <w:pPr>
        <w:pStyle w:val="PrrafodeSentencia"/>
        <w:rPr>
          <w:spacing w:val="0"/>
          <w:szCs w:val="20"/>
          <w:lang w:val="es-ES"/>
        </w:rPr>
      </w:pPr>
      <w:r w:rsidRPr="00B642CF">
        <w:rPr>
          <w:spacing w:val="0"/>
          <w:szCs w:val="20"/>
          <w:lang w:val="es-ES"/>
        </w:rPr>
        <w:t xml:space="preserve">En caso de que el Estado incurriera en mora, deberá pagar un interés sobre la cantidad adeudada correspondiente al interés bancario moratorio en la República Argentina. </w:t>
      </w:r>
    </w:p>
    <w:p w14:paraId="75E441D9" w14:textId="77777777" w:rsidR="00705991" w:rsidRPr="00B642CF" w:rsidRDefault="00705991" w:rsidP="00705991">
      <w:pPr>
        <w:rPr>
          <w:lang w:val="es-ES" w:eastAsia="es-MX"/>
        </w:rPr>
      </w:pPr>
    </w:p>
    <w:p w14:paraId="50BF227C" w14:textId="30F5DB0D" w:rsidR="00705991" w:rsidRPr="00B642CF" w:rsidRDefault="00631016" w:rsidP="00705991">
      <w:pPr>
        <w:pStyle w:val="Ttulo1"/>
        <w:spacing w:before="240"/>
        <w:rPr>
          <w:szCs w:val="20"/>
          <w:lang w:val="es-ES"/>
        </w:rPr>
      </w:pPr>
      <w:bookmarkStart w:id="193" w:name="_Toc59089838"/>
      <w:r w:rsidRPr="00B642CF">
        <w:rPr>
          <w:szCs w:val="20"/>
          <w:lang w:val="es-ES"/>
        </w:rPr>
        <w:t>IX</w:t>
      </w:r>
      <w:r w:rsidR="00705991" w:rsidRPr="00B642CF">
        <w:rPr>
          <w:szCs w:val="20"/>
          <w:lang w:val="es-ES"/>
        </w:rPr>
        <w:br/>
        <w:t>PUNTOS RESOLUTIVOS</w:t>
      </w:r>
      <w:bookmarkEnd w:id="163"/>
      <w:bookmarkEnd w:id="164"/>
      <w:bookmarkEnd w:id="165"/>
      <w:bookmarkEnd w:id="193"/>
    </w:p>
    <w:p w14:paraId="4F9AC43D" w14:textId="77777777" w:rsidR="00705991" w:rsidRPr="00B642CF" w:rsidRDefault="00705991" w:rsidP="00705991">
      <w:pPr>
        <w:pStyle w:val="Prrafodelista"/>
        <w:tabs>
          <w:tab w:val="left" w:pos="567"/>
        </w:tabs>
        <w:ind w:left="0"/>
        <w:rPr>
          <w:szCs w:val="20"/>
          <w:lang w:val="es-ES"/>
        </w:rPr>
      </w:pPr>
    </w:p>
    <w:p w14:paraId="7F674627" w14:textId="77777777" w:rsidR="00705991" w:rsidRPr="00B642CF" w:rsidRDefault="006518DD" w:rsidP="006518DD">
      <w:pPr>
        <w:pStyle w:val="PrrafodeSentencia"/>
        <w:rPr>
          <w:spacing w:val="0"/>
        </w:rPr>
      </w:pPr>
      <w:r w:rsidRPr="00B642CF">
        <w:rPr>
          <w:spacing w:val="0"/>
        </w:rPr>
        <w:t>Por tanto</w:t>
      </w:r>
      <w:r w:rsidR="00705991" w:rsidRPr="00B642CF">
        <w:rPr>
          <w:spacing w:val="0"/>
        </w:rPr>
        <w:t xml:space="preserve">, </w:t>
      </w:r>
    </w:p>
    <w:p w14:paraId="37FB38E2" w14:textId="77777777" w:rsidR="00705991" w:rsidRPr="00B642CF" w:rsidRDefault="00705991" w:rsidP="00705991">
      <w:pPr>
        <w:pStyle w:val="Prrafodelista"/>
        <w:tabs>
          <w:tab w:val="left" w:pos="567"/>
        </w:tabs>
        <w:ind w:left="0"/>
        <w:rPr>
          <w:b/>
          <w:szCs w:val="20"/>
          <w:lang w:val="es-ES"/>
        </w:rPr>
      </w:pPr>
    </w:p>
    <w:p w14:paraId="3BC2138A" w14:textId="77777777" w:rsidR="00705991" w:rsidRPr="00B642CF" w:rsidRDefault="00705991" w:rsidP="00D60AB7">
      <w:pPr>
        <w:pStyle w:val="Prrafodelista"/>
        <w:tabs>
          <w:tab w:val="left" w:pos="567"/>
        </w:tabs>
        <w:ind w:left="0"/>
        <w:contextualSpacing w:val="0"/>
        <w:rPr>
          <w:b/>
          <w:szCs w:val="20"/>
          <w:lang w:val="es-ES"/>
        </w:rPr>
      </w:pPr>
      <w:r w:rsidRPr="00B642CF">
        <w:rPr>
          <w:b/>
          <w:szCs w:val="20"/>
          <w:lang w:val="es-ES"/>
        </w:rPr>
        <w:t xml:space="preserve">LA CORTE </w:t>
      </w:r>
    </w:p>
    <w:p w14:paraId="1F745C04" w14:textId="77777777" w:rsidR="00705991" w:rsidRPr="00B642CF" w:rsidRDefault="00705991" w:rsidP="00D60AB7">
      <w:pPr>
        <w:pStyle w:val="Prrafodelista"/>
        <w:tabs>
          <w:tab w:val="left" w:pos="567"/>
        </w:tabs>
        <w:ind w:left="0"/>
        <w:contextualSpacing w:val="0"/>
        <w:rPr>
          <w:b/>
          <w:szCs w:val="20"/>
          <w:lang w:val="es-ES"/>
        </w:rPr>
      </w:pPr>
    </w:p>
    <w:p w14:paraId="4DFAD8D9" w14:textId="77777777" w:rsidR="00705991" w:rsidRPr="00B642CF" w:rsidRDefault="00705991" w:rsidP="00D60AB7">
      <w:pPr>
        <w:pStyle w:val="Prrafodelista"/>
        <w:tabs>
          <w:tab w:val="left" w:pos="567"/>
        </w:tabs>
        <w:ind w:left="0"/>
        <w:contextualSpacing w:val="0"/>
        <w:rPr>
          <w:b/>
          <w:szCs w:val="20"/>
          <w:lang w:val="es-ES"/>
        </w:rPr>
      </w:pPr>
      <w:r w:rsidRPr="00B642CF">
        <w:rPr>
          <w:b/>
          <w:szCs w:val="20"/>
          <w:lang w:val="es-ES"/>
        </w:rPr>
        <w:t>DECIDE,</w:t>
      </w:r>
    </w:p>
    <w:p w14:paraId="2B5DDD0B" w14:textId="77777777" w:rsidR="00705991" w:rsidRPr="00B642CF" w:rsidRDefault="00705991" w:rsidP="00D60AB7">
      <w:pPr>
        <w:pStyle w:val="Prrafodelista"/>
        <w:tabs>
          <w:tab w:val="left" w:pos="567"/>
        </w:tabs>
        <w:ind w:left="0"/>
        <w:contextualSpacing w:val="0"/>
        <w:rPr>
          <w:b/>
          <w:szCs w:val="20"/>
          <w:lang w:val="es-ES"/>
        </w:rPr>
      </w:pPr>
    </w:p>
    <w:p w14:paraId="4AF5AB2A" w14:textId="7842491D" w:rsidR="00705991" w:rsidRPr="00B642CF" w:rsidRDefault="00705991" w:rsidP="00D60AB7">
      <w:pPr>
        <w:pStyle w:val="Prrafodelista"/>
        <w:tabs>
          <w:tab w:val="left" w:pos="567"/>
        </w:tabs>
        <w:ind w:left="0"/>
        <w:contextualSpacing w:val="0"/>
        <w:rPr>
          <w:szCs w:val="20"/>
          <w:lang w:val="es-ES"/>
        </w:rPr>
      </w:pPr>
      <w:r w:rsidRPr="00B642CF">
        <w:rPr>
          <w:szCs w:val="20"/>
          <w:lang w:val="es-ES"/>
        </w:rPr>
        <w:t xml:space="preserve">Por </w:t>
      </w:r>
      <w:r w:rsidR="008F7D26" w:rsidRPr="00B642CF">
        <w:rPr>
          <w:bCs/>
          <w:szCs w:val="20"/>
          <w:lang w:val="es-ES"/>
        </w:rPr>
        <w:t>unanimidad</w:t>
      </w:r>
      <w:r w:rsidRPr="00B642CF">
        <w:rPr>
          <w:szCs w:val="20"/>
          <w:lang w:val="es-ES"/>
        </w:rPr>
        <w:t>:</w:t>
      </w:r>
    </w:p>
    <w:p w14:paraId="4DB43EA0" w14:textId="77777777" w:rsidR="00705991" w:rsidRPr="00B642CF" w:rsidRDefault="00705991" w:rsidP="00D60AB7">
      <w:pPr>
        <w:pStyle w:val="Prrafodelista"/>
        <w:tabs>
          <w:tab w:val="left" w:pos="567"/>
        </w:tabs>
        <w:ind w:left="0"/>
        <w:contextualSpacing w:val="0"/>
        <w:rPr>
          <w:szCs w:val="20"/>
          <w:lang w:val="es-ES"/>
        </w:rPr>
      </w:pPr>
    </w:p>
    <w:p w14:paraId="16D36E33" w14:textId="77777777" w:rsidR="00705991" w:rsidRPr="00B642CF" w:rsidRDefault="00705991" w:rsidP="00D60AB7">
      <w:pPr>
        <w:pStyle w:val="Prrafodelista"/>
        <w:tabs>
          <w:tab w:val="left" w:pos="567"/>
        </w:tabs>
        <w:ind w:left="0"/>
        <w:contextualSpacing w:val="0"/>
        <w:rPr>
          <w:szCs w:val="20"/>
          <w:lang w:val="es-ES"/>
        </w:rPr>
      </w:pPr>
      <w:r w:rsidRPr="00B642CF">
        <w:rPr>
          <w:szCs w:val="20"/>
          <w:lang w:val="es-ES"/>
        </w:rPr>
        <w:t xml:space="preserve">1. </w:t>
      </w:r>
      <w:r w:rsidRPr="00B642CF">
        <w:rPr>
          <w:szCs w:val="20"/>
          <w:lang w:val="es-ES"/>
        </w:rPr>
        <w:tab/>
        <w:t>Aceptar el reconocimiento de responsabilidad efectuado por el Estado, en</w:t>
      </w:r>
      <w:r w:rsidR="006518DD" w:rsidRPr="00B642CF">
        <w:rPr>
          <w:szCs w:val="20"/>
          <w:lang w:val="es-ES"/>
        </w:rPr>
        <w:t xml:space="preserve"> los términos de los párrafos 18 a 24</w:t>
      </w:r>
      <w:r w:rsidRPr="00B642CF">
        <w:rPr>
          <w:szCs w:val="20"/>
          <w:lang w:val="es-ES"/>
        </w:rPr>
        <w:t xml:space="preserve"> de la presente sentencia.</w:t>
      </w:r>
    </w:p>
    <w:p w14:paraId="4837477C" w14:textId="77777777" w:rsidR="00705991" w:rsidRPr="00B642CF" w:rsidRDefault="00705991" w:rsidP="00D60AB7">
      <w:pPr>
        <w:pStyle w:val="Prrafodelista"/>
        <w:tabs>
          <w:tab w:val="left" w:pos="567"/>
        </w:tabs>
        <w:ind w:left="0"/>
        <w:contextualSpacing w:val="0"/>
        <w:rPr>
          <w:b/>
          <w:szCs w:val="20"/>
          <w:lang w:val="es-ES"/>
        </w:rPr>
      </w:pPr>
    </w:p>
    <w:p w14:paraId="0BBE394A" w14:textId="77777777" w:rsidR="00705991" w:rsidRPr="00B642CF" w:rsidRDefault="00705991" w:rsidP="00D60AB7">
      <w:pPr>
        <w:pStyle w:val="Prrafodelista"/>
        <w:tabs>
          <w:tab w:val="left" w:pos="567"/>
        </w:tabs>
        <w:ind w:left="0"/>
        <w:contextualSpacing w:val="0"/>
        <w:rPr>
          <w:b/>
          <w:szCs w:val="20"/>
          <w:lang w:val="es-ES"/>
        </w:rPr>
      </w:pPr>
      <w:r w:rsidRPr="00B642CF">
        <w:rPr>
          <w:b/>
          <w:szCs w:val="20"/>
          <w:lang w:val="es-ES"/>
        </w:rPr>
        <w:t>DECLARA:</w:t>
      </w:r>
    </w:p>
    <w:p w14:paraId="1BA88C2D" w14:textId="77777777" w:rsidR="00705991" w:rsidRPr="00B642CF" w:rsidRDefault="00705991" w:rsidP="00D60AB7">
      <w:pPr>
        <w:pStyle w:val="Prrafodelista"/>
        <w:tabs>
          <w:tab w:val="left" w:pos="567"/>
        </w:tabs>
        <w:ind w:left="0"/>
        <w:contextualSpacing w:val="0"/>
        <w:rPr>
          <w:b/>
          <w:szCs w:val="20"/>
          <w:lang w:val="es-ES"/>
        </w:rPr>
      </w:pPr>
    </w:p>
    <w:p w14:paraId="2C1647FB" w14:textId="4D099312" w:rsidR="00705991" w:rsidRPr="00B642CF" w:rsidRDefault="00705991" w:rsidP="00D60AB7">
      <w:pPr>
        <w:pStyle w:val="Prrafodelista"/>
        <w:tabs>
          <w:tab w:val="left" w:pos="567"/>
        </w:tabs>
        <w:ind w:left="0"/>
        <w:contextualSpacing w:val="0"/>
        <w:rPr>
          <w:szCs w:val="20"/>
          <w:lang w:val="es-ES"/>
        </w:rPr>
      </w:pPr>
      <w:r w:rsidRPr="00B642CF">
        <w:rPr>
          <w:szCs w:val="20"/>
          <w:lang w:val="es-ES"/>
        </w:rPr>
        <w:t xml:space="preserve">Por </w:t>
      </w:r>
      <w:r w:rsidR="00000AE6" w:rsidRPr="00B642CF">
        <w:rPr>
          <w:szCs w:val="20"/>
          <w:lang w:val="es-ES"/>
        </w:rPr>
        <w:t>unanimidad</w:t>
      </w:r>
      <w:r w:rsidRPr="00B642CF">
        <w:rPr>
          <w:szCs w:val="20"/>
          <w:lang w:val="es-ES"/>
        </w:rPr>
        <w:t>, que:</w:t>
      </w:r>
    </w:p>
    <w:p w14:paraId="6DD43369" w14:textId="77777777" w:rsidR="00705991" w:rsidRPr="00B642CF" w:rsidRDefault="00705991" w:rsidP="00D60AB7">
      <w:pPr>
        <w:pStyle w:val="Prrafodelista"/>
        <w:tabs>
          <w:tab w:val="left" w:pos="567"/>
        </w:tabs>
        <w:ind w:left="0"/>
        <w:contextualSpacing w:val="0"/>
        <w:rPr>
          <w:szCs w:val="20"/>
          <w:lang w:val="es-ES"/>
        </w:rPr>
      </w:pPr>
    </w:p>
    <w:p w14:paraId="00C52B13" w14:textId="6D23B886" w:rsidR="00705991" w:rsidRPr="00B642CF" w:rsidRDefault="00705991" w:rsidP="00D60AB7">
      <w:pPr>
        <w:pStyle w:val="Prrafodelista"/>
        <w:numPr>
          <w:ilvl w:val="0"/>
          <w:numId w:val="37"/>
        </w:numPr>
        <w:tabs>
          <w:tab w:val="left" w:pos="567"/>
        </w:tabs>
        <w:ind w:left="0" w:firstLine="0"/>
        <w:contextualSpacing w:val="0"/>
        <w:rPr>
          <w:b/>
          <w:szCs w:val="20"/>
          <w:lang w:val="es-ES"/>
        </w:rPr>
      </w:pPr>
      <w:r w:rsidRPr="00B642CF">
        <w:rPr>
          <w:szCs w:val="20"/>
          <w:lang w:val="es-ES"/>
        </w:rPr>
        <w:t xml:space="preserve">El Estado es responsable por la violación de los derechos contenidos en los artículos </w:t>
      </w:r>
      <w:r w:rsidR="005C7E1B" w:rsidRPr="00B642CF">
        <w:rPr>
          <w:szCs w:val="20"/>
          <w:lang w:val="es-ES"/>
        </w:rPr>
        <w:t>8.1, 24 y 25.1</w:t>
      </w:r>
      <w:r w:rsidR="00263076" w:rsidRPr="00263076">
        <w:rPr>
          <w:szCs w:val="20"/>
          <w:lang w:val="es-ES"/>
        </w:rPr>
        <w:t xml:space="preserve"> </w:t>
      </w:r>
      <w:r w:rsidR="00263076" w:rsidRPr="00B642CF">
        <w:rPr>
          <w:szCs w:val="20"/>
          <w:lang w:val="es-ES"/>
        </w:rPr>
        <w:t>de la Convención Americana sobre Derechos Humanos</w:t>
      </w:r>
      <w:r w:rsidRPr="00B642CF">
        <w:rPr>
          <w:szCs w:val="20"/>
          <w:lang w:val="es-ES"/>
        </w:rPr>
        <w:t>, en relación con los artículos 1.1 y 2</w:t>
      </w:r>
      <w:r w:rsidR="00263076">
        <w:rPr>
          <w:szCs w:val="20"/>
          <w:lang w:val="es-ES"/>
        </w:rPr>
        <w:t xml:space="preserve"> del mismo instrumento</w:t>
      </w:r>
      <w:r w:rsidRPr="00B642CF">
        <w:rPr>
          <w:szCs w:val="20"/>
          <w:lang w:val="es-ES"/>
        </w:rPr>
        <w:t xml:space="preserve">, en perjuicio de </w:t>
      </w:r>
      <w:r w:rsidR="005C7E1B" w:rsidRPr="00B642CF">
        <w:rPr>
          <w:szCs w:val="20"/>
          <w:lang w:val="es-ES"/>
        </w:rPr>
        <w:t>Rufino Jorge Almeida</w:t>
      </w:r>
      <w:r w:rsidRPr="00B642CF">
        <w:rPr>
          <w:szCs w:val="20"/>
          <w:lang w:val="es-ES"/>
        </w:rPr>
        <w:t xml:space="preserve">, en los términos de los párrafos </w:t>
      </w:r>
      <w:r w:rsidR="00AC64E7" w:rsidRPr="00B642CF">
        <w:rPr>
          <w:szCs w:val="20"/>
          <w:lang w:val="es-ES"/>
        </w:rPr>
        <w:t>20 y</w:t>
      </w:r>
      <w:r w:rsidR="00263076">
        <w:rPr>
          <w:szCs w:val="20"/>
          <w:lang w:val="es-ES"/>
        </w:rPr>
        <w:t xml:space="preserve"> 48 a</w:t>
      </w:r>
      <w:r w:rsidR="00AC64E7" w:rsidRPr="00B642CF">
        <w:rPr>
          <w:szCs w:val="20"/>
          <w:lang w:val="es-ES"/>
        </w:rPr>
        <w:t xml:space="preserve"> 53</w:t>
      </w:r>
      <w:r w:rsidRPr="00B642CF">
        <w:rPr>
          <w:szCs w:val="20"/>
          <w:lang w:val="es-ES"/>
        </w:rPr>
        <w:t xml:space="preserve"> de la presente </w:t>
      </w:r>
      <w:r w:rsidR="00263076">
        <w:rPr>
          <w:szCs w:val="20"/>
          <w:lang w:val="es-ES"/>
        </w:rPr>
        <w:t>S</w:t>
      </w:r>
      <w:r w:rsidRPr="00B642CF">
        <w:rPr>
          <w:szCs w:val="20"/>
          <w:lang w:val="es-ES"/>
        </w:rPr>
        <w:t>entencia.</w:t>
      </w:r>
    </w:p>
    <w:p w14:paraId="271228FB" w14:textId="77777777" w:rsidR="00705991" w:rsidRPr="00B642CF" w:rsidRDefault="00705991" w:rsidP="00D60AB7">
      <w:pPr>
        <w:pStyle w:val="Prrafodelista"/>
        <w:tabs>
          <w:tab w:val="left" w:pos="567"/>
        </w:tabs>
        <w:ind w:left="0"/>
        <w:contextualSpacing w:val="0"/>
        <w:rPr>
          <w:szCs w:val="20"/>
          <w:lang w:val="es-ES"/>
        </w:rPr>
      </w:pPr>
    </w:p>
    <w:p w14:paraId="7EBAFE0C" w14:textId="77777777" w:rsidR="00705991" w:rsidRPr="00B642CF" w:rsidRDefault="00705991" w:rsidP="00D60AB7">
      <w:pPr>
        <w:pStyle w:val="Prrafodelista"/>
        <w:tabs>
          <w:tab w:val="left" w:pos="567"/>
        </w:tabs>
        <w:ind w:left="0"/>
        <w:contextualSpacing w:val="0"/>
        <w:rPr>
          <w:szCs w:val="20"/>
          <w:lang w:val="es-ES"/>
        </w:rPr>
      </w:pPr>
      <w:r w:rsidRPr="00B642CF">
        <w:rPr>
          <w:b/>
          <w:szCs w:val="20"/>
          <w:lang w:val="es-ES"/>
        </w:rPr>
        <w:t>Y DISPONE:</w:t>
      </w:r>
      <w:r w:rsidRPr="00B642CF">
        <w:rPr>
          <w:szCs w:val="20"/>
          <w:lang w:val="es-ES"/>
        </w:rPr>
        <w:t xml:space="preserve"> </w:t>
      </w:r>
    </w:p>
    <w:p w14:paraId="66B10808" w14:textId="77777777" w:rsidR="00705991" w:rsidRPr="00B642CF" w:rsidRDefault="00705991" w:rsidP="00D60AB7">
      <w:pPr>
        <w:pStyle w:val="Prrafodelista"/>
        <w:tabs>
          <w:tab w:val="left" w:pos="567"/>
        </w:tabs>
        <w:ind w:left="0"/>
        <w:contextualSpacing w:val="0"/>
        <w:rPr>
          <w:szCs w:val="20"/>
          <w:lang w:val="es-ES"/>
        </w:rPr>
      </w:pPr>
    </w:p>
    <w:p w14:paraId="308E1245" w14:textId="0ADD9DCC" w:rsidR="00705991" w:rsidRPr="00B642CF" w:rsidRDefault="00705991" w:rsidP="00D60AB7">
      <w:pPr>
        <w:pStyle w:val="Prrafodelista"/>
        <w:tabs>
          <w:tab w:val="left" w:pos="567"/>
        </w:tabs>
        <w:ind w:left="0"/>
        <w:contextualSpacing w:val="0"/>
        <w:rPr>
          <w:szCs w:val="20"/>
          <w:lang w:val="es-ES"/>
        </w:rPr>
      </w:pPr>
      <w:r w:rsidRPr="00B642CF">
        <w:rPr>
          <w:szCs w:val="20"/>
          <w:lang w:val="es-ES"/>
        </w:rPr>
        <w:t xml:space="preserve">Por </w:t>
      </w:r>
      <w:r w:rsidR="00000AE6" w:rsidRPr="00B642CF">
        <w:rPr>
          <w:szCs w:val="20"/>
          <w:lang w:val="es-ES"/>
        </w:rPr>
        <w:t>unanimidad</w:t>
      </w:r>
      <w:r w:rsidRPr="00B642CF">
        <w:rPr>
          <w:szCs w:val="20"/>
          <w:lang w:val="es-ES"/>
        </w:rPr>
        <w:t>, que:</w:t>
      </w:r>
    </w:p>
    <w:p w14:paraId="555FA21A" w14:textId="77777777" w:rsidR="00705991" w:rsidRPr="00B642CF" w:rsidRDefault="00705991" w:rsidP="00D60AB7">
      <w:pPr>
        <w:pStyle w:val="Prrafodelista"/>
        <w:tabs>
          <w:tab w:val="left" w:pos="567"/>
        </w:tabs>
        <w:ind w:left="0"/>
        <w:contextualSpacing w:val="0"/>
        <w:rPr>
          <w:szCs w:val="20"/>
          <w:lang w:val="es-ES"/>
        </w:rPr>
      </w:pPr>
    </w:p>
    <w:p w14:paraId="50DAB2C2" w14:textId="4B6B0565" w:rsidR="00705991" w:rsidRDefault="00705991" w:rsidP="00D60AB7">
      <w:pPr>
        <w:pStyle w:val="Prrafodelista"/>
        <w:numPr>
          <w:ilvl w:val="0"/>
          <w:numId w:val="37"/>
        </w:numPr>
        <w:tabs>
          <w:tab w:val="left" w:pos="567"/>
        </w:tabs>
        <w:ind w:left="0" w:firstLine="0"/>
        <w:contextualSpacing w:val="0"/>
        <w:rPr>
          <w:szCs w:val="20"/>
          <w:lang w:val="es-ES"/>
        </w:rPr>
      </w:pPr>
      <w:r w:rsidRPr="00B642CF">
        <w:rPr>
          <w:szCs w:val="20"/>
          <w:lang w:val="es-ES"/>
        </w:rPr>
        <w:t>Esta Sentencia constituye, por sí misma, una forma de reparación.</w:t>
      </w:r>
    </w:p>
    <w:p w14:paraId="1442047C" w14:textId="77777777" w:rsidR="00263076" w:rsidRPr="00B642CF" w:rsidRDefault="00263076" w:rsidP="00D60AB7">
      <w:pPr>
        <w:pStyle w:val="Prrafodelista"/>
        <w:tabs>
          <w:tab w:val="left" w:pos="567"/>
        </w:tabs>
        <w:ind w:left="0"/>
        <w:contextualSpacing w:val="0"/>
        <w:rPr>
          <w:szCs w:val="20"/>
          <w:lang w:val="es-ES"/>
        </w:rPr>
      </w:pPr>
    </w:p>
    <w:p w14:paraId="6DA1D6F7" w14:textId="56D6C1E3" w:rsidR="003B74B8" w:rsidRPr="00B642CF" w:rsidRDefault="00705991" w:rsidP="00D60AB7">
      <w:pPr>
        <w:pStyle w:val="Prrafodelista"/>
        <w:numPr>
          <w:ilvl w:val="0"/>
          <w:numId w:val="37"/>
        </w:numPr>
        <w:tabs>
          <w:tab w:val="left" w:pos="567"/>
        </w:tabs>
        <w:ind w:left="0" w:firstLine="0"/>
        <w:contextualSpacing w:val="0"/>
        <w:rPr>
          <w:szCs w:val="20"/>
          <w:lang w:val="es-ES"/>
        </w:rPr>
      </w:pPr>
      <w:r w:rsidRPr="00B642CF">
        <w:rPr>
          <w:szCs w:val="20"/>
          <w:lang w:val="es-ES"/>
        </w:rPr>
        <w:t xml:space="preserve">El Estado </w:t>
      </w:r>
      <w:r w:rsidR="003B74B8" w:rsidRPr="00B642CF">
        <w:rPr>
          <w:bCs/>
          <w:szCs w:val="20"/>
          <w:lang w:val="es-ES"/>
        </w:rPr>
        <w:t>pagará</w:t>
      </w:r>
      <w:r w:rsidR="003B74B8" w:rsidRPr="00B642CF">
        <w:rPr>
          <w:szCs w:val="20"/>
          <w:lang w:val="es-ES"/>
        </w:rPr>
        <w:t xml:space="preserve"> </w:t>
      </w:r>
      <w:r w:rsidR="003B74B8" w:rsidRPr="00B642CF">
        <w:rPr>
          <w:bCs/>
          <w:szCs w:val="20"/>
          <w:lang w:val="es-ES"/>
        </w:rPr>
        <w:t>l</w:t>
      </w:r>
      <w:r w:rsidR="00000AE6" w:rsidRPr="00B642CF">
        <w:rPr>
          <w:bCs/>
          <w:szCs w:val="20"/>
          <w:lang w:val="es-ES"/>
        </w:rPr>
        <w:t xml:space="preserve">a suma prevista en el párrafo 62, en los términos de los párrafos 87 a 92 de esta </w:t>
      </w:r>
      <w:r w:rsidR="00D60AB7">
        <w:rPr>
          <w:bCs/>
          <w:szCs w:val="20"/>
          <w:lang w:val="es-ES"/>
        </w:rPr>
        <w:t>S</w:t>
      </w:r>
      <w:r w:rsidR="00000AE6" w:rsidRPr="00B642CF">
        <w:rPr>
          <w:bCs/>
          <w:szCs w:val="20"/>
          <w:lang w:val="es-ES"/>
        </w:rPr>
        <w:t>entencia.</w:t>
      </w:r>
      <w:r w:rsidR="003B74B8" w:rsidRPr="00B642CF">
        <w:rPr>
          <w:szCs w:val="20"/>
          <w:lang w:val="es-ES"/>
        </w:rPr>
        <w:t xml:space="preserve"> </w:t>
      </w:r>
    </w:p>
    <w:p w14:paraId="4EC5B201" w14:textId="77777777" w:rsidR="00263076" w:rsidRDefault="00263076" w:rsidP="00D60AB7">
      <w:pPr>
        <w:pStyle w:val="Prrafodelista"/>
        <w:tabs>
          <w:tab w:val="left" w:pos="567"/>
        </w:tabs>
        <w:ind w:left="0"/>
        <w:contextualSpacing w:val="0"/>
        <w:rPr>
          <w:szCs w:val="20"/>
          <w:lang w:val="es-ES"/>
        </w:rPr>
      </w:pPr>
    </w:p>
    <w:p w14:paraId="0A193E54" w14:textId="518E1E65" w:rsidR="00263076" w:rsidRPr="00263076" w:rsidRDefault="00D830A0" w:rsidP="00D60AB7">
      <w:pPr>
        <w:pStyle w:val="Prrafodelista"/>
        <w:numPr>
          <w:ilvl w:val="0"/>
          <w:numId w:val="37"/>
        </w:numPr>
        <w:tabs>
          <w:tab w:val="left" w:pos="567"/>
        </w:tabs>
        <w:ind w:left="0" w:firstLine="0"/>
        <w:contextualSpacing w:val="0"/>
        <w:rPr>
          <w:szCs w:val="20"/>
          <w:lang w:val="es-ES"/>
        </w:rPr>
      </w:pPr>
      <w:r w:rsidRPr="00B642CF">
        <w:rPr>
          <w:szCs w:val="20"/>
          <w:lang w:val="es-ES"/>
        </w:rPr>
        <w:t>El Estado realizará las publicaciones indicadas en el párrafo 65 de la presente Sentencia.</w:t>
      </w:r>
    </w:p>
    <w:p w14:paraId="4F65445A" w14:textId="77777777" w:rsidR="00D60AB7" w:rsidRPr="00D60AB7" w:rsidRDefault="00D60AB7" w:rsidP="002848DF">
      <w:pPr>
        <w:pStyle w:val="Prrafodelista"/>
        <w:tabs>
          <w:tab w:val="left" w:pos="567"/>
        </w:tabs>
        <w:ind w:left="0"/>
        <w:contextualSpacing w:val="0"/>
        <w:rPr>
          <w:szCs w:val="20"/>
          <w:lang w:val="es-ES"/>
        </w:rPr>
      </w:pPr>
    </w:p>
    <w:p w14:paraId="40FB6DDF" w14:textId="3BD4ED48" w:rsidR="00090315" w:rsidRDefault="003B74B8" w:rsidP="00D60AB7">
      <w:pPr>
        <w:pStyle w:val="Prrafodelista"/>
        <w:numPr>
          <w:ilvl w:val="0"/>
          <w:numId w:val="37"/>
        </w:numPr>
        <w:tabs>
          <w:tab w:val="left" w:pos="567"/>
        </w:tabs>
        <w:ind w:left="0" w:firstLine="0"/>
        <w:contextualSpacing w:val="0"/>
        <w:rPr>
          <w:szCs w:val="20"/>
          <w:lang w:val="es-ES"/>
        </w:rPr>
      </w:pPr>
      <w:r w:rsidRPr="00B642CF">
        <w:rPr>
          <w:bCs/>
          <w:szCs w:val="20"/>
          <w:lang w:val="es-ES"/>
        </w:rPr>
        <w:t>El Estado</w:t>
      </w:r>
      <w:r w:rsidR="00090315" w:rsidRPr="00B642CF">
        <w:rPr>
          <w:szCs w:val="20"/>
          <w:lang w:val="es-ES"/>
        </w:rPr>
        <w:t xml:space="preserve"> </w:t>
      </w:r>
      <w:r w:rsidR="00440A19" w:rsidRPr="00B642CF">
        <w:rPr>
          <w:bCs/>
          <w:szCs w:val="20"/>
          <w:lang w:val="es-ES"/>
        </w:rPr>
        <w:t>garantizará</w:t>
      </w:r>
      <w:r w:rsidR="00693E65" w:rsidRPr="00B642CF">
        <w:rPr>
          <w:bCs/>
          <w:szCs w:val="20"/>
          <w:lang w:val="es-ES"/>
        </w:rPr>
        <w:t xml:space="preserve"> en sede administrativa</w:t>
      </w:r>
      <w:r w:rsidR="00440A19" w:rsidRPr="00B642CF">
        <w:rPr>
          <w:bCs/>
          <w:szCs w:val="20"/>
          <w:lang w:val="es-ES"/>
        </w:rPr>
        <w:t xml:space="preserve"> la revisión de la situación de</w:t>
      </w:r>
      <w:r w:rsidR="00693E65" w:rsidRPr="00B642CF">
        <w:rPr>
          <w:bCs/>
          <w:szCs w:val="20"/>
          <w:lang w:val="es-ES"/>
        </w:rPr>
        <w:t xml:space="preserve"> las personas </w:t>
      </w:r>
      <w:r w:rsidR="00440A19" w:rsidRPr="00B642CF">
        <w:rPr>
          <w:bCs/>
          <w:szCs w:val="20"/>
          <w:lang w:val="es-ES"/>
        </w:rPr>
        <w:t>que</w:t>
      </w:r>
      <w:r w:rsidR="008F7D26" w:rsidRPr="00B642CF">
        <w:rPr>
          <w:bCs/>
          <w:szCs w:val="20"/>
          <w:lang w:val="es-ES"/>
        </w:rPr>
        <w:t xml:space="preserve"> </w:t>
      </w:r>
      <w:r w:rsidR="00000AE6" w:rsidRPr="00B642CF">
        <w:rPr>
          <w:bCs/>
          <w:szCs w:val="20"/>
          <w:lang w:val="es-ES"/>
        </w:rPr>
        <w:t>s</w:t>
      </w:r>
      <w:r w:rsidR="00693E65" w:rsidRPr="00B642CF">
        <w:rPr>
          <w:bCs/>
          <w:szCs w:val="20"/>
          <w:lang w:val="es-ES"/>
        </w:rPr>
        <w:t>e encuentren en la misma situación fáctica que el señor Almeida</w:t>
      </w:r>
      <w:r w:rsidR="00440A19" w:rsidRPr="00B642CF">
        <w:rPr>
          <w:bCs/>
          <w:szCs w:val="20"/>
          <w:lang w:val="es-ES"/>
        </w:rPr>
        <w:t xml:space="preserve"> y que así lo soliciten</w:t>
      </w:r>
      <w:r w:rsidR="00693E65" w:rsidRPr="00B642CF">
        <w:rPr>
          <w:bCs/>
          <w:szCs w:val="20"/>
          <w:lang w:val="es-ES"/>
        </w:rPr>
        <w:t>, en los término</w:t>
      </w:r>
      <w:r w:rsidR="008F7D26" w:rsidRPr="00B642CF">
        <w:rPr>
          <w:bCs/>
          <w:szCs w:val="20"/>
          <w:lang w:val="es-ES"/>
        </w:rPr>
        <w:t>s</w:t>
      </w:r>
      <w:r w:rsidR="009E24AE" w:rsidRPr="00B642CF">
        <w:rPr>
          <w:bCs/>
          <w:szCs w:val="20"/>
          <w:lang w:val="es-ES"/>
        </w:rPr>
        <w:t xml:space="preserve"> del párrafo 68</w:t>
      </w:r>
      <w:r w:rsidR="00693E65" w:rsidRPr="00B642CF">
        <w:rPr>
          <w:bCs/>
          <w:szCs w:val="20"/>
          <w:lang w:val="es-ES"/>
        </w:rPr>
        <w:t xml:space="preserve"> de esta </w:t>
      </w:r>
      <w:r w:rsidR="00D60AB7">
        <w:rPr>
          <w:bCs/>
          <w:szCs w:val="20"/>
          <w:lang w:val="es-ES"/>
        </w:rPr>
        <w:t>S</w:t>
      </w:r>
      <w:r w:rsidR="00693E65" w:rsidRPr="00B642CF">
        <w:rPr>
          <w:bCs/>
          <w:szCs w:val="20"/>
          <w:lang w:val="es-ES"/>
        </w:rPr>
        <w:t>entencia</w:t>
      </w:r>
      <w:r w:rsidR="00090315" w:rsidRPr="00B642CF">
        <w:rPr>
          <w:szCs w:val="20"/>
          <w:lang w:val="es-ES"/>
        </w:rPr>
        <w:t>.</w:t>
      </w:r>
      <w:r w:rsidR="00440A19" w:rsidRPr="00B642CF">
        <w:rPr>
          <w:szCs w:val="20"/>
          <w:lang w:val="es-ES"/>
        </w:rPr>
        <w:t xml:space="preserve"> </w:t>
      </w:r>
    </w:p>
    <w:p w14:paraId="0E5DD578" w14:textId="77777777" w:rsidR="00263076" w:rsidRPr="00B642CF" w:rsidRDefault="00263076" w:rsidP="00D60AB7">
      <w:pPr>
        <w:pStyle w:val="Prrafodelista"/>
        <w:tabs>
          <w:tab w:val="left" w:pos="567"/>
        </w:tabs>
        <w:ind w:left="0"/>
        <w:contextualSpacing w:val="0"/>
        <w:rPr>
          <w:szCs w:val="20"/>
          <w:lang w:val="es-ES"/>
        </w:rPr>
      </w:pPr>
    </w:p>
    <w:p w14:paraId="09B8BBB4" w14:textId="433D6443" w:rsidR="00705991" w:rsidRPr="00B642CF" w:rsidRDefault="00705991" w:rsidP="00D60AB7">
      <w:pPr>
        <w:pStyle w:val="Prrafodelista"/>
        <w:numPr>
          <w:ilvl w:val="0"/>
          <w:numId w:val="37"/>
        </w:numPr>
        <w:tabs>
          <w:tab w:val="left" w:pos="567"/>
        </w:tabs>
        <w:ind w:left="0" w:firstLine="0"/>
        <w:contextualSpacing w:val="0"/>
        <w:rPr>
          <w:szCs w:val="20"/>
          <w:lang w:val="es-ES"/>
        </w:rPr>
      </w:pPr>
      <w:r w:rsidRPr="00B642CF">
        <w:rPr>
          <w:szCs w:val="20"/>
          <w:lang w:val="es-ES"/>
        </w:rPr>
        <w:t xml:space="preserve">El Estado pagará las cantidades fijadas en los párrafos </w:t>
      </w:r>
      <w:r w:rsidR="009D3A59" w:rsidRPr="00B642CF">
        <w:rPr>
          <w:szCs w:val="20"/>
          <w:lang w:val="es-ES"/>
        </w:rPr>
        <w:t>7</w:t>
      </w:r>
      <w:r w:rsidR="00000AE6" w:rsidRPr="00B642CF">
        <w:rPr>
          <w:szCs w:val="20"/>
          <w:lang w:val="es-ES"/>
        </w:rPr>
        <w:t>6, 82 y 86</w:t>
      </w:r>
      <w:r w:rsidRPr="00B642CF">
        <w:rPr>
          <w:szCs w:val="20"/>
          <w:lang w:val="es-ES"/>
        </w:rPr>
        <w:t xml:space="preserve"> de la presente Sentencia por concepto de indemnización por daño material e inmaterial, y por el reintegro de costas, en los términos de los párrafos </w:t>
      </w:r>
      <w:r w:rsidR="00000AE6" w:rsidRPr="00B642CF">
        <w:rPr>
          <w:szCs w:val="20"/>
          <w:lang w:val="es-ES"/>
        </w:rPr>
        <w:t>87 a 92</w:t>
      </w:r>
      <w:r w:rsidRPr="00B642CF">
        <w:rPr>
          <w:szCs w:val="20"/>
          <w:lang w:val="es-ES"/>
        </w:rPr>
        <w:t xml:space="preserve"> de esta </w:t>
      </w:r>
      <w:r w:rsidR="00D60AB7">
        <w:rPr>
          <w:szCs w:val="20"/>
          <w:lang w:val="es-ES"/>
        </w:rPr>
        <w:t>S</w:t>
      </w:r>
      <w:r w:rsidRPr="00B642CF">
        <w:rPr>
          <w:szCs w:val="20"/>
          <w:lang w:val="es-ES"/>
        </w:rPr>
        <w:t>entencia.</w:t>
      </w:r>
    </w:p>
    <w:p w14:paraId="58911AA8" w14:textId="77777777" w:rsidR="00263076" w:rsidRDefault="00263076" w:rsidP="00D60AB7">
      <w:pPr>
        <w:widowControl w:val="0"/>
        <w:tabs>
          <w:tab w:val="left" w:pos="567"/>
        </w:tabs>
        <w:adjustRightInd w:val="0"/>
        <w:ind w:right="-91"/>
        <w:textAlignment w:val="baseline"/>
        <w:rPr>
          <w:bCs/>
          <w:szCs w:val="20"/>
          <w:lang w:val="es-ES" w:bidi="en-US"/>
        </w:rPr>
      </w:pPr>
      <w:bookmarkStart w:id="194" w:name="_Ref35854880"/>
    </w:p>
    <w:p w14:paraId="0F059F8B" w14:textId="7CFEDDD4" w:rsidR="00705991" w:rsidRPr="00B642CF" w:rsidRDefault="00705991" w:rsidP="00D60AB7">
      <w:pPr>
        <w:widowControl w:val="0"/>
        <w:numPr>
          <w:ilvl w:val="0"/>
          <w:numId w:val="37"/>
        </w:numPr>
        <w:tabs>
          <w:tab w:val="left" w:pos="567"/>
        </w:tabs>
        <w:adjustRightInd w:val="0"/>
        <w:ind w:left="0" w:right="-91" w:firstLine="0"/>
        <w:textAlignment w:val="baseline"/>
        <w:rPr>
          <w:bCs/>
          <w:szCs w:val="20"/>
          <w:lang w:val="es-ES" w:bidi="en-US"/>
        </w:rPr>
      </w:pPr>
      <w:r w:rsidRPr="00B642CF">
        <w:rPr>
          <w:bCs/>
          <w:szCs w:val="20"/>
          <w:lang w:val="es-ES"/>
        </w:rPr>
        <w:t>El Estado, dentro del plazo de un año contado a partir de la notificación de esta Sentencia, rendirá al Tribunal un informe sobre las medidas adoptadas para cumplir con la misma</w:t>
      </w:r>
      <w:bookmarkEnd w:id="194"/>
      <w:r w:rsidRPr="00B642CF">
        <w:rPr>
          <w:szCs w:val="20"/>
          <w:lang w:val="es-ES"/>
        </w:rPr>
        <w:t xml:space="preserve">, sin perjuicio de lo establecido en el párrafo </w:t>
      </w:r>
      <w:r w:rsidR="009D3A59" w:rsidRPr="00B642CF">
        <w:rPr>
          <w:szCs w:val="20"/>
          <w:lang w:val="es-ES"/>
        </w:rPr>
        <w:t>6</w:t>
      </w:r>
      <w:r w:rsidR="009E24AE" w:rsidRPr="00B642CF">
        <w:rPr>
          <w:szCs w:val="20"/>
          <w:lang w:val="es-ES"/>
        </w:rPr>
        <w:t>5</w:t>
      </w:r>
      <w:r w:rsidRPr="00B642CF">
        <w:rPr>
          <w:szCs w:val="20"/>
          <w:lang w:val="es-ES"/>
        </w:rPr>
        <w:t xml:space="preserve"> de la presente Sentencia</w:t>
      </w:r>
      <w:r w:rsidRPr="00B642CF">
        <w:rPr>
          <w:bCs/>
          <w:szCs w:val="20"/>
          <w:lang w:val="es-ES"/>
        </w:rPr>
        <w:t>.</w:t>
      </w:r>
    </w:p>
    <w:p w14:paraId="285F5745" w14:textId="77777777" w:rsidR="00263076" w:rsidRPr="00263076" w:rsidRDefault="00263076" w:rsidP="00D60AB7">
      <w:pPr>
        <w:pStyle w:val="Prrafodelista"/>
        <w:tabs>
          <w:tab w:val="left" w:pos="567"/>
        </w:tabs>
        <w:ind w:left="0"/>
        <w:contextualSpacing w:val="0"/>
        <w:rPr>
          <w:szCs w:val="20"/>
          <w:lang w:val="es-ES"/>
        </w:rPr>
      </w:pPr>
    </w:p>
    <w:p w14:paraId="65C63EFB" w14:textId="55974C84" w:rsidR="00705991" w:rsidRPr="00B642CF" w:rsidRDefault="00705991" w:rsidP="00D60AB7">
      <w:pPr>
        <w:pStyle w:val="Prrafodelista"/>
        <w:numPr>
          <w:ilvl w:val="0"/>
          <w:numId w:val="37"/>
        </w:numPr>
        <w:tabs>
          <w:tab w:val="left" w:pos="567"/>
        </w:tabs>
        <w:ind w:left="0" w:firstLine="0"/>
        <w:contextualSpacing w:val="0"/>
        <w:rPr>
          <w:szCs w:val="20"/>
          <w:lang w:val="es-ES"/>
        </w:rPr>
      </w:pPr>
      <w:r w:rsidRPr="00B642CF">
        <w:rPr>
          <w:bCs/>
          <w:szCs w:val="20"/>
          <w:lang w:val="es-ES"/>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r w:rsidRPr="00B642CF">
        <w:rPr>
          <w:szCs w:val="20"/>
          <w:lang w:val="es-ES"/>
        </w:rPr>
        <w:t xml:space="preserve"> </w:t>
      </w:r>
    </w:p>
    <w:p w14:paraId="016B18D3" w14:textId="77777777" w:rsidR="00705991" w:rsidRPr="00B642CF" w:rsidRDefault="00705991" w:rsidP="00D60AB7">
      <w:pPr>
        <w:tabs>
          <w:tab w:val="left" w:pos="567"/>
        </w:tabs>
        <w:rPr>
          <w:szCs w:val="20"/>
          <w:lang w:val="es-ES"/>
        </w:rPr>
      </w:pPr>
    </w:p>
    <w:p w14:paraId="04A410E0" w14:textId="77777777" w:rsidR="00705991" w:rsidRPr="00B642CF" w:rsidRDefault="00705991" w:rsidP="00D60AB7">
      <w:pPr>
        <w:tabs>
          <w:tab w:val="left" w:pos="567"/>
        </w:tabs>
        <w:rPr>
          <w:szCs w:val="20"/>
          <w:lang w:val="es-ES"/>
        </w:rPr>
      </w:pPr>
    </w:p>
    <w:p w14:paraId="25281A06" w14:textId="6D401B93" w:rsidR="00705991" w:rsidRPr="00B642CF" w:rsidRDefault="00705991" w:rsidP="00D60AB7">
      <w:pPr>
        <w:tabs>
          <w:tab w:val="left" w:pos="567"/>
        </w:tabs>
        <w:rPr>
          <w:szCs w:val="20"/>
          <w:lang w:val="es-ES"/>
        </w:rPr>
      </w:pPr>
      <w:r w:rsidRPr="00B642CF">
        <w:rPr>
          <w:szCs w:val="20"/>
          <w:lang w:val="es-ES"/>
        </w:rPr>
        <w:t xml:space="preserve">Redactada en español en San José, Costa Rica, el </w:t>
      </w:r>
      <w:r w:rsidR="00000AE6" w:rsidRPr="00B642CF">
        <w:rPr>
          <w:szCs w:val="20"/>
          <w:lang w:val="es-ES"/>
        </w:rPr>
        <w:t>17</w:t>
      </w:r>
      <w:r w:rsidR="005C7E1B" w:rsidRPr="00B642CF">
        <w:rPr>
          <w:szCs w:val="20"/>
          <w:lang w:val="es-ES"/>
        </w:rPr>
        <w:t xml:space="preserve"> de noviembre </w:t>
      </w:r>
      <w:r w:rsidRPr="00B642CF">
        <w:rPr>
          <w:szCs w:val="20"/>
          <w:lang w:val="es-ES"/>
        </w:rPr>
        <w:t>de 2020.</w:t>
      </w:r>
    </w:p>
    <w:p w14:paraId="0E7B2372" w14:textId="77777777" w:rsidR="00705991" w:rsidRPr="00B642CF" w:rsidRDefault="00705991" w:rsidP="00705991">
      <w:pPr>
        <w:tabs>
          <w:tab w:val="left" w:pos="567"/>
        </w:tabs>
        <w:rPr>
          <w:szCs w:val="20"/>
          <w:lang w:val="es-ES"/>
        </w:rPr>
      </w:pPr>
    </w:p>
    <w:p w14:paraId="250B76A3" w14:textId="31377659" w:rsidR="00705991" w:rsidRPr="00B642CF" w:rsidRDefault="00705991" w:rsidP="00705991">
      <w:pPr>
        <w:tabs>
          <w:tab w:val="left" w:pos="567"/>
        </w:tabs>
        <w:rPr>
          <w:szCs w:val="20"/>
          <w:lang w:val="es-ES"/>
        </w:rPr>
      </w:pPr>
      <w:r w:rsidRPr="00B03973">
        <w:rPr>
          <w:szCs w:val="20"/>
          <w:lang w:val="pt-BR"/>
        </w:rPr>
        <w:t xml:space="preserve">Corte IDH. </w:t>
      </w:r>
      <w:r w:rsidRPr="00B03973">
        <w:rPr>
          <w:i/>
          <w:szCs w:val="20"/>
          <w:lang w:val="pt-BR"/>
        </w:rPr>
        <w:t xml:space="preserve">Caso </w:t>
      </w:r>
      <w:r w:rsidR="005C7E1B" w:rsidRPr="00B03973">
        <w:rPr>
          <w:i/>
          <w:szCs w:val="20"/>
          <w:lang w:val="pt-BR"/>
        </w:rPr>
        <w:t>Almeida</w:t>
      </w:r>
      <w:r w:rsidRPr="00B03973">
        <w:rPr>
          <w:i/>
          <w:szCs w:val="20"/>
          <w:lang w:val="pt-BR"/>
        </w:rPr>
        <w:t xml:space="preserve"> Vs. </w:t>
      </w:r>
      <w:r w:rsidRPr="00B642CF">
        <w:rPr>
          <w:i/>
          <w:szCs w:val="20"/>
          <w:lang w:val="es-ES"/>
        </w:rPr>
        <w:t xml:space="preserve">Argentina. Fondo, Reparaciones y Costas. </w:t>
      </w:r>
      <w:r w:rsidRPr="00B642CF">
        <w:rPr>
          <w:szCs w:val="20"/>
          <w:lang w:val="es-ES"/>
        </w:rPr>
        <w:t xml:space="preserve">Sentencia de </w:t>
      </w:r>
      <w:r w:rsidR="00000AE6" w:rsidRPr="00B642CF">
        <w:rPr>
          <w:szCs w:val="20"/>
          <w:lang w:val="es-ES"/>
        </w:rPr>
        <w:t>17</w:t>
      </w:r>
      <w:r w:rsidRPr="00B642CF">
        <w:rPr>
          <w:szCs w:val="20"/>
          <w:lang w:val="es-ES"/>
        </w:rPr>
        <w:t xml:space="preserve"> de </w:t>
      </w:r>
      <w:r w:rsidR="005C7E1B" w:rsidRPr="00B642CF">
        <w:rPr>
          <w:szCs w:val="20"/>
          <w:lang w:val="es-ES"/>
        </w:rPr>
        <w:t>noviembre</w:t>
      </w:r>
      <w:r w:rsidRPr="00B642CF">
        <w:rPr>
          <w:szCs w:val="20"/>
          <w:lang w:val="es-ES"/>
        </w:rPr>
        <w:t xml:space="preserve"> de 2020.</w:t>
      </w:r>
    </w:p>
    <w:p w14:paraId="43D31F79" w14:textId="6B7855FC" w:rsidR="00480942" w:rsidRDefault="00480942">
      <w:pPr>
        <w:rPr>
          <w:lang w:val="es-CR"/>
        </w:rPr>
      </w:pPr>
    </w:p>
    <w:p w14:paraId="02878A01" w14:textId="24C5F9BE" w:rsidR="00B03973" w:rsidRDefault="00B03973">
      <w:pPr>
        <w:rPr>
          <w:lang w:val="es-CR"/>
        </w:rPr>
      </w:pPr>
    </w:p>
    <w:p w14:paraId="5A0ABC66" w14:textId="68EA85BF" w:rsidR="00B03973" w:rsidRDefault="00B03973">
      <w:pPr>
        <w:rPr>
          <w:lang w:val="es-CR"/>
        </w:rPr>
      </w:pPr>
    </w:p>
    <w:p w14:paraId="0819D16C" w14:textId="6183D853" w:rsidR="00B03973" w:rsidRDefault="00B03973">
      <w:pPr>
        <w:rPr>
          <w:lang w:val="es-CR"/>
        </w:rPr>
      </w:pPr>
    </w:p>
    <w:p w14:paraId="1A0EDBEB" w14:textId="47179233" w:rsidR="00B03973" w:rsidRDefault="00B03973">
      <w:pPr>
        <w:rPr>
          <w:lang w:val="es-CR"/>
        </w:rPr>
      </w:pPr>
    </w:p>
    <w:p w14:paraId="6E508178" w14:textId="2183DBB8" w:rsidR="00B03973" w:rsidRDefault="00B03973">
      <w:pPr>
        <w:rPr>
          <w:lang w:val="es-CR"/>
        </w:rPr>
      </w:pPr>
    </w:p>
    <w:p w14:paraId="5A90F6E3" w14:textId="065C4287" w:rsidR="00B03973" w:rsidRDefault="00B03973">
      <w:pPr>
        <w:rPr>
          <w:lang w:val="es-CR"/>
        </w:rPr>
      </w:pPr>
    </w:p>
    <w:p w14:paraId="1C70E347" w14:textId="31CBD10B" w:rsidR="00B03973" w:rsidRDefault="00B03973">
      <w:pPr>
        <w:rPr>
          <w:lang w:val="es-CR"/>
        </w:rPr>
      </w:pPr>
    </w:p>
    <w:p w14:paraId="731F59F3" w14:textId="14CAC002" w:rsidR="00B03973" w:rsidRDefault="00B03973">
      <w:pPr>
        <w:rPr>
          <w:lang w:val="es-CR"/>
        </w:rPr>
      </w:pPr>
    </w:p>
    <w:p w14:paraId="4134C29A" w14:textId="201A586D" w:rsidR="00B03973" w:rsidRDefault="00B03973">
      <w:pPr>
        <w:rPr>
          <w:lang w:val="es-CR"/>
        </w:rPr>
      </w:pPr>
    </w:p>
    <w:p w14:paraId="2DBF1634" w14:textId="16C3A31B" w:rsidR="00B03973" w:rsidRDefault="00B03973">
      <w:pPr>
        <w:rPr>
          <w:lang w:val="es-CR"/>
        </w:rPr>
      </w:pPr>
    </w:p>
    <w:p w14:paraId="6A5510F5" w14:textId="5C787226" w:rsidR="00B03973" w:rsidRDefault="00B03973">
      <w:pPr>
        <w:rPr>
          <w:lang w:val="es-CR"/>
        </w:rPr>
      </w:pPr>
    </w:p>
    <w:p w14:paraId="13C01245" w14:textId="4A899B36" w:rsidR="00B03973" w:rsidRDefault="00B03973">
      <w:pPr>
        <w:rPr>
          <w:lang w:val="es-CR"/>
        </w:rPr>
      </w:pPr>
    </w:p>
    <w:p w14:paraId="1C143EA9" w14:textId="4FB49D47" w:rsidR="00B03973" w:rsidRDefault="00B03973">
      <w:pPr>
        <w:rPr>
          <w:lang w:val="es-CR"/>
        </w:rPr>
      </w:pPr>
    </w:p>
    <w:p w14:paraId="5F029C5C" w14:textId="02356106" w:rsidR="00B03973" w:rsidRDefault="00B03973">
      <w:pPr>
        <w:rPr>
          <w:lang w:val="es-CR"/>
        </w:rPr>
      </w:pPr>
    </w:p>
    <w:p w14:paraId="54D7D05C" w14:textId="76614791" w:rsidR="00B03973" w:rsidRDefault="00B03973">
      <w:pPr>
        <w:rPr>
          <w:lang w:val="es-CR"/>
        </w:rPr>
      </w:pPr>
    </w:p>
    <w:p w14:paraId="0D0376F9" w14:textId="58F7D425" w:rsidR="00B03973" w:rsidRDefault="00B03973">
      <w:pPr>
        <w:rPr>
          <w:lang w:val="es-CR"/>
        </w:rPr>
      </w:pPr>
    </w:p>
    <w:p w14:paraId="3692774B" w14:textId="2BF748A5" w:rsidR="00B03973" w:rsidRDefault="00B03973">
      <w:pPr>
        <w:rPr>
          <w:lang w:val="es-CR"/>
        </w:rPr>
      </w:pPr>
    </w:p>
    <w:p w14:paraId="48AAB7F5" w14:textId="58601FEC" w:rsidR="00B03973" w:rsidRDefault="00B03973">
      <w:pPr>
        <w:rPr>
          <w:lang w:val="es-CR"/>
        </w:rPr>
      </w:pPr>
    </w:p>
    <w:p w14:paraId="7AB58C7A" w14:textId="21DB2C2B" w:rsidR="00B03973" w:rsidRDefault="00B03973">
      <w:pPr>
        <w:rPr>
          <w:lang w:val="es-CR"/>
        </w:rPr>
      </w:pPr>
    </w:p>
    <w:p w14:paraId="703A2D3C" w14:textId="02E638CF" w:rsidR="00B03973" w:rsidRDefault="00B03973">
      <w:pPr>
        <w:rPr>
          <w:lang w:val="es-CR"/>
        </w:rPr>
      </w:pPr>
    </w:p>
    <w:p w14:paraId="551E00CA" w14:textId="7B1129F0" w:rsidR="00B03973" w:rsidRDefault="00B03973">
      <w:pPr>
        <w:rPr>
          <w:lang w:val="es-CR"/>
        </w:rPr>
      </w:pPr>
    </w:p>
    <w:p w14:paraId="5C82C3E3" w14:textId="1FA1C44B" w:rsidR="00B03973" w:rsidRDefault="00B03973">
      <w:pPr>
        <w:rPr>
          <w:lang w:val="es-CR"/>
        </w:rPr>
      </w:pPr>
    </w:p>
    <w:p w14:paraId="1BF42925" w14:textId="00DB3741" w:rsidR="00B03973" w:rsidRDefault="00B03973">
      <w:pPr>
        <w:rPr>
          <w:lang w:val="es-CR"/>
        </w:rPr>
      </w:pPr>
    </w:p>
    <w:p w14:paraId="74E35EAD" w14:textId="51B3F72D" w:rsidR="00B03973" w:rsidRDefault="00B03973">
      <w:pPr>
        <w:rPr>
          <w:lang w:val="es-CR"/>
        </w:rPr>
      </w:pPr>
    </w:p>
    <w:p w14:paraId="001E671F" w14:textId="2966C7B6" w:rsidR="00B03973" w:rsidRDefault="00B03973">
      <w:pPr>
        <w:rPr>
          <w:lang w:val="es-CR"/>
        </w:rPr>
      </w:pPr>
    </w:p>
    <w:p w14:paraId="6708547A" w14:textId="459DBFDC" w:rsidR="00B03973" w:rsidRDefault="00B03973">
      <w:pPr>
        <w:rPr>
          <w:lang w:val="es-CR"/>
        </w:rPr>
      </w:pPr>
    </w:p>
    <w:p w14:paraId="4FD63835" w14:textId="68372890" w:rsidR="00B03973" w:rsidRDefault="00B03973">
      <w:pPr>
        <w:rPr>
          <w:lang w:val="es-CR"/>
        </w:rPr>
      </w:pPr>
    </w:p>
    <w:p w14:paraId="271BF7F4" w14:textId="770404BC" w:rsidR="00B03973" w:rsidRDefault="00B03973">
      <w:pPr>
        <w:rPr>
          <w:lang w:val="es-CR"/>
        </w:rPr>
      </w:pPr>
    </w:p>
    <w:p w14:paraId="703689DE" w14:textId="7754074D" w:rsidR="00B03973" w:rsidRDefault="00B03973">
      <w:pPr>
        <w:rPr>
          <w:lang w:val="es-CR"/>
        </w:rPr>
      </w:pPr>
    </w:p>
    <w:p w14:paraId="6DA90656" w14:textId="08650AB4" w:rsidR="00B03973" w:rsidRDefault="00B03973">
      <w:pPr>
        <w:rPr>
          <w:lang w:val="es-CR"/>
        </w:rPr>
      </w:pPr>
    </w:p>
    <w:p w14:paraId="27585FCD" w14:textId="04600F19" w:rsidR="00B03973" w:rsidRDefault="00B03973">
      <w:pPr>
        <w:rPr>
          <w:lang w:val="es-CR"/>
        </w:rPr>
      </w:pPr>
    </w:p>
    <w:p w14:paraId="742FDA77" w14:textId="6ADD03C2" w:rsidR="00B03973" w:rsidRDefault="00B03973">
      <w:pPr>
        <w:rPr>
          <w:lang w:val="es-CR"/>
        </w:rPr>
      </w:pPr>
    </w:p>
    <w:p w14:paraId="3BE6257C" w14:textId="0738D134" w:rsidR="00B03973" w:rsidRDefault="00B03973">
      <w:pPr>
        <w:rPr>
          <w:lang w:val="es-CR"/>
        </w:rPr>
      </w:pPr>
    </w:p>
    <w:p w14:paraId="29BE727C" w14:textId="0A3ADA8A" w:rsidR="00B03973" w:rsidRDefault="00B03973">
      <w:pPr>
        <w:rPr>
          <w:lang w:val="es-CR"/>
        </w:rPr>
      </w:pPr>
    </w:p>
    <w:p w14:paraId="2AF71107" w14:textId="51483D87" w:rsidR="00B03973" w:rsidRPr="00B03973" w:rsidRDefault="00B03973" w:rsidP="00B03973">
      <w:pPr>
        <w:keepNext/>
        <w:outlineLvl w:val="0"/>
        <w:rPr>
          <w:rFonts w:eastAsia="Calibri" w:cs="Arial"/>
          <w:szCs w:val="20"/>
          <w:lang w:val="es-CR"/>
        </w:rPr>
      </w:pPr>
      <w:r w:rsidRPr="009B203B">
        <w:rPr>
          <w:rFonts w:eastAsia="Calibri" w:cs="Courier New"/>
          <w:noProof/>
          <w:szCs w:val="20"/>
          <w:lang w:val="es-ES"/>
        </w:rPr>
        <w:t xml:space="preserve">Corte IDH. </w:t>
      </w:r>
      <w:r w:rsidRPr="009B203B">
        <w:rPr>
          <w:rFonts w:eastAsia="Calibri" w:cs="Arial"/>
          <w:bCs/>
          <w:i/>
          <w:szCs w:val="20"/>
          <w:lang w:val="es-ES"/>
        </w:rPr>
        <w:t xml:space="preserve">Caso Almeida Vs. </w:t>
      </w:r>
      <w:r w:rsidRPr="00B03973">
        <w:rPr>
          <w:rFonts w:eastAsia="Calibri" w:cs="Arial"/>
          <w:bCs/>
          <w:i/>
          <w:szCs w:val="20"/>
          <w:lang w:val="es-CR"/>
        </w:rPr>
        <w:t>Argentina.</w:t>
      </w:r>
      <w:r w:rsidRPr="00B03973">
        <w:rPr>
          <w:rFonts w:eastAsia="Calibri" w:cs="Arial"/>
          <w:szCs w:val="20"/>
          <w:lang w:val="es-CR"/>
        </w:rPr>
        <w:t xml:space="preserve"> Fondo, Reparaciones y Costas. </w:t>
      </w:r>
      <w:r w:rsidRPr="00B03973">
        <w:rPr>
          <w:rFonts w:eastAsia="Calibri" w:cs="Arial"/>
          <w:szCs w:val="20"/>
          <w:lang w:val="es-ES"/>
        </w:rPr>
        <w:t>Sentencia de 17 de noviembre</w:t>
      </w:r>
      <w:r w:rsidRPr="00B03973">
        <w:rPr>
          <w:rFonts w:eastAsia="Calibri" w:cs="Arial"/>
          <w:szCs w:val="20"/>
          <w:lang w:val="es-CR"/>
        </w:rPr>
        <w:t xml:space="preserve"> de 2020</w:t>
      </w:r>
      <w:r w:rsidRPr="00B03973">
        <w:rPr>
          <w:rFonts w:eastAsia="Calibri" w:cs="Arial"/>
          <w:szCs w:val="20"/>
          <w:lang w:val="es-ES"/>
        </w:rPr>
        <w:t>. Sentencia adoptada en San José, Costa Rica por medio de sesión virtual.</w:t>
      </w:r>
    </w:p>
    <w:p w14:paraId="6354F6D5" w14:textId="7E15E4F5" w:rsidR="00B03973" w:rsidRPr="00B03973" w:rsidRDefault="00B03973" w:rsidP="00B03973">
      <w:pPr>
        <w:rPr>
          <w:rFonts w:eastAsia="Calibri" w:cs="Arial"/>
          <w:szCs w:val="20"/>
          <w:lang w:val="es-CR"/>
        </w:rPr>
      </w:pPr>
    </w:p>
    <w:p w14:paraId="4D8E398C" w14:textId="0610B513" w:rsidR="00B03973" w:rsidRPr="00B03973" w:rsidRDefault="00B03973" w:rsidP="00B03973">
      <w:pPr>
        <w:rPr>
          <w:rFonts w:eastAsia="Calibri" w:cs="Arial"/>
          <w:szCs w:val="20"/>
          <w:lang w:val="es-ES"/>
        </w:rPr>
      </w:pPr>
    </w:p>
    <w:p w14:paraId="64428679" w14:textId="08DB395E" w:rsidR="00B03973" w:rsidRDefault="00B03973" w:rsidP="00B03973">
      <w:pPr>
        <w:rPr>
          <w:rFonts w:eastAsia="Calibri" w:cs="Arial"/>
          <w:szCs w:val="20"/>
          <w:lang w:val="es-ES"/>
        </w:rPr>
      </w:pPr>
    </w:p>
    <w:p w14:paraId="5D3472C9" w14:textId="77777777" w:rsidR="00B03973" w:rsidRPr="00B03973" w:rsidRDefault="00B03973" w:rsidP="00B03973">
      <w:pPr>
        <w:rPr>
          <w:rFonts w:eastAsia="Calibri" w:cs="Arial"/>
          <w:szCs w:val="20"/>
          <w:lang w:val="es-ES"/>
        </w:rPr>
      </w:pPr>
    </w:p>
    <w:p w14:paraId="672DCF42" w14:textId="77777777" w:rsidR="00B03973" w:rsidRPr="00B03973" w:rsidRDefault="00B03973" w:rsidP="00B03973">
      <w:pPr>
        <w:rPr>
          <w:rFonts w:eastAsia="Calibri" w:cs="Arial"/>
          <w:szCs w:val="20"/>
          <w:lang w:val="es-ES"/>
        </w:rPr>
      </w:pPr>
    </w:p>
    <w:p w14:paraId="6375081E" w14:textId="77777777" w:rsidR="00B03973" w:rsidRPr="00B03973" w:rsidRDefault="00B03973" w:rsidP="00B03973">
      <w:pPr>
        <w:rPr>
          <w:rFonts w:eastAsia="Calibri" w:cs="Arial"/>
          <w:szCs w:val="20"/>
          <w:lang w:val="es-ES"/>
        </w:rPr>
      </w:pPr>
    </w:p>
    <w:p w14:paraId="1BC54B61" w14:textId="4B6612AE" w:rsidR="00B03973" w:rsidRPr="00B03973" w:rsidRDefault="00B03973" w:rsidP="00B03973">
      <w:pPr>
        <w:jc w:val="center"/>
        <w:rPr>
          <w:rFonts w:eastAsia="Calibri" w:cs="Arial"/>
          <w:szCs w:val="20"/>
          <w:lang w:val="pt-BR"/>
        </w:rPr>
      </w:pPr>
      <w:r w:rsidRPr="00B03973">
        <w:rPr>
          <w:rFonts w:eastAsia="Calibri" w:cs="Arial"/>
          <w:szCs w:val="20"/>
          <w:lang w:val="pt-BR"/>
        </w:rPr>
        <w:t>Elizabeth Odio Benito</w:t>
      </w:r>
    </w:p>
    <w:p w14:paraId="7AE991F7" w14:textId="6955BA04" w:rsidR="00B03973" w:rsidRPr="00B03973" w:rsidRDefault="00B03973" w:rsidP="00B03973">
      <w:pPr>
        <w:jc w:val="center"/>
        <w:rPr>
          <w:rFonts w:eastAsia="Calibri" w:cs="Arial"/>
          <w:szCs w:val="20"/>
          <w:lang w:val="pt-BR"/>
        </w:rPr>
      </w:pPr>
      <w:r w:rsidRPr="00B03973">
        <w:rPr>
          <w:rFonts w:eastAsia="Calibri" w:cs="Arial"/>
          <w:szCs w:val="20"/>
          <w:lang w:val="pt-BR"/>
        </w:rPr>
        <w:t>Presidenta</w:t>
      </w:r>
    </w:p>
    <w:p w14:paraId="78AE9233" w14:textId="038D0215" w:rsidR="00B03973" w:rsidRDefault="00B03973" w:rsidP="00B03973">
      <w:pPr>
        <w:rPr>
          <w:rFonts w:eastAsia="Calibri" w:cs="Arial"/>
          <w:szCs w:val="20"/>
          <w:lang w:val="pt-BR"/>
        </w:rPr>
      </w:pPr>
    </w:p>
    <w:p w14:paraId="6D91A6BD" w14:textId="52222908" w:rsidR="00B03973" w:rsidRPr="00B03973" w:rsidRDefault="00B03973" w:rsidP="00B03973">
      <w:pPr>
        <w:rPr>
          <w:rFonts w:eastAsia="Calibri" w:cs="Arial"/>
          <w:szCs w:val="20"/>
          <w:lang w:val="pt-BR"/>
        </w:rPr>
      </w:pPr>
    </w:p>
    <w:p w14:paraId="07B6A42A" w14:textId="644AC672" w:rsidR="00B03973" w:rsidRPr="00B03973" w:rsidRDefault="00B03973" w:rsidP="00B03973">
      <w:pPr>
        <w:rPr>
          <w:rFonts w:eastAsia="Calibri" w:cs="Arial"/>
          <w:szCs w:val="20"/>
          <w:lang w:val="pt-BR"/>
        </w:rPr>
      </w:pPr>
    </w:p>
    <w:p w14:paraId="04C48A58" w14:textId="7BAE9BEC" w:rsidR="00B03973" w:rsidRPr="00B03973" w:rsidRDefault="00B03973" w:rsidP="00B03973">
      <w:pPr>
        <w:rPr>
          <w:rFonts w:eastAsia="Calibri" w:cs="Arial"/>
          <w:szCs w:val="20"/>
          <w:lang w:val="pt-BR"/>
        </w:rPr>
      </w:pPr>
    </w:p>
    <w:p w14:paraId="02FC1675" w14:textId="036DEA0F" w:rsidR="00B03973" w:rsidRPr="00B03973" w:rsidRDefault="00B03973" w:rsidP="00B03973">
      <w:pPr>
        <w:rPr>
          <w:rFonts w:eastAsia="Calibri" w:cs="Arial"/>
          <w:szCs w:val="20"/>
          <w:lang w:val="pt-BR"/>
        </w:rPr>
      </w:pPr>
    </w:p>
    <w:p w14:paraId="1BF63ABB" w14:textId="1BEDF9D4" w:rsidR="00B03973" w:rsidRPr="00B03973" w:rsidRDefault="00B03973" w:rsidP="00B03973">
      <w:pPr>
        <w:rPr>
          <w:rFonts w:eastAsia="Calibri" w:cs="Arial"/>
          <w:szCs w:val="20"/>
          <w:lang w:val="pt-BR"/>
        </w:rPr>
      </w:pPr>
    </w:p>
    <w:p w14:paraId="0AFB9BDC" w14:textId="4B8A399C" w:rsidR="00B03973" w:rsidRPr="00B03973" w:rsidRDefault="00B03973" w:rsidP="00B03973">
      <w:pPr>
        <w:rPr>
          <w:rFonts w:eastAsia="Calibri" w:cs="Arial"/>
          <w:szCs w:val="20"/>
          <w:lang w:val="pt-BR"/>
        </w:rPr>
      </w:pPr>
      <w:r w:rsidRPr="00B03973">
        <w:rPr>
          <w:rFonts w:eastAsia="Calibri" w:cs="Arial"/>
          <w:szCs w:val="20"/>
          <w:lang w:val="pt-BR"/>
        </w:rPr>
        <w:t>L. Patricio Pazmiño Freire</w:t>
      </w:r>
      <w:r w:rsidRPr="00B03973">
        <w:rPr>
          <w:rFonts w:eastAsia="Calibri" w:cs="Arial"/>
          <w:szCs w:val="20"/>
          <w:lang w:val="pt-BR"/>
        </w:rPr>
        <w:tab/>
      </w:r>
      <w:r w:rsidRPr="00B03973">
        <w:rPr>
          <w:rFonts w:eastAsia="Calibri" w:cs="Arial"/>
          <w:szCs w:val="20"/>
          <w:lang w:val="pt-BR"/>
        </w:rPr>
        <w:tab/>
      </w:r>
      <w:r w:rsidRPr="00B03973">
        <w:rPr>
          <w:rFonts w:eastAsia="Calibri" w:cs="Arial"/>
          <w:szCs w:val="20"/>
          <w:lang w:val="pt-BR"/>
        </w:rPr>
        <w:tab/>
      </w:r>
      <w:r w:rsidRPr="00B03973">
        <w:rPr>
          <w:rFonts w:eastAsia="Calibri" w:cs="Arial"/>
          <w:szCs w:val="20"/>
          <w:lang w:val="pt-BR"/>
        </w:rPr>
        <w:tab/>
      </w:r>
      <w:r w:rsidRPr="00B03973">
        <w:rPr>
          <w:rFonts w:eastAsia="Calibri" w:cs="Arial"/>
          <w:szCs w:val="20"/>
          <w:lang w:val="pt-BR"/>
        </w:rPr>
        <w:tab/>
        <w:t xml:space="preserve">         Humberto Antonio Sierra Porto</w:t>
      </w:r>
    </w:p>
    <w:p w14:paraId="71970FD3" w14:textId="2E6F8B01" w:rsidR="00B03973" w:rsidRPr="00B03973" w:rsidRDefault="00B03973" w:rsidP="00B03973">
      <w:pPr>
        <w:rPr>
          <w:rFonts w:eastAsia="Calibri" w:cs="Arial"/>
          <w:szCs w:val="20"/>
          <w:lang w:val="pt-BR"/>
        </w:rPr>
      </w:pPr>
    </w:p>
    <w:p w14:paraId="4B4707BD" w14:textId="3F1E72D4" w:rsidR="00B03973" w:rsidRPr="00B03973" w:rsidRDefault="00B03973" w:rsidP="00B03973">
      <w:pPr>
        <w:rPr>
          <w:rFonts w:eastAsia="Calibri" w:cs="Arial"/>
          <w:szCs w:val="20"/>
          <w:lang w:val="pt-BR"/>
        </w:rPr>
      </w:pPr>
    </w:p>
    <w:p w14:paraId="12A19045" w14:textId="77777777" w:rsidR="00B03973" w:rsidRDefault="00B03973" w:rsidP="00B03973">
      <w:pPr>
        <w:rPr>
          <w:rFonts w:eastAsia="Calibri" w:cs="Arial"/>
          <w:szCs w:val="20"/>
          <w:lang w:val="pt-BR"/>
        </w:rPr>
      </w:pPr>
    </w:p>
    <w:p w14:paraId="7F00C1B0" w14:textId="5395A1DD" w:rsidR="00B03973" w:rsidRPr="00B03973" w:rsidRDefault="00B03973" w:rsidP="00B03973">
      <w:pPr>
        <w:rPr>
          <w:rFonts w:eastAsia="Calibri" w:cs="Arial"/>
          <w:szCs w:val="20"/>
          <w:lang w:val="pt-BR"/>
        </w:rPr>
      </w:pPr>
    </w:p>
    <w:p w14:paraId="25A919C9" w14:textId="09F8CB33" w:rsidR="00B03973" w:rsidRPr="00B03973" w:rsidRDefault="00B03973" w:rsidP="00B03973">
      <w:pPr>
        <w:rPr>
          <w:rFonts w:eastAsia="Calibri" w:cs="Arial"/>
          <w:szCs w:val="20"/>
          <w:lang w:val="pt-BR"/>
        </w:rPr>
      </w:pPr>
    </w:p>
    <w:p w14:paraId="5B136995" w14:textId="5A2E4251" w:rsidR="00B03973" w:rsidRPr="00B03973" w:rsidRDefault="00B03973" w:rsidP="00B03973">
      <w:pPr>
        <w:rPr>
          <w:rFonts w:eastAsia="Calibri" w:cs="Arial"/>
          <w:szCs w:val="20"/>
          <w:lang w:val="pt-BR"/>
        </w:rPr>
      </w:pPr>
    </w:p>
    <w:p w14:paraId="3FF85E08" w14:textId="0834788A" w:rsidR="00B03973" w:rsidRPr="00B03973" w:rsidRDefault="00B03973" w:rsidP="00B03973">
      <w:pPr>
        <w:rPr>
          <w:rFonts w:eastAsia="Calibri" w:cs="Arial"/>
          <w:szCs w:val="20"/>
          <w:lang w:val="pt-BR"/>
        </w:rPr>
      </w:pPr>
      <w:r w:rsidRPr="00B03973">
        <w:rPr>
          <w:rFonts w:eastAsia="Calibri" w:cs="Arial"/>
          <w:szCs w:val="20"/>
          <w:lang w:val="pt-BR"/>
        </w:rPr>
        <w:t>Eduardo Ferrer Mac-Gregor Poisot</w:t>
      </w:r>
      <w:r w:rsidRPr="00B03973">
        <w:rPr>
          <w:rFonts w:eastAsia="Calibri" w:cs="Arial"/>
          <w:szCs w:val="20"/>
          <w:lang w:val="pt-BR"/>
        </w:rPr>
        <w:tab/>
      </w:r>
      <w:r w:rsidRPr="00B03973">
        <w:rPr>
          <w:rFonts w:eastAsia="Calibri" w:cs="Arial"/>
          <w:szCs w:val="20"/>
          <w:lang w:val="pt-BR"/>
        </w:rPr>
        <w:tab/>
      </w:r>
      <w:r w:rsidRPr="00B03973">
        <w:rPr>
          <w:rFonts w:eastAsia="Calibri" w:cs="Arial"/>
          <w:szCs w:val="20"/>
          <w:lang w:val="pt-BR"/>
        </w:rPr>
        <w:tab/>
      </w:r>
      <w:r>
        <w:rPr>
          <w:rFonts w:eastAsia="Calibri" w:cs="Arial"/>
          <w:szCs w:val="20"/>
          <w:lang w:val="pt-BR"/>
        </w:rPr>
        <w:tab/>
      </w:r>
      <w:r>
        <w:rPr>
          <w:rFonts w:eastAsia="Calibri" w:cs="Arial"/>
          <w:szCs w:val="20"/>
          <w:lang w:val="pt-BR"/>
        </w:rPr>
        <w:tab/>
        <w:t xml:space="preserve">      </w:t>
      </w:r>
      <w:r w:rsidRPr="00B03973">
        <w:rPr>
          <w:rFonts w:eastAsia="Calibri" w:cs="Arial"/>
          <w:szCs w:val="20"/>
          <w:lang w:val="pt-BR"/>
        </w:rPr>
        <w:t>Ricardo C. Pérez Manrique</w:t>
      </w:r>
    </w:p>
    <w:p w14:paraId="12C661A8" w14:textId="5845FBF9" w:rsidR="00B03973" w:rsidRPr="00B03973" w:rsidRDefault="00B03973" w:rsidP="00B03973">
      <w:pPr>
        <w:rPr>
          <w:rFonts w:eastAsia="Calibri" w:cs="Arial"/>
          <w:szCs w:val="20"/>
          <w:lang w:val="pt-BR"/>
        </w:rPr>
      </w:pPr>
    </w:p>
    <w:p w14:paraId="5F9D2C6B" w14:textId="74959ADC" w:rsidR="00B03973" w:rsidRPr="00B03973" w:rsidRDefault="00B03973" w:rsidP="00B03973">
      <w:pPr>
        <w:rPr>
          <w:rFonts w:eastAsia="Calibri" w:cs="Arial"/>
          <w:szCs w:val="20"/>
          <w:lang w:val="pt-BR"/>
        </w:rPr>
      </w:pPr>
    </w:p>
    <w:p w14:paraId="2BBDDC2A" w14:textId="54131035" w:rsidR="00B03973" w:rsidRPr="00B03973" w:rsidRDefault="00B03973" w:rsidP="00B03973">
      <w:pPr>
        <w:rPr>
          <w:rFonts w:eastAsia="Calibri" w:cs="Arial"/>
          <w:szCs w:val="20"/>
          <w:lang w:val="pt-BR"/>
        </w:rPr>
      </w:pPr>
    </w:p>
    <w:p w14:paraId="2DB40230" w14:textId="1A6EAFFD" w:rsidR="00B03973" w:rsidRPr="00B03973" w:rsidRDefault="00B03973" w:rsidP="00B03973">
      <w:pPr>
        <w:rPr>
          <w:rFonts w:eastAsia="Calibri" w:cs="Arial"/>
          <w:szCs w:val="20"/>
          <w:lang w:val="pt-BR"/>
        </w:rPr>
      </w:pPr>
    </w:p>
    <w:p w14:paraId="6C8E8E7F" w14:textId="78ACDDBC" w:rsidR="00B03973" w:rsidRPr="00B03973" w:rsidRDefault="00B03973" w:rsidP="00B03973">
      <w:pPr>
        <w:rPr>
          <w:rFonts w:eastAsia="Calibri" w:cs="Arial"/>
          <w:szCs w:val="20"/>
          <w:lang w:val="pt-BR"/>
        </w:rPr>
      </w:pPr>
    </w:p>
    <w:p w14:paraId="33FD8131" w14:textId="77777777" w:rsidR="00B03973" w:rsidRPr="00B03973" w:rsidRDefault="00B03973" w:rsidP="00B03973">
      <w:pPr>
        <w:rPr>
          <w:rFonts w:eastAsia="Calibri" w:cs="Arial"/>
          <w:szCs w:val="20"/>
          <w:lang w:val="pt-BR"/>
        </w:rPr>
      </w:pPr>
    </w:p>
    <w:p w14:paraId="1F5213BD" w14:textId="77777777" w:rsidR="00B03973" w:rsidRPr="00B03973" w:rsidRDefault="00B03973" w:rsidP="00B03973">
      <w:pPr>
        <w:jc w:val="center"/>
        <w:rPr>
          <w:rFonts w:eastAsia="Calibri" w:cs="Arial"/>
          <w:szCs w:val="20"/>
          <w:lang w:val="pt-BR"/>
        </w:rPr>
      </w:pPr>
      <w:r w:rsidRPr="00B03973">
        <w:rPr>
          <w:rFonts w:eastAsia="Calibri" w:cs="Arial"/>
          <w:szCs w:val="20"/>
          <w:lang w:val="pt-BR"/>
        </w:rPr>
        <w:t>Pablo Saavedra Alessandri</w:t>
      </w:r>
    </w:p>
    <w:p w14:paraId="2ACBF275" w14:textId="77777777" w:rsidR="00B03973" w:rsidRPr="00B03973" w:rsidRDefault="00B03973" w:rsidP="00B03973">
      <w:pPr>
        <w:jc w:val="center"/>
        <w:rPr>
          <w:rFonts w:eastAsia="Calibri" w:cs="Arial"/>
          <w:szCs w:val="20"/>
          <w:lang w:val="es-CR"/>
        </w:rPr>
      </w:pPr>
      <w:r w:rsidRPr="00B03973">
        <w:rPr>
          <w:rFonts w:eastAsia="Calibri" w:cs="Arial"/>
          <w:szCs w:val="20"/>
          <w:lang w:val="es-CR"/>
        </w:rPr>
        <w:t>Secretario</w:t>
      </w:r>
    </w:p>
    <w:p w14:paraId="6D214034" w14:textId="77777777" w:rsidR="00B03973" w:rsidRPr="00B03973" w:rsidRDefault="00B03973" w:rsidP="00B03973">
      <w:pPr>
        <w:rPr>
          <w:rFonts w:eastAsia="Calibri" w:cs="Arial"/>
          <w:szCs w:val="20"/>
          <w:lang w:val="es-CR"/>
        </w:rPr>
      </w:pPr>
    </w:p>
    <w:p w14:paraId="2FA8F298" w14:textId="77777777" w:rsidR="00B03973" w:rsidRPr="00B03973" w:rsidRDefault="00B03973" w:rsidP="00B03973">
      <w:pPr>
        <w:rPr>
          <w:rFonts w:eastAsia="Calibri" w:cs="Arial"/>
          <w:szCs w:val="20"/>
          <w:lang w:val="es-CR"/>
        </w:rPr>
      </w:pPr>
    </w:p>
    <w:p w14:paraId="7F6F73AD" w14:textId="77777777" w:rsidR="00B03973" w:rsidRPr="00B03973" w:rsidRDefault="00B03973" w:rsidP="00B03973">
      <w:pPr>
        <w:rPr>
          <w:rFonts w:eastAsia="Calibri" w:cs="Arial"/>
          <w:szCs w:val="20"/>
          <w:lang w:val="es-CR"/>
        </w:rPr>
      </w:pPr>
    </w:p>
    <w:p w14:paraId="71B5B878" w14:textId="77777777" w:rsidR="00B03973" w:rsidRPr="00B03973" w:rsidRDefault="00B03973" w:rsidP="00B03973">
      <w:pPr>
        <w:rPr>
          <w:rFonts w:eastAsia="Calibri" w:cs="Arial"/>
          <w:szCs w:val="20"/>
          <w:lang w:val="es-CR"/>
        </w:rPr>
      </w:pPr>
    </w:p>
    <w:p w14:paraId="6372C0EA" w14:textId="6000EB12" w:rsidR="00B03973" w:rsidRPr="00B03973" w:rsidRDefault="00B03973" w:rsidP="00B03973">
      <w:pPr>
        <w:rPr>
          <w:rFonts w:eastAsia="Calibri" w:cs="Arial"/>
          <w:szCs w:val="20"/>
          <w:lang w:val="es-CR"/>
        </w:rPr>
      </w:pPr>
      <w:r w:rsidRPr="00B03973">
        <w:rPr>
          <w:rFonts w:eastAsia="Calibri" w:cs="Arial"/>
          <w:szCs w:val="20"/>
          <w:lang w:val="es-CR"/>
        </w:rPr>
        <w:t>Comuníquese y ejecútese,</w:t>
      </w:r>
    </w:p>
    <w:p w14:paraId="445FAB72" w14:textId="77777777" w:rsidR="00B03973" w:rsidRPr="00B03973" w:rsidRDefault="00B03973" w:rsidP="00B03973">
      <w:pPr>
        <w:rPr>
          <w:rFonts w:eastAsia="Calibri" w:cs="Arial"/>
          <w:szCs w:val="20"/>
          <w:lang w:val="es-CR"/>
        </w:rPr>
      </w:pPr>
    </w:p>
    <w:p w14:paraId="25411779" w14:textId="77777777" w:rsidR="00B03973" w:rsidRPr="00B03973" w:rsidRDefault="00B03973" w:rsidP="00B03973">
      <w:pPr>
        <w:rPr>
          <w:rFonts w:eastAsia="Calibri" w:cs="Arial"/>
          <w:szCs w:val="20"/>
          <w:lang w:val="es-CR"/>
        </w:rPr>
      </w:pPr>
    </w:p>
    <w:p w14:paraId="4D2E3561" w14:textId="77777777" w:rsidR="00B03973" w:rsidRPr="00B03973" w:rsidRDefault="00B03973" w:rsidP="00B03973">
      <w:pPr>
        <w:rPr>
          <w:rFonts w:eastAsia="Calibri" w:cs="Arial"/>
          <w:szCs w:val="20"/>
          <w:lang w:val="es-CR"/>
        </w:rPr>
      </w:pPr>
    </w:p>
    <w:p w14:paraId="00C29B77" w14:textId="1E47006F" w:rsidR="00B03973" w:rsidRPr="00B03973" w:rsidRDefault="00B03973" w:rsidP="00B03973">
      <w:pPr>
        <w:rPr>
          <w:rFonts w:eastAsia="Calibri" w:cs="Arial"/>
          <w:szCs w:val="20"/>
          <w:lang w:val="es-CR"/>
        </w:rPr>
      </w:pPr>
    </w:p>
    <w:p w14:paraId="44D2D3CF" w14:textId="77777777" w:rsidR="00B03973" w:rsidRPr="00B03973" w:rsidRDefault="00B03973" w:rsidP="00B03973">
      <w:pPr>
        <w:ind w:left="5664"/>
        <w:jc w:val="center"/>
        <w:rPr>
          <w:rFonts w:eastAsia="Calibri" w:cs="Arial"/>
          <w:szCs w:val="20"/>
          <w:lang w:val="es-CR"/>
        </w:rPr>
      </w:pPr>
      <w:r w:rsidRPr="00B03973">
        <w:rPr>
          <w:rFonts w:eastAsia="Calibri" w:cs="Arial"/>
          <w:szCs w:val="20"/>
          <w:lang w:val="es-CR"/>
        </w:rPr>
        <w:t>Elizabeth Odio Benito</w:t>
      </w:r>
    </w:p>
    <w:p w14:paraId="67149326" w14:textId="77777777" w:rsidR="00B03973" w:rsidRPr="00B03973" w:rsidRDefault="00B03973" w:rsidP="00B03973">
      <w:pPr>
        <w:ind w:left="5664"/>
        <w:jc w:val="center"/>
        <w:rPr>
          <w:rFonts w:eastAsia="Calibri" w:cs="Arial"/>
          <w:szCs w:val="20"/>
          <w:lang w:val="pt-BR"/>
        </w:rPr>
      </w:pPr>
      <w:r w:rsidRPr="00B03973">
        <w:rPr>
          <w:rFonts w:eastAsia="Calibri" w:cs="Arial"/>
          <w:szCs w:val="20"/>
          <w:lang w:val="pt-BR"/>
        </w:rPr>
        <w:t>Presidenta</w:t>
      </w:r>
    </w:p>
    <w:p w14:paraId="1B5E1424" w14:textId="77777777" w:rsidR="00B03973" w:rsidRPr="00B03973" w:rsidRDefault="00B03973" w:rsidP="00B03973">
      <w:pPr>
        <w:rPr>
          <w:rFonts w:eastAsia="Calibri" w:cs="Arial"/>
          <w:szCs w:val="20"/>
          <w:lang w:val="pt-BR"/>
        </w:rPr>
      </w:pPr>
    </w:p>
    <w:p w14:paraId="03375BCF" w14:textId="77777777" w:rsidR="00B03973" w:rsidRPr="00B03973" w:rsidRDefault="00B03973" w:rsidP="00B03973">
      <w:pPr>
        <w:rPr>
          <w:rFonts w:eastAsia="Calibri" w:cs="Arial"/>
          <w:szCs w:val="20"/>
          <w:lang w:val="pt-BR"/>
        </w:rPr>
      </w:pPr>
    </w:p>
    <w:p w14:paraId="7DC9C68C" w14:textId="77777777" w:rsidR="00B03973" w:rsidRPr="00B03973" w:rsidRDefault="00B03973" w:rsidP="00B03973">
      <w:pPr>
        <w:rPr>
          <w:rFonts w:eastAsia="Calibri" w:cs="Arial"/>
          <w:szCs w:val="20"/>
          <w:lang w:val="pt-BR"/>
        </w:rPr>
      </w:pPr>
    </w:p>
    <w:p w14:paraId="40D2EB76" w14:textId="77777777" w:rsidR="00B03973" w:rsidRPr="00B03973" w:rsidRDefault="00B03973" w:rsidP="00B03973">
      <w:pPr>
        <w:rPr>
          <w:rFonts w:eastAsia="Calibri" w:cs="Arial"/>
          <w:szCs w:val="20"/>
          <w:lang w:val="pt-BR"/>
        </w:rPr>
      </w:pPr>
    </w:p>
    <w:p w14:paraId="769FEF59" w14:textId="77777777" w:rsidR="00B03973" w:rsidRPr="00B03973" w:rsidRDefault="00B03973" w:rsidP="00B03973">
      <w:pPr>
        <w:rPr>
          <w:rFonts w:eastAsia="Calibri" w:cs="Arial"/>
          <w:szCs w:val="20"/>
          <w:lang w:val="pt-BR"/>
        </w:rPr>
      </w:pPr>
    </w:p>
    <w:p w14:paraId="70AE0F3B" w14:textId="77777777" w:rsidR="00B03973" w:rsidRPr="00B03973" w:rsidRDefault="00B03973" w:rsidP="00B03973">
      <w:pPr>
        <w:rPr>
          <w:rFonts w:eastAsia="Calibri" w:cs="Arial"/>
          <w:szCs w:val="20"/>
          <w:lang w:val="es-ES"/>
        </w:rPr>
      </w:pPr>
      <w:r w:rsidRPr="00B03973">
        <w:rPr>
          <w:rFonts w:eastAsia="Calibri" w:cs="Arial"/>
          <w:szCs w:val="20"/>
          <w:lang w:val="es-ES"/>
        </w:rPr>
        <w:t>Pablo Saavedra Alessandri</w:t>
      </w:r>
    </w:p>
    <w:p w14:paraId="608B4BD5" w14:textId="77777777" w:rsidR="00B03973" w:rsidRPr="00B03973" w:rsidRDefault="00B03973" w:rsidP="00B03973">
      <w:pPr>
        <w:rPr>
          <w:rFonts w:eastAsia="Calibri" w:cs="Arial"/>
          <w:szCs w:val="20"/>
          <w:lang w:val="es-CR"/>
        </w:rPr>
      </w:pPr>
      <w:r w:rsidRPr="00B03973">
        <w:rPr>
          <w:rFonts w:eastAsia="Calibri" w:cs="Arial"/>
          <w:szCs w:val="20"/>
          <w:lang w:val="es-ES"/>
        </w:rPr>
        <w:tab/>
      </w:r>
      <w:r w:rsidRPr="00B03973">
        <w:rPr>
          <w:rFonts w:eastAsia="Calibri" w:cs="Arial"/>
          <w:szCs w:val="20"/>
          <w:lang w:val="es-CR"/>
        </w:rPr>
        <w:t>Secretario</w:t>
      </w:r>
    </w:p>
    <w:sectPr w:rsidR="00B03973" w:rsidRPr="00B03973" w:rsidSect="00C94F54">
      <w:type w:val="continuous"/>
      <w:pgSz w:w="12240" w:h="15840" w:code="1"/>
      <w:pgMar w:top="1418" w:right="1418" w:bottom="1418" w:left="1418" w:header="709"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9C5FD9" w14:textId="77777777" w:rsidR="00213D28" w:rsidRDefault="00213D28" w:rsidP="00705991">
      <w:r>
        <w:separator/>
      </w:r>
    </w:p>
  </w:endnote>
  <w:endnote w:type="continuationSeparator" w:id="0">
    <w:p w14:paraId="6A092370" w14:textId="77777777" w:rsidR="00213D28" w:rsidRDefault="00213D28" w:rsidP="007059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auto"/>
    <w:pitch w:val="variable"/>
    <w:sig w:usb0="E00002FF" w:usb1="5000205A"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Italic">
    <w:altName w:val="Malgun Gothic Semilight"/>
    <w:charset w:val="00"/>
    <w:family w:val="auto"/>
    <w:pitch w:val="variable"/>
    <w:sig w:usb0="A00002FF" w:usb1="7800205A" w:usb2="14600000" w:usb3="00000000" w:csb0="00000193"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New York">
    <w:panose1 w:val="02040503060506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erdana Bold">
    <w:altName w:val="Times New Roman"/>
    <w:charset w:val="00"/>
    <w:family w:val="auto"/>
    <w:pitch w:val="variable"/>
    <w:sig w:usb0="00000001"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47777986"/>
      <w:docPartObj>
        <w:docPartGallery w:val="Page Numbers (Bottom of Page)"/>
        <w:docPartUnique/>
      </w:docPartObj>
    </w:sdtPr>
    <w:sdtEndPr/>
    <w:sdtContent>
      <w:p w14:paraId="2E7D835E" w14:textId="1B8B44AA" w:rsidR="007A5E35" w:rsidRDefault="007A5E35">
        <w:pPr>
          <w:pStyle w:val="Piedepgina"/>
          <w:jc w:val="center"/>
        </w:pPr>
        <w:r>
          <w:fldChar w:fldCharType="begin"/>
        </w:r>
        <w:r>
          <w:instrText>PAGE   \* MERGEFORMAT</w:instrText>
        </w:r>
        <w:r>
          <w:fldChar w:fldCharType="separate"/>
        </w:r>
        <w:r w:rsidR="000F1805" w:rsidRPr="000F1805">
          <w:rPr>
            <w:noProof/>
            <w:lang w:val="es-ES"/>
          </w:rPr>
          <w:t>3</w:t>
        </w:r>
        <w:r>
          <w:fldChar w:fldCharType="end"/>
        </w:r>
      </w:p>
    </w:sdtContent>
  </w:sdt>
  <w:p w14:paraId="21686A73" w14:textId="77777777" w:rsidR="007A5E35" w:rsidRDefault="007A5E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237366" w14:textId="77777777" w:rsidR="00213D28" w:rsidRDefault="00213D28" w:rsidP="00705991">
      <w:r>
        <w:separator/>
      </w:r>
    </w:p>
  </w:footnote>
  <w:footnote w:type="continuationSeparator" w:id="0">
    <w:p w14:paraId="60C79E8D" w14:textId="77777777" w:rsidR="00213D28" w:rsidRDefault="00213D28" w:rsidP="00705991">
      <w:r>
        <w:continuationSeparator/>
      </w:r>
    </w:p>
  </w:footnote>
  <w:footnote w:id="1">
    <w:p w14:paraId="0397BD33" w14:textId="555C33FA" w:rsidR="007A5E35" w:rsidRPr="00B642CF" w:rsidRDefault="007A5E35" w:rsidP="00A70EC7">
      <w:pPr>
        <w:pStyle w:val="Textonotapie"/>
        <w:rPr>
          <w:szCs w:val="16"/>
          <w:lang w:val="es-ES"/>
        </w:rPr>
      </w:pPr>
      <w:r w:rsidRPr="00B642CF">
        <w:rPr>
          <w:rStyle w:val="Refdenotaalpie"/>
          <w:sz w:val="16"/>
          <w:szCs w:val="16"/>
          <w:lang w:val="es-ES"/>
        </w:rPr>
        <w:t>*</w:t>
      </w:r>
      <w:r w:rsidRPr="00B642CF">
        <w:rPr>
          <w:szCs w:val="16"/>
          <w:lang w:val="es-ES"/>
        </w:rPr>
        <w:t xml:space="preserve"> </w:t>
      </w:r>
      <w:r w:rsidRPr="00B642CF">
        <w:rPr>
          <w:szCs w:val="16"/>
          <w:lang w:val="es-ES"/>
        </w:rPr>
        <w:tab/>
        <w:t>El Juez Eduardo Vio Grossi, por razones de fuerza mayor aceptadas por el Pleno del Tribunal, no participó en la deliberación y firma de la presente Sentencia. El Juez Eugenio Raúl Zaffaroni, de nacionalidad argentina, no participó en la tramitación del presente caso ni en la deliberación y firma de esta Sentencia, de conformidad con lo dispuesto en los artículos 19.1 y 19.2 del Reglamento de la Corte.</w:t>
      </w:r>
    </w:p>
  </w:footnote>
  <w:footnote w:id="2">
    <w:p w14:paraId="186AA30F" w14:textId="373B5BF0" w:rsidR="007A5E35" w:rsidRPr="00B642CF" w:rsidRDefault="007A5E35" w:rsidP="00705991">
      <w:pPr>
        <w:pStyle w:val="Textonotapie"/>
        <w:rPr>
          <w:szCs w:val="16"/>
        </w:rPr>
      </w:pPr>
      <w:r w:rsidRPr="00B642CF">
        <w:rPr>
          <w:rStyle w:val="Refdenotaalpie"/>
          <w:sz w:val="16"/>
          <w:szCs w:val="16"/>
        </w:rPr>
        <w:t>**</w:t>
      </w:r>
      <w:r w:rsidRPr="00B642CF">
        <w:rPr>
          <w:szCs w:val="16"/>
        </w:rPr>
        <w:t xml:space="preserve"> </w:t>
      </w:r>
      <w:r w:rsidRPr="00B642CF">
        <w:rPr>
          <w:szCs w:val="16"/>
        </w:rPr>
        <w:tab/>
        <w:t>La Secretaria Adjunta, Romina I. Sijniensky, no participó en la tramitación del presente caso ni en la deliberación y firma de esta Sentencia.</w:t>
      </w:r>
    </w:p>
  </w:footnote>
  <w:footnote w:id="3">
    <w:p w14:paraId="4F789434" w14:textId="77777777" w:rsidR="007A5E35" w:rsidRPr="00B642CF" w:rsidRDefault="007A5E35" w:rsidP="00705991">
      <w:pPr>
        <w:pStyle w:val="Textonotapie"/>
        <w:rPr>
          <w:b/>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t>La Comisión concluyó que el Estado es responsable por la violación de los derechos establecidos en los artículos 8.1, 24 y 25.1 de la Convención Americana en relación con las obligaciones establecidas en los artículos 1.1 y 2 del mismo instrumento, en perjuicio de Rufino Jorge Almeida.</w:t>
      </w:r>
    </w:p>
  </w:footnote>
  <w:footnote w:id="4">
    <w:p w14:paraId="5FDA6415" w14:textId="59559D6F" w:rsidR="007A5E35" w:rsidRPr="00B642CF" w:rsidRDefault="007A5E35" w:rsidP="00705991">
      <w:pPr>
        <w:pStyle w:val="Textonotapie"/>
        <w:rPr>
          <w:szCs w:val="16"/>
        </w:rPr>
      </w:pPr>
      <w:r w:rsidRPr="00B642CF">
        <w:rPr>
          <w:rStyle w:val="Refdenotaalpie"/>
          <w:sz w:val="16"/>
          <w:szCs w:val="16"/>
        </w:rPr>
        <w:footnoteRef/>
      </w:r>
      <w:r w:rsidRPr="00B642CF">
        <w:rPr>
          <w:szCs w:val="16"/>
        </w:rPr>
        <w:t xml:space="preserve"> </w:t>
      </w:r>
      <w:r w:rsidRPr="00B642CF">
        <w:rPr>
          <w:szCs w:val="16"/>
        </w:rPr>
        <w:tab/>
        <w:t>La Comisión designó, como sus delegados ante la Corte, al entonces Comisionado José Eguiguren Praeli y al entonces Secretario Ejecutivo Paulo Abrão. Asimismo, se nombró como asesora legal a Analía Banfi Víquez, abogada de la Secretaría. Posteriormente fue designado como delegado el Comisionado Joel Hernández García en remplazo de José Eguiguren Praeli y a Paulina Corominas, entonces abogada de la Secretaría, como asesora legal.</w:t>
      </w:r>
    </w:p>
  </w:footnote>
  <w:footnote w:id="5">
    <w:p w14:paraId="583E679F" w14:textId="3A253937" w:rsidR="007A5E35" w:rsidRPr="00B642CF" w:rsidRDefault="007A5E35" w:rsidP="00705991">
      <w:pPr>
        <w:pStyle w:val="Textonotapie"/>
        <w:rPr>
          <w:b/>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r>
      <w:r>
        <w:rPr>
          <w:szCs w:val="16"/>
          <w:lang w:val="es-ES"/>
        </w:rPr>
        <w:t>A</w:t>
      </w:r>
      <w:r w:rsidRPr="00B642CF">
        <w:rPr>
          <w:szCs w:val="16"/>
          <w:lang w:val="es-ES"/>
        </w:rPr>
        <w:t xml:space="preserve">nte la Comisión, </w:t>
      </w:r>
      <w:r>
        <w:rPr>
          <w:szCs w:val="16"/>
          <w:lang w:val="es-ES"/>
        </w:rPr>
        <w:t xml:space="preserve">actuaron como </w:t>
      </w:r>
      <w:r w:rsidRPr="00B642CF">
        <w:rPr>
          <w:szCs w:val="16"/>
          <w:lang w:val="es-ES"/>
        </w:rPr>
        <w:t>representantes de la presunta víctima</w:t>
      </w:r>
      <w:r>
        <w:rPr>
          <w:szCs w:val="16"/>
          <w:lang w:val="es-ES"/>
        </w:rPr>
        <w:t xml:space="preserve"> los señores</w:t>
      </w:r>
      <w:r w:rsidRPr="00B642CF">
        <w:rPr>
          <w:szCs w:val="16"/>
          <w:lang w:val="es-ES"/>
        </w:rPr>
        <w:t xml:space="preserve"> Octavio Carsen y Myriam Carsen. Posteriormente, por razones de salud y posterior fallecimiento </w:t>
      </w:r>
      <w:r>
        <w:rPr>
          <w:szCs w:val="16"/>
          <w:lang w:val="es-ES"/>
        </w:rPr>
        <w:t>de</w:t>
      </w:r>
      <w:r w:rsidRPr="00B642CF">
        <w:rPr>
          <w:szCs w:val="16"/>
          <w:lang w:val="es-ES"/>
        </w:rPr>
        <w:t xml:space="preserve"> Octavio Carsen, por medio de nota recibida en la Secretaría de la Corte el 4 de noviembre de 2020, se precisó que la representación ante la Corte la realizó de forma exclusiva Myriam Carsen.</w:t>
      </w:r>
    </w:p>
  </w:footnote>
  <w:footnote w:id="6">
    <w:p w14:paraId="2623DF7E" w14:textId="77777777" w:rsidR="007A5E35" w:rsidRPr="00B642CF" w:rsidRDefault="007A5E35" w:rsidP="00B14E15">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t>El Estado designó como Agente titular a Alberto Javier Salgado, Director de Contencioso Internacional en Materia de Derechos Humanos del Ministerio de Relaciones Exteriores y Culto y, como Agente alterno, a Gonzalo Luis Bueno, Asesor Legal de la Dirección de Contencioso Internacional en Materia de Derechos Humanos del Ministerio de Relaciones Exteriores y Culto.</w:t>
      </w:r>
    </w:p>
  </w:footnote>
  <w:footnote w:id="7">
    <w:p w14:paraId="20E8F2AF" w14:textId="77777777" w:rsidR="007A5E35" w:rsidRPr="00B642CF" w:rsidRDefault="007A5E35" w:rsidP="009871DD">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lang w:val="es-ES"/>
        </w:rPr>
        <w:t xml:space="preserve">Cfr. </w:t>
      </w:r>
      <w:r w:rsidRPr="00B642CF">
        <w:rPr>
          <w:bCs/>
          <w:i/>
          <w:szCs w:val="16"/>
          <w:lang w:val="es-ES"/>
        </w:rPr>
        <w:t xml:space="preserve">Caso Almeida Vs. Argentina. </w:t>
      </w:r>
      <w:r w:rsidRPr="00B642CF">
        <w:rPr>
          <w:bCs/>
          <w:szCs w:val="16"/>
          <w:lang w:val="es-ES"/>
        </w:rPr>
        <w:t>Resolución de la Presidenta de la Corte Interamericana de Derechos Humanos de 30 de julio de 2020.</w:t>
      </w:r>
      <w:r w:rsidRPr="00B642CF">
        <w:rPr>
          <w:szCs w:val="16"/>
          <w:lang w:val="es-ES"/>
        </w:rPr>
        <w:t xml:space="preserve"> Disponible en: </w:t>
      </w:r>
      <w:hyperlink r:id="rId1" w:history="1">
        <w:r w:rsidRPr="00B642CF">
          <w:rPr>
            <w:rStyle w:val="Hipervnculo"/>
            <w:szCs w:val="16"/>
          </w:rPr>
          <w:t>http://www.corteidh.or.cr/docs/asuntos/almeida_30_07_20.pdf</w:t>
        </w:r>
      </w:hyperlink>
      <w:r w:rsidRPr="00B642CF">
        <w:rPr>
          <w:szCs w:val="16"/>
        </w:rPr>
        <w:t>.</w:t>
      </w:r>
      <w:r w:rsidRPr="00B642CF">
        <w:rPr>
          <w:szCs w:val="16"/>
          <w:lang w:val="es-ES"/>
        </w:rPr>
        <w:t xml:space="preserve"> </w:t>
      </w:r>
    </w:p>
  </w:footnote>
  <w:footnote w:id="8">
    <w:p w14:paraId="23B2E3A4" w14:textId="77777777" w:rsidR="007A5E35" w:rsidRPr="00B642CF" w:rsidRDefault="007A5E35" w:rsidP="009871DD">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szCs w:val="16"/>
          <w:lang w:val="es-ES"/>
        </w:rPr>
        <w:t xml:space="preserve">Se requirió la declaración de la presunta víctima, procurada de oficio por parte de la Corte, y los peritajes de Roberto P. Saba, propuesto por la Comisión y de María José Guembe, propuesto por el Estado. </w:t>
      </w:r>
    </w:p>
  </w:footnote>
  <w:footnote w:id="9">
    <w:p w14:paraId="6C7B5340" w14:textId="720CC162" w:rsidR="007A5E35" w:rsidRPr="00B642CF" w:rsidRDefault="007A5E35" w:rsidP="00705991">
      <w:pPr>
        <w:pStyle w:val="Textonotapie"/>
        <w:tabs>
          <w:tab w:val="left" w:pos="709"/>
        </w:tabs>
        <w:snapToGrid w:val="0"/>
        <w:rPr>
          <w:rFonts w:cs="Arial"/>
          <w:szCs w:val="16"/>
        </w:rPr>
      </w:pPr>
      <w:r w:rsidRPr="00B642CF">
        <w:rPr>
          <w:rStyle w:val="Refdenotaalpie"/>
          <w:sz w:val="16"/>
          <w:szCs w:val="16"/>
          <w:lang w:val="es-ES"/>
        </w:rPr>
        <w:footnoteRef/>
      </w:r>
      <w:r w:rsidRPr="00B642CF">
        <w:rPr>
          <w:szCs w:val="16"/>
          <w:lang w:val="es-ES"/>
        </w:rPr>
        <w:t xml:space="preserve"> </w:t>
      </w:r>
      <w:r w:rsidRPr="00B642CF">
        <w:rPr>
          <w:szCs w:val="16"/>
          <w:lang w:val="es-ES"/>
        </w:rPr>
        <w:tab/>
      </w:r>
      <w:r w:rsidRPr="00B642CF">
        <w:rPr>
          <w:color w:val="000000" w:themeColor="text1"/>
          <w:szCs w:val="16"/>
          <w:lang w:val="es-ES"/>
        </w:rPr>
        <w:t>Debido a las circunstancias excepcionales ocasionadas por la pandemia COVID-19, e</w:t>
      </w:r>
      <w:r w:rsidRPr="00B642CF">
        <w:rPr>
          <w:szCs w:val="16"/>
          <w:lang w:val="es-ES"/>
        </w:rPr>
        <w:t>sta Sentencia fue deliberada y aprobada durante el 138 Período Ordinario de Sesiones, el cual se llevó</w:t>
      </w:r>
      <w:r w:rsidRPr="00B642CF">
        <w:rPr>
          <w:color w:val="000000" w:themeColor="text1"/>
          <w:szCs w:val="16"/>
          <w:lang w:val="es-ES"/>
        </w:rPr>
        <w:t xml:space="preserve"> a cabo de forma no presencial utilizando medios tecnológicos, de conformidad con lo establecido en el Reglamento de la Corte. </w:t>
      </w:r>
      <w:r w:rsidRPr="00B642CF">
        <w:rPr>
          <w:rFonts w:cs="Arial"/>
          <w:szCs w:val="16"/>
        </w:rPr>
        <w:t xml:space="preserve">Ver comunicado de Prensa No. 111/2020, de 29 de octubre de 2020, disponible aquí: </w:t>
      </w:r>
      <w:hyperlink r:id="rId2" w:history="1">
        <w:r w:rsidRPr="00B642CF">
          <w:rPr>
            <w:rStyle w:val="Hipervnculo"/>
            <w:rFonts w:cs="Arial"/>
            <w:szCs w:val="16"/>
          </w:rPr>
          <w:t>http://www.corteidh.or.cr/docs/comunicados/cp_111_2020.pdf</w:t>
        </w:r>
      </w:hyperlink>
      <w:r w:rsidRPr="00B642CF">
        <w:rPr>
          <w:rFonts w:cs="Arial"/>
          <w:szCs w:val="16"/>
        </w:rPr>
        <w:t xml:space="preserve">. </w:t>
      </w:r>
    </w:p>
  </w:footnote>
  <w:footnote w:id="10">
    <w:p w14:paraId="77EC7CB6" w14:textId="646A7B1F" w:rsidR="007A5E35" w:rsidRPr="00B642CF" w:rsidRDefault="007A5E35" w:rsidP="00705991">
      <w:pPr>
        <w:pStyle w:val="Textonotapie"/>
        <w:rPr>
          <w:szCs w:val="16"/>
          <w:lang w:val="es-ES"/>
        </w:rPr>
      </w:pPr>
      <w:r w:rsidRPr="00B642CF">
        <w:rPr>
          <w:rStyle w:val="Refdenotaalpie"/>
          <w:sz w:val="16"/>
          <w:szCs w:val="16"/>
          <w:lang w:val="es-ES"/>
        </w:rPr>
        <w:footnoteRef/>
      </w:r>
      <w:r w:rsidRPr="00B03973">
        <w:rPr>
          <w:szCs w:val="16"/>
          <w:lang w:val="pt-BR"/>
        </w:rPr>
        <w:t xml:space="preserve"> </w:t>
      </w:r>
      <w:r w:rsidRPr="00B03973">
        <w:rPr>
          <w:szCs w:val="16"/>
          <w:lang w:val="pt-BR"/>
        </w:rPr>
        <w:tab/>
      </w:r>
      <w:r w:rsidRPr="00B03973">
        <w:rPr>
          <w:i/>
          <w:szCs w:val="16"/>
          <w:lang w:val="pt-BR"/>
        </w:rPr>
        <w:t xml:space="preserve">Cfr. Caso Manuel Cepeda Vargas Vs. </w:t>
      </w:r>
      <w:r w:rsidRPr="00B642CF">
        <w:rPr>
          <w:i/>
          <w:szCs w:val="16"/>
          <w:lang w:val="es-ES"/>
        </w:rPr>
        <w:t xml:space="preserve">Colombia. Excepciones Preliminares, Fondo, Reparaciones y Costas. </w:t>
      </w:r>
      <w:r w:rsidRPr="00B642CF">
        <w:rPr>
          <w:szCs w:val="16"/>
          <w:lang w:val="es-ES"/>
        </w:rPr>
        <w:t xml:space="preserve">Sentencia de 26 de mayo de 2010. Serie C No. 213, párr. 17, y </w:t>
      </w:r>
      <w:r w:rsidRPr="00B642CF">
        <w:rPr>
          <w:rStyle w:val="Textoennegrita"/>
          <w:rFonts w:eastAsiaTheme="majorEastAsia"/>
          <w:b w:val="0"/>
          <w:i/>
          <w:color w:val="000000"/>
          <w:szCs w:val="16"/>
          <w:shd w:val="clear" w:color="auto" w:fill="FFFFFF"/>
        </w:rPr>
        <w:t>Caso Fernández Prieto y Tumbeiro Vs. Argentina</w:t>
      </w:r>
      <w:r w:rsidRPr="00B642CF">
        <w:rPr>
          <w:rStyle w:val="Textoennegrita"/>
          <w:rFonts w:eastAsiaTheme="majorEastAsia"/>
          <w:b w:val="0"/>
          <w:color w:val="000000"/>
          <w:szCs w:val="16"/>
          <w:shd w:val="clear" w:color="auto" w:fill="FFFFFF"/>
        </w:rPr>
        <w:t xml:space="preserve">. </w:t>
      </w:r>
      <w:r w:rsidRPr="00B642CF">
        <w:rPr>
          <w:rStyle w:val="Textoennegrita"/>
          <w:rFonts w:eastAsiaTheme="majorEastAsia"/>
          <w:b w:val="0"/>
          <w:i/>
          <w:color w:val="000000"/>
          <w:szCs w:val="16"/>
          <w:shd w:val="clear" w:color="auto" w:fill="FFFFFF"/>
        </w:rPr>
        <w:t xml:space="preserve">Fondo y Reparaciones. </w:t>
      </w:r>
      <w:r w:rsidRPr="00B642CF">
        <w:rPr>
          <w:rStyle w:val="Textoennegrita"/>
          <w:rFonts w:eastAsiaTheme="majorEastAsia"/>
          <w:b w:val="0"/>
          <w:color w:val="000000"/>
          <w:szCs w:val="16"/>
          <w:shd w:val="clear" w:color="auto" w:fill="FFFFFF"/>
        </w:rPr>
        <w:t>Sentencia de 1 de septiembre de 2020. Serie C No. 411, párr. 19.</w:t>
      </w:r>
    </w:p>
  </w:footnote>
  <w:footnote w:id="11">
    <w:p w14:paraId="467938EB" w14:textId="449C03D0" w:rsidR="007A5E35" w:rsidRPr="00B642CF" w:rsidRDefault="007A5E35" w:rsidP="00705991">
      <w:pPr>
        <w:pStyle w:val="Textonotapie"/>
        <w:rPr>
          <w:szCs w:val="16"/>
        </w:rPr>
      </w:pPr>
      <w:r w:rsidRPr="00B642CF">
        <w:rPr>
          <w:rStyle w:val="Refdenotaalpie"/>
          <w:rFonts w:eastAsiaTheme="majorEastAsia"/>
          <w:sz w:val="16"/>
          <w:szCs w:val="16"/>
        </w:rPr>
        <w:footnoteRef/>
      </w:r>
      <w:r w:rsidRPr="00B642CF">
        <w:rPr>
          <w:szCs w:val="16"/>
        </w:rPr>
        <w:t xml:space="preserve"> </w:t>
      </w:r>
      <w:r w:rsidRPr="00B642CF">
        <w:rPr>
          <w:szCs w:val="16"/>
        </w:rPr>
        <w:tab/>
      </w:r>
      <w:r w:rsidRPr="00B642CF">
        <w:rPr>
          <w:i/>
          <w:szCs w:val="16"/>
        </w:rPr>
        <w:t>Cfr.</w:t>
      </w:r>
      <w:r w:rsidRPr="00B642CF">
        <w:rPr>
          <w:szCs w:val="16"/>
        </w:rPr>
        <w:t xml:space="preserve"> </w:t>
      </w:r>
      <w:r w:rsidRPr="00B642CF">
        <w:rPr>
          <w:rStyle w:val="Textoennegrita"/>
          <w:rFonts w:eastAsia="MS Mincho"/>
          <w:b w:val="0"/>
          <w:i/>
          <w:color w:val="000000"/>
          <w:szCs w:val="16"/>
        </w:rPr>
        <w:t>Caso Benavides Cevallos Vs. Ecuador. Fondo, Reparaciones y Costas.</w:t>
      </w:r>
      <w:r w:rsidRPr="00B642CF">
        <w:rPr>
          <w:rStyle w:val="Textoennegrita"/>
          <w:rFonts w:eastAsia="MS Mincho"/>
          <w:b w:val="0"/>
          <w:color w:val="000000"/>
          <w:szCs w:val="16"/>
        </w:rPr>
        <w:t xml:space="preserve"> Sentencia de 19 de junio de 1998. Serie C No. 38, párr. 57, </w:t>
      </w:r>
      <w:r w:rsidRPr="00B642CF">
        <w:rPr>
          <w:szCs w:val="16"/>
        </w:rPr>
        <w:t>y</w:t>
      </w:r>
      <w:r w:rsidRPr="00B642CF">
        <w:rPr>
          <w:b/>
          <w:szCs w:val="16"/>
        </w:rPr>
        <w:t xml:space="preserve"> </w:t>
      </w:r>
      <w:r w:rsidRPr="00B642CF">
        <w:rPr>
          <w:rStyle w:val="Textoennegrita"/>
          <w:rFonts w:eastAsiaTheme="majorEastAsia"/>
          <w:b w:val="0"/>
          <w:i/>
          <w:color w:val="000000"/>
          <w:szCs w:val="16"/>
          <w:shd w:val="clear" w:color="auto" w:fill="FFFFFF"/>
        </w:rPr>
        <w:t>Caso Fernández Prieto y Tumbeiro Vs. Argentina</w:t>
      </w:r>
      <w:r w:rsidRPr="00B642CF">
        <w:rPr>
          <w:rStyle w:val="Textoennegrita"/>
          <w:rFonts w:eastAsiaTheme="majorEastAsia"/>
          <w:b w:val="0"/>
          <w:color w:val="000000"/>
          <w:szCs w:val="16"/>
          <w:shd w:val="clear" w:color="auto" w:fill="FFFFFF"/>
        </w:rPr>
        <w:t xml:space="preserve">, </w:t>
      </w:r>
      <w:r w:rsidRPr="00B642CF">
        <w:rPr>
          <w:rStyle w:val="Textoennegrita"/>
          <w:rFonts w:eastAsiaTheme="majorEastAsia"/>
          <w:b w:val="0"/>
          <w:i/>
          <w:color w:val="000000"/>
          <w:szCs w:val="16"/>
          <w:shd w:val="clear" w:color="auto" w:fill="FFFFFF"/>
        </w:rPr>
        <w:t>supra</w:t>
      </w:r>
      <w:r w:rsidRPr="00B642CF">
        <w:rPr>
          <w:rStyle w:val="Textoennegrita"/>
          <w:rFonts w:eastAsiaTheme="majorEastAsia"/>
          <w:b w:val="0"/>
          <w:color w:val="000000"/>
          <w:szCs w:val="16"/>
          <w:shd w:val="clear" w:color="auto" w:fill="FFFFFF"/>
        </w:rPr>
        <w:t>, párr. 20.</w:t>
      </w:r>
    </w:p>
  </w:footnote>
  <w:footnote w:id="12">
    <w:p w14:paraId="3389714E" w14:textId="4A00DB0B" w:rsidR="007A5E35" w:rsidRPr="00B642CF" w:rsidRDefault="007A5E35" w:rsidP="00705991">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r>
      <w:r w:rsidRPr="00B642CF">
        <w:rPr>
          <w:i/>
          <w:szCs w:val="16"/>
          <w:lang w:val="es-ES"/>
        </w:rPr>
        <w:t xml:space="preserve">Cfr. Caso Tu Tojin Vs. Guatemala. Fondo, Reparaciones y Costas. </w:t>
      </w:r>
      <w:r w:rsidRPr="00B642CF">
        <w:rPr>
          <w:szCs w:val="16"/>
          <w:lang w:val="es-ES"/>
        </w:rPr>
        <w:t xml:space="preserve">Sentencia de 26 de noviembre de 2008. Serie C No. 190, párr. 26, y </w:t>
      </w:r>
      <w:r w:rsidRPr="00B642CF">
        <w:rPr>
          <w:rStyle w:val="Textoennegrita"/>
          <w:rFonts w:eastAsiaTheme="majorEastAsia"/>
          <w:b w:val="0"/>
          <w:i/>
          <w:color w:val="000000"/>
          <w:szCs w:val="16"/>
          <w:shd w:val="clear" w:color="auto" w:fill="FFFFFF"/>
        </w:rPr>
        <w:t>Caso Fernández Prieto y Tumbeiro Vs. Argentina</w:t>
      </w:r>
      <w:r w:rsidRPr="00B642CF">
        <w:rPr>
          <w:rStyle w:val="Textoennegrita"/>
          <w:rFonts w:eastAsiaTheme="majorEastAsia"/>
          <w:b w:val="0"/>
          <w:color w:val="000000"/>
          <w:szCs w:val="16"/>
          <w:shd w:val="clear" w:color="auto" w:fill="FFFFFF"/>
        </w:rPr>
        <w:t xml:space="preserve">, </w:t>
      </w:r>
      <w:r w:rsidRPr="00B642CF">
        <w:rPr>
          <w:rStyle w:val="Textoennegrita"/>
          <w:rFonts w:eastAsiaTheme="majorEastAsia"/>
          <w:b w:val="0"/>
          <w:i/>
          <w:color w:val="000000"/>
          <w:szCs w:val="16"/>
          <w:shd w:val="clear" w:color="auto" w:fill="FFFFFF"/>
        </w:rPr>
        <w:t>supra</w:t>
      </w:r>
      <w:r w:rsidRPr="00B642CF">
        <w:rPr>
          <w:rStyle w:val="Textoennegrita"/>
          <w:rFonts w:eastAsiaTheme="majorEastAsia"/>
          <w:b w:val="0"/>
          <w:color w:val="000000"/>
          <w:szCs w:val="16"/>
          <w:shd w:val="clear" w:color="auto" w:fill="FFFFFF"/>
        </w:rPr>
        <w:t>, párr. 21.</w:t>
      </w:r>
    </w:p>
  </w:footnote>
  <w:footnote w:id="13">
    <w:p w14:paraId="3ACC8053" w14:textId="0A14A438" w:rsidR="007A5E35" w:rsidRPr="00B642CF" w:rsidRDefault="007A5E35" w:rsidP="00705991">
      <w:pPr>
        <w:pStyle w:val="Textonotapie"/>
        <w:spacing w:before="40" w:after="40"/>
        <w:rPr>
          <w:szCs w:val="16"/>
        </w:rPr>
      </w:pPr>
      <w:r w:rsidRPr="00B642CF">
        <w:rPr>
          <w:rStyle w:val="Refdenotaalpie"/>
          <w:rFonts w:eastAsiaTheme="majorEastAsia"/>
          <w:sz w:val="16"/>
          <w:szCs w:val="16"/>
        </w:rPr>
        <w:footnoteRef/>
      </w:r>
      <w:r w:rsidRPr="00B642CF">
        <w:rPr>
          <w:szCs w:val="16"/>
        </w:rPr>
        <w:t xml:space="preserve"> </w:t>
      </w:r>
      <w:r w:rsidRPr="00B642CF">
        <w:rPr>
          <w:szCs w:val="16"/>
        </w:rPr>
        <w:tab/>
        <w:t xml:space="preserve">La prueba documental puede ser presentada, en general y de conformidad con el artículo 57.2 del Reglamento, junto con los escritos de sometimiento del caso, de solicitudes y argumentos o de contestación, según corresponda, y no es admisible la prueba remitida fuera de esas oportunidades procesales, salvo en las excepciones establecidas en el referido artículo 57.2 del Reglamento (a saber, fuerza mayor, impedimento grave) o salvo si se tratara de un hecho superviniente, es decir, ocurrido con posterioridad a los citados momentos procesales. </w:t>
      </w:r>
      <w:r w:rsidRPr="00B642CF">
        <w:rPr>
          <w:i/>
          <w:szCs w:val="16"/>
        </w:rPr>
        <w:t>Cfr.</w:t>
      </w:r>
      <w:r w:rsidRPr="00B642CF">
        <w:rPr>
          <w:szCs w:val="16"/>
        </w:rPr>
        <w:t xml:space="preserve"> </w:t>
      </w:r>
      <w:r w:rsidRPr="00B642CF">
        <w:rPr>
          <w:i/>
          <w:szCs w:val="16"/>
        </w:rPr>
        <w:t xml:space="preserve">Caso Familia Barrios Vs. Venezuela. Fondo, Reparaciones y Costas. </w:t>
      </w:r>
      <w:r w:rsidRPr="00B642CF">
        <w:rPr>
          <w:szCs w:val="16"/>
        </w:rPr>
        <w:t xml:space="preserve">Sentencia de 24 de noviembre de 2011. Serie C No. 237, párrs. 17 y 18, y </w:t>
      </w:r>
      <w:r w:rsidRPr="00B642CF">
        <w:rPr>
          <w:rStyle w:val="Textoennegrita"/>
          <w:rFonts w:eastAsiaTheme="majorEastAsia"/>
          <w:b w:val="0"/>
          <w:i/>
          <w:color w:val="000000"/>
          <w:szCs w:val="16"/>
          <w:shd w:val="clear" w:color="auto" w:fill="FFFFFF"/>
        </w:rPr>
        <w:t xml:space="preserve">Caso </w:t>
      </w:r>
      <w:r>
        <w:rPr>
          <w:rStyle w:val="Textoennegrita"/>
          <w:rFonts w:eastAsiaTheme="majorEastAsia"/>
          <w:b w:val="0"/>
          <w:i/>
          <w:color w:val="000000"/>
          <w:szCs w:val="16"/>
          <w:shd w:val="clear" w:color="auto" w:fill="FFFFFF"/>
        </w:rPr>
        <w:t xml:space="preserve">Olivares Muñoz y otros Vs. Venezuela. Fondo, Reparaciones y Costas. </w:t>
      </w:r>
      <w:r>
        <w:rPr>
          <w:rStyle w:val="Textoennegrita"/>
          <w:rFonts w:eastAsiaTheme="majorEastAsia"/>
          <w:b w:val="0"/>
          <w:color w:val="000000"/>
          <w:szCs w:val="16"/>
          <w:shd w:val="clear" w:color="auto" w:fill="FFFFFF"/>
        </w:rPr>
        <w:t>Sentencia de 10 de noviembre de 2020. Serie C No. 415, párr. 39</w:t>
      </w:r>
      <w:r w:rsidRPr="00B642CF">
        <w:rPr>
          <w:rStyle w:val="Textoennegrita"/>
          <w:b w:val="0"/>
          <w:i/>
          <w:szCs w:val="16"/>
          <w:shd w:val="clear" w:color="auto" w:fill="FFFFFF"/>
        </w:rPr>
        <w:t>.</w:t>
      </w:r>
    </w:p>
  </w:footnote>
  <w:footnote w:id="14">
    <w:p w14:paraId="5263B277" w14:textId="5DB2B295"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t xml:space="preserve">Junto con las observaciones al reconocimiento, la representante presentó copia de algunas páginas de la sentencia del Juzgado Nacional en lo Criminal y Correccional Federal No. 3 en la causa No. 14.216/03 caratulada “Suárez Mason Carlos y otros sobre privación ilegal de la libertad” en donde se menciona el testimonio del Señor Almeida (expediente de prueba, folios 1397-1402); </w:t>
      </w:r>
      <w:r w:rsidRPr="00B642CF">
        <w:rPr>
          <w:szCs w:val="16"/>
        </w:rPr>
        <w:tab/>
        <w:t>copia del recurso presentado por el Director General de Asuntos Jurídicos del Ministerio de Justicia y Derechos Humanos en el expediente CUDAP S04:0054313/2012 (expediente de fondo, folios 1404-1413); copia del Informe Técnico No. 294/14 del 22 de Diciembre de 2014 presentado por la Coordinadora de la Ley 24.043 de la Secretaría de Derechos Humanos ante el Ministerio de Justicia y Derechos Humanos en el marco del expediente S04:005413/12 (expediente de prueba, folios 1414-1418); copia de la Resolución de la Cámara Contencioso-Administrativo Federal (Sala IV) del 17 de octubre de 2017, en el marco del expediente No. 29745/2017/CA1 (expediente de prueba, folios 1419-1430); copia de la resolución del 17 de abril de 2018, por medio de la cual la Corte Suprema de la Nación declaró inadmisible el recurso extraordinario promovido en el marco del expediente 29745/2017/RH1 (expediente de prueba, folio 1431); copia del Dictamen Jurídico No. IF-2018-30923206-APN-DGAJ#MJ del 29 de junio de 2018 (expedien</w:t>
      </w:r>
      <w:r>
        <w:rPr>
          <w:szCs w:val="16"/>
        </w:rPr>
        <w:t>te de prueba, folios 1434-1435), y</w:t>
      </w:r>
      <w:r w:rsidRPr="00B642CF">
        <w:rPr>
          <w:szCs w:val="16"/>
        </w:rPr>
        <w:t xml:space="preserve"> Recurso planteado ante el Ministro de Justicia y Derechos Humanos el 5 de noviembre de 2019 en el marco del expediente No. S04:55830/2016 (expediente de prueba, folios 1436-1456).</w:t>
      </w:r>
    </w:p>
    <w:p w14:paraId="55C24F8D" w14:textId="184C4DF2" w:rsidR="007A5E35" w:rsidRPr="00B642CF" w:rsidRDefault="007A5E35">
      <w:pPr>
        <w:pStyle w:val="Textonotapie"/>
        <w:rPr>
          <w:szCs w:val="16"/>
        </w:rPr>
      </w:pPr>
      <w:r w:rsidRPr="00B642CF">
        <w:rPr>
          <w:szCs w:val="16"/>
        </w:rPr>
        <w:t>Por otra parte, junto con sus alegatos finales la representante presentó como prueba el informe jurídico de un amparo por mora (expediente de prueba, folios 1538-1545); copia de la Ley No. 26913 sobre Régimen Reparatorio para ex Presos Políticos de la República Argentina de 27 de noviembre de 2013 (expediente de prueba, folios 1546-1548); el recurso de queja presentado por J.A.B. ante la Corte Suprema de Justicia de la Nación (expediente de prueba, folios 1549-1559); copia del Decreto No. 1058/2014  que reglamenta la Ley No. 26913 (expediente de prueba, folios 1560-1563); la Sentencia de la Corte Suprema de Justicia de la Nación en el caso de J.A.B. (expediente de prueba, folios 1564-1565), y la Sentencia de la Cámara Contencioso Administrativo Federal en el caso de J.A.B. (expediente de prueba, folios 1566-1576).</w:t>
      </w:r>
    </w:p>
  </w:footnote>
  <w:footnote w:id="15">
    <w:p w14:paraId="1A72C9A3" w14:textId="030DD951" w:rsidR="007A5E35" w:rsidRPr="00B642CF" w:rsidRDefault="007A5E35" w:rsidP="00705991">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t>La Corte recibió la declaración rendida ante fedatario público (affidávit) de Rufino Jorge Almeida, procurada de oficio por parte de la Corte, además de los peritajes de Roberto P. Saba y María José Guembe, ofrecidos, respectivamente, por la Comisión y por el Estado.</w:t>
      </w:r>
    </w:p>
  </w:footnote>
  <w:footnote w:id="16">
    <w:p w14:paraId="40AE3DE5" w14:textId="6207B92A" w:rsidR="007A5E35" w:rsidRPr="00B642CF" w:rsidRDefault="007A5E35" w:rsidP="00705991">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r>
      <w:r w:rsidRPr="00B642CF">
        <w:rPr>
          <w:i/>
          <w:szCs w:val="16"/>
          <w:lang w:val="es-ES"/>
        </w:rPr>
        <w:t xml:space="preserve">Cfr. Caso “Cinco Pensionistas” Vs. Perú. Fondo, Reparaciones y Costas. </w:t>
      </w:r>
      <w:r w:rsidRPr="00B642CF">
        <w:rPr>
          <w:szCs w:val="16"/>
          <w:lang w:val="es-ES"/>
        </w:rPr>
        <w:t xml:space="preserve">Sentencia de 28 de febrero de 2003. Serie C No. 98, párr. 153, y </w:t>
      </w:r>
      <w:r w:rsidRPr="00B642CF">
        <w:rPr>
          <w:i/>
          <w:szCs w:val="16"/>
          <w:lang w:val="es-ES"/>
        </w:rPr>
        <w:t xml:space="preserve">Caso Acosta Martínez y otros Vs. Argentina. Fondo, Reparaciones y Costas. </w:t>
      </w:r>
      <w:r w:rsidRPr="00B642CF">
        <w:rPr>
          <w:szCs w:val="16"/>
          <w:lang w:val="es-ES"/>
        </w:rPr>
        <w:t>Sentencia de 31 de agosto de 2020. Serie C No. 410</w:t>
      </w:r>
      <w:r w:rsidRPr="00B642CF">
        <w:rPr>
          <w:i/>
          <w:szCs w:val="16"/>
          <w:lang w:val="es-ES"/>
        </w:rPr>
        <w:t xml:space="preserve">, </w:t>
      </w:r>
      <w:r w:rsidRPr="00B642CF">
        <w:rPr>
          <w:szCs w:val="16"/>
          <w:lang w:val="es-ES"/>
        </w:rPr>
        <w:t>párr. 30.</w:t>
      </w:r>
    </w:p>
  </w:footnote>
  <w:footnote w:id="17">
    <w:p w14:paraId="674A6C87"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Peritaje rendido ante fedatario público por María José Guembe el 26 de agosto de 2020 (expediente de prueba, folio 1468).</w:t>
      </w:r>
    </w:p>
  </w:footnote>
  <w:footnote w:id="18">
    <w:p w14:paraId="2D32718D" w14:textId="77E57D0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Ley No. 23.053 del 22 de febrero de 1984 que aprobó la reincorporación del personal del Servicio Exterior; Ley No. 23.117 del 30 de septiembre de 1984 sobre la incorporación de trabajadores, despedidos o cesanteados de las empresas mixtas del Estado, por razones po</w:t>
      </w:r>
      <w:r>
        <w:rPr>
          <w:szCs w:val="16"/>
        </w:rPr>
        <w:t>líticas, gremiales o sociales; L</w:t>
      </w:r>
      <w:r w:rsidRPr="00B642CF">
        <w:rPr>
          <w:szCs w:val="16"/>
        </w:rPr>
        <w:t>ey No. 23.238 del 10 de septiembre de 1985 sobre la reincorporación de docentes dejados cesantes; Ley No. 23.523 del 24 de junio de 1988 que permitió el reingreso de agentes bancarios dejados cesantes por causas políticas o gremiales, y la Ley No. 23.278 del 28 de septiembre de 1985 que dispuso el cómputo del período de inactividad para los efectos de jubilación de aquellas personas que, por motivos políticos o gremiales, fueron dejados cesantes, declarados prescindibles o forzadas a renunciar a sus cargos públicos o privados o que se vieron obligados a exilarse (Peritaje rendido ante fedatario público por María José Guembe el 26 de agosto de 2020, expediente de prueba, folios 1470-1471).</w:t>
      </w:r>
    </w:p>
  </w:footnote>
  <w:footnote w:id="19">
    <w:p w14:paraId="033B0764" w14:textId="57BE7F9B"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 xml:space="preserve">Ley No. 23.466 del 10 de diciembre de 1986 que otorga una pensión para los derechohabientes de las personas desaparecidas entre el 24 de marzo de </w:t>
      </w:r>
      <w:r>
        <w:rPr>
          <w:szCs w:val="16"/>
        </w:rPr>
        <w:t>1976 y el 9 de diciembre de 1983</w:t>
      </w:r>
      <w:r w:rsidRPr="00B642CF">
        <w:rPr>
          <w:szCs w:val="16"/>
        </w:rPr>
        <w:t xml:space="preserve"> (Peritaje rendido ante fedatario público por María José Guembe el 26 de agosto de 2020, expediente de prueba, folio 1471).</w:t>
      </w:r>
    </w:p>
  </w:footnote>
  <w:footnote w:id="20">
    <w:p w14:paraId="0A9740A7" w14:textId="7EA82419"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Comisión IDH, Informe No. 1/93 sobre solución amistosa respecto de los casos 10.288, 10.310, 10.436, 10.496, 10.631 y 10.771 de 3 de marzo de 1993.</w:t>
      </w:r>
    </w:p>
  </w:footnote>
  <w:footnote w:id="21">
    <w:p w14:paraId="6797F86C" w14:textId="7C943D9D"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Decreto No. 70/91 del 10 de enero de 1991, por el que se establecieron beneficios para aquellas personas que hubieran sido puestas a disposición del Poder Ejecutivo Nacional por acto emanado de éste, antes del 10 de diciembre de 1983 y que, habiendo iniciado juicio por indemnización por daños y perjuicios por tal motivo antes del 10 de septiembre de 1985, no hubieran obtenido satisfacción por haberse hecho lugar a la prescripción por medio de sentencia firme (expediente de prueba, folio 405).</w:t>
      </w:r>
    </w:p>
  </w:footnote>
  <w:footnote w:id="22">
    <w:p w14:paraId="4C222915" w14:textId="78B592D3"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Cfr.</w:t>
      </w:r>
      <w:r w:rsidRPr="00B642CF">
        <w:rPr>
          <w:szCs w:val="16"/>
        </w:rPr>
        <w:t xml:space="preserve"> Expediente de prueba, folios 410 y 411.</w:t>
      </w:r>
    </w:p>
  </w:footnote>
  <w:footnote w:id="23">
    <w:p w14:paraId="558EDDB9" w14:textId="7CD4C6D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Ley No. 25.914 del 4 de agosto de 2004 por la qu</w:t>
      </w:r>
      <w:r>
        <w:rPr>
          <w:szCs w:val="16"/>
        </w:rPr>
        <w:t>e se establecen beneficios para</w:t>
      </w:r>
      <w:r w:rsidRPr="00B642CF">
        <w:rPr>
          <w:szCs w:val="16"/>
        </w:rPr>
        <w:t xml:space="preserve"> las personas que hubieren nacido durante la privación de la libertad de sus madres, o que, siendo menores hubiesen permanecido detenidos en relación a sus padres, siempre que cualquiera de éstos hubiese estado detenido y/o desparecido por razones políticas, ya sea a disposición del PEN y/o tribunales militares; Ley No. 24.411 del 7 de diciembre de 1994 que establece los beneficios que tendrán derecho a percibir por medio de sus causahabientes las personas que se encuentran en situación y de desaparición forzada, y Ley No. 26.913 del 27 de noviembre de 2013 que establece un régimen reparatorio para ex presos políticos (Peritaje rendido ante fedatario público por María José Guembe el 26 de agosto de 2020, expediente de prueba, folios 1469 y 1480 a 1486).</w:t>
      </w:r>
    </w:p>
  </w:footnote>
  <w:footnote w:id="24">
    <w:p w14:paraId="64DCECE7"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Peritaje rendido ante fedatario público por María José Guembe el 26 de agosto de 2020 (expediente de prueba, folio 1486).</w:t>
      </w:r>
    </w:p>
  </w:footnote>
  <w:footnote w:id="25">
    <w:p w14:paraId="6A893FB1" w14:textId="0FE30E04"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Declaración rendida ante la Cámara Penal por Rufino Jorge Almeida el 13 de marzo de 1987 en la causa “Suarez Mason, Carlos Guillermo y otros, s/ Homicidio y privación ilegal de libertad</w:t>
      </w:r>
      <w:r>
        <w:rPr>
          <w:szCs w:val="16"/>
        </w:rPr>
        <w:t>”</w:t>
      </w:r>
      <w:r w:rsidRPr="00B642CF">
        <w:rPr>
          <w:szCs w:val="16"/>
        </w:rPr>
        <w:t xml:space="preserve"> (expediente de prueba, folios 3 a 24).</w:t>
      </w:r>
    </w:p>
  </w:footnote>
  <w:footnote w:id="26">
    <w:p w14:paraId="2E5D6575"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Certificación dada por el Presidente de la Cámara Nacional de Apelaciones a la Subsecretaria de Derechos Humanos el 24 de junio de 1996 (expediente de prueba, folio 663).</w:t>
      </w:r>
    </w:p>
  </w:footnote>
  <w:footnote w:id="27">
    <w:p w14:paraId="500A1285" w14:textId="2A944E68"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 xml:space="preserve">Declaración rendida ante la Cámara Penal por Rufino Jorge Almeida el 13 de marzo de 1987 en la causa </w:t>
      </w:r>
      <w:r>
        <w:rPr>
          <w:szCs w:val="16"/>
        </w:rPr>
        <w:t>“</w:t>
      </w:r>
      <w:r w:rsidRPr="00B642CF">
        <w:rPr>
          <w:szCs w:val="16"/>
        </w:rPr>
        <w:t>Suarez Mason, Carlos Guillermo y otros, s/ Homicidio y privación ilegal de libertad</w:t>
      </w:r>
      <w:r>
        <w:rPr>
          <w:szCs w:val="16"/>
        </w:rPr>
        <w:t>”</w:t>
      </w:r>
      <w:r w:rsidRPr="00B642CF">
        <w:rPr>
          <w:szCs w:val="16"/>
        </w:rPr>
        <w:t xml:space="preserve"> (expediente de prueba, folios 3 a 24).</w:t>
      </w:r>
    </w:p>
  </w:footnote>
  <w:footnote w:id="28">
    <w:p w14:paraId="2D754A11"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Petición presentada ante la Comisión, 26 de junio de 2000 (expediente de prueba, folio 280).</w:t>
      </w:r>
    </w:p>
  </w:footnote>
  <w:footnote w:id="29">
    <w:p w14:paraId="094033B7" w14:textId="6FE4110C"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 xml:space="preserve">Declaración rendida ante la Cámara Penal por Rufino Jorge Almeida el 13 de marzo de 1987 en la causa </w:t>
      </w:r>
      <w:r>
        <w:rPr>
          <w:szCs w:val="16"/>
        </w:rPr>
        <w:t>“</w:t>
      </w:r>
      <w:r w:rsidRPr="00B642CF">
        <w:rPr>
          <w:szCs w:val="16"/>
        </w:rPr>
        <w:t>Suarez Mason, Carlos Guillermo y otros, s/ Homicidio y privación ilegal de libertad</w:t>
      </w:r>
      <w:r>
        <w:rPr>
          <w:szCs w:val="16"/>
        </w:rPr>
        <w:t>”</w:t>
      </w:r>
      <w:r w:rsidRPr="00B642CF">
        <w:rPr>
          <w:szCs w:val="16"/>
        </w:rPr>
        <w:t xml:space="preserve"> (expediente de prueba, folio 14).</w:t>
      </w:r>
    </w:p>
  </w:footnote>
  <w:footnote w:id="30">
    <w:p w14:paraId="07A7282D"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Copia de la solicitud presentada a la Dirección Nacional de Derechos Humanos el 21 de febrero de 1995 por el señor Rufino Jorge Almeida (expediente de prueba, folios 657 y 658).</w:t>
      </w:r>
    </w:p>
  </w:footnote>
  <w:footnote w:id="31">
    <w:p w14:paraId="32BCEA17"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Dictamen de la Subsecretaria de Derechos Humanos y Sociales del 3 de julio de 1996 (expediente de prueba, folio 664 y 665).</w:t>
      </w:r>
    </w:p>
  </w:footnote>
  <w:footnote w:id="32">
    <w:p w14:paraId="146D407C"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 xml:space="preserve">Resolución del Ministerio del Interior del 3 de octubre de 1996, No. 2638/96 (expediente de prueba, folios 669 a 671). </w:t>
      </w:r>
    </w:p>
  </w:footnote>
  <w:footnote w:id="33">
    <w:p w14:paraId="3E4F9D81" w14:textId="79A4880D"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Cédula de notificación del 8 de octubre de 1996 (expediente de prueba, folios 676 a 678).</w:t>
      </w:r>
    </w:p>
  </w:footnote>
  <w:footnote w:id="34">
    <w:p w14:paraId="0F5A2A25" w14:textId="2E85E50B"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Recurso de apelación y solicitud de elevación de las actuaciones a la Cámara Nacional en lo Contencioso Administrativo Federal presentado ante el Ministro del Interior por Rufino Jorge Almeida el 6 de noviembr</w:t>
      </w:r>
      <w:r>
        <w:rPr>
          <w:szCs w:val="16"/>
        </w:rPr>
        <w:t>e de 1996 (expediente de prueba</w:t>
      </w:r>
      <w:r w:rsidRPr="00B642CF">
        <w:rPr>
          <w:szCs w:val="16"/>
        </w:rPr>
        <w:t>, folios 362 a 368).</w:t>
      </w:r>
    </w:p>
  </w:footnote>
  <w:footnote w:id="35">
    <w:p w14:paraId="6601491B" w14:textId="19DD8E62"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t>El Acta Institucional de 1 de septiembre de 1977 con referencia a las facultades que otorga y a los derechos que consagra el artículo 23 de la Constitución sobre el Estado de Sitio y que estableció que el arresto dispuesto por el Presidente de la Nación podía cumplirse en establecimiento penal o carcelario; en establecimiento militar o de las fuerzas de seguridad, en el lugar que en cada caso se determine, fijando los límites de desplazamiento del arrestado, bajo un régimen de libertad vigilada, y en el propio domicilio del arrestado. Mediante la Ley No. 21.650 se reglamentó esta Acta, en particular las condiciones para el régimen de libertad vigilada (artículo 5), a saber, que el decreto del Presidente que disponga esa forma de complimiento del arresto indicará; a) el lugar donde deberá permanecer el arrestado; b) los límites geográficos dentro de los cuales podrá desplazarse, y c) la autoridad militar, de seguridad o policial ante la cual el arrestado deberá dar cumplimiento de la medida.</w:t>
      </w:r>
    </w:p>
  </w:footnote>
  <w:footnote w:id="36">
    <w:p w14:paraId="110F7D79" w14:textId="3F213F10"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t>Resolución emitida por la Cámara Nacional en lo Contencioso Administrativo Federal el 25 de marzo de 1999 (expediente de prueba, folio 371).</w:t>
      </w:r>
    </w:p>
  </w:footnote>
  <w:footnote w:id="37">
    <w:p w14:paraId="1A4D4EFF"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Recurso presentado ante la Corte Suprema de la Nación por Rufino Jorge Almeida el 22 de abril de 1999 (expediente de prueba, folio 375).</w:t>
      </w:r>
    </w:p>
  </w:footnote>
  <w:footnote w:id="38">
    <w:p w14:paraId="22DC3D6B" w14:textId="6B15A9DE"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t>Sentencia emitida por la Corte Suprema de Justicia el 15 de julio de 1997, caso “Noro, Horacio José c. Ministerio del Interior” (expediente de prueba, folios 50 a 52).</w:t>
      </w:r>
    </w:p>
  </w:footnote>
  <w:footnote w:id="39">
    <w:p w14:paraId="762CEEDC"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t>Resolución emitida por la Cámara Nacional en lo Contencioso Administrativo Federal el 8 de junio de 1999 (expediente de prueba, folio 61).</w:t>
      </w:r>
    </w:p>
  </w:footnote>
  <w:footnote w:id="40">
    <w:p w14:paraId="34D46895"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Copia del recurso de queja presentado por Rufino Jorge Almeida ante la Corte Suprema de Justicia de la Nación el 7 de julio de 1999 (expediente de prueba, folios 64 a 73).</w:t>
      </w:r>
    </w:p>
  </w:footnote>
  <w:footnote w:id="41">
    <w:p w14:paraId="53BCDCF1"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Resolución de la Corte Suprema de Justicia de la Nación de 2 de diciembre de 1999 (expediente de prueba, folio 75).</w:t>
      </w:r>
    </w:p>
  </w:footnote>
  <w:footnote w:id="42">
    <w:p w14:paraId="0F74E7F7" w14:textId="4BDB3AF0" w:rsidR="007A5E35" w:rsidRPr="00B642CF" w:rsidRDefault="007A5E35" w:rsidP="00C32774">
      <w:pPr>
        <w:pStyle w:val="Textonotapie"/>
        <w:spacing w:before="240"/>
        <w:rPr>
          <w:szCs w:val="16"/>
        </w:rPr>
      </w:pPr>
      <w:r w:rsidRPr="00B642CF">
        <w:rPr>
          <w:rStyle w:val="Refdenotaalpie"/>
          <w:sz w:val="16"/>
          <w:szCs w:val="16"/>
        </w:rPr>
        <w:footnoteRef/>
      </w:r>
      <w:r w:rsidRPr="00B642CF">
        <w:rPr>
          <w:szCs w:val="16"/>
        </w:rPr>
        <w:t xml:space="preserve"> </w:t>
      </w:r>
      <w:r w:rsidRPr="00B642CF">
        <w:rPr>
          <w:szCs w:val="16"/>
        </w:rPr>
        <w:tab/>
        <w:t xml:space="preserve">Sentencia de la Cámara Nacional en lo Contencioso Administrativo del 28 de noviembre de 2003 en el caso </w:t>
      </w:r>
      <w:r>
        <w:rPr>
          <w:szCs w:val="16"/>
        </w:rPr>
        <w:t>“</w:t>
      </w:r>
      <w:r w:rsidRPr="00B642CF">
        <w:rPr>
          <w:szCs w:val="16"/>
        </w:rPr>
        <w:t>Robasto, Jorge Enrique c. Ministerio de Justicia y Derechos Humanos</w:t>
      </w:r>
      <w:r>
        <w:rPr>
          <w:szCs w:val="16"/>
        </w:rPr>
        <w:t>”</w:t>
      </w:r>
      <w:r w:rsidRPr="00B642CF">
        <w:rPr>
          <w:szCs w:val="16"/>
        </w:rPr>
        <w:t xml:space="preserve"> (causa No. 143625/2002) (expediente de prueba, folios 77 a 81)</w:t>
      </w:r>
    </w:p>
  </w:footnote>
  <w:footnote w:id="43">
    <w:p w14:paraId="12F39D1D"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Escrito presentado ante el Ministerio de Justicia y Derechos Humanos por Rufino Jorge Almeida el 28 de marzo de 2006 (expediente de prueba, folios 1065 a 1068).</w:t>
      </w:r>
    </w:p>
  </w:footnote>
  <w:footnote w:id="44">
    <w:p w14:paraId="26DF25B9"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Resolución No. 1243 emitida por el Ministerio de Justicia y Derechos Humanos el 14 de agosto de 2006 (expediente de prueba, folios 1069 a 1071).</w:t>
      </w:r>
    </w:p>
  </w:footnote>
  <w:footnote w:id="45">
    <w:p w14:paraId="59B6E8EC" w14:textId="2B2130A9"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Cfr.</w:t>
      </w:r>
      <w:r w:rsidRPr="00B642CF">
        <w:rPr>
          <w:szCs w:val="16"/>
        </w:rPr>
        <w:t xml:space="preserve"> Recurso presentado ante el Ministerio de Justicia y Derechos Humanos por Rufino Jorge Almeida el 29 de agosto de 2006 (expediente de prueba, folios 1078 a 1086).</w:t>
      </w:r>
    </w:p>
  </w:footnote>
  <w:footnote w:id="46">
    <w:p w14:paraId="591280D9"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t>Resolución del Ministerio de Justicia y Derechos Humanos del 25 de septiembre de 2006 (expediente de prueba, folios 1093 a 1095).</w:t>
      </w:r>
    </w:p>
  </w:footnote>
  <w:footnote w:id="47">
    <w:p w14:paraId="35E5D9E0" w14:textId="77777777"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szCs w:val="16"/>
        </w:rPr>
        <w:t>Resolución del Ministerio de Justicia y Derechos Humanos del 22 de mayo de 2015 (expediente de prueba, folios 83 a 85).</w:t>
      </w:r>
    </w:p>
  </w:footnote>
  <w:footnote w:id="48">
    <w:p w14:paraId="15FE703C" w14:textId="15210F0A" w:rsidR="007A5E35" w:rsidRPr="007A5E35" w:rsidRDefault="007A5E35">
      <w:pPr>
        <w:pStyle w:val="Textonotapie"/>
        <w:rPr>
          <w:szCs w:val="16"/>
        </w:rPr>
      </w:pPr>
      <w:r w:rsidRPr="007A5E35">
        <w:rPr>
          <w:rStyle w:val="Refdenotaalpie"/>
          <w:sz w:val="16"/>
          <w:szCs w:val="16"/>
        </w:rPr>
        <w:footnoteRef/>
      </w:r>
      <w:r w:rsidRPr="007A5E35">
        <w:rPr>
          <w:szCs w:val="16"/>
        </w:rPr>
        <w:t xml:space="preserve"> </w:t>
      </w:r>
      <w:r>
        <w:rPr>
          <w:szCs w:val="16"/>
        </w:rPr>
        <w:tab/>
        <w:t>Artículo 8.1 de la Convención.</w:t>
      </w:r>
    </w:p>
  </w:footnote>
  <w:footnote w:id="49">
    <w:p w14:paraId="77FA1D55" w14:textId="4F017DAA" w:rsidR="007A5E35" w:rsidRPr="00B642CF" w:rsidRDefault="007A5E35" w:rsidP="00E26D1F">
      <w:pPr>
        <w:pStyle w:val="Textonotapie"/>
        <w:rPr>
          <w:szCs w:val="16"/>
        </w:rPr>
      </w:pPr>
      <w:r w:rsidRPr="00B642CF">
        <w:rPr>
          <w:rStyle w:val="Refdenotaalpie"/>
          <w:sz w:val="16"/>
          <w:szCs w:val="16"/>
        </w:rPr>
        <w:footnoteRef/>
      </w:r>
      <w:r w:rsidRPr="00B642CF">
        <w:rPr>
          <w:szCs w:val="16"/>
        </w:rPr>
        <w:t xml:space="preserve"> </w:t>
      </w:r>
      <w:r w:rsidRPr="00B642CF">
        <w:rPr>
          <w:szCs w:val="16"/>
        </w:rPr>
        <w:tab/>
        <w:t>Artí</w:t>
      </w:r>
      <w:r>
        <w:rPr>
          <w:szCs w:val="16"/>
        </w:rPr>
        <w:t>culos 1.1 y 24 de la Convención.</w:t>
      </w:r>
    </w:p>
  </w:footnote>
  <w:footnote w:id="50">
    <w:p w14:paraId="51443585" w14:textId="50E62759" w:rsidR="007A5E35" w:rsidRPr="00B642CF" w:rsidRDefault="007A5E35" w:rsidP="00E26D1F">
      <w:pPr>
        <w:pStyle w:val="Textonotapie"/>
        <w:rPr>
          <w:szCs w:val="16"/>
        </w:rPr>
      </w:pPr>
      <w:r w:rsidRPr="00B642CF">
        <w:rPr>
          <w:rStyle w:val="Refdenotaalpie"/>
          <w:sz w:val="16"/>
          <w:szCs w:val="16"/>
        </w:rPr>
        <w:footnoteRef/>
      </w:r>
      <w:r w:rsidRPr="00B642CF">
        <w:rPr>
          <w:szCs w:val="16"/>
        </w:rPr>
        <w:t xml:space="preserve"> </w:t>
      </w:r>
      <w:r w:rsidRPr="00B642CF">
        <w:rPr>
          <w:szCs w:val="16"/>
        </w:rPr>
        <w:tab/>
        <w:t>Artículo 25.1 de la Convención</w:t>
      </w:r>
      <w:r>
        <w:rPr>
          <w:szCs w:val="16"/>
        </w:rPr>
        <w:t>.</w:t>
      </w:r>
    </w:p>
  </w:footnote>
  <w:footnote w:id="51">
    <w:p w14:paraId="3C73A515" w14:textId="3A36CA25" w:rsidR="007A5E35" w:rsidRPr="007A5E35" w:rsidRDefault="007A5E35">
      <w:pPr>
        <w:pStyle w:val="Textonotapie"/>
        <w:rPr>
          <w:szCs w:val="16"/>
          <w:lang w:val="es-MX"/>
        </w:rPr>
      </w:pPr>
      <w:r w:rsidRPr="007A5E35">
        <w:rPr>
          <w:rStyle w:val="Refdenotaalpie"/>
          <w:sz w:val="16"/>
          <w:szCs w:val="16"/>
        </w:rPr>
        <w:footnoteRef/>
      </w:r>
      <w:r w:rsidRPr="007A5E35">
        <w:rPr>
          <w:szCs w:val="16"/>
        </w:rPr>
        <w:t xml:space="preserve"> </w:t>
      </w:r>
      <w:r>
        <w:rPr>
          <w:szCs w:val="16"/>
        </w:rPr>
        <w:tab/>
        <w:t>Artículo 1.1 de la Convención.</w:t>
      </w:r>
    </w:p>
  </w:footnote>
  <w:footnote w:id="52">
    <w:p w14:paraId="40C62208" w14:textId="3DECCC51" w:rsidR="007A5E35" w:rsidRPr="00B642CF" w:rsidRDefault="007A5E35" w:rsidP="00E26D1F">
      <w:pPr>
        <w:pStyle w:val="Textonotapie"/>
        <w:rPr>
          <w:szCs w:val="16"/>
        </w:rPr>
      </w:pPr>
      <w:r w:rsidRPr="00B642CF">
        <w:rPr>
          <w:rStyle w:val="Refdenotaalpie"/>
          <w:sz w:val="16"/>
          <w:szCs w:val="16"/>
        </w:rPr>
        <w:footnoteRef/>
      </w:r>
      <w:r w:rsidRPr="00B642CF">
        <w:rPr>
          <w:szCs w:val="16"/>
        </w:rPr>
        <w:t xml:space="preserve"> </w:t>
      </w:r>
      <w:r w:rsidRPr="00B642CF">
        <w:rPr>
          <w:szCs w:val="16"/>
        </w:rPr>
        <w:tab/>
        <w:t>Artículo 2 de la Convención</w:t>
      </w:r>
      <w:r>
        <w:rPr>
          <w:szCs w:val="16"/>
        </w:rPr>
        <w:t>.</w:t>
      </w:r>
    </w:p>
  </w:footnote>
  <w:footnote w:id="53">
    <w:p w14:paraId="0C146A45" w14:textId="77777777" w:rsidR="007A5E35" w:rsidRPr="00B642CF" w:rsidRDefault="007A5E35" w:rsidP="00E26D1F">
      <w:pPr>
        <w:pStyle w:val="Textonotapie"/>
        <w:rPr>
          <w:rFonts w:cstheme="minorHAnsi"/>
          <w:iCs/>
          <w:szCs w:val="16"/>
        </w:rPr>
      </w:pPr>
      <w:r w:rsidRPr="00B642CF">
        <w:rPr>
          <w:rStyle w:val="Refdenotaalpie"/>
          <w:rFonts w:cstheme="minorHAnsi"/>
          <w:i/>
          <w:sz w:val="16"/>
          <w:szCs w:val="16"/>
        </w:rPr>
        <w:footnoteRef/>
      </w:r>
      <w:r w:rsidRPr="00B642CF">
        <w:rPr>
          <w:rFonts w:cstheme="minorHAnsi"/>
          <w:i/>
          <w:szCs w:val="16"/>
        </w:rPr>
        <w:t xml:space="preserve"> </w:t>
      </w:r>
      <w:r w:rsidRPr="00B642CF">
        <w:rPr>
          <w:rFonts w:cstheme="minorHAnsi"/>
          <w:i/>
          <w:szCs w:val="16"/>
        </w:rPr>
        <w:tab/>
        <w:t>Cfr.</w:t>
      </w:r>
      <w:r w:rsidRPr="00B642CF">
        <w:rPr>
          <w:rFonts w:cstheme="minorHAnsi"/>
          <w:szCs w:val="16"/>
        </w:rPr>
        <w:t xml:space="preserve"> </w:t>
      </w:r>
      <w:r w:rsidRPr="00B642CF">
        <w:rPr>
          <w:rFonts w:cstheme="minorHAnsi"/>
          <w:i/>
          <w:iCs/>
          <w:szCs w:val="16"/>
        </w:rPr>
        <w:t>Caso Gomes Lund y otros ("Guerrilha do Araguaia") Vs. Brasil</w:t>
      </w:r>
      <w:r w:rsidRPr="00B642CF">
        <w:rPr>
          <w:rFonts w:cstheme="minorHAnsi"/>
          <w:i/>
          <w:szCs w:val="16"/>
        </w:rPr>
        <w:t>. Excepciones Preliminares, Fondo, Reparaciones y Costas</w:t>
      </w:r>
      <w:r w:rsidRPr="00B642CF">
        <w:rPr>
          <w:rFonts w:cstheme="minorHAnsi"/>
          <w:szCs w:val="16"/>
        </w:rPr>
        <w:t xml:space="preserve">. Sentencia de 24 de noviembre de 2010. Serie C No. 219, párr. 303, y </w:t>
      </w:r>
      <w:r w:rsidRPr="00B642CF">
        <w:rPr>
          <w:rFonts w:cstheme="minorHAnsi"/>
          <w:i/>
          <w:iCs/>
          <w:szCs w:val="16"/>
        </w:rPr>
        <w:t xml:space="preserve">Caso Perrone y Preckel Vs. Argentina. Excepciones Preliminares, Fondo, Reparaciones y Costas. </w:t>
      </w:r>
      <w:r w:rsidRPr="00B642CF">
        <w:rPr>
          <w:rFonts w:cstheme="minorHAnsi"/>
          <w:iCs/>
          <w:szCs w:val="16"/>
        </w:rPr>
        <w:t>Sentencia de 8 de octubre de 2019. Serie C No. 384, párr. 116.</w:t>
      </w:r>
      <w:r w:rsidRPr="00B642CF">
        <w:rPr>
          <w:rFonts w:cstheme="minorHAnsi"/>
          <w:szCs w:val="16"/>
        </w:rPr>
        <w:t xml:space="preserve"> </w:t>
      </w:r>
    </w:p>
  </w:footnote>
  <w:footnote w:id="54">
    <w:p w14:paraId="063D98FC" w14:textId="77777777" w:rsidR="007A5E35" w:rsidRPr="00B642CF" w:rsidRDefault="007A5E35" w:rsidP="00E26D1F">
      <w:pPr>
        <w:pStyle w:val="Textonotapie"/>
        <w:rPr>
          <w:rFonts w:cstheme="minorHAnsi"/>
          <w:szCs w:val="16"/>
        </w:rPr>
      </w:pPr>
      <w:r w:rsidRPr="00B642CF">
        <w:rPr>
          <w:rStyle w:val="Refdenotaalpie"/>
          <w:sz w:val="16"/>
          <w:szCs w:val="16"/>
        </w:rPr>
        <w:footnoteRef/>
      </w:r>
      <w:r w:rsidRPr="00B642CF">
        <w:rPr>
          <w:szCs w:val="16"/>
        </w:rPr>
        <w:t xml:space="preserve"> </w:t>
      </w:r>
      <w:r w:rsidRPr="00B642CF">
        <w:rPr>
          <w:szCs w:val="16"/>
        </w:rPr>
        <w:tab/>
      </w:r>
      <w:r w:rsidRPr="00B642CF">
        <w:rPr>
          <w:rFonts w:cstheme="minorHAnsi"/>
          <w:szCs w:val="16"/>
        </w:rPr>
        <w:t xml:space="preserve">Adoptada por la Asamblea General de la Organización de las Naciones Unidas el 29 de noviembre de 1985, mediante resolución 40/34. En su principio 4 señala que “[l]as víctimas serán tratadas con compasión y respeto por su dignidad. Tendrán derecho al acceso a los mecanismos de la justicia y a una pronta reparación de daños que hayan sufrido, según lo dispuesto en la legislación nacional”.  </w:t>
      </w:r>
    </w:p>
  </w:footnote>
  <w:footnote w:id="55">
    <w:p w14:paraId="0422ACB4" w14:textId="77777777" w:rsidR="007A5E35" w:rsidRPr="00B642CF" w:rsidRDefault="007A5E35" w:rsidP="00E26D1F">
      <w:pPr>
        <w:pStyle w:val="Textonotapie"/>
        <w:rPr>
          <w:rFonts w:cstheme="minorHAnsi"/>
          <w:szCs w:val="16"/>
        </w:rPr>
      </w:pPr>
      <w:r w:rsidRPr="00B642CF">
        <w:rPr>
          <w:rStyle w:val="Refdenotaalpie"/>
          <w:rFonts w:cstheme="minorHAnsi"/>
          <w:sz w:val="16"/>
          <w:szCs w:val="16"/>
        </w:rPr>
        <w:footnoteRef/>
      </w:r>
      <w:r w:rsidRPr="00B642CF">
        <w:rPr>
          <w:rFonts w:cstheme="minorHAnsi"/>
          <w:szCs w:val="16"/>
        </w:rPr>
        <w:t xml:space="preserve"> </w:t>
      </w:r>
      <w:r w:rsidRPr="00B642CF">
        <w:rPr>
          <w:rFonts w:cstheme="minorHAnsi"/>
          <w:szCs w:val="16"/>
        </w:rPr>
        <w:tab/>
        <w:t>Adoptados por la Comisión de Derechos Humanos de la Organización de las Naciones Unidas, el 8 de febrero de 2005. El Principio 31 indica: “Toda violación de un derecho humano da lugar a un derecho de la víctima o sus derecho habientes a obtener reparación, el cual implica el deber del Estado de reparar y el derecho de dirigirse contra el autor”.</w:t>
      </w:r>
    </w:p>
  </w:footnote>
  <w:footnote w:id="56">
    <w:p w14:paraId="41482EDC" w14:textId="77777777" w:rsidR="007A5E35" w:rsidRPr="00B642CF" w:rsidRDefault="007A5E35" w:rsidP="00E26D1F">
      <w:pPr>
        <w:pStyle w:val="Textonotapie"/>
        <w:rPr>
          <w:rFonts w:cstheme="minorHAnsi"/>
          <w:szCs w:val="16"/>
        </w:rPr>
      </w:pPr>
      <w:r w:rsidRPr="00B642CF">
        <w:rPr>
          <w:rStyle w:val="Refdenotaalpie"/>
          <w:rFonts w:cstheme="minorHAnsi"/>
          <w:sz w:val="16"/>
          <w:szCs w:val="16"/>
        </w:rPr>
        <w:footnoteRef/>
      </w:r>
      <w:r w:rsidRPr="00B642CF">
        <w:rPr>
          <w:rFonts w:cstheme="minorHAnsi"/>
          <w:szCs w:val="16"/>
        </w:rPr>
        <w:t xml:space="preserve"> </w:t>
      </w:r>
      <w:r w:rsidRPr="00B642CF">
        <w:rPr>
          <w:rFonts w:cstheme="minorHAnsi"/>
          <w:szCs w:val="16"/>
        </w:rPr>
        <w:tab/>
        <w:t xml:space="preserve">Adoptados por la Asamblea General de la Organización de las Naciones Unidas el 16 de diciembre de 2005, mediante resolución 60/147. Los Principios 12, 13 y 14 establecen el derecho de acceso a un recurso judicial para las presuntas víctimas. El Principio 18 de este documento señala el derecho de las víctimas a una reparación “plena y efectiva”. </w:t>
      </w:r>
      <w:r w:rsidRPr="00B642CF">
        <w:rPr>
          <w:rFonts w:cstheme="minorHAnsi"/>
          <w:i/>
          <w:szCs w:val="16"/>
        </w:rPr>
        <w:t>Cfr.</w:t>
      </w:r>
      <w:r w:rsidRPr="00B642CF">
        <w:rPr>
          <w:rFonts w:cstheme="minorHAnsi"/>
          <w:szCs w:val="16"/>
        </w:rPr>
        <w:t xml:space="preserve"> </w:t>
      </w:r>
      <w:hyperlink r:id="rId3" w:history="1">
        <w:r w:rsidRPr="00B642CF">
          <w:rPr>
            <w:rStyle w:val="Hipervnculo"/>
            <w:rFonts w:cstheme="minorHAnsi"/>
            <w:szCs w:val="16"/>
          </w:rPr>
          <w:t>https://www.ohchr.org/en/professionalinterest/pages/remedyandreparation.aspx</w:t>
        </w:r>
      </w:hyperlink>
      <w:r w:rsidRPr="00B642CF">
        <w:rPr>
          <w:rFonts w:cstheme="minorHAnsi"/>
          <w:szCs w:val="16"/>
        </w:rPr>
        <w:t xml:space="preserve"> </w:t>
      </w:r>
    </w:p>
  </w:footnote>
  <w:footnote w:id="57">
    <w:p w14:paraId="093A93FA" w14:textId="77777777" w:rsidR="007A5E35" w:rsidRPr="00B642CF" w:rsidRDefault="007A5E35" w:rsidP="00E26D1F">
      <w:pPr>
        <w:pStyle w:val="Textonotapie"/>
        <w:rPr>
          <w:szCs w:val="16"/>
        </w:rPr>
      </w:pPr>
      <w:r w:rsidRPr="00B642CF">
        <w:rPr>
          <w:rStyle w:val="Refdenotaalpie"/>
          <w:sz w:val="16"/>
          <w:szCs w:val="16"/>
        </w:rPr>
        <w:footnoteRef/>
      </w:r>
      <w:r w:rsidRPr="00B642CF">
        <w:rPr>
          <w:szCs w:val="16"/>
        </w:rPr>
        <w:t xml:space="preserve"> </w:t>
      </w:r>
      <w:r w:rsidRPr="00B642CF">
        <w:rPr>
          <w:szCs w:val="16"/>
        </w:rPr>
        <w:tab/>
        <w:t xml:space="preserve">TEDH, </w:t>
      </w:r>
      <w:r w:rsidRPr="00B642CF">
        <w:rPr>
          <w:i/>
          <w:szCs w:val="16"/>
        </w:rPr>
        <w:t>Caso Broniowski Vs. Polonia</w:t>
      </w:r>
      <w:r w:rsidRPr="00B642CF">
        <w:rPr>
          <w:szCs w:val="16"/>
        </w:rPr>
        <w:t>, No.  31443/96. Sentencia del 22 de julio de 2004, párr. 36.</w:t>
      </w:r>
    </w:p>
  </w:footnote>
  <w:footnote w:id="58">
    <w:p w14:paraId="274BA06F" w14:textId="75344FC9" w:rsidR="007A5E35" w:rsidRPr="00B642CF" w:rsidRDefault="007A5E35" w:rsidP="00E26D1F">
      <w:pPr>
        <w:pStyle w:val="Textonotapie"/>
        <w:rPr>
          <w:i/>
          <w:szCs w:val="16"/>
          <w:lang w:val="es-CR"/>
        </w:rPr>
      </w:pPr>
      <w:r w:rsidRPr="00B642CF">
        <w:rPr>
          <w:rStyle w:val="Refdenotaalpie"/>
          <w:sz w:val="16"/>
          <w:szCs w:val="16"/>
        </w:rPr>
        <w:footnoteRef/>
      </w:r>
      <w:r w:rsidRPr="00B642CF">
        <w:rPr>
          <w:szCs w:val="16"/>
        </w:rPr>
        <w:t xml:space="preserve"> </w:t>
      </w:r>
      <w:r w:rsidRPr="00B642CF">
        <w:rPr>
          <w:szCs w:val="16"/>
          <w:lang w:val="es-CR"/>
        </w:rPr>
        <w:tab/>
      </w:r>
      <w:r w:rsidRPr="00B642CF">
        <w:rPr>
          <w:i/>
          <w:szCs w:val="16"/>
          <w:lang w:val="es-CR"/>
        </w:rPr>
        <w:t xml:space="preserve">Cfr. </w:t>
      </w:r>
      <w:r w:rsidRPr="00B642CF">
        <w:rPr>
          <w:rFonts w:cstheme="minorHAnsi"/>
          <w:i/>
          <w:iCs/>
          <w:szCs w:val="16"/>
          <w:lang w:val="es-CR"/>
        </w:rPr>
        <w:t xml:space="preserve">Caso Manuel Cepeda Vargas Vs. Colombia. Excepciones Preliminares, Fondo, Reparaciones y Costas. </w:t>
      </w:r>
      <w:r w:rsidRPr="00B642CF">
        <w:rPr>
          <w:rFonts w:cstheme="minorHAnsi"/>
          <w:iCs/>
          <w:szCs w:val="16"/>
          <w:lang w:val="es-CR"/>
        </w:rPr>
        <w:t xml:space="preserve">Sentencia de 26 de mayo de 2010. Serie C No. 213, párr. 246, </w:t>
      </w:r>
      <w:r w:rsidRPr="00B642CF">
        <w:rPr>
          <w:rFonts w:cstheme="minorHAnsi"/>
          <w:szCs w:val="16"/>
        </w:rPr>
        <w:t xml:space="preserve">y </w:t>
      </w:r>
      <w:r w:rsidRPr="00B642CF">
        <w:rPr>
          <w:rFonts w:cstheme="minorHAnsi"/>
          <w:i/>
          <w:szCs w:val="16"/>
        </w:rPr>
        <w:t xml:space="preserve">Caso Hernández Vs. Argentina. Excepción Preliminar, Fondo, Reparaciones y Costas. </w:t>
      </w:r>
      <w:r w:rsidRPr="00B642CF">
        <w:rPr>
          <w:rFonts w:cstheme="minorHAnsi"/>
          <w:szCs w:val="16"/>
        </w:rPr>
        <w:t>Sentencia de 22 de noviembre de 2019. Serie C No. 395, párr. 18.</w:t>
      </w:r>
    </w:p>
  </w:footnote>
  <w:footnote w:id="59">
    <w:p w14:paraId="4DE4466F" w14:textId="0AFA72F0" w:rsidR="007A5E35" w:rsidRPr="00B642CF" w:rsidRDefault="007A5E35" w:rsidP="00705991">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r>
      <w:r w:rsidRPr="00B642CF">
        <w:rPr>
          <w:i/>
          <w:szCs w:val="16"/>
          <w:lang w:val="es-ES"/>
        </w:rPr>
        <w:t>Cfr.</w:t>
      </w:r>
      <w:r w:rsidRPr="00B642CF">
        <w:rPr>
          <w:szCs w:val="16"/>
          <w:lang w:val="es-ES"/>
        </w:rPr>
        <w:t xml:space="preserve"> </w:t>
      </w:r>
      <w:r w:rsidRPr="00B642CF">
        <w:rPr>
          <w:i/>
          <w:szCs w:val="16"/>
          <w:lang w:val="es-ES"/>
        </w:rPr>
        <w:t>Caso Velásquez Rodríguez Vs. Honduras. Reparaciones y Costas.</w:t>
      </w:r>
      <w:r w:rsidRPr="00B642CF">
        <w:rPr>
          <w:szCs w:val="16"/>
          <w:lang w:val="es-ES"/>
        </w:rPr>
        <w:t xml:space="preserve"> Sentencia de 21 de julio de 1989. Serie C No. 7, párr. 25, y </w:t>
      </w:r>
      <w:r w:rsidRPr="00B642CF">
        <w:rPr>
          <w:rStyle w:val="Textoennegrita"/>
          <w:rFonts w:eastAsiaTheme="majorEastAsia"/>
          <w:b w:val="0"/>
          <w:i/>
          <w:color w:val="000000"/>
          <w:szCs w:val="16"/>
          <w:shd w:val="clear" w:color="auto" w:fill="FFFFFF"/>
        </w:rPr>
        <w:t xml:space="preserve">Caso </w:t>
      </w:r>
      <w:r>
        <w:rPr>
          <w:rStyle w:val="Textoennegrita"/>
          <w:rFonts w:eastAsiaTheme="majorEastAsia"/>
          <w:b w:val="0"/>
          <w:i/>
          <w:color w:val="000000"/>
          <w:szCs w:val="16"/>
          <w:shd w:val="clear" w:color="auto" w:fill="FFFFFF"/>
        </w:rPr>
        <w:t>Olivares Muñoz y otros Vs. Venezuela</w:t>
      </w:r>
      <w:r w:rsidRPr="00B642CF">
        <w:rPr>
          <w:rStyle w:val="Textoennegrita"/>
          <w:rFonts w:eastAsiaTheme="majorEastAsia"/>
          <w:b w:val="0"/>
          <w:color w:val="000000"/>
          <w:szCs w:val="16"/>
          <w:shd w:val="clear" w:color="auto" w:fill="FFFFFF"/>
        </w:rPr>
        <w:t xml:space="preserve">, </w:t>
      </w:r>
      <w:r w:rsidRPr="00B642CF">
        <w:rPr>
          <w:rStyle w:val="Textoennegrita"/>
          <w:rFonts w:eastAsiaTheme="majorEastAsia"/>
          <w:b w:val="0"/>
          <w:i/>
          <w:color w:val="000000"/>
          <w:szCs w:val="16"/>
          <w:shd w:val="clear" w:color="auto" w:fill="FFFFFF"/>
        </w:rPr>
        <w:t>supra</w:t>
      </w:r>
      <w:r>
        <w:rPr>
          <w:rStyle w:val="Textoennegrita"/>
          <w:rFonts w:eastAsiaTheme="majorEastAsia"/>
          <w:b w:val="0"/>
          <w:color w:val="000000"/>
          <w:szCs w:val="16"/>
          <w:shd w:val="clear" w:color="auto" w:fill="FFFFFF"/>
        </w:rPr>
        <w:t>, párr. 142</w:t>
      </w:r>
      <w:r w:rsidRPr="00B642CF">
        <w:rPr>
          <w:szCs w:val="16"/>
          <w:lang w:val="es-ES"/>
        </w:rPr>
        <w:t>.</w:t>
      </w:r>
    </w:p>
  </w:footnote>
  <w:footnote w:id="60">
    <w:p w14:paraId="496EE4EB" w14:textId="616BA482" w:rsidR="007A5E35" w:rsidRPr="00B642CF" w:rsidRDefault="007A5E35">
      <w:pPr>
        <w:pStyle w:val="Textonotapie"/>
        <w:rPr>
          <w:szCs w:val="16"/>
          <w:lang w:val="es-CR"/>
        </w:rPr>
      </w:pPr>
      <w:r w:rsidRPr="00B642CF">
        <w:rPr>
          <w:rStyle w:val="Refdenotaalpie"/>
          <w:sz w:val="16"/>
          <w:szCs w:val="16"/>
        </w:rPr>
        <w:footnoteRef/>
      </w:r>
      <w:r w:rsidRPr="00B642CF">
        <w:rPr>
          <w:szCs w:val="16"/>
        </w:rPr>
        <w:t xml:space="preserve"> </w:t>
      </w:r>
      <w:r w:rsidRPr="00B642CF">
        <w:rPr>
          <w:szCs w:val="16"/>
          <w:lang w:val="es-CR"/>
        </w:rPr>
        <w:tab/>
      </w:r>
      <w:r w:rsidRPr="00B642CF">
        <w:rPr>
          <w:i/>
          <w:szCs w:val="16"/>
          <w:lang w:val="es-CR"/>
        </w:rPr>
        <w:t xml:space="preserve">Cfr. Caso Velásquez Rodríguez Vs. Honduras. Reparaciones y Costas, supra, </w:t>
      </w:r>
      <w:r w:rsidRPr="00B642CF">
        <w:rPr>
          <w:szCs w:val="16"/>
          <w:lang w:val="es-CR"/>
        </w:rPr>
        <w:t xml:space="preserve">párr. 26, y </w:t>
      </w:r>
      <w:r w:rsidRPr="00B642CF">
        <w:rPr>
          <w:rStyle w:val="Textoennegrita"/>
          <w:rFonts w:eastAsiaTheme="majorEastAsia"/>
          <w:b w:val="0"/>
          <w:i/>
          <w:color w:val="000000"/>
          <w:szCs w:val="16"/>
          <w:shd w:val="clear" w:color="auto" w:fill="FFFFFF"/>
        </w:rPr>
        <w:t xml:space="preserve">Caso </w:t>
      </w:r>
      <w:r>
        <w:rPr>
          <w:rStyle w:val="Textoennegrita"/>
          <w:rFonts w:eastAsiaTheme="majorEastAsia"/>
          <w:b w:val="0"/>
          <w:i/>
          <w:color w:val="000000"/>
          <w:szCs w:val="16"/>
          <w:shd w:val="clear" w:color="auto" w:fill="FFFFFF"/>
        </w:rPr>
        <w:t xml:space="preserve">Martínez Esquivia </w:t>
      </w:r>
      <w:r w:rsidRPr="00B642CF">
        <w:rPr>
          <w:rStyle w:val="Textoennegrita"/>
          <w:rFonts w:eastAsiaTheme="majorEastAsia"/>
          <w:b w:val="0"/>
          <w:i/>
          <w:color w:val="000000"/>
          <w:szCs w:val="16"/>
          <w:shd w:val="clear" w:color="auto" w:fill="FFFFFF"/>
        </w:rPr>
        <w:t xml:space="preserve">Vs. </w:t>
      </w:r>
      <w:r>
        <w:rPr>
          <w:rStyle w:val="Textoennegrita"/>
          <w:rFonts w:eastAsiaTheme="majorEastAsia"/>
          <w:b w:val="0"/>
          <w:i/>
          <w:color w:val="000000"/>
          <w:szCs w:val="16"/>
          <w:shd w:val="clear" w:color="auto" w:fill="FFFFFF"/>
        </w:rPr>
        <w:t>Colombia</w:t>
      </w:r>
      <w:r>
        <w:rPr>
          <w:rStyle w:val="Textoennegrita"/>
          <w:rFonts w:eastAsiaTheme="majorEastAsia"/>
          <w:b w:val="0"/>
          <w:color w:val="000000"/>
          <w:szCs w:val="16"/>
          <w:shd w:val="clear" w:color="auto" w:fill="FFFFFF"/>
        </w:rPr>
        <w:t xml:space="preserve">. </w:t>
      </w:r>
      <w:r>
        <w:rPr>
          <w:rStyle w:val="Textoennegrita"/>
          <w:rFonts w:eastAsiaTheme="majorEastAsia"/>
          <w:b w:val="0"/>
          <w:i/>
          <w:color w:val="000000"/>
          <w:szCs w:val="16"/>
          <w:shd w:val="clear" w:color="auto" w:fill="FFFFFF"/>
        </w:rPr>
        <w:t xml:space="preserve">Excepciones Preliminares. Fondo y Reparaciones. </w:t>
      </w:r>
      <w:r>
        <w:rPr>
          <w:rStyle w:val="Textoennegrita"/>
          <w:rFonts w:eastAsiaTheme="majorEastAsia"/>
          <w:b w:val="0"/>
          <w:color w:val="000000"/>
          <w:szCs w:val="16"/>
          <w:shd w:val="clear" w:color="auto" w:fill="FFFFFF"/>
        </w:rPr>
        <w:t>Sentencia de 6 de octubre de 2020. Serie C No. 412, párr. 148</w:t>
      </w:r>
      <w:r w:rsidRPr="00B642CF">
        <w:rPr>
          <w:rStyle w:val="Textoennegrita"/>
          <w:rFonts w:eastAsiaTheme="majorEastAsia"/>
          <w:b w:val="0"/>
          <w:color w:val="000000"/>
          <w:szCs w:val="16"/>
          <w:shd w:val="clear" w:color="auto" w:fill="FFFFFF"/>
        </w:rPr>
        <w:t>.</w:t>
      </w:r>
    </w:p>
  </w:footnote>
  <w:footnote w:id="61">
    <w:p w14:paraId="3E50E7FC" w14:textId="3EF67C0D"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Caso de la Masacre de Las Dos Erres Vs. Guatemala. Excepción Preliminar, Fondo, Reparaciones y Costas. </w:t>
      </w:r>
      <w:r w:rsidRPr="00B642CF">
        <w:rPr>
          <w:szCs w:val="16"/>
        </w:rPr>
        <w:t xml:space="preserve">Sentencia de 24 de noviembre de 2009. Serie C No. 211, párr. 226, y </w:t>
      </w:r>
      <w:r w:rsidRPr="00B642CF">
        <w:rPr>
          <w:rStyle w:val="Textoennegrita"/>
          <w:rFonts w:eastAsiaTheme="majorEastAsia"/>
          <w:b w:val="0"/>
          <w:i/>
          <w:color w:val="000000"/>
          <w:szCs w:val="16"/>
          <w:shd w:val="clear" w:color="auto" w:fill="FFFFFF"/>
        </w:rPr>
        <w:t xml:space="preserve">Caso </w:t>
      </w:r>
      <w:r>
        <w:rPr>
          <w:rStyle w:val="Textoennegrita"/>
          <w:rFonts w:eastAsiaTheme="majorEastAsia"/>
          <w:b w:val="0"/>
          <w:i/>
          <w:color w:val="000000"/>
          <w:szCs w:val="16"/>
          <w:shd w:val="clear" w:color="auto" w:fill="FFFFFF"/>
        </w:rPr>
        <w:t xml:space="preserve">Martínez Esquivia </w:t>
      </w:r>
      <w:r w:rsidRPr="00B642CF">
        <w:rPr>
          <w:rStyle w:val="Textoennegrita"/>
          <w:rFonts w:eastAsiaTheme="majorEastAsia"/>
          <w:b w:val="0"/>
          <w:i/>
          <w:color w:val="000000"/>
          <w:szCs w:val="16"/>
          <w:shd w:val="clear" w:color="auto" w:fill="FFFFFF"/>
        </w:rPr>
        <w:t xml:space="preserve">Vs. </w:t>
      </w:r>
      <w:r>
        <w:rPr>
          <w:rStyle w:val="Textoennegrita"/>
          <w:rFonts w:eastAsiaTheme="majorEastAsia"/>
          <w:b w:val="0"/>
          <w:i/>
          <w:color w:val="000000"/>
          <w:szCs w:val="16"/>
          <w:shd w:val="clear" w:color="auto" w:fill="FFFFFF"/>
        </w:rPr>
        <w:t>Colombia</w:t>
      </w:r>
      <w:r w:rsidRPr="00B642CF">
        <w:rPr>
          <w:rStyle w:val="Textoennegrita"/>
          <w:rFonts w:eastAsiaTheme="majorEastAsia"/>
          <w:b w:val="0"/>
          <w:color w:val="000000"/>
          <w:szCs w:val="16"/>
          <w:shd w:val="clear" w:color="auto" w:fill="FFFFFF"/>
        </w:rPr>
        <w:t xml:space="preserve">, </w:t>
      </w:r>
      <w:r w:rsidRPr="00B642CF">
        <w:rPr>
          <w:rStyle w:val="Textoennegrita"/>
          <w:rFonts w:eastAsiaTheme="majorEastAsia"/>
          <w:b w:val="0"/>
          <w:i/>
          <w:color w:val="000000"/>
          <w:szCs w:val="16"/>
          <w:shd w:val="clear" w:color="auto" w:fill="FFFFFF"/>
        </w:rPr>
        <w:t>supra</w:t>
      </w:r>
      <w:r>
        <w:rPr>
          <w:rStyle w:val="Textoennegrita"/>
          <w:rFonts w:eastAsiaTheme="majorEastAsia"/>
          <w:b w:val="0"/>
          <w:color w:val="000000"/>
          <w:szCs w:val="16"/>
          <w:shd w:val="clear" w:color="auto" w:fill="FFFFFF"/>
        </w:rPr>
        <w:t>, párr. 147</w:t>
      </w:r>
      <w:r w:rsidRPr="00B642CF">
        <w:rPr>
          <w:rStyle w:val="Textoennegrita"/>
          <w:rFonts w:eastAsiaTheme="majorEastAsia"/>
          <w:b w:val="0"/>
          <w:color w:val="000000"/>
          <w:szCs w:val="16"/>
          <w:shd w:val="clear" w:color="auto" w:fill="FFFFFF"/>
        </w:rPr>
        <w:t>.</w:t>
      </w:r>
    </w:p>
  </w:footnote>
  <w:footnote w:id="62">
    <w:p w14:paraId="40E07581" w14:textId="6C0C5B75" w:rsidR="007A5E35" w:rsidRPr="00B642CF" w:rsidRDefault="007A5E35" w:rsidP="00705991">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r>
      <w:r w:rsidRPr="00B642CF">
        <w:rPr>
          <w:i/>
          <w:szCs w:val="16"/>
          <w:lang w:val="es-ES"/>
        </w:rPr>
        <w:t>Cfr.</w:t>
      </w:r>
      <w:r w:rsidRPr="00B642CF">
        <w:rPr>
          <w:szCs w:val="16"/>
          <w:lang w:val="es-ES"/>
        </w:rPr>
        <w:t xml:space="preserve"> </w:t>
      </w:r>
      <w:r w:rsidRPr="00B642CF">
        <w:rPr>
          <w:i/>
          <w:szCs w:val="16"/>
          <w:lang w:val="es-ES"/>
        </w:rPr>
        <w:t>Caso Ticona Estrada y otros Vs. Bolivia. Fondo, Reparaciones y Costas.</w:t>
      </w:r>
      <w:r w:rsidRPr="00B642CF">
        <w:rPr>
          <w:szCs w:val="16"/>
          <w:lang w:val="es-ES"/>
        </w:rPr>
        <w:t xml:space="preserve"> Sentencia de 27 de noviembre de 2008. Serie C No. 191, párr. 110, y </w:t>
      </w:r>
      <w:r w:rsidRPr="00B642CF">
        <w:rPr>
          <w:rStyle w:val="Textoennegrita"/>
          <w:rFonts w:eastAsiaTheme="majorEastAsia"/>
          <w:b w:val="0"/>
          <w:i/>
          <w:color w:val="000000"/>
          <w:szCs w:val="16"/>
          <w:shd w:val="clear" w:color="auto" w:fill="FFFFFF"/>
        </w:rPr>
        <w:t xml:space="preserve">Caso </w:t>
      </w:r>
      <w:r>
        <w:rPr>
          <w:rStyle w:val="Textoennegrita"/>
          <w:rFonts w:eastAsiaTheme="majorEastAsia"/>
          <w:b w:val="0"/>
          <w:i/>
          <w:color w:val="000000"/>
          <w:szCs w:val="16"/>
          <w:shd w:val="clear" w:color="auto" w:fill="FFFFFF"/>
        </w:rPr>
        <w:t>Olivares Muñoz y otros Vs. Venezuela</w:t>
      </w:r>
      <w:r w:rsidRPr="00B642CF">
        <w:rPr>
          <w:rStyle w:val="Textoennegrita"/>
          <w:rFonts w:eastAsiaTheme="majorEastAsia"/>
          <w:b w:val="0"/>
          <w:color w:val="000000"/>
          <w:szCs w:val="16"/>
          <w:shd w:val="clear" w:color="auto" w:fill="FFFFFF"/>
        </w:rPr>
        <w:t xml:space="preserve">, </w:t>
      </w:r>
      <w:r w:rsidRPr="00B642CF">
        <w:rPr>
          <w:rStyle w:val="Textoennegrita"/>
          <w:rFonts w:eastAsiaTheme="majorEastAsia"/>
          <w:b w:val="0"/>
          <w:i/>
          <w:color w:val="000000"/>
          <w:szCs w:val="16"/>
          <w:shd w:val="clear" w:color="auto" w:fill="FFFFFF"/>
        </w:rPr>
        <w:t>supra</w:t>
      </w:r>
      <w:r>
        <w:rPr>
          <w:rStyle w:val="Textoennegrita"/>
          <w:rFonts w:eastAsiaTheme="majorEastAsia"/>
          <w:b w:val="0"/>
          <w:color w:val="000000"/>
          <w:szCs w:val="16"/>
          <w:shd w:val="clear" w:color="auto" w:fill="FFFFFF"/>
        </w:rPr>
        <w:t>, párr. 142</w:t>
      </w:r>
      <w:r w:rsidRPr="00B642CF">
        <w:rPr>
          <w:szCs w:val="16"/>
          <w:lang w:val="es-ES"/>
        </w:rPr>
        <w:t xml:space="preserve">. </w:t>
      </w:r>
    </w:p>
  </w:footnote>
  <w:footnote w:id="63">
    <w:p w14:paraId="4C44BDE2" w14:textId="7D360D2A"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t xml:space="preserve">Para el cálculo de esta suma se toma en consideración la indemnización otorgada en sede interna a su esposa, la Señora Claudia Graciela Esteves, por medio de resolución del Ministerio de Justicia y Derechos Humanos del 22 de mayo de 2015 (expediente de prueba, folio 85), quien estuvo bajo el mismo régimen de libertad vigilada </w:t>
      </w:r>
      <w:r w:rsidRPr="00B642CF">
        <w:rPr>
          <w:i/>
          <w:szCs w:val="16"/>
        </w:rPr>
        <w:t>de facto</w:t>
      </w:r>
      <w:r w:rsidRPr="00B642CF">
        <w:rPr>
          <w:szCs w:val="16"/>
        </w:rPr>
        <w:t>, en el marco del mismo cuadro fáctico, que el señor Almeida.</w:t>
      </w:r>
    </w:p>
  </w:footnote>
  <w:footnote w:id="64">
    <w:p w14:paraId="7E08B039" w14:textId="72F6FB79" w:rsidR="007A5E35" w:rsidRPr="00B642CF" w:rsidRDefault="007A5E35" w:rsidP="003B4E3B">
      <w:pPr>
        <w:tabs>
          <w:tab w:val="left" w:pos="567"/>
        </w:tabs>
        <w:spacing w:before="40" w:after="40"/>
        <w:rPr>
          <w:sz w:val="16"/>
          <w:szCs w:val="16"/>
          <w:lang w:val="es-CR"/>
        </w:rPr>
      </w:pPr>
      <w:r w:rsidRPr="00B642CF">
        <w:rPr>
          <w:rStyle w:val="Refdenotaalpie"/>
          <w:rFonts w:eastAsiaTheme="majorEastAsia"/>
          <w:sz w:val="16"/>
          <w:szCs w:val="16"/>
        </w:rPr>
        <w:footnoteRef/>
      </w:r>
      <w:r w:rsidRPr="00B642CF">
        <w:rPr>
          <w:sz w:val="16"/>
          <w:szCs w:val="16"/>
          <w:lang w:val="es-CR"/>
        </w:rPr>
        <w:t xml:space="preserve"> </w:t>
      </w:r>
      <w:r w:rsidRPr="00B642CF">
        <w:rPr>
          <w:sz w:val="16"/>
          <w:szCs w:val="16"/>
          <w:lang w:val="es-CR"/>
        </w:rPr>
        <w:tab/>
      </w:r>
      <w:r w:rsidRPr="00B642CF">
        <w:rPr>
          <w:i/>
          <w:sz w:val="16"/>
          <w:szCs w:val="16"/>
          <w:lang w:val="es-CR"/>
        </w:rPr>
        <w:t xml:space="preserve">Cfr. Caso Cantoral Benavides Vs. Perú. Reparaciones y Costas. </w:t>
      </w:r>
      <w:r w:rsidRPr="00B642CF">
        <w:rPr>
          <w:sz w:val="16"/>
          <w:szCs w:val="16"/>
          <w:lang w:val="es-CR"/>
        </w:rPr>
        <w:t xml:space="preserve">Sentencia de 3 de diciembre de 2001. Serie C No. 88, párr. 79, y </w:t>
      </w:r>
      <w:r w:rsidRPr="00B642CF">
        <w:rPr>
          <w:rStyle w:val="Textoennegrita"/>
          <w:rFonts w:eastAsiaTheme="majorEastAsia"/>
          <w:b w:val="0"/>
          <w:i/>
          <w:color w:val="000000"/>
          <w:sz w:val="16"/>
          <w:szCs w:val="16"/>
          <w:shd w:val="clear" w:color="auto" w:fill="FFFFFF"/>
          <w:lang w:val="es-CR"/>
        </w:rPr>
        <w:t xml:space="preserve">Caso </w:t>
      </w:r>
      <w:r>
        <w:rPr>
          <w:rStyle w:val="Textoennegrita"/>
          <w:rFonts w:eastAsiaTheme="majorEastAsia"/>
          <w:b w:val="0"/>
          <w:i/>
          <w:color w:val="000000"/>
          <w:sz w:val="16"/>
          <w:szCs w:val="16"/>
          <w:shd w:val="clear" w:color="auto" w:fill="FFFFFF"/>
          <w:lang w:val="es-CR"/>
        </w:rPr>
        <w:t>Martínez Esquivia Vs. Colombia</w:t>
      </w:r>
      <w:r w:rsidRPr="00B642CF">
        <w:rPr>
          <w:rStyle w:val="Textoennegrita"/>
          <w:rFonts w:eastAsiaTheme="majorEastAsia"/>
          <w:b w:val="0"/>
          <w:color w:val="000000"/>
          <w:sz w:val="16"/>
          <w:szCs w:val="16"/>
          <w:shd w:val="clear" w:color="auto" w:fill="FFFFFF"/>
          <w:lang w:val="es-CR"/>
        </w:rPr>
        <w:t xml:space="preserve">, </w:t>
      </w:r>
      <w:r w:rsidRPr="00B642CF">
        <w:rPr>
          <w:rStyle w:val="Textoennegrita"/>
          <w:rFonts w:eastAsiaTheme="majorEastAsia"/>
          <w:b w:val="0"/>
          <w:i/>
          <w:color w:val="000000"/>
          <w:sz w:val="16"/>
          <w:szCs w:val="16"/>
          <w:shd w:val="clear" w:color="auto" w:fill="FFFFFF"/>
          <w:lang w:val="es-CR"/>
        </w:rPr>
        <w:t>supra</w:t>
      </w:r>
      <w:r w:rsidRPr="00B642CF">
        <w:rPr>
          <w:rStyle w:val="Textoennegrita"/>
          <w:rFonts w:eastAsiaTheme="majorEastAsia"/>
          <w:b w:val="0"/>
          <w:color w:val="000000"/>
          <w:sz w:val="16"/>
          <w:szCs w:val="16"/>
          <w:shd w:val="clear" w:color="auto" w:fill="FFFFFF"/>
          <w:lang w:val="es-CR"/>
        </w:rPr>
        <w:t xml:space="preserve">, párr. </w:t>
      </w:r>
      <w:r>
        <w:rPr>
          <w:rStyle w:val="Textoennegrita"/>
          <w:rFonts w:eastAsiaTheme="majorEastAsia"/>
          <w:b w:val="0"/>
          <w:color w:val="000000"/>
          <w:sz w:val="16"/>
          <w:szCs w:val="16"/>
          <w:shd w:val="clear" w:color="auto" w:fill="FFFFFF"/>
          <w:lang w:val="es-CR"/>
        </w:rPr>
        <w:t>158</w:t>
      </w:r>
      <w:r w:rsidRPr="00B642CF">
        <w:rPr>
          <w:rStyle w:val="Textoennegrita"/>
          <w:rFonts w:eastAsiaTheme="majorEastAsia"/>
          <w:b w:val="0"/>
          <w:color w:val="000000"/>
          <w:sz w:val="16"/>
          <w:szCs w:val="16"/>
          <w:shd w:val="clear" w:color="auto" w:fill="FFFFFF"/>
          <w:lang w:val="es-CR"/>
        </w:rPr>
        <w:t>.</w:t>
      </w:r>
    </w:p>
  </w:footnote>
  <w:footnote w:id="65">
    <w:p w14:paraId="1841C13B" w14:textId="5412242A" w:rsidR="007A5E35" w:rsidRPr="00B642CF" w:rsidRDefault="007A5E35" w:rsidP="005753AD">
      <w:pPr>
        <w:pStyle w:val="Textonotapie"/>
        <w:rPr>
          <w:szCs w:val="16"/>
          <w:lang w:val="es-CR"/>
        </w:rPr>
      </w:pPr>
      <w:r w:rsidRPr="00B642CF">
        <w:rPr>
          <w:rStyle w:val="Refdenotaalpie"/>
          <w:sz w:val="16"/>
          <w:szCs w:val="16"/>
        </w:rPr>
        <w:footnoteRef/>
      </w:r>
      <w:r w:rsidRPr="00B642CF">
        <w:rPr>
          <w:szCs w:val="16"/>
        </w:rPr>
        <w:t xml:space="preserve"> </w:t>
      </w:r>
      <w:r w:rsidRPr="00B642CF">
        <w:rPr>
          <w:szCs w:val="16"/>
          <w:lang w:val="es-CR"/>
        </w:rPr>
        <w:tab/>
      </w:r>
      <w:r w:rsidRPr="00B642CF">
        <w:rPr>
          <w:i/>
          <w:szCs w:val="16"/>
          <w:lang w:val="es-CR"/>
        </w:rPr>
        <w:t xml:space="preserve">Cfr. </w:t>
      </w:r>
      <w:r w:rsidRPr="00B642CF">
        <w:rPr>
          <w:szCs w:val="16"/>
          <w:lang w:val="es-CR"/>
        </w:rPr>
        <w:t>Informes técnicos Ley No. 24.043 expedidos por la Dirección de Leyes Reparatorias de la Secretaría de Derechos Humanos de la Nación, Ministerio de Justicia y Derechos Humanos (expediente de prueba, folios 1339 a 1368).</w:t>
      </w:r>
    </w:p>
  </w:footnote>
  <w:footnote w:id="66">
    <w:p w14:paraId="77F373B5" w14:textId="77777777" w:rsidR="007A5E35" w:rsidRPr="00B642CF" w:rsidRDefault="007A5E35" w:rsidP="007336E2">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r>
      <w:r w:rsidRPr="00B642CF">
        <w:rPr>
          <w:i/>
          <w:szCs w:val="16"/>
          <w:lang w:val="es-ES"/>
        </w:rPr>
        <w:t>Cfr</w:t>
      </w:r>
      <w:r w:rsidRPr="00B642CF">
        <w:rPr>
          <w:szCs w:val="16"/>
          <w:lang w:val="es-ES"/>
        </w:rPr>
        <w:t xml:space="preserve">. </w:t>
      </w:r>
      <w:r w:rsidRPr="00B642CF">
        <w:rPr>
          <w:i/>
          <w:szCs w:val="16"/>
          <w:lang w:val="es-ES"/>
        </w:rPr>
        <w:t xml:space="preserve">Caso Bámaca Velásquez Vs. Guatemala. Reparaciones y Costas. </w:t>
      </w:r>
      <w:r w:rsidRPr="00B642CF">
        <w:rPr>
          <w:szCs w:val="16"/>
          <w:lang w:val="es-ES"/>
        </w:rPr>
        <w:t xml:space="preserve">Sentencia de 22 de febrero de 2002. Serie C No. 91, párr. 43, y </w:t>
      </w:r>
      <w:r w:rsidRPr="00B642CF">
        <w:rPr>
          <w:rStyle w:val="Textoennegrita"/>
          <w:rFonts w:eastAsiaTheme="majorEastAsia"/>
          <w:b w:val="0"/>
          <w:i/>
          <w:color w:val="000000"/>
          <w:szCs w:val="16"/>
          <w:shd w:val="clear" w:color="auto" w:fill="FFFFFF"/>
        </w:rPr>
        <w:t xml:space="preserve">Caso </w:t>
      </w:r>
      <w:r>
        <w:rPr>
          <w:rStyle w:val="Textoennegrita"/>
          <w:rFonts w:eastAsiaTheme="majorEastAsia"/>
          <w:b w:val="0"/>
          <w:i/>
          <w:color w:val="000000"/>
          <w:szCs w:val="16"/>
          <w:shd w:val="clear" w:color="auto" w:fill="FFFFFF"/>
        </w:rPr>
        <w:t>Olivares Muñoz y otros Vs. Venezuela</w:t>
      </w:r>
      <w:r w:rsidRPr="00B642CF">
        <w:rPr>
          <w:rStyle w:val="Textoennegrita"/>
          <w:rFonts w:eastAsiaTheme="majorEastAsia"/>
          <w:b w:val="0"/>
          <w:color w:val="000000"/>
          <w:szCs w:val="16"/>
          <w:shd w:val="clear" w:color="auto" w:fill="FFFFFF"/>
        </w:rPr>
        <w:t xml:space="preserve">, </w:t>
      </w:r>
      <w:r w:rsidRPr="00B642CF">
        <w:rPr>
          <w:rStyle w:val="Textoennegrita"/>
          <w:rFonts w:eastAsiaTheme="majorEastAsia"/>
          <w:b w:val="0"/>
          <w:i/>
          <w:color w:val="000000"/>
          <w:szCs w:val="16"/>
          <w:shd w:val="clear" w:color="auto" w:fill="FFFFFF"/>
        </w:rPr>
        <w:t>supra</w:t>
      </w:r>
      <w:r>
        <w:rPr>
          <w:rStyle w:val="Textoennegrita"/>
          <w:rFonts w:eastAsiaTheme="majorEastAsia"/>
          <w:b w:val="0"/>
          <w:color w:val="000000"/>
          <w:szCs w:val="16"/>
          <w:shd w:val="clear" w:color="auto" w:fill="FFFFFF"/>
        </w:rPr>
        <w:t>, párr. 179</w:t>
      </w:r>
      <w:r w:rsidRPr="00B642CF">
        <w:rPr>
          <w:szCs w:val="16"/>
          <w:lang w:val="es-ES"/>
        </w:rPr>
        <w:t>.</w:t>
      </w:r>
    </w:p>
  </w:footnote>
  <w:footnote w:id="67">
    <w:p w14:paraId="2236BEE1" w14:textId="4410281F"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t>Declaración rendida ante fedatario público por Rufino Jorge Almeida el 27 de agosto de 2020 (expediente de prueba, folios 1502 y 1503).</w:t>
      </w:r>
    </w:p>
  </w:footnote>
  <w:footnote w:id="68">
    <w:p w14:paraId="79AD7DDC" w14:textId="77777777" w:rsidR="007A5E35" w:rsidRPr="00B642CF" w:rsidRDefault="007A5E35" w:rsidP="007336E2">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r>
      <w:r w:rsidRPr="00B642CF">
        <w:rPr>
          <w:i/>
          <w:szCs w:val="16"/>
          <w:lang w:val="es-ES"/>
        </w:rPr>
        <w:t>Cfr</w:t>
      </w:r>
      <w:r w:rsidRPr="00B642CF">
        <w:rPr>
          <w:szCs w:val="16"/>
          <w:lang w:val="es-ES"/>
        </w:rPr>
        <w:t xml:space="preserve">. </w:t>
      </w:r>
      <w:r w:rsidRPr="00B642CF">
        <w:rPr>
          <w:i/>
          <w:szCs w:val="16"/>
          <w:lang w:val="es-ES"/>
        </w:rPr>
        <w:t>Caso de los “Niños de la Calle” (Villagrán Morales y otros) Vs. Guatemala. Reparaciones y Costas</w:t>
      </w:r>
      <w:r w:rsidRPr="00B642CF">
        <w:rPr>
          <w:szCs w:val="16"/>
          <w:lang w:val="es-ES"/>
        </w:rPr>
        <w:t xml:space="preserve">. Sentencia de 26 de mayo de 2001. Serie C No. 77, párr. 84, y </w:t>
      </w:r>
      <w:r w:rsidRPr="00B642CF">
        <w:rPr>
          <w:rStyle w:val="Textoennegrita"/>
          <w:rFonts w:eastAsiaTheme="majorEastAsia"/>
          <w:b w:val="0"/>
          <w:i/>
          <w:color w:val="000000"/>
          <w:szCs w:val="16"/>
          <w:shd w:val="clear" w:color="auto" w:fill="FFFFFF"/>
        </w:rPr>
        <w:t xml:space="preserve">Caso </w:t>
      </w:r>
      <w:r>
        <w:rPr>
          <w:rStyle w:val="Textoennegrita"/>
          <w:rFonts w:eastAsiaTheme="majorEastAsia"/>
          <w:b w:val="0"/>
          <w:i/>
          <w:color w:val="000000"/>
          <w:szCs w:val="16"/>
          <w:shd w:val="clear" w:color="auto" w:fill="FFFFFF"/>
        </w:rPr>
        <w:t>Olivares Muñoz y otros Vs. Venezuela</w:t>
      </w:r>
      <w:r w:rsidRPr="00B642CF">
        <w:rPr>
          <w:rStyle w:val="Textoennegrita"/>
          <w:rFonts w:eastAsiaTheme="majorEastAsia"/>
          <w:b w:val="0"/>
          <w:color w:val="000000"/>
          <w:szCs w:val="16"/>
          <w:shd w:val="clear" w:color="auto" w:fill="FFFFFF"/>
        </w:rPr>
        <w:t xml:space="preserve">, </w:t>
      </w:r>
      <w:r w:rsidRPr="00B642CF">
        <w:rPr>
          <w:rStyle w:val="Textoennegrita"/>
          <w:rFonts w:eastAsiaTheme="majorEastAsia"/>
          <w:b w:val="0"/>
          <w:i/>
          <w:color w:val="000000"/>
          <w:szCs w:val="16"/>
          <w:shd w:val="clear" w:color="auto" w:fill="FFFFFF"/>
        </w:rPr>
        <w:t>supra</w:t>
      </w:r>
      <w:r>
        <w:rPr>
          <w:rStyle w:val="Textoennegrita"/>
          <w:rFonts w:eastAsiaTheme="majorEastAsia"/>
          <w:b w:val="0"/>
          <w:color w:val="000000"/>
          <w:szCs w:val="16"/>
          <w:shd w:val="clear" w:color="auto" w:fill="FFFFFF"/>
        </w:rPr>
        <w:t>, párr. 186</w:t>
      </w:r>
      <w:r w:rsidRPr="00B642CF">
        <w:rPr>
          <w:szCs w:val="16"/>
          <w:lang w:val="es-ES"/>
        </w:rPr>
        <w:t>.</w:t>
      </w:r>
    </w:p>
  </w:footnote>
  <w:footnote w:id="69">
    <w:p w14:paraId="06E6C5B9" w14:textId="7D4B0C2E" w:rsidR="007A5E35" w:rsidRPr="00B642CF" w:rsidRDefault="007A5E35">
      <w:pPr>
        <w:pStyle w:val="Textonotapie"/>
        <w:rPr>
          <w:szCs w:val="16"/>
        </w:rPr>
      </w:pPr>
      <w:r w:rsidRPr="00B642CF">
        <w:rPr>
          <w:rStyle w:val="Refdenotaalpie"/>
          <w:sz w:val="16"/>
          <w:szCs w:val="16"/>
        </w:rPr>
        <w:footnoteRef/>
      </w:r>
      <w:r w:rsidRPr="00B642CF">
        <w:rPr>
          <w:szCs w:val="16"/>
        </w:rPr>
        <w:t xml:space="preserve"> </w:t>
      </w:r>
      <w:r w:rsidRPr="00B642CF">
        <w:rPr>
          <w:szCs w:val="16"/>
        </w:rPr>
        <w:tab/>
      </w:r>
      <w:r w:rsidRPr="00B642CF">
        <w:rPr>
          <w:i/>
          <w:szCs w:val="16"/>
        </w:rPr>
        <w:t xml:space="preserve">Cfr. </w:t>
      </w:r>
      <w:r w:rsidRPr="00B642CF">
        <w:rPr>
          <w:bCs/>
          <w:i/>
          <w:szCs w:val="16"/>
        </w:rPr>
        <w:t xml:space="preserve">Caso Reverón Trujillo Vs. Venezuela. Excepción Preliminar, Fondo, Reparaciones y Costas. </w:t>
      </w:r>
      <w:r w:rsidRPr="00B642CF">
        <w:rPr>
          <w:bCs/>
          <w:szCs w:val="16"/>
        </w:rPr>
        <w:t>Sentencia de 30 de junio de 2009. Serie C No. 197</w:t>
      </w:r>
      <w:r w:rsidRPr="00B642CF">
        <w:rPr>
          <w:szCs w:val="16"/>
        </w:rPr>
        <w:t xml:space="preserve">, </w:t>
      </w:r>
      <w:r w:rsidRPr="00B642CF">
        <w:rPr>
          <w:rFonts w:cs="Arial"/>
          <w:szCs w:val="16"/>
        </w:rPr>
        <w:t>párr. 176</w:t>
      </w:r>
      <w:r w:rsidRPr="00B642CF">
        <w:rPr>
          <w:rFonts w:cs="Arial"/>
          <w:i/>
          <w:szCs w:val="16"/>
        </w:rPr>
        <w:t>, y Caso Maldonado Ordóñez Vs. Guatemala. Excepción Preliminar, Fondo, Reparaciones y Costas</w:t>
      </w:r>
      <w:r w:rsidRPr="00B642CF">
        <w:rPr>
          <w:rFonts w:cs="Arial"/>
          <w:szCs w:val="16"/>
        </w:rPr>
        <w:t>. Sentencia de 3 de mayo de 2016. Serie C No. 311, párr. 149.</w:t>
      </w:r>
    </w:p>
  </w:footnote>
  <w:footnote w:id="70">
    <w:p w14:paraId="0ADEF346" w14:textId="5E46E6C9" w:rsidR="007A5E35" w:rsidRPr="00B642CF" w:rsidRDefault="007A5E35" w:rsidP="00705991">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r>
      <w:r w:rsidRPr="00B642CF">
        <w:rPr>
          <w:i/>
          <w:szCs w:val="16"/>
          <w:lang w:val="es-ES"/>
        </w:rPr>
        <w:t>Cfr.</w:t>
      </w:r>
      <w:r w:rsidRPr="00B642CF">
        <w:rPr>
          <w:szCs w:val="16"/>
          <w:lang w:val="es-ES"/>
        </w:rPr>
        <w:t xml:space="preserve"> </w:t>
      </w:r>
      <w:r w:rsidRPr="00B642CF">
        <w:rPr>
          <w:i/>
          <w:szCs w:val="16"/>
          <w:lang w:val="es-ES"/>
        </w:rPr>
        <w:t>Caso Garrido y Baigorria Vs. Argentina. Reparaciones y Costas.</w:t>
      </w:r>
      <w:r w:rsidRPr="00B642CF">
        <w:rPr>
          <w:szCs w:val="16"/>
          <w:lang w:val="es-ES"/>
        </w:rPr>
        <w:t xml:space="preserve"> Sentencia de 27 de agosto de 1998. Serie C No. 39, párrs. 79 y 82, y </w:t>
      </w:r>
      <w:r w:rsidRPr="00B642CF">
        <w:rPr>
          <w:rStyle w:val="Textoennegrita"/>
          <w:rFonts w:eastAsiaTheme="majorEastAsia"/>
          <w:b w:val="0"/>
          <w:i/>
          <w:color w:val="000000"/>
          <w:szCs w:val="16"/>
          <w:shd w:val="clear" w:color="auto" w:fill="FFFFFF"/>
        </w:rPr>
        <w:t xml:space="preserve">Caso </w:t>
      </w:r>
      <w:r>
        <w:rPr>
          <w:rStyle w:val="Textoennegrita"/>
          <w:rFonts w:eastAsiaTheme="majorEastAsia"/>
          <w:b w:val="0"/>
          <w:i/>
          <w:color w:val="000000"/>
          <w:szCs w:val="16"/>
          <w:shd w:val="clear" w:color="auto" w:fill="FFFFFF"/>
        </w:rPr>
        <w:t>Olivares Muñoz y otros Vs. Venezuela</w:t>
      </w:r>
      <w:r w:rsidRPr="00B642CF">
        <w:rPr>
          <w:i/>
          <w:szCs w:val="16"/>
          <w:lang w:val="es-ES"/>
        </w:rPr>
        <w:t xml:space="preserve">, supra, </w:t>
      </w:r>
      <w:r>
        <w:rPr>
          <w:szCs w:val="16"/>
          <w:lang w:val="es-ES"/>
        </w:rPr>
        <w:t>párr. 192</w:t>
      </w:r>
      <w:r w:rsidRPr="00B642CF">
        <w:rPr>
          <w:rStyle w:val="Textoennegrita"/>
          <w:i/>
          <w:color w:val="000000"/>
          <w:szCs w:val="16"/>
          <w:shd w:val="clear" w:color="auto" w:fill="FFFFFF"/>
        </w:rPr>
        <w:t>.</w:t>
      </w:r>
    </w:p>
  </w:footnote>
  <w:footnote w:id="71">
    <w:p w14:paraId="26276925" w14:textId="49667578" w:rsidR="007A5E35" w:rsidRPr="00B642CF" w:rsidRDefault="007A5E35" w:rsidP="00705991">
      <w:pPr>
        <w:pStyle w:val="Textonotapie"/>
        <w:rPr>
          <w:szCs w:val="16"/>
          <w:lang w:val="es-ES"/>
        </w:rPr>
      </w:pPr>
      <w:r w:rsidRPr="00B642CF">
        <w:rPr>
          <w:rStyle w:val="Refdenotaalpie"/>
          <w:sz w:val="16"/>
          <w:szCs w:val="16"/>
          <w:lang w:val="es-ES"/>
        </w:rPr>
        <w:footnoteRef/>
      </w:r>
      <w:r w:rsidRPr="00B642CF">
        <w:rPr>
          <w:szCs w:val="16"/>
          <w:lang w:val="es-ES"/>
        </w:rPr>
        <w:t xml:space="preserve"> </w:t>
      </w:r>
      <w:r w:rsidRPr="00B642CF">
        <w:rPr>
          <w:szCs w:val="16"/>
          <w:lang w:val="es-ES"/>
        </w:rPr>
        <w:tab/>
      </w:r>
      <w:r w:rsidRPr="00B642CF">
        <w:rPr>
          <w:i/>
          <w:szCs w:val="16"/>
          <w:lang w:val="es-ES"/>
        </w:rPr>
        <w:t xml:space="preserve">Cfr. Caso Comunidad Indígena Xákmok Kásek Vs. Paraguay. Fondo, Reparaciones y Costas. </w:t>
      </w:r>
      <w:r w:rsidRPr="00B642CF">
        <w:rPr>
          <w:szCs w:val="16"/>
          <w:lang w:val="es-ES"/>
        </w:rPr>
        <w:t xml:space="preserve">Sentencia de 24 de agosto de 2010. Serie C No. 214, párr. 331, y </w:t>
      </w:r>
      <w:r w:rsidRPr="00B642CF">
        <w:rPr>
          <w:rStyle w:val="Textoennegrita"/>
          <w:rFonts w:eastAsiaTheme="majorEastAsia"/>
          <w:b w:val="0"/>
          <w:i/>
          <w:color w:val="000000"/>
          <w:szCs w:val="16"/>
          <w:shd w:val="clear" w:color="auto" w:fill="FFFFFF"/>
        </w:rPr>
        <w:t xml:space="preserve">Caso </w:t>
      </w:r>
      <w:r>
        <w:rPr>
          <w:rStyle w:val="Textoennegrita"/>
          <w:rFonts w:eastAsiaTheme="majorEastAsia"/>
          <w:b w:val="0"/>
          <w:i/>
          <w:color w:val="000000"/>
          <w:szCs w:val="16"/>
          <w:shd w:val="clear" w:color="auto" w:fill="FFFFFF"/>
        </w:rPr>
        <w:t>Olivares Muñoz y otros Vs. Venezuela</w:t>
      </w:r>
      <w:r w:rsidRPr="00B642CF">
        <w:rPr>
          <w:i/>
          <w:szCs w:val="16"/>
          <w:lang w:val="es-ES"/>
        </w:rPr>
        <w:t xml:space="preserve">, supra, </w:t>
      </w:r>
      <w:r>
        <w:rPr>
          <w:szCs w:val="16"/>
          <w:lang w:val="es-ES"/>
        </w:rPr>
        <w:t>párr. 194</w:t>
      </w:r>
      <w:r w:rsidRPr="00B642CF">
        <w:rPr>
          <w:szCs w:val="16"/>
          <w:lang w:val="es-E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7370A9" w14:textId="77777777" w:rsidR="007A5E35" w:rsidRDefault="007A5E35" w:rsidP="0058737B">
    <w:pPr>
      <w:pStyle w:val="Encabezado"/>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14:paraId="00B5F0B8" w14:textId="77777777" w:rsidR="007A5E35" w:rsidRDefault="007A5E3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3EF86D" w14:textId="34F24340" w:rsidR="007A5E35" w:rsidRPr="006A0E43" w:rsidRDefault="007A5E35" w:rsidP="0058737B">
    <w:pPr>
      <w:pStyle w:val="Encabezado"/>
      <w:framePr w:wrap="around" w:vAnchor="text" w:hAnchor="page" w:x="6099" w:y="-14"/>
      <w:rPr>
        <w:rStyle w:val="Nmerodepgina"/>
        <w:rFonts w:ascii="Verdana" w:hAnsi="Verdana"/>
      </w:rPr>
    </w:pPr>
  </w:p>
  <w:p w14:paraId="5ECD57D8" w14:textId="77777777" w:rsidR="007A5E35" w:rsidRPr="004E095B" w:rsidRDefault="007A5E35" w:rsidP="0058737B">
    <w:pPr>
      <w:pStyle w:val="Encabezado"/>
      <w:jc w:val="center"/>
      <w:rPr>
        <w:rFonts w:ascii="Verdana" w:hAnsi="Verdan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F6B66"/>
    <w:multiLevelType w:val="hybridMultilevel"/>
    <w:tmpl w:val="CBA624C0"/>
    <w:lvl w:ilvl="0" w:tplc="6548063A">
      <w:start w:val="1"/>
      <w:numFmt w:val="decimal"/>
      <w:pStyle w:val="PrrafodeSentencia"/>
      <w:lvlText w:val="%1."/>
      <w:lvlJc w:val="left"/>
      <w:pPr>
        <w:ind w:left="2486" w:hanging="360"/>
      </w:pPr>
      <w:rPr>
        <w:rFonts w:ascii="Verdana" w:hAnsi="Verdana" w:hint="default"/>
        <w:b w:val="0"/>
        <w:i w:val="0"/>
        <w:strike w:val="0"/>
        <w:dstrike w:val="0"/>
        <w:color w:val="auto"/>
        <w:sz w:val="20"/>
        <w:szCs w:val="20"/>
        <w:u w:val="none"/>
        <w:effect w:val="none"/>
        <w:vertAlign w:val="baseline"/>
        <w:lang w:val="es-ES"/>
      </w:rPr>
    </w:lvl>
    <w:lvl w:ilvl="1" w:tplc="CEA4ED48">
      <w:start w:val="1"/>
      <w:numFmt w:val="upp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1" w15:restartNumberingAfterBreak="0">
    <w:nsid w:val="0A2D0AE1"/>
    <w:multiLevelType w:val="hybridMultilevel"/>
    <w:tmpl w:val="01F42D84"/>
    <w:lvl w:ilvl="0" w:tplc="8370E918">
      <w:start w:val="1"/>
      <w:numFmt w:val="upperLetter"/>
      <w:lvlText w:val="%1."/>
      <w:lvlJc w:val="left"/>
      <w:pPr>
        <w:ind w:left="1065" w:hanging="360"/>
      </w:pPr>
      <w:rPr>
        <w:rFonts w:hint="default"/>
      </w:rPr>
    </w:lvl>
    <w:lvl w:ilvl="1" w:tplc="140A0019" w:tentative="1">
      <w:start w:val="1"/>
      <w:numFmt w:val="lowerLetter"/>
      <w:lvlText w:val="%2."/>
      <w:lvlJc w:val="left"/>
      <w:pPr>
        <w:ind w:left="1785" w:hanging="360"/>
      </w:pPr>
    </w:lvl>
    <w:lvl w:ilvl="2" w:tplc="140A001B" w:tentative="1">
      <w:start w:val="1"/>
      <w:numFmt w:val="lowerRoman"/>
      <w:lvlText w:val="%3."/>
      <w:lvlJc w:val="right"/>
      <w:pPr>
        <w:ind w:left="2505" w:hanging="180"/>
      </w:pPr>
    </w:lvl>
    <w:lvl w:ilvl="3" w:tplc="140A000F" w:tentative="1">
      <w:start w:val="1"/>
      <w:numFmt w:val="decimal"/>
      <w:lvlText w:val="%4."/>
      <w:lvlJc w:val="left"/>
      <w:pPr>
        <w:ind w:left="3225" w:hanging="360"/>
      </w:pPr>
    </w:lvl>
    <w:lvl w:ilvl="4" w:tplc="140A0019" w:tentative="1">
      <w:start w:val="1"/>
      <w:numFmt w:val="lowerLetter"/>
      <w:lvlText w:val="%5."/>
      <w:lvlJc w:val="left"/>
      <w:pPr>
        <w:ind w:left="3945" w:hanging="360"/>
      </w:pPr>
    </w:lvl>
    <w:lvl w:ilvl="5" w:tplc="140A001B" w:tentative="1">
      <w:start w:val="1"/>
      <w:numFmt w:val="lowerRoman"/>
      <w:lvlText w:val="%6."/>
      <w:lvlJc w:val="right"/>
      <w:pPr>
        <w:ind w:left="4665" w:hanging="180"/>
      </w:pPr>
    </w:lvl>
    <w:lvl w:ilvl="6" w:tplc="140A000F" w:tentative="1">
      <w:start w:val="1"/>
      <w:numFmt w:val="decimal"/>
      <w:lvlText w:val="%7."/>
      <w:lvlJc w:val="left"/>
      <w:pPr>
        <w:ind w:left="5385" w:hanging="360"/>
      </w:pPr>
    </w:lvl>
    <w:lvl w:ilvl="7" w:tplc="140A0019" w:tentative="1">
      <w:start w:val="1"/>
      <w:numFmt w:val="lowerLetter"/>
      <w:lvlText w:val="%8."/>
      <w:lvlJc w:val="left"/>
      <w:pPr>
        <w:ind w:left="6105" w:hanging="360"/>
      </w:pPr>
    </w:lvl>
    <w:lvl w:ilvl="8" w:tplc="140A001B" w:tentative="1">
      <w:start w:val="1"/>
      <w:numFmt w:val="lowerRoman"/>
      <w:lvlText w:val="%9."/>
      <w:lvlJc w:val="right"/>
      <w:pPr>
        <w:ind w:left="6825" w:hanging="180"/>
      </w:pPr>
    </w:lvl>
  </w:abstractNum>
  <w:abstractNum w:abstractNumId="2" w15:restartNumberingAfterBreak="0">
    <w:nsid w:val="0C415A9A"/>
    <w:multiLevelType w:val="hybridMultilevel"/>
    <w:tmpl w:val="C6262676"/>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 w15:restartNumberingAfterBreak="0">
    <w:nsid w:val="0F974852"/>
    <w:multiLevelType w:val="hybridMultilevel"/>
    <w:tmpl w:val="B6D0D210"/>
    <w:lvl w:ilvl="0" w:tplc="6BE801BC">
      <w:start w:val="1"/>
      <w:numFmt w:val="decimal"/>
      <w:lvlText w:val="%1."/>
      <w:lvlJc w:val="left"/>
      <w:pPr>
        <w:ind w:left="72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100E111D"/>
    <w:multiLevelType w:val="hybridMultilevel"/>
    <w:tmpl w:val="818EA9EE"/>
    <w:lvl w:ilvl="0" w:tplc="CEA4ED48">
      <w:start w:val="1"/>
      <w:numFmt w:val="upperLetter"/>
      <w:lvlText w:val="%1."/>
      <w:lvlJc w:val="left"/>
      <w:pPr>
        <w:ind w:left="1440" w:hanging="360"/>
      </w:p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13376654"/>
    <w:multiLevelType w:val="hybridMultilevel"/>
    <w:tmpl w:val="E4AC591A"/>
    <w:lvl w:ilvl="0" w:tplc="25742612">
      <w:start w:val="1"/>
      <w:numFmt w:val="upperLetter"/>
      <w:pStyle w:val="Ttulo2"/>
      <w:lvlText w:val="%1."/>
      <w:lvlJc w:val="left"/>
      <w:pPr>
        <w:ind w:left="92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6" w15:restartNumberingAfterBreak="0">
    <w:nsid w:val="13D6389B"/>
    <w:multiLevelType w:val="hybridMultilevel"/>
    <w:tmpl w:val="BD761012"/>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E8B5EB5"/>
    <w:multiLevelType w:val="hybridMultilevel"/>
    <w:tmpl w:val="2324618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1F3610A8"/>
    <w:multiLevelType w:val="hybridMultilevel"/>
    <w:tmpl w:val="6C882248"/>
    <w:lvl w:ilvl="0" w:tplc="DB68C058">
      <w:start w:val="6"/>
      <w:numFmt w:val="bullet"/>
      <w:lvlText w:val="-"/>
      <w:lvlJc w:val="left"/>
      <w:pPr>
        <w:ind w:left="720" w:hanging="360"/>
      </w:pPr>
      <w:rPr>
        <w:rFonts w:ascii="Verdana" w:eastAsia="Times New Roman"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9" w15:restartNumberingAfterBreak="0">
    <w:nsid w:val="1FE13E04"/>
    <w:multiLevelType w:val="hybridMultilevel"/>
    <w:tmpl w:val="C0F65382"/>
    <w:lvl w:ilvl="0" w:tplc="58983E70">
      <w:numFmt w:val="bullet"/>
      <w:lvlText w:val="-"/>
      <w:lvlJc w:val="left"/>
      <w:pPr>
        <w:ind w:left="720" w:hanging="360"/>
      </w:pPr>
      <w:rPr>
        <w:rFonts w:ascii="Verdana" w:eastAsia="MS Mincho"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223A3B08"/>
    <w:multiLevelType w:val="hybridMultilevel"/>
    <w:tmpl w:val="A468BD86"/>
    <w:lvl w:ilvl="0" w:tplc="B59EE268">
      <w:start w:val="1"/>
      <w:numFmt w:val="decimal"/>
      <w:lvlText w:val="%1."/>
      <w:lvlJc w:val="left"/>
      <w:pPr>
        <w:tabs>
          <w:tab w:val="num" w:pos="0"/>
        </w:tabs>
        <w:ind w:left="0" w:firstLine="0"/>
      </w:pPr>
      <w:rPr>
        <w:rFonts w:hint="default"/>
        <w:b w:val="0"/>
        <w:i w:val="0"/>
        <w:strike w:val="0"/>
        <w:sz w:val="20"/>
        <w:szCs w:val="20"/>
      </w:rPr>
    </w:lvl>
    <w:lvl w:ilvl="1" w:tplc="CF58FEBC">
      <w:start w:val="1"/>
      <w:numFmt w:val="upperLetter"/>
      <w:lvlText w:val="%2)"/>
      <w:lvlJc w:val="left"/>
      <w:pPr>
        <w:tabs>
          <w:tab w:val="num" w:pos="1440"/>
        </w:tabs>
        <w:ind w:left="1440" w:hanging="360"/>
      </w:pPr>
      <w:rPr>
        <w:rFonts w:hint="default"/>
      </w:rPr>
    </w:lvl>
    <w:lvl w:ilvl="2" w:tplc="C660E8FA">
      <w:start w:val="23"/>
      <w:numFmt w:val="bullet"/>
      <w:lvlText w:val=""/>
      <w:lvlJc w:val="left"/>
      <w:pPr>
        <w:tabs>
          <w:tab w:val="num" w:pos="2700"/>
        </w:tabs>
        <w:ind w:left="2700" w:hanging="720"/>
      </w:pPr>
      <w:rPr>
        <w:rFonts w:ascii="Symbol" w:eastAsia="Times New Roman" w:hAnsi="Symbol" w:cs="Times" w:hint="default"/>
      </w:rPr>
    </w:lvl>
    <w:lvl w:ilvl="3" w:tplc="96746DD8">
      <w:start w:val="1"/>
      <w:numFmt w:val="upperLetter"/>
      <w:lvlText w:val="%4."/>
      <w:lvlJc w:val="left"/>
      <w:pPr>
        <w:tabs>
          <w:tab w:val="num" w:pos="3240"/>
        </w:tabs>
        <w:ind w:left="3240" w:hanging="720"/>
      </w:pPr>
      <w:rPr>
        <w:rFonts w:hint="default"/>
      </w:rPr>
    </w:lvl>
    <w:lvl w:ilvl="4" w:tplc="EE606886">
      <w:start w:val="1"/>
      <w:numFmt w:val="decimal"/>
      <w:lvlText w:val="%5)"/>
      <w:lvlJc w:val="left"/>
      <w:pPr>
        <w:tabs>
          <w:tab w:val="num" w:pos="3630"/>
        </w:tabs>
        <w:ind w:left="3630" w:hanging="390"/>
      </w:pPr>
      <w:rPr>
        <w:rFonts w:hint="default"/>
        <w:b w:val="0"/>
      </w:r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23A34D18"/>
    <w:multiLevelType w:val="hybridMultilevel"/>
    <w:tmpl w:val="CC2091FA"/>
    <w:lvl w:ilvl="0" w:tplc="E9223ACA">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12" w15:restartNumberingAfterBreak="0">
    <w:nsid w:val="25E73C8D"/>
    <w:multiLevelType w:val="hybridMultilevel"/>
    <w:tmpl w:val="3FF87EDC"/>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2F1628B6"/>
    <w:multiLevelType w:val="hybridMultilevel"/>
    <w:tmpl w:val="1FC0545A"/>
    <w:lvl w:ilvl="0" w:tplc="9F5E6ECE">
      <w:start w:val="2"/>
      <w:numFmt w:val="decimal"/>
      <w:lvlText w:val="%1."/>
      <w:lvlJc w:val="left"/>
      <w:pPr>
        <w:ind w:left="5130" w:hanging="360"/>
      </w:pPr>
      <w:rPr>
        <w:rFonts w:hint="default"/>
        <w:b w:val="0"/>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4" w15:restartNumberingAfterBreak="0">
    <w:nsid w:val="35EC5C34"/>
    <w:multiLevelType w:val="hybridMultilevel"/>
    <w:tmpl w:val="515CB3E2"/>
    <w:lvl w:ilvl="0" w:tplc="ABF8E334">
      <w:start w:val="1"/>
      <w:numFmt w:val="decimal"/>
      <w:lvlText w:val="%1."/>
      <w:lvlJc w:val="left"/>
      <w:pPr>
        <w:ind w:left="928" w:hanging="360"/>
      </w:pPr>
      <w:rPr>
        <w:rFonts w:ascii="Verdana" w:hAnsi="Verdana" w:hint="default"/>
        <w:b w:val="0"/>
        <w:i w:val="0"/>
        <w:color w:val="auto"/>
      </w:rPr>
    </w:lvl>
    <w:lvl w:ilvl="1" w:tplc="6D084780">
      <w:start w:val="1"/>
      <w:numFmt w:val="lowerLetter"/>
      <w:lvlText w:val="%2)"/>
      <w:lvlJc w:val="left"/>
      <w:pPr>
        <w:ind w:left="1080" w:hanging="360"/>
      </w:pPr>
      <w:rPr>
        <w:rFonts w:hint="default"/>
        <w:i w:val="0"/>
      </w:r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0D60385"/>
    <w:multiLevelType w:val="hybridMultilevel"/>
    <w:tmpl w:val="E168E64C"/>
    <w:lvl w:ilvl="0" w:tplc="C23AC0AA">
      <w:start w:val="1"/>
      <w:numFmt w:val="lowerLetter"/>
      <w:lvlText w:val="%1)"/>
      <w:lvlJc w:val="left"/>
      <w:pPr>
        <w:ind w:left="1069" w:hanging="360"/>
      </w:pPr>
      <w:rPr>
        <w:rFonts w:hint="default"/>
        <w:i/>
      </w:rPr>
    </w:lvl>
    <w:lvl w:ilvl="1" w:tplc="140A0019" w:tentative="1">
      <w:start w:val="1"/>
      <w:numFmt w:val="lowerLetter"/>
      <w:lvlText w:val="%2."/>
      <w:lvlJc w:val="left"/>
      <w:pPr>
        <w:ind w:left="1789" w:hanging="360"/>
      </w:pPr>
    </w:lvl>
    <w:lvl w:ilvl="2" w:tplc="140A001B" w:tentative="1">
      <w:start w:val="1"/>
      <w:numFmt w:val="lowerRoman"/>
      <w:lvlText w:val="%3."/>
      <w:lvlJc w:val="right"/>
      <w:pPr>
        <w:ind w:left="2509" w:hanging="180"/>
      </w:pPr>
    </w:lvl>
    <w:lvl w:ilvl="3" w:tplc="140A000F" w:tentative="1">
      <w:start w:val="1"/>
      <w:numFmt w:val="decimal"/>
      <w:lvlText w:val="%4."/>
      <w:lvlJc w:val="left"/>
      <w:pPr>
        <w:ind w:left="3229" w:hanging="360"/>
      </w:pPr>
    </w:lvl>
    <w:lvl w:ilvl="4" w:tplc="140A0019" w:tentative="1">
      <w:start w:val="1"/>
      <w:numFmt w:val="lowerLetter"/>
      <w:lvlText w:val="%5."/>
      <w:lvlJc w:val="left"/>
      <w:pPr>
        <w:ind w:left="3949" w:hanging="360"/>
      </w:pPr>
    </w:lvl>
    <w:lvl w:ilvl="5" w:tplc="140A001B" w:tentative="1">
      <w:start w:val="1"/>
      <w:numFmt w:val="lowerRoman"/>
      <w:lvlText w:val="%6."/>
      <w:lvlJc w:val="right"/>
      <w:pPr>
        <w:ind w:left="4669" w:hanging="180"/>
      </w:pPr>
    </w:lvl>
    <w:lvl w:ilvl="6" w:tplc="140A000F" w:tentative="1">
      <w:start w:val="1"/>
      <w:numFmt w:val="decimal"/>
      <w:lvlText w:val="%7."/>
      <w:lvlJc w:val="left"/>
      <w:pPr>
        <w:ind w:left="5389" w:hanging="360"/>
      </w:pPr>
    </w:lvl>
    <w:lvl w:ilvl="7" w:tplc="140A0019" w:tentative="1">
      <w:start w:val="1"/>
      <w:numFmt w:val="lowerLetter"/>
      <w:lvlText w:val="%8."/>
      <w:lvlJc w:val="left"/>
      <w:pPr>
        <w:ind w:left="6109" w:hanging="360"/>
      </w:pPr>
    </w:lvl>
    <w:lvl w:ilvl="8" w:tplc="140A001B" w:tentative="1">
      <w:start w:val="1"/>
      <w:numFmt w:val="lowerRoman"/>
      <w:lvlText w:val="%9."/>
      <w:lvlJc w:val="right"/>
      <w:pPr>
        <w:ind w:left="6829" w:hanging="180"/>
      </w:pPr>
    </w:lvl>
  </w:abstractNum>
  <w:abstractNum w:abstractNumId="16" w15:restartNumberingAfterBreak="0">
    <w:nsid w:val="4CCD1B5F"/>
    <w:multiLevelType w:val="hybridMultilevel"/>
    <w:tmpl w:val="BB982C7E"/>
    <w:lvl w:ilvl="0" w:tplc="933CD5A2">
      <w:start w:val="1"/>
      <w:numFmt w:val="decimal"/>
      <w:lvlText w:val="%1."/>
      <w:lvlJc w:val="left"/>
      <w:pPr>
        <w:ind w:left="1495" w:hanging="360"/>
      </w:pPr>
      <w:rPr>
        <w:rFonts w:ascii="Verdana" w:eastAsia="Batang" w:hAnsi="Verdana" w:cs="Times"/>
        <w:b w:val="0"/>
        <w:i w:val="0"/>
        <w:strike w:val="0"/>
        <w:color w:val="auto"/>
        <w:sz w:val="20"/>
        <w:szCs w:val="20"/>
      </w:rPr>
    </w:lvl>
    <w:lvl w:ilvl="1" w:tplc="62A25344">
      <w:start w:val="1"/>
      <w:numFmt w:val="lowerLetter"/>
      <w:lvlText w:val="%2)"/>
      <w:lvlJc w:val="left"/>
      <w:pPr>
        <w:ind w:left="1647" w:hanging="360"/>
      </w:pPr>
      <w:rPr>
        <w:rFonts w:ascii="Verdana" w:eastAsia="Batang" w:hAnsi="Verdana" w:cs="Times"/>
      </w:rPr>
    </w:lvl>
    <w:lvl w:ilvl="2" w:tplc="140A001B">
      <w:start w:val="1"/>
      <w:numFmt w:val="lowerRoman"/>
      <w:lvlText w:val="%3."/>
      <w:lvlJc w:val="right"/>
      <w:pPr>
        <w:ind w:left="2547" w:hanging="360"/>
      </w:pPr>
      <w:rPr>
        <w:rFonts w:hint="default"/>
      </w:rPr>
    </w:lvl>
    <w:lvl w:ilvl="3" w:tplc="F50C6474">
      <w:start w:val="1"/>
      <w:numFmt w:val="lowerLetter"/>
      <w:lvlText w:val="%4)"/>
      <w:lvlJc w:val="left"/>
      <w:pPr>
        <w:ind w:left="3087" w:hanging="360"/>
      </w:pPr>
      <w:rPr>
        <w:rFonts w:hint="default"/>
      </w:rPr>
    </w:lvl>
    <w:lvl w:ilvl="4" w:tplc="86144CC8">
      <w:start w:val="7"/>
      <w:numFmt w:val="decimal"/>
      <w:lvlText w:val="%5"/>
      <w:lvlJc w:val="left"/>
      <w:pPr>
        <w:ind w:left="3807" w:hanging="360"/>
      </w:pPr>
      <w:rPr>
        <w:rFonts w:hint="default"/>
        <w:i/>
      </w:rPr>
    </w:lvl>
    <w:lvl w:ilvl="5" w:tplc="0C0A001B" w:tentative="1">
      <w:start w:val="1"/>
      <w:numFmt w:val="lowerRoman"/>
      <w:lvlText w:val="%6."/>
      <w:lvlJc w:val="right"/>
      <w:pPr>
        <w:ind w:left="4527" w:hanging="180"/>
      </w:pPr>
    </w:lvl>
    <w:lvl w:ilvl="6" w:tplc="0C0A000F">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7"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8" w15:restartNumberingAfterBreak="0">
    <w:nsid w:val="552122E2"/>
    <w:multiLevelType w:val="hybridMultilevel"/>
    <w:tmpl w:val="1466F58E"/>
    <w:lvl w:ilvl="0" w:tplc="7402E134">
      <w:start w:val="83"/>
      <w:numFmt w:val="decimal"/>
      <w:lvlText w:val="%1."/>
      <w:lvlJc w:val="left"/>
      <w:pPr>
        <w:ind w:left="927"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9" w15:restartNumberingAfterBreak="0">
    <w:nsid w:val="5AB34D23"/>
    <w:multiLevelType w:val="hybridMultilevel"/>
    <w:tmpl w:val="01EC32E8"/>
    <w:lvl w:ilvl="0" w:tplc="FA5084B8">
      <w:numFmt w:val="bullet"/>
      <w:lvlText w:val="-"/>
      <w:lvlJc w:val="left"/>
      <w:pPr>
        <w:ind w:left="720" w:hanging="360"/>
      </w:pPr>
      <w:rPr>
        <w:rFonts w:ascii="Verdana" w:eastAsia="MS Mincho" w:hAnsi="Verdana" w:cs="Times New Roman"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0" w15:restartNumberingAfterBreak="0">
    <w:nsid w:val="5B6DD95E"/>
    <w:multiLevelType w:val="multilevel"/>
    <w:tmpl w:val="5B6DD95E"/>
    <w:name w:val="Lista numerada 38"/>
    <w:lvl w:ilvl="0">
      <w:start w:val="1"/>
      <w:numFmt w:val="decimal"/>
      <w:lvlText w:val="%1."/>
      <w:lvlJc w:val="left"/>
      <w:rPr>
        <w:rFonts w:ascii="Verdana" w:hAnsi="Verdana"/>
        <w:b w:val="0"/>
        <w:i w:val="0"/>
        <w:strike w:val="0"/>
        <w:color w:val="000000"/>
        <w:position w:val="0"/>
        <w:sz w:val="20"/>
        <w:vertAlign w:val="baseline"/>
      </w:rPr>
    </w:lvl>
    <w:lvl w:ilvl="1">
      <w:start w:val="1"/>
      <w:numFmt w:val="lowerLetter"/>
      <w:lvlText w:val="%2."/>
      <w:lvlJc w:val="left"/>
      <w:rPr>
        <w:rFonts w:ascii="Verdana" w:hAnsi="Verdana"/>
        <w:i/>
      </w:rPr>
    </w:lvl>
    <w:lvl w:ilvl="2">
      <w:start w:val="1"/>
      <w:numFmt w:val="lowerRoman"/>
      <w:lvlText w:val="%3."/>
      <w:lvlJc w:val="left"/>
      <w:rPr>
        <w:i/>
      </w:rPr>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start w:val="1"/>
      <w:numFmt w:val="lowerRoman"/>
      <w:lvlText w:val="%9."/>
      <w:lvlJc w:val="left"/>
    </w:lvl>
  </w:abstractNum>
  <w:abstractNum w:abstractNumId="21" w15:restartNumberingAfterBreak="0">
    <w:nsid w:val="60CB12B4"/>
    <w:multiLevelType w:val="hybridMultilevel"/>
    <w:tmpl w:val="23246186"/>
    <w:lvl w:ilvl="0" w:tplc="140A0017">
      <w:start w:val="1"/>
      <w:numFmt w:val="low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657911E6"/>
    <w:multiLevelType w:val="hybridMultilevel"/>
    <w:tmpl w:val="A00C9E00"/>
    <w:lvl w:ilvl="0" w:tplc="50E26768">
      <w:start w:val="1"/>
      <w:numFmt w:val="upperLetter"/>
      <w:lvlText w:val="%1."/>
      <w:lvlJc w:val="left"/>
      <w:pPr>
        <w:ind w:left="927" w:hanging="360"/>
      </w:pPr>
      <w:rPr>
        <w:rFonts w:hint="default"/>
      </w:rPr>
    </w:lvl>
    <w:lvl w:ilvl="1" w:tplc="140A0019" w:tentative="1">
      <w:start w:val="1"/>
      <w:numFmt w:val="lowerLetter"/>
      <w:lvlText w:val="%2."/>
      <w:lvlJc w:val="left"/>
      <w:pPr>
        <w:ind w:left="1647" w:hanging="360"/>
      </w:pPr>
    </w:lvl>
    <w:lvl w:ilvl="2" w:tplc="140A001B" w:tentative="1">
      <w:start w:val="1"/>
      <w:numFmt w:val="lowerRoman"/>
      <w:lvlText w:val="%3."/>
      <w:lvlJc w:val="right"/>
      <w:pPr>
        <w:ind w:left="2367" w:hanging="180"/>
      </w:pPr>
    </w:lvl>
    <w:lvl w:ilvl="3" w:tplc="140A000F" w:tentative="1">
      <w:start w:val="1"/>
      <w:numFmt w:val="decimal"/>
      <w:lvlText w:val="%4."/>
      <w:lvlJc w:val="left"/>
      <w:pPr>
        <w:ind w:left="3087" w:hanging="360"/>
      </w:pPr>
    </w:lvl>
    <w:lvl w:ilvl="4" w:tplc="140A0019" w:tentative="1">
      <w:start w:val="1"/>
      <w:numFmt w:val="lowerLetter"/>
      <w:lvlText w:val="%5."/>
      <w:lvlJc w:val="left"/>
      <w:pPr>
        <w:ind w:left="3807" w:hanging="360"/>
      </w:pPr>
    </w:lvl>
    <w:lvl w:ilvl="5" w:tplc="140A001B" w:tentative="1">
      <w:start w:val="1"/>
      <w:numFmt w:val="lowerRoman"/>
      <w:lvlText w:val="%6."/>
      <w:lvlJc w:val="right"/>
      <w:pPr>
        <w:ind w:left="4527" w:hanging="180"/>
      </w:pPr>
    </w:lvl>
    <w:lvl w:ilvl="6" w:tplc="140A000F" w:tentative="1">
      <w:start w:val="1"/>
      <w:numFmt w:val="decimal"/>
      <w:lvlText w:val="%7."/>
      <w:lvlJc w:val="left"/>
      <w:pPr>
        <w:ind w:left="5247" w:hanging="360"/>
      </w:pPr>
    </w:lvl>
    <w:lvl w:ilvl="7" w:tplc="140A0019" w:tentative="1">
      <w:start w:val="1"/>
      <w:numFmt w:val="lowerLetter"/>
      <w:lvlText w:val="%8."/>
      <w:lvlJc w:val="left"/>
      <w:pPr>
        <w:ind w:left="5967" w:hanging="360"/>
      </w:pPr>
    </w:lvl>
    <w:lvl w:ilvl="8" w:tplc="140A001B" w:tentative="1">
      <w:start w:val="1"/>
      <w:numFmt w:val="lowerRoman"/>
      <w:lvlText w:val="%9."/>
      <w:lvlJc w:val="right"/>
      <w:pPr>
        <w:ind w:left="6687" w:hanging="180"/>
      </w:pPr>
    </w:lvl>
  </w:abstractNum>
  <w:abstractNum w:abstractNumId="23" w15:restartNumberingAfterBreak="0">
    <w:nsid w:val="70BD652D"/>
    <w:multiLevelType w:val="hybridMultilevel"/>
    <w:tmpl w:val="557A9368"/>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4" w15:restartNumberingAfterBreak="0">
    <w:nsid w:val="76753A80"/>
    <w:multiLevelType w:val="hybridMultilevel"/>
    <w:tmpl w:val="9C7229B2"/>
    <w:lvl w:ilvl="0" w:tplc="9170075E">
      <w:start w:val="1"/>
      <w:numFmt w:val="decimal"/>
      <w:lvlText w:val="%1."/>
      <w:lvlJc w:val="left"/>
      <w:pPr>
        <w:ind w:left="0" w:firstLine="0"/>
      </w:pPr>
      <w:rPr>
        <w:rFonts w:ascii="Verdana" w:hAnsi="Verdana" w:hint="default"/>
        <w:b w:val="0"/>
        <w:i w:val="0"/>
        <w:strike w:val="0"/>
        <w:dstrike w:val="0"/>
        <w:color w:val="auto"/>
        <w:sz w:val="20"/>
        <w:szCs w:val="20"/>
        <w:u w:val="none"/>
        <w:effect w:val="none"/>
        <w:vertAlign w:val="baseline"/>
      </w:rPr>
    </w:lvl>
    <w:lvl w:ilvl="1" w:tplc="7B389880">
      <w:start w:val="1"/>
      <w:numFmt w:val="lowerLetter"/>
      <w:lvlText w:val="%2."/>
      <w:lvlJc w:val="left"/>
      <w:pPr>
        <w:ind w:left="1298" w:hanging="360"/>
      </w:pPr>
      <w:rPr>
        <w:rFonts w:ascii="Verdana" w:eastAsia="Batang" w:hAnsi="Verdana" w:cs="Times"/>
        <w:i/>
        <w:lang w:val="es-ES_tradnl"/>
      </w:rPr>
    </w:lvl>
    <w:lvl w:ilvl="2" w:tplc="4202A1AC">
      <w:start w:val="1"/>
      <w:numFmt w:val="lowerRoman"/>
      <w:lvlText w:val="%3."/>
      <w:lvlJc w:val="right"/>
      <w:pPr>
        <w:ind w:left="2018" w:hanging="180"/>
      </w:pPr>
      <w:rPr>
        <w:i/>
      </w:rPr>
    </w:lvl>
    <w:lvl w:ilvl="3" w:tplc="3F0893E6">
      <w:start w:val="1"/>
      <w:numFmt w:val="decimal"/>
      <w:lvlText w:val="%4."/>
      <w:lvlJc w:val="left"/>
      <w:pPr>
        <w:ind w:left="2738" w:hanging="360"/>
      </w:pPr>
    </w:lvl>
    <w:lvl w:ilvl="4" w:tplc="E7BA4BB6">
      <w:start w:val="1"/>
      <w:numFmt w:val="lowerLetter"/>
      <w:lvlText w:val="%5."/>
      <w:lvlJc w:val="left"/>
      <w:pPr>
        <w:ind w:left="3458" w:hanging="360"/>
      </w:pPr>
    </w:lvl>
    <w:lvl w:ilvl="5" w:tplc="2C0A001B">
      <w:start w:val="1"/>
      <w:numFmt w:val="lowerRoman"/>
      <w:lvlText w:val="%6."/>
      <w:lvlJc w:val="right"/>
      <w:pPr>
        <w:ind w:left="4178" w:hanging="180"/>
      </w:pPr>
    </w:lvl>
    <w:lvl w:ilvl="6" w:tplc="2C0A000F">
      <w:start w:val="1"/>
      <w:numFmt w:val="decimal"/>
      <w:lvlText w:val="%7."/>
      <w:lvlJc w:val="left"/>
      <w:pPr>
        <w:ind w:left="4898" w:hanging="360"/>
      </w:pPr>
    </w:lvl>
    <w:lvl w:ilvl="7" w:tplc="2C0A0019">
      <w:start w:val="1"/>
      <w:numFmt w:val="lowerLetter"/>
      <w:lvlText w:val="%8."/>
      <w:lvlJc w:val="left"/>
      <w:pPr>
        <w:ind w:left="5618" w:hanging="360"/>
      </w:pPr>
    </w:lvl>
    <w:lvl w:ilvl="8" w:tplc="2C0A001B">
      <w:start w:val="1"/>
      <w:numFmt w:val="lowerRoman"/>
      <w:lvlText w:val="%9."/>
      <w:lvlJc w:val="right"/>
      <w:pPr>
        <w:ind w:left="6338" w:hanging="180"/>
      </w:pPr>
    </w:lvl>
  </w:abstractNum>
  <w:abstractNum w:abstractNumId="25" w15:restartNumberingAfterBreak="0">
    <w:nsid w:val="79354707"/>
    <w:multiLevelType w:val="hybridMultilevel"/>
    <w:tmpl w:val="DEFACD16"/>
    <w:lvl w:ilvl="0" w:tplc="98A461BC">
      <w:start w:val="1"/>
      <w:numFmt w:val="decimal"/>
      <w:lvlText w:val="%1."/>
      <w:lvlJc w:val="left"/>
      <w:pPr>
        <w:ind w:left="967"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811CA528">
      <w:start w:val="1"/>
      <w:numFmt w:val="lowerRoman"/>
      <w:lvlText w:val="%3."/>
      <w:lvlJc w:val="right"/>
      <w:pPr>
        <w:ind w:left="1031" w:hanging="180"/>
      </w:pPr>
      <w:rPr>
        <w:rFonts w:ascii="Verdana" w:eastAsia="Batang" w:hAnsi="Verdana" w:cstheme="minorBidi"/>
        <w:i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6" w15:restartNumberingAfterBreak="0">
    <w:nsid w:val="7CAB74D9"/>
    <w:multiLevelType w:val="hybridMultilevel"/>
    <w:tmpl w:val="0396E5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5"/>
    <w:lvlOverride w:ilvl="0">
      <w:startOverride w:val="1"/>
    </w:lvlOverride>
  </w:num>
  <w:num w:numId="4">
    <w:abstractNumId w:val="15"/>
  </w:num>
  <w:num w:numId="5">
    <w:abstractNumId w:val="5"/>
    <w:lvlOverride w:ilvl="0">
      <w:startOverride w:val="1"/>
    </w:lvlOverride>
  </w:num>
  <w:num w:numId="6">
    <w:abstractNumId w:val="23"/>
  </w:num>
  <w:num w:numId="7">
    <w:abstractNumId w:val="9"/>
  </w:num>
  <w:num w:numId="8">
    <w:abstractNumId w:val="0"/>
    <w:lvlOverride w:ilvl="0">
      <w:startOverride w:val="1"/>
    </w:lvlOverride>
    <w:lvlOverride w:ilvl="1">
      <w:startOverride w:val="2"/>
    </w:lvlOverride>
  </w:num>
  <w:num w:numId="9">
    <w:abstractNumId w:val="0"/>
    <w:lvlOverride w:ilvl="0">
      <w:startOverride w:val="1"/>
    </w:lvlOverride>
    <w:lvlOverride w:ilvl="1">
      <w:startOverride w:val="2"/>
    </w:lvlOverride>
  </w:num>
  <w:num w:numId="10">
    <w:abstractNumId w:val="22"/>
  </w:num>
  <w:num w:numId="11">
    <w:abstractNumId w:val="0"/>
    <w:lvlOverride w:ilvl="0">
      <w:startOverride w:val="1"/>
    </w:lvlOverride>
    <w:lvlOverride w:ilvl="1">
      <w:startOverride w:val="2"/>
    </w:lvlOverride>
  </w:num>
  <w:num w:numId="12">
    <w:abstractNumId w:val="12"/>
  </w:num>
  <w:num w:numId="13">
    <w:abstractNumId w:val="3"/>
  </w:num>
  <w:num w:numId="14">
    <w:abstractNumId w:val="2"/>
  </w:num>
  <w:num w:numId="15">
    <w:abstractNumId w:val="25"/>
  </w:num>
  <w:num w:numId="16">
    <w:abstractNumId w:val="0"/>
    <w:lvlOverride w:ilvl="0">
      <w:startOverride w:val="1"/>
    </w:lvlOverride>
    <w:lvlOverride w:ilvl="1">
      <w:startOverride w:val="2"/>
    </w:lvlOverride>
  </w:num>
  <w:num w:numId="17">
    <w:abstractNumId w:val="10"/>
  </w:num>
  <w:num w:numId="18">
    <w:abstractNumId w:val="4"/>
  </w:num>
  <w:num w:numId="19">
    <w:abstractNumId w:val="1"/>
  </w:num>
  <w:num w:numId="20">
    <w:abstractNumId w:val="11"/>
  </w:num>
  <w:num w:numId="21">
    <w:abstractNumId w:val="17"/>
  </w:num>
  <w:num w:numId="22">
    <w:abstractNumId w:val="19"/>
  </w:num>
  <w:num w:numId="23">
    <w:abstractNumId w:val="7"/>
  </w:num>
  <w:num w:numId="24">
    <w:abstractNumId w:val="6"/>
  </w:num>
  <w:num w:numId="25">
    <w:abstractNumId w:val="21"/>
  </w:num>
  <w:num w:numId="26">
    <w:abstractNumId w:val="20"/>
  </w:num>
  <w:num w:numId="27">
    <w:abstractNumId w:val="16"/>
  </w:num>
  <w:num w:numId="28">
    <w:abstractNumId w:val="0"/>
    <w:lvlOverride w:ilvl="0">
      <w:startOverride w:val="1"/>
    </w:lvlOverride>
    <w:lvlOverride w:ilvl="1">
      <w:startOverride w:val="2"/>
    </w:lvlOverride>
  </w:num>
  <w:num w:numId="29">
    <w:abstractNumId w:val="0"/>
    <w:lvlOverride w:ilvl="0">
      <w:startOverride w:val="1"/>
    </w:lvlOverride>
    <w:lvlOverride w:ilvl="1">
      <w:startOverride w:val="3"/>
    </w:lvlOverride>
  </w:num>
  <w:num w:numId="30">
    <w:abstractNumId w:val="0"/>
    <w:lvlOverride w:ilvl="0">
      <w:startOverride w:val="1"/>
    </w:lvlOverride>
    <w:lvlOverride w:ilvl="1">
      <w:startOverride w:val="4"/>
    </w:lvlOverride>
  </w:num>
  <w:num w:numId="31">
    <w:abstractNumId w:val="0"/>
    <w:lvlOverride w:ilvl="0">
      <w:startOverride w:val="1"/>
    </w:lvlOverride>
    <w:lvlOverride w:ilvl="1">
      <w:startOverride w:val="4"/>
    </w:lvlOverride>
  </w:num>
  <w:num w:numId="32">
    <w:abstractNumId w:val="0"/>
    <w:lvlOverride w:ilvl="0">
      <w:startOverride w:val="1"/>
    </w:lvlOverride>
    <w:lvlOverride w:ilvl="1">
      <w:startOverride w:val="5"/>
    </w:lvlOverride>
  </w:num>
  <w:num w:numId="33">
    <w:abstractNumId w:val="8"/>
  </w:num>
  <w:num w:numId="34">
    <w:abstractNumId w:val="14"/>
  </w:num>
  <w:num w:numId="35">
    <w:abstractNumId w:val="18"/>
  </w:num>
  <w:num w:numId="36">
    <w:abstractNumId w:val="24"/>
  </w:num>
  <w:num w:numId="37">
    <w:abstractNumId w:val="13"/>
  </w:num>
  <w:num w:numId="38">
    <w:abstractNumId w:val="26"/>
  </w:num>
  <w:num w:numId="39">
    <w:abstractNumId w:val="0"/>
    <w:lvlOverride w:ilvl="0">
      <w:startOverride w:val="1"/>
    </w:lvlOverride>
    <w:lvlOverride w:ilvl="1">
      <w:startOverride w:val="6"/>
    </w:lvlOverride>
  </w:num>
  <w:num w:numId="40">
    <w:abstractNumId w:val="0"/>
    <w:lvlOverride w:ilvl="0">
      <w:startOverride w:val="1"/>
    </w:lvlOverride>
    <w:lvlOverride w:ilvl="1">
      <w:startOverride w:val="7"/>
    </w:lvlOverride>
  </w:num>
  <w:num w:numId="41">
    <w:abstractNumId w:val="0"/>
    <w:lvlOverride w:ilvl="0">
      <w:startOverride w:val="1"/>
    </w:lvlOverride>
    <w:lvlOverride w:ilvl="1">
      <w:startOverride w:val="8"/>
    </w:lvlOverride>
  </w:num>
  <w:num w:numId="42">
    <w:abstractNumId w:val="0"/>
    <w:lvlOverride w:ilvl="0">
      <w:startOverride w:val="1"/>
    </w:lvlOverride>
    <w:lvlOverride w:ilvl="1">
      <w:startOverride w:val="2"/>
    </w:lvlOverride>
  </w:num>
  <w:num w:numId="43">
    <w:abstractNumId w:val="0"/>
    <w:lvlOverride w:ilvl="0">
      <w:startOverride w:val="1"/>
    </w:lvlOverride>
    <w:lvlOverride w:ilvl="1">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s-CR" w:vendorID="64" w:dllVersion="6" w:nlCheck="1" w:checkStyle="0"/>
  <w:activeWritingStyle w:appName="MSWord" w:lang="es-ES" w:vendorID="64" w:dllVersion="6" w:nlCheck="1" w:checkStyle="0"/>
  <w:activeWritingStyle w:appName="MSWord" w:lang="es-ES_tradnl" w:vendorID="64" w:dllVersion="6" w:nlCheck="1" w:checkStyle="0"/>
  <w:activeWritingStyle w:appName="MSWord" w:lang="es-CO" w:vendorID="64" w:dllVersion="6" w:nlCheck="1" w:checkStyle="0"/>
  <w:activeWritingStyle w:appName="MSWord" w:lang="en-US" w:vendorID="64" w:dllVersion="6" w:nlCheck="1" w:checkStyle="1"/>
  <w:activeWritingStyle w:appName="MSWord" w:lang="es-CR" w:vendorID="64" w:dllVersion="4096" w:nlCheck="1" w:checkStyle="0"/>
  <w:activeWritingStyle w:appName="MSWord" w:lang="es-ES" w:vendorID="64" w:dllVersion="4096" w:nlCheck="1" w:checkStyle="0"/>
  <w:activeWritingStyle w:appName="MSWord" w:lang="es-ES_tradnl" w:vendorID="64" w:dllVersion="4096" w:nlCheck="1" w:checkStyle="0"/>
  <w:activeWritingStyle w:appName="MSWord" w:lang="pt-BR" w:vendorID="64" w:dllVersion="4096" w:nlCheck="1" w:checkStyle="0"/>
  <w:defaultTabStop w:val="708"/>
  <w:hyphenationZone w:val="425"/>
  <w:characterSpacingControl w:val="doNotCompress"/>
  <w:savePreviewPicture/>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5991"/>
    <w:rsid w:val="00000AE6"/>
    <w:rsid w:val="00001370"/>
    <w:rsid w:val="000077CA"/>
    <w:rsid w:val="00011FF7"/>
    <w:rsid w:val="000150F8"/>
    <w:rsid w:val="00020C87"/>
    <w:rsid w:val="00025FB1"/>
    <w:rsid w:val="00046BBD"/>
    <w:rsid w:val="00051FF7"/>
    <w:rsid w:val="00055BDB"/>
    <w:rsid w:val="000600AB"/>
    <w:rsid w:val="00065380"/>
    <w:rsid w:val="0006722D"/>
    <w:rsid w:val="000706EC"/>
    <w:rsid w:val="00084CB0"/>
    <w:rsid w:val="00090315"/>
    <w:rsid w:val="00090B6B"/>
    <w:rsid w:val="00092823"/>
    <w:rsid w:val="000C0FA2"/>
    <w:rsid w:val="000C6F29"/>
    <w:rsid w:val="000D053A"/>
    <w:rsid w:val="000D0C7F"/>
    <w:rsid w:val="000E27F2"/>
    <w:rsid w:val="000E5B51"/>
    <w:rsid w:val="000F1805"/>
    <w:rsid w:val="00105C52"/>
    <w:rsid w:val="001156A6"/>
    <w:rsid w:val="001214CF"/>
    <w:rsid w:val="00121D13"/>
    <w:rsid w:val="001235A6"/>
    <w:rsid w:val="0012784B"/>
    <w:rsid w:val="001303D1"/>
    <w:rsid w:val="00133260"/>
    <w:rsid w:val="001378AA"/>
    <w:rsid w:val="0014092F"/>
    <w:rsid w:val="0015261C"/>
    <w:rsid w:val="00167C66"/>
    <w:rsid w:val="00187DDB"/>
    <w:rsid w:val="001B642F"/>
    <w:rsid w:val="001C144B"/>
    <w:rsid w:val="001C365C"/>
    <w:rsid w:val="001C5163"/>
    <w:rsid w:val="001C77C0"/>
    <w:rsid w:val="001D23B3"/>
    <w:rsid w:val="001D70C2"/>
    <w:rsid w:val="00205D10"/>
    <w:rsid w:val="00206314"/>
    <w:rsid w:val="0021297B"/>
    <w:rsid w:val="00213D28"/>
    <w:rsid w:val="00222360"/>
    <w:rsid w:val="0022792D"/>
    <w:rsid w:val="0025114E"/>
    <w:rsid w:val="00251CD2"/>
    <w:rsid w:val="0026272E"/>
    <w:rsid w:val="00263076"/>
    <w:rsid w:val="002644E0"/>
    <w:rsid w:val="002805F0"/>
    <w:rsid w:val="00280EFB"/>
    <w:rsid w:val="002848DF"/>
    <w:rsid w:val="002877B2"/>
    <w:rsid w:val="002A0F3D"/>
    <w:rsid w:val="002A311D"/>
    <w:rsid w:val="002A327F"/>
    <w:rsid w:val="002B3C3C"/>
    <w:rsid w:val="002B7A3A"/>
    <w:rsid w:val="002C0A22"/>
    <w:rsid w:val="002D5E7D"/>
    <w:rsid w:val="002D6F0D"/>
    <w:rsid w:val="00301CDB"/>
    <w:rsid w:val="0031070E"/>
    <w:rsid w:val="00312A4A"/>
    <w:rsid w:val="00314247"/>
    <w:rsid w:val="003234B0"/>
    <w:rsid w:val="00331474"/>
    <w:rsid w:val="0033636B"/>
    <w:rsid w:val="003456EC"/>
    <w:rsid w:val="00375DAD"/>
    <w:rsid w:val="00377DBE"/>
    <w:rsid w:val="00385764"/>
    <w:rsid w:val="00386956"/>
    <w:rsid w:val="00387D8C"/>
    <w:rsid w:val="00395821"/>
    <w:rsid w:val="00395BA9"/>
    <w:rsid w:val="003B4E3B"/>
    <w:rsid w:val="003B74B8"/>
    <w:rsid w:val="003D1FFA"/>
    <w:rsid w:val="003D463C"/>
    <w:rsid w:val="003E37E6"/>
    <w:rsid w:val="00402096"/>
    <w:rsid w:val="00406905"/>
    <w:rsid w:val="00415DE4"/>
    <w:rsid w:val="00417486"/>
    <w:rsid w:val="00420297"/>
    <w:rsid w:val="00420EFD"/>
    <w:rsid w:val="00431A33"/>
    <w:rsid w:val="00440A19"/>
    <w:rsid w:val="0044329D"/>
    <w:rsid w:val="00446F4A"/>
    <w:rsid w:val="00447CBD"/>
    <w:rsid w:val="00467295"/>
    <w:rsid w:val="0047046F"/>
    <w:rsid w:val="00471DCD"/>
    <w:rsid w:val="004761F1"/>
    <w:rsid w:val="00480942"/>
    <w:rsid w:val="00482E60"/>
    <w:rsid w:val="00486EC8"/>
    <w:rsid w:val="00492BFA"/>
    <w:rsid w:val="00494FB5"/>
    <w:rsid w:val="00497EA0"/>
    <w:rsid w:val="004B33A5"/>
    <w:rsid w:val="004B343C"/>
    <w:rsid w:val="004B3BEC"/>
    <w:rsid w:val="004B6396"/>
    <w:rsid w:val="004F1044"/>
    <w:rsid w:val="004F3CE2"/>
    <w:rsid w:val="005035EA"/>
    <w:rsid w:val="005118A5"/>
    <w:rsid w:val="00512D39"/>
    <w:rsid w:val="00526E47"/>
    <w:rsid w:val="0053140A"/>
    <w:rsid w:val="005379AA"/>
    <w:rsid w:val="00544178"/>
    <w:rsid w:val="0055265B"/>
    <w:rsid w:val="00562220"/>
    <w:rsid w:val="00566224"/>
    <w:rsid w:val="005753AD"/>
    <w:rsid w:val="0057677D"/>
    <w:rsid w:val="005775CA"/>
    <w:rsid w:val="005806E5"/>
    <w:rsid w:val="0058737B"/>
    <w:rsid w:val="00595444"/>
    <w:rsid w:val="005A610E"/>
    <w:rsid w:val="005A7A74"/>
    <w:rsid w:val="005B06BF"/>
    <w:rsid w:val="005B6735"/>
    <w:rsid w:val="005C7E1B"/>
    <w:rsid w:val="005D09F4"/>
    <w:rsid w:val="005D16E8"/>
    <w:rsid w:val="005D51BB"/>
    <w:rsid w:val="005E24AE"/>
    <w:rsid w:val="005E3A94"/>
    <w:rsid w:val="005F5F4E"/>
    <w:rsid w:val="005F7D2E"/>
    <w:rsid w:val="00606149"/>
    <w:rsid w:val="006062BD"/>
    <w:rsid w:val="00616421"/>
    <w:rsid w:val="00616772"/>
    <w:rsid w:val="00627F2F"/>
    <w:rsid w:val="00631016"/>
    <w:rsid w:val="00642F82"/>
    <w:rsid w:val="006518DD"/>
    <w:rsid w:val="00672665"/>
    <w:rsid w:val="00693E65"/>
    <w:rsid w:val="006B2BE6"/>
    <w:rsid w:val="006B473B"/>
    <w:rsid w:val="006B652E"/>
    <w:rsid w:val="006C7CA5"/>
    <w:rsid w:val="006D1FB6"/>
    <w:rsid w:val="006D3529"/>
    <w:rsid w:val="006D3E55"/>
    <w:rsid w:val="006D73C9"/>
    <w:rsid w:val="006D75C2"/>
    <w:rsid w:val="006F5A17"/>
    <w:rsid w:val="007006AC"/>
    <w:rsid w:val="00705991"/>
    <w:rsid w:val="007074BC"/>
    <w:rsid w:val="00724361"/>
    <w:rsid w:val="007336E2"/>
    <w:rsid w:val="00754F64"/>
    <w:rsid w:val="00756772"/>
    <w:rsid w:val="007608A9"/>
    <w:rsid w:val="00770F3A"/>
    <w:rsid w:val="00775545"/>
    <w:rsid w:val="007763DC"/>
    <w:rsid w:val="007878AF"/>
    <w:rsid w:val="00791759"/>
    <w:rsid w:val="00793650"/>
    <w:rsid w:val="00793B14"/>
    <w:rsid w:val="007A5E35"/>
    <w:rsid w:val="007B3795"/>
    <w:rsid w:val="007E6E5D"/>
    <w:rsid w:val="007F6A80"/>
    <w:rsid w:val="007F7CC9"/>
    <w:rsid w:val="008418AB"/>
    <w:rsid w:val="008579BB"/>
    <w:rsid w:val="008620CA"/>
    <w:rsid w:val="00862393"/>
    <w:rsid w:val="00872E16"/>
    <w:rsid w:val="0088426D"/>
    <w:rsid w:val="0089441B"/>
    <w:rsid w:val="00894549"/>
    <w:rsid w:val="00896C2A"/>
    <w:rsid w:val="008B5C38"/>
    <w:rsid w:val="008C4250"/>
    <w:rsid w:val="008C6283"/>
    <w:rsid w:val="008D20F6"/>
    <w:rsid w:val="008D2E1E"/>
    <w:rsid w:val="008D47C4"/>
    <w:rsid w:val="008E6097"/>
    <w:rsid w:val="008E7D01"/>
    <w:rsid w:val="008F24D8"/>
    <w:rsid w:val="008F7D26"/>
    <w:rsid w:val="00924AFE"/>
    <w:rsid w:val="00931CC7"/>
    <w:rsid w:val="00932BBE"/>
    <w:rsid w:val="00932E8C"/>
    <w:rsid w:val="009752C1"/>
    <w:rsid w:val="00983C83"/>
    <w:rsid w:val="0098433D"/>
    <w:rsid w:val="009871DD"/>
    <w:rsid w:val="009A266E"/>
    <w:rsid w:val="009A47EC"/>
    <w:rsid w:val="009A7352"/>
    <w:rsid w:val="009B13D9"/>
    <w:rsid w:val="009B203B"/>
    <w:rsid w:val="009B3776"/>
    <w:rsid w:val="009C715F"/>
    <w:rsid w:val="009C79B9"/>
    <w:rsid w:val="009D1798"/>
    <w:rsid w:val="009D3A59"/>
    <w:rsid w:val="009D6DEE"/>
    <w:rsid w:val="009E24AE"/>
    <w:rsid w:val="009F3C4A"/>
    <w:rsid w:val="009F4106"/>
    <w:rsid w:val="009F65C4"/>
    <w:rsid w:val="00A132F4"/>
    <w:rsid w:val="00A2247B"/>
    <w:rsid w:val="00A302B3"/>
    <w:rsid w:val="00A44905"/>
    <w:rsid w:val="00A579FC"/>
    <w:rsid w:val="00A70EC7"/>
    <w:rsid w:val="00A72BCC"/>
    <w:rsid w:val="00A81710"/>
    <w:rsid w:val="00A86DCD"/>
    <w:rsid w:val="00AA1213"/>
    <w:rsid w:val="00AA417B"/>
    <w:rsid w:val="00AA4752"/>
    <w:rsid w:val="00AC3A3D"/>
    <w:rsid w:val="00AC64E7"/>
    <w:rsid w:val="00AD2FB6"/>
    <w:rsid w:val="00AD7197"/>
    <w:rsid w:val="00AE3346"/>
    <w:rsid w:val="00AF465C"/>
    <w:rsid w:val="00B02F0E"/>
    <w:rsid w:val="00B03973"/>
    <w:rsid w:val="00B13E5D"/>
    <w:rsid w:val="00B14E15"/>
    <w:rsid w:val="00B25C3B"/>
    <w:rsid w:val="00B330C7"/>
    <w:rsid w:val="00B42683"/>
    <w:rsid w:val="00B47C0A"/>
    <w:rsid w:val="00B501B6"/>
    <w:rsid w:val="00B54B2A"/>
    <w:rsid w:val="00B57DA3"/>
    <w:rsid w:val="00B642CF"/>
    <w:rsid w:val="00B703B6"/>
    <w:rsid w:val="00B90868"/>
    <w:rsid w:val="00B90BE1"/>
    <w:rsid w:val="00B9170A"/>
    <w:rsid w:val="00BA2B67"/>
    <w:rsid w:val="00BA423E"/>
    <w:rsid w:val="00BB4A3E"/>
    <w:rsid w:val="00BB505B"/>
    <w:rsid w:val="00BB601A"/>
    <w:rsid w:val="00BC3D58"/>
    <w:rsid w:val="00BC5E3E"/>
    <w:rsid w:val="00BD0075"/>
    <w:rsid w:val="00BE3DA3"/>
    <w:rsid w:val="00C11325"/>
    <w:rsid w:val="00C14664"/>
    <w:rsid w:val="00C17B14"/>
    <w:rsid w:val="00C21A6D"/>
    <w:rsid w:val="00C21B01"/>
    <w:rsid w:val="00C32774"/>
    <w:rsid w:val="00C331FF"/>
    <w:rsid w:val="00C45773"/>
    <w:rsid w:val="00C46071"/>
    <w:rsid w:val="00C4700C"/>
    <w:rsid w:val="00C51EB8"/>
    <w:rsid w:val="00C53278"/>
    <w:rsid w:val="00C626E7"/>
    <w:rsid w:val="00C67BDA"/>
    <w:rsid w:val="00C7181D"/>
    <w:rsid w:val="00C729B9"/>
    <w:rsid w:val="00C7418B"/>
    <w:rsid w:val="00C768CC"/>
    <w:rsid w:val="00C824E2"/>
    <w:rsid w:val="00C86464"/>
    <w:rsid w:val="00C94F54"/>
    <w:rsid w:val="00C95BA0"/>
    <w:rsid w:val="00C966D8"/>
    <w:rsid w:val="00C96A06"/>
    <w:rsid w:val="00CB0224"/>
    <w:rsid w:val="00CC4060"/>
    <w:rsid w:val="00CC7CBF"/>
    <w:rsid w:val="00CD0D86"/>
    <w:rsid w:val="00CD3993"/>
    <w:rsid w:val="00CD4CB6"/>
    <w:rsid w:val="00CD5167"/>
    <w:rsid w:val="00CF0528"/>
    <w:rsid w:val="00D02784"/>
    <w:rsid w:val="00D07448"/>
    <w:rsid w:val="00D34D1B"/>
    <w:rsid w:val="00D36C69"/>
    <w:rsid w:val="00D405E6"/>
    <w:rsid w:val="00D4398B"/>
    <w:rsid w:val="00D45FF1"/>
    <w:rsid w:val="00D5435F"/>
    <w:rsid w:val="00D549B1"/>
    <w:rsid w:val="00D60782"/>
    <w:rsid w:val="00D60AB7"/>
    <w:rsid w:val="00D6570D"/>
    <w:rsid w:val="00D72B7F"/>
    <w:rsid w:val="00D73919"/>
    <w:rsid w:val="00D830A0"/>
    <w:rsid w:val="00D87D5B"/>
    <w:rsid w:val="00D935C8"/>
    <w:rsid w:val="00D95B0A"/>
    <w:rsid w:val="00DA249E"/>
    <w:rsid w:val="00DB5D54"/>
    <w:rsid w:val="00DC3F03"/>
    <w:rsid w:val="00DC5450"/>
    <w:rsid w:val="00DD261F"/>
    <w:rsid w:val="00DF014B"/>
    <w:rsid w:val="00DF0DFB"/>
    <w:rsid w:val="00DF1451"/>
    <w:rsid w:val="00E01189"/>
    <w:rsid w:val="00E26D1F"/>
    <w:rsid w:val="00E53256"/>
    <w:rsid w:val="00E551BE"/>
    <w:rsid w:val="00E66855"/>
    <w:rsid w:val="00E81E4F"/>
    <w:rsid w:val="00E904E5"/>
    <w:rsid w:val="00E90A3D"/>
    <w:rsid w:val="00E94577"/>
    <w:rsid w:val="00E9469C"/>
    <w:rsid w:val="00E9719A"/>
    <w:rsid w:val="00EE74BB"/>
    <w:rsid w:val="00EF1323"/>
    <w:rsid w:val="00EF7EAF"/>
    <w:rsid w:val="00F045D8"/>
    <w:rsid w:val="00F05842"/>
    <w:rsid w:val="00F07036"/>
    <w:rsid w:val="00F21F3D"/>
    <w:rsid w:val="00F232EC"/>
    <w:rsid w:val="00F2705C"/>
    <w:rsid w:val="00F41820"/>
    <w:rsid w:val="00F52338"/>
    <w:rsid w:val="00F52A20"/>
    <w:rsid w:val="00F721E3"/>
    <w:rsid w:val="00F73196"/>
    <w:rsid w:val="00F86520"/>
    <w:rsid w:val="00F927C3"/>
    <w:rsid w:val="00F93DA4"/>
    <w:rsid w:val="00F93E5E"/>
    <w:rsid w:val="00FB1DDF"/>
    <w:rsid w:val="00FC6A14"/>
    <w:rsid w:val="00FC729E"/>
    <w:rsid w:val="00FD1DD2"/>
    <w:rsid w:val="00FD399B"/>
    <w:rsid w:val="00FD7D62"/>
    <w:rsid w:val="00FE0335"/>
    <w:rsid w:val="00FE2EB7"/>
    <w:rsid w:val="00FE7F17"/>
    <w:rsid w:val="00FF6570"/>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E1B30"/>
  <w15:chartTrackingRefBased/>
  <w15:docId w15:val="{6472C0EC-CB00-4F46-A98C-900F0BA45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991"/>
    <w:pPr>
      <w:spacing w:after="0" w:line="240" w:lineRule="auto"/>
      <w:jc w:val="both"/>
    </w:pPr>
    <w:rPr>
      <w:rFonts w:ascii="Verdana" w:eastAsia="Times New Roman" w:hAnsi="Verdana" w:cs="Times New Roman"/>
      <w:sz w:val="20"/>
      <w:szCs w:val="24"/>
      <w:lang w:val="en-US"/>
    </w:rPr>
  </w:style>
  <w:style w:type="paragraph" w:styleId="Ttulo1">
    <w:name w:val="heading 1"/>
    <w:basedOn w:val="Normal"/>
    <w:next w:val="Normal"/>
    <w:link w:val="Ttulo1Car"/>
    <w:uiPriority w:val="9"/>
    <w:qFormat/>
    <w:rsid w:val="00705991"/>
    <w:pPr>
      <w:keepNext/>
      <w:keepLines/>
      <w:spacing w:before="120" w:after="240"/>
      <w:jc w:val="center"/>
      <w:outlineLvl w:val="0"/>
    </w:pPr>
    <w:rPr>
      <w:rFonts w:eastAsiaTheme="majorEastAsia" w:cstheme="majorBidi"/>
      <w:b/>
      <w:bCs/>
      <w:caps/>
      <w:szCs w:val="28"/>
    </w:rPr>
  </w:style>
  <w:style w:type="paragraph" w:styleId="Ttulo2">
    <w:name w:val="heading 2"/>
    <w:basedOn w:val="Prrafodelista"/>
    <w:next w:val="Normal"/>
    <w:link w:val="Ttulo2Car"/>
    <w:qFormat/>
    <w:rsid w:val="00705991"/>
    <w:pPr>
      <w:numPr>
        <w:numId w:val="2"/>
      </w:numPr>
      <w:tabs>
        <w:tab w:val="left" w:pos="567"/>
        <w:tab w:val="left" w:pos="993"/>
      </w:tabs>
      <w:spacing w:before="120" w:after="120"/>
      <w:outlineLvl w:val="1"/>
    </w:pPr>
    <w:rPr>
      <w:b/>
      <w:i/>
      <w:szCs w:val="20"/>
      <w:lang w:val="es-CR"/>
    </w:rPr>
  </w:style>
  <w:style w:type="paragraph" w:styleId="Ttulo3">
    <w:name w:val="heading 3"/>
    <w:basedOn w:val="Prrafodelista"/>
    <w:next w:val="Normal"/>
    <w:link w:val="Ttulo3Car"/>
    <w:qFormat/>
    <w:rsid w:val="00705991"/>
    <w:pPr>
      <w:tabs>
        <w:tab w:val="left" w:pos="567"/>
      </w:tabs>
      <w:spacing w:after="120"/>
      <w:ind w:left="0"/>
      <w:outlineLvl w:val="2"/>
    </w:pPr>
    <w:rPr>
      <w:b/>
      <w:lang w:val="es-CO"/>
    </w:rPr>
  </w:style>
  <w:style w:type="paragraph" w:styleId="Ttulo4">
    <w:name w:val="heading 4"/>
    <w:basedOn w:val="Normal"/>
    <w:next w:val="Normal"/>
    <w:link w:val="Ttulo4Car"/>
    <w:uiPriority w:val="9"/>
    <w:unhideWhenUsed/>
    <w:qFormat/>
    <w:rsid w:val="00705991"/>
    <w:pPr>
      <w:ind w:left="1416"/>
      <w:outlineLvl w:val="3"/>
    </w:pPr>
    <w:rPr>
      <w:u w:val="single"/>
      <w:lang w:val="es-CR" w:eastAsia="es-MX"/>
    </w:rPr>
  </w:style>
  <w:style w:type="paragraph" w:styleId="Ttulo5">
    <w:name w:val="heading 5"/>
    <w:basedOn w:val="Normal"/>
    <w:next w:val="Normal"/>
    <w:link w:val="Ttulo5Car"/>
    <w:uiPriority w:val="9"/>
    <w:unhideWhenUsed/>
    <w:qFormat/>
    <w:rsid w:val="00705991"/>
    <w:pPr>
      <w:keepNext/>
      <w:ind w:firstLine="708"/>
      <w:outlineLvl w:val="4"/>
    </w:pPr>
    <w:rPr>
      <w:b/>
      <w:lang w:val="es-CR"/>
    </w:rPr>
  </w:style>
  <w:style w:type="paragraph" w:styleId="Ttulo6">
    <w:name w:val="heading 6"/>
    <w:basedOn w:val="Normal"/>
    <w:next w:val="Normal"/>
    <w:link w:val="Ttulo6Car"/>
    <w:uiPriority w:val="9"/>
    <w:unhideWhenUsed/>
    <w:qFormat/>
    <w:rsid w:val="00705991"/>
    <w:pPr>
      <w:keepNext/>
      <w:jc w:val="center"/>
      <w:outlineLvl w:val="5"/>
    </w:pPr>
    <w:rPr>
      <w:b/>
      <w:lang w:val="es-CR"/>
    </w:rPr>
  </w:style>
  <w:style w:type="paragraph" w:styleId="Ttulo7">
    <w:name w:val="heading 7"/>
    <w:basedOn w:val="Normal"/>
    <w:next w:val="Normal"/>
    <w:link w:val="Ttulo7Car"/>
    <w:uiPriority w:val="9"/>
    <w:unhideWhenUsed/>
    <w:qFormat/>
    <w:rsid w:val="00705991"/>
    <w:pPr>
      <w:keepNext/>
      <w:tabs>
        <w:tab w:val="left" w:pos="567"/>
      </w:tabs>
      <w:ind w:left="207"/>
      <w:outlineLvl w:val="6"/>
    </w:pPr>
    <w:rPr>
      <w:b/>
      <w:szCs w:val="20"/>
      <w:lang w:val="es-C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5991"/>
    <w:rPr>
      <w:rFonts w:ascii="Verdana" w:eastAsiaTheme="majorEastAsia" w:hAnsi="Verdana" w:cstheme="majorBidi"/>
      <w:b/>
      <w:bCs/>
      <w:caps/>
      <w:sz w:val="20"/>
      <w:szCs w:val="28"/>
      <w:lang w:val="en-US"/>
    </w:rPr>
  </w:style>
  <w:style w:type="character" w:customStyle="1" w:styleId="Ttulo2Car">
    <w:name w:val="Título 2 Car"/>
    <w:basedOn w:val="Fuentedeprrafopredeter"/>
    <w:link w:val="Ttulo2"/>
    <w:rsid w:val="00705991"/>
    <w:rPr>
      <w:rFonts w:ascii="Verdana" w:eastAsia="Times New Roman" w:hAnsi="Verdana" w:cs="Times New Roman"/>
      <w:b/>
      <w:i/>
      <w:sz w:val="20"/>
      <w:szCs w:val="20"/>
    </w:rPr>
  </w:style>
  <w:style w:type="character" w:customStyle="1" w:styleId="Ttulo3Car">
    <w:name w:val="Título 3 Car"/>
    <w:basedOn w:val="Fuentedeprrafopredeter"/>
    <w:link w:val="Ttulo3"/>
    <w:rsid w:val="00705991"/>
    <w:rPr>
      <w:rFonts w:ascii="Verdana" w:eastAsia="Times New Roman" w:hAnsi="Verdana" w:cs="Times New Roman"/>
      <w:b/>
      <w:sz w:val="20"/>
      <w:szCs w:val="24"/>
      <w:lang w:val="es-CO"/>
    </w:rPr>
  </w:style>
  <w:style w:type="character" w:customStyle="1" w:styleId="Ttulo4Car">
    <w:name w:val="Título 4 Car"/>
    <w:basedOn w:val="Fuentedeprrafopredeter"/>
    <w:link w:val="Ttulo4"/>
    <w:uiPriority w:val="9"/>
    <w:rsid w:val="00705991"/>
    <w:rPr>
      <w:rFonts w:ascii="Verdana" w:eastAsia="Times New Roman" w:hAnsi="Verdana" w:cs="Times New Roman"/>
      <w:sz w:val="20"/>
      <w:szCs w:val="24"/>
      <w:u w:val="single"/>
      <w:lang w:eastAsia="es-MX"/>
    </w:rPr>
  </w:style>
  <w:style w:type="character" w:customStyle="1" w:styleId="Ttulo5Car">
    <w:name w:val="Título 5 Car"/>
    <w:basedOn w:val="Fuentedeprrafopredeter"/>
    <w:link w:val="Ttulo5"/>
    <w:uiPriority w:val="9"/>
    <w:rsid w:val="00705991"/>
    <w:rPr>
      <w:rFonts w:ascii="Verdana" w:eastAsia="Times New Roman" w:hAnsi="Verdana" w:cs="Times New Roman"/>
      <w:b/>
      <w:sz w:val="20"/>
      <w:szCs w:val="24"/>
    </w:rPr>
  </w:style>
  <w:style w:type="character" w:customStyle="1" w:styleId="Ttulo6Car">
    <w:name w:val="Título 6 Car"/>
    <w:basedOn w:val="Fuentedeprrafopredeter"/>
    <w:link w:val="Ttulo6"/>
    <w:uiPriority w:val="9"/>
    <w:rsid w:val="00705991"/>
    <w:rPr>
      <w:rFonts w:ascii="Verdana" w:eastAsia="Times New Roman" w:hAnsi="Verdana" w:cs="Times New Roman"/>
      <w:b/>
      <w:sz w:val="20"/>
      <w:szCs w:val="24"/>
    </w:rPr>
  </w:style>
  <w:style w:type="character" w:customStyle="1" w:styleId="Ttulo7Car">
    <w:name w:val="Título 7 Car"/>
    <w:basedOn w:val="Fuentedeprrafopredeter"/>
    <w:link w:val="Ttulo7"/>
    <w:uiPriority w:val="9"/>
    <w:rsid w:val="00705991"/>
    <w:rPr>
      <w:rFonts w:ascii="Verdana" w:eastAsia="Times New Roman" w:hAnsi="Verdana" w:cs="Times New Roman"/>
      <w:b/>
      <w:sz w:val="20"/>
      <w:szCs w:val="20"/>
    </w:rPr>
  </w:style>
  <w:style w:type="character" w:styleId="Refdenotaalpie">
    <w:name w:val="footnote reference"/>
    <w:aliases w:val="Footnotes refss,Texto de nota al pie,Appel note de bas de page,Footnote number,referencia nota al pie,BVI fnr,f,Ref. de nota al pie.,Footnote symbol,Footnote,4_G,16 Point,Superscript 6 Point,Texto nota al pie,Ref,de nota al pie,norma"/>
    <w:link w:val="FootnotesrefssChar1Char"/>
    <w:uiPriority w:val="99"/>
    <w:qFormat/>
    <w:rsid w:val="00705991"/>
    <w:rPr>
      <w:rFonts w:ascii="Verdana" w:hAnsi="Verdana"/>
      <w:sz w:val="20"/>
      <w:szCs w:val="20"/>
      <w:vertAlign w:val="superscript"/>
    </w:rPr>
  </w:style>
  <w:style w:type="paragraph" w:styleId="Textonotapie">
    <w:name w:val="footnote text"/>
    <w:aliases w:val="Footnote Text Char Char Char Char Char,Footnote Text Char Char Char Char,Footnote reference,FA Fu,Footnote Text Char Char Char,Footnote Text Cha,FA Fußnotentext,FA Fuﬂnotentext,Footnote Text Char Char,FA Fu?notente,Ca,FA Fu?notentext,C,ft"/>
    <w:basedOn w:val="Normal"/>
    <w:link w:val="TextonotapieCar"/>
    <w:uiPriority w:val="99"/>
    <w:unhideWhenUsed/>
    <w:qFormat/>
    <w:rsid w:val="00705991"/>
    <w:pPr>
      <w:tabs>
        <w:tab w:val="left" w:pos="567"/>
      </w:tabs>
      <w:spacing w:before="120" w:after="120"/>
    </w:pPr>
    <w:rPr>
      <w:sz w:val="16"/>
      <w:szCs w:val="20"/>
      <w:lang w:val="es-ES_tradnl" w:eastAsia="es-ES"/>
    </w:rPr>
  </w:style>
  <w:style w:type="character" w:customStyle="1" w:styleId="TextonotapieCar">
    <w:name w:val="Texto nota pie Car"/>
    <w:aliases w:val="Footnote Text Char Char Char Char Char Car,Footnote Text Char Char Char Char Car,Footnote reference Car,FA Fu Car,Footnote Text Char Char Char Car,Footnote Text Cha Car,FA Fußnotentext Car,FA Fuﬂnotentext Car,FA Fu?notente Car,Ca Car"/>
    <w:basedOn w:val="Fuentedeprrafopredeter"/>
    <w:link w:val="Textonotapie"/>
    <w:uiPriority w:val="99"/>
    <w:qFormat/>
    <w:rsid w:val="00705991"/>
    <w:rPr>
      <w:rFonts w:ascii="Verdana" w:eastAsia="Times New Roman" w:hAnsi="Verdana" w:cs="Times New Roman"/>
      <w:sz w:val="16"/>
      <w:szCs w:val="20"/>
      <w:lang w:val="es-ES_tradnl" w:eastAsia="es-ES"/>
    </w:rPr>
  </w:style>
  <w:style w:type="paragraph" w:customStyle="1" w:styleId="PrrafodeSentencia">
    <w:name w:val="*. Párrafo de Sentencia"/>
    <w:basedOn w:val="Normal"/>
    <w:next w:val="Normal"/>
    <w:link w:val="PrrafodeSentenciaChar"/>
    <w:qFormat/>
    <w:rsid w:val="00A70EC7"/>
    <w:pPr>
      <w:numPr>
        <w:numId w:val="1"/>
      </w:numPr>
      <w:tabs>
        <w:tab w:val="left" w:pos="567"/>
      </w:tabs>
      <w:ind w:left="0" w:firstLine="0"/>
    </w:pPr>
    <w:rPr>
      <w:rFonts w:eastAsia="Batang" w:cstheme="minorBidi"/>
      <w:spacing w:val="-4"/>
      <w:szCs w:val="22"/>
      <w:lang w:val="es-CR" w:eastAsia="es-MX"/>
    </w:rPr>
  </w:style>
  <w:style w:type="character" w:customStyle="1" w:styleId="PrrafodeSentenciaChar">
    <w:name w:val="*. Párrafo de Sentencia Char"/>
    <w:link w:val="PrrafodeSentencia"/>
    <w:locked/>
    <w:rsid w:val="00A70EC7"/>
    <w:rPr>
      <w:rFonts w:ascii="Verdana" w:eastAsia="Batang" w:hAnsi="Verdana"/>
      <w:spacing w:val="-4"/>
      <w:sz w:val="20"/>
      <w:lang w:eastAsia="es-MX"/>
    </w:rPr>
  </w:style>
  <w:style w:type="paragraph" w:styleId="Prrafodelista">
    <w:name w:val="List Paragraph"/>
    <w:aliases w:val="Párrafo de lista1,List Paragraph1,Colorful List - Accent 11,List Paragraph11,List Paragraph2,Lista vistosa - Énfasis 11,Subtle Emphasis1,Footnote1,Parrafos"/>
    <w:basedOn w:val="Normal"/>
    <w:link w:val="PrrafodelistaCar"/>
    <w:uiPriority w:val="99"/>
    <w:qFormat/>
    <w:rsid w:val="00705991"/>
    <w:pPr>
      <w:ind w:left="720"/>
      <w:contextualSpacing/>
    </w:pPr>
  </w:style>
  <w:style w:type="character" w:styleId="Refdecomentario">
    <w:name w:val="annotation reference"/>
    <w:basedOn w:val="Fuentedeprrafopredeter"/>
    <w:uiPriority w:val="99"/>
    <w:unhideWhenUsed/>
    <w:rsid w:val="00705991"/>
    <w:rPr>
      <w:sz w:val="16"/>
      <w:szCs w:val="16"/>
    </w:rPr>
  </w:style>
  <w:style w:type="paragraph" w:styleId="Textocomentario">
    <w:name w:val="annotation text"/>
    <w:basedOn w:val="Normal"/>
    <w:link w:val="TextocomentarioCar"/>
    <w:uiPriority w:val="99"/>
    <w:unhideWhenUsed/>
    <w:rsid w:val="00705991"/>
    <w:rPr>
      <w:szCs w:val="20"/>
    </w:rPr>
  </w:style>
  <w:style w:type="character" w:customStyle="1" w:styleId="TextocomentarioCar">
    <w:name w:val="Texto comentario Car"/>
    <w:basedOn w:val="Fuentedeprrafopredeter"/>
    <w:link w:val="Textocomentario"/>
    <w:uiPriority w:val="99"/>
    <w:rsid w:val="00705991"/>
    <w:rPr>
      <w:rFonts w:ascii="Verdana" w:eastAsia="Times New Roman" w:hAnsi="Verdana" w:cs="Times New Roman"/>
      <w:sz w:val="20"/>
      <w:szCs w:val="20"/>
      <w:lang w:val="en-US"/>
    </w:rPr>
  </w:style>
  <w:style w:type="paragraph" w:styleId="Asuntodelcomentario">
    <w:name w:val="annotation subject"/>
    <w:basedOn w:val="Textocomentario"/>
    <w:next w:val="Textocomentario"/>
    <w:link w:val="AsuntodelcomentarioCar"/>
    <w:uiPriority w:val="99"/>
    <w:unhideWhenUsed/>
    <w:rsid w:val="00705991"/>
    <w:rPr>
      <w:b/>
      <w:bCs/>
    </w:rPr>
  </w:style>
  <w:style w:type="character" w:customStyle="1" w:styleId="AsuntodelcomentarioCar">
    <w:name w:val="Asunto del comentario Car"/>
    <w:basedOn w:val="TextocomentarioCar"/>
    <w:link w:val="Asuntodelcomentario"/>
    <w:uiPriority w:val="99"/>
    <w:rsid w:val="00705991"/>
    <w:rPr>
      <w:rFonts w:ascii="Verdana" w:eastAsia="Times New Roman" w:hAnsi="Verdana" w:cs="Times New Roman"/>
      <w:b/>
      <w:bCs/>
      <w:sz w:val="20"/>
      <w:szCs w:val="20"/>
      <w:lang w:val="en-US"/>
    </w:rPr>
  </w:style>
  <w:style w:type="paragraph" w:styleId="Textodeglobo">
    <w:name w:val="Balloon Text"/>
    <w:basedOn w:val="Normal"/>
    <w:link w:val="TextodegloboCar"/>
    <w:uiPriority w:val="99"/>
    <w:semiHidden/>
    <w:unhideWhenUsed/>
    <w:rsid w:val="00705991"/>
    <w:rPr>
      <w:rFonts w:ascii="Tahoma" w:hAnsi="Tahoma" w:cs="Tahoma"/>
      <w:sz w:val="16"/>
      <w:szCs w:val="16"/>
    </w:rPr>
  </w:style>
  <w:style w:type="character" w:customStyle="1" w:styleId="TextodegloboCar">
    <w:name w:val="Texto de globo Car"/>
    <w:basedOn w:val="Fuentedeprrafopredeter"/>
    <w:link w:val="Textodeglobo"/>
    <w:uiPriority w:val="99"/>
    <w:semiHidden/>
    <w:rsid w:val="00705991"/>
    <w:rPr>
      <w:rFonts w:ascii="Tahoma" w:eastAsia="Times New Roman" w:hAnsi="Tahoma" w:cs="Tahoma"/>
      <w:sz w:val="16"/>
      <w:szCs w:val="16"/>
      <w:lang w:val="en-US"/>
    </w:rPr>
  </w:style>
  <w:style w:type="paragraph" w:customStyle="1" w:styleId="FootnotesrefssChar1Char">
    <w:name w:val="Footnotes refss Char1 Char"/>
    <w:aliases w:val="Texto de nota al pie Char1 Char,Appel note de bas de page Char1 Char,Footnote number Char1 Char,referencia nota al pie Char1 Char,BVI fnr Char1 Char,f Char1 Char,4_G Char1 Char,16 Point Char1 Char"/>
    <w:basedOn w:val="Normal"/>
    <w:link w:val="Refdenotaalpie"/>
    <w:uiPriority w:val="99"/>
    <w:qFormat/>
    <w:rsid w:val="00705991"/>
    <w:pPr>
      <w:spacing w:after="160" w:line="240" w:lineRule="exact"/>
    </w:pPr>
    <w:rPr>
      <w:rFonts w:eastAsiaTheme="minorHAnsi" w:cstheme="minorBidi"/>
      <w:szCs w:val="20"/>
      <w:vertAlign w:val="superscript"/>
      <w:lang w:val="es-CR"/>
    </w:rPr>
  </w:style>
  <w:style w:type="character" w:customStyle="1" w:styleId="PrrafodelistaCar">
    <w:name w:val="Párrafo de lista Car"/>
    <w:aliases w:val="Párrafo de lista1 Car,List Paragraph1 Car,Colorful List - Accent 11 Car,List Paragraph11 Car,List Paragraph2 Car,Lista vistosa - Énfasis 11 Car,Subtle Emphasis1 Car,Footnote1 Car,Parrafos Car"/>
    <w:link w:val="Prrafodelista"/>
    <w:uiPriority w:val="99"/>
    <w:locked/>
    <w:rsid w:val="00705991"/>
    <w:rPr>
      <w:rFonts w:ascii="Verdana" w:eastAsia="Times New Roman" w:hAnsi="Verdana" w:cs="Times New Roman"/>
      <w:sz w:val="20"/>
      <w:szCs w:val="24"/>
      <w:lang w:val="en-US"/>
    </w:rPr>
  </w:style>
  <w:style w:type="paragraph" w:customStyle="1" w:styleId="Footnotes">
    <w:name w:val="**. Footnotes"/>
    <w:basedOn w:val="Textonotapie"/>
    <w:link w:val="FootnotesChar"/>
    <w:autoRedefine/>
    <w:qFormat/>
    <w:rsid w:val="00705991"/>
    <w:pPr>
      <w:tabs>
        <w:tab w:val="clear" w:pos="567"/>
        <w:tab w:val="left" w:pos="426"/>
      </w:tabs>
    </w:pPr>
    <w:rPr>
      <w:rFonts w:cs="Palatino-Italic"/>
      <w:iCs/>
      <w:spacing w:val="-4"/>
      <w:szCs w:val="16"/>
      <w:lang w:val="es-ES" w:eastAsia="en-US" w:bidi="en-US"/>
    </w:rPr>
  </w:style>
  <w:style w:type="character" w:customStyle="1" w:styleId="FootnotesChar">
    <w:name w:val="**. Footnotes Char"/>
    <w:basedOn w:val="Fuentedeprrafopredeter"/>
    <w:link w:val="Footnotes"/>
    <w:rsid w:val="00705991"/>
    <w:rPr>
      <w:rFonts w:ascii="Verdana" w:eastAsia="Times New Roman" w:hAnsi="Verdana" w:cs="Palatino-Italic"/>
      <w:iCs/>
      <w:spacing w:val="-4"/>
      <w:sz w:val="16"/>
      <w:szCs w:val="16"/>
      <w:lang w:val="es-ES" w:bidi="en-US"/>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uiPriority w:val="99"/>
    <w:qFormat/>
    <w:rsid w:val="00705991"/>
    <w:rPr>
      <w:sz w:val="16"/>
      <w:szCs w:val="22"/>
      <w:vertAlign w:val="superscript"/>
      <w:lang w:val="es-CR"/>
    </w:rPr>
  </w:style>
  <w:style w:type="character" w:styleId="Textoennegrita">
    <w:name w:val="Strong"/>
    <w:aliases w:val="Heading 2.1"/>
    <w:basedOn w:val="Fuentedeprrafopredeter"/>
    <w:uiPriority w:val="22"/>
    <w:qFormat/>
    <w:rsid w:val="00705991"/>
    <w:rPr>
      <w:b/>
      <w:bCs/>
    </w:rPr>
  </w:style>
  <w:style w:type="paragraph" w:styleId="Encabezado">
    <w:name w:val="header"/>
    <w:aliases w:val="encabezado"/>
    <w:basedOn w:val="Normal"/>
    <w:link w:val="EncabezadoCar"/>
    <w:uiPriority w:val="99"/>
    <w:rsid w:val="00705991"/>
    <w:pPr>
      <w:tabs>
        <w:tab w:val="center" w:pos="4320"/>
        <w:tab w:val="right" w:pos="8640"/>
      </w:tabs>
    </w:pPr>
    <w:rPr>
      <w:rFonts w:ascii="Garamond" w:hAnsi="Garamond"/>
      <w:szCs w:val="20"/>
      <w:lang w:val="es-ES_tradnl"/>
    </w:rPr>
  </w:style>
  <w:style w:type="character" w:customStyle="1" w:styleId="EncabezadoCar">
    <w:name w:val="Encabezado Car"/>
    <w:aliases w:val="encabezado Car"/>
    <w:basedOn w:val="Fuentedeprrafopredeter"/>
    <w:link w:val="Encabezado"/>
    <w:uiPriority w:val="99"/>
    <w:rsid w:val="00705991"/>
    <w:rPr>
      <w:rFonts w:ascii="Garamond" w:eastAsia="Times New Roman" w:hAnsi="Garamond" w:cs="Times New Roman"/>
      <w:sz w:val="20"/>
      <w:szCs w:val="20"/>
      <w:lang w:val="es-ES_tradnl"/>
    </w:rPr>
  </w:style>
  <w:style w:type="paragraph" w:styleId="Piedepgina">
    <w:name w:val="footer"/>
    <w:basedOn w:val="Normal"/>
    <w:link w:val="PiedepginaCar"/>
    <w:uiPriority w:val="99"/>
    <w:unhideWhenUsed/>
    <w:rsid w:val="00705991"/>
    <w:pPr>
      <w:tabs>
        <w:tab w:val="center" w:pos="4419"/>
        <w:tab w:val="right" w:pos="8838"/>
      </w:tabs>
    </w:pPr>
  </w:style>
  <w:style w:type="character" w:customStyle="1" w:styleId="PiedepginaCar">
    <w:name w:val="Pie de página Car"/>
    <w:basedOn w:val="Fuentedeprrafopredeter"/>
    <w:link w:val="Piedepgina"/>
    <w:uiPriority w:val="99"/>
    <w:rsid w:val="00705991"/>
    <w:rPr>
      <w:rFonts w:ascii="Verdana" w:eastAsia="Times New Roman" w:hAnsi="Verdana" w:cs="Times New Roman"/>
      <w:sz w:val="20"/>
      <w:szCs w:val="24"/>
      <w:lang w:val="en-US"/>
    </w:rPr>
  </w:style>
  <w:style w:type="character" w:customStyle="1" w:styleId="ListParagraphChar1">
    <w:name w:val="List Paragraph Char1"/>
    <w:aliases w:val="Párrafo de lista1 Char1,List Paragraph1 Char1,Colorful List - Accent 11 Char1,List Paragraph11 Char1,List Paragraph2 Char1,Lista vistosa - Énfasis 11 Char1"/>
    <w:locked/>
    <w:rsid w:val="00705991"/>
    <w:rPr>
      <w:rFonts w:ascii="Cambria" w:eastAsia="Cambria" w:hAnsi="Cambria" w:cs="Cambria"/>
      <w:color w:val="000000"/>
      <w:u w:color="000000"/>
      <w:bdr w:val="nil"/>
    </w:rPr>
  </w:style>
  <w:style w:type="paragraph" w:styleId="Ttulo">
    <w:name w:val="Title"/>
    <w:basedOn w:val="Ttulo1"/>
    <w:next w:val="Normal"/>
    <w:link w:val="TtuloCar"/>
    <w:qFormat/>
    <w:rsid w:val="00705991"/>
    <w:pPr>
      <w:keepNext w:val="0"/>
      <w:keepLines w:val="0"/>
      <w:tabs>
        <w:tab w:val="center" w:pos="4320"/>
        <w:tab w:val="right" w:pos="8640"/>
      </w:tabs>
      <w:spacing w:before="240"/>
    </w:pPr>
    <w:rPr>
      <w:rFonts w:eastAsia="Times New Roman" w:cs="Times New Roman"/>
      <w:bCs w:val="0"/>
      <w:caps w:val="0"/>
      <w:sz w:val="22"/>
      <w:szCs w:val="20"/>
      <w:lang w:val="es-CR" w:eastAsia="es-ES"/>
    </w:rPr>
  </w:style>
  <w:style w:type="character" w:customStyle="1" w:styleId="TtuloCar">
    <w:name w:val="Título Car"/>
    <w:basedOn w:val="Fuentedeprrafopredeter"/>
    <w:link w:val="Ttulo"/>
    <w:rsid w:val="00705991"/>
    <w:rPr>
      <w:rFonts w:ascii="Verdana" w:eastAsia="Times New Roman" w:hAnsi="Verdana" w:cs="Times New Roman"/>
      <w:b/>
      <w:szCs w:val="20"/>
      <w:lang w:eastAsia="es-ES"/>
    </w:rPr>
  </w:style>
  <w:style w:type="paragraph" w:customStyle="1" w:styleId="1">
    <w:name w:val="1"/>
    <w:basedOn w:val="Normal"/>
    <w:rsid w:val="00705991"/>
    <w:pPr>
      <w:spacing w:after="160" w:line="240" w:lineRule="exact"/>
    </w:pPr>
    <w:rPr>
      <w:sz w:val="16"/>
      <w:vertAlign w:val="superscript"/>
    </w:rPr>
  </w:style>
  <w:style w:type="paragraph" w:styleId="Textoindependiente">
    <w:name w:val="Body Text"/>
    <w:basedOn w:val="Normal"/>
    <w:link w:val="TextoindependienteCar"/>
    <w:uiPriority w:val="99"/>
    <w:unhideWhenUsed/>
    <w:rsid w:val="00705991"/>
    <w:rPr>
      <w:color w:val="00B050"/>
      <w:szCs w:val="20"/>
      <w:lang w:val="es-CO"/>
    </w:rPr>
  </w:style>
  <w:style w:type="character" w:customStyle="1" w:styleId="TextoindependienteCar">
    <w:name w:val="Texto independiente Car"/>
    <w:basedOn w:val="Fuentedeprrafopredeter"/>
    <w:link w:val="Textoindependiente"/>
    <w:uiPriority w:val="99"/>
    <w:rsid w:val="00705991"/>
    <w:rPr>
      <w:rFonts w:ascii="Verdana" w:eastAsia="Times New Roman" w:hAnsi="Verdana" w:cs="Times New Roman"/>
      <w:color w:val="00B050"/>
      <w:sz w:val="20"/>
      <w:szCs w:val="20"/>
      <w:lang w:val="es-CO"/>
    </w:rPr>
  </w:style>
  <w:style w:type="paragraph" w:styleId="NormalWeb">
    <w:name w:val="Normal (Web)"/>
    <w:basedOn w:val="Normal"/>
    <w:uiPriority w:val="99"/>
    <w:unhideWhenUsed/>
    <w:rsid w:val="00705991"/>
    <w:pPr>
      <w:spacing w:before="100" w:beforeAutospacing="1" w:after="100" w:afterAutospacing="1"/>
    </w:pPr>
    <w:rPr>
      <w:lang w:val="es-CR" w:eastAsia="es-CR"/>
    </w:rPr>
  </w:style>
  <w:style w:type="character" w:styleId="Nmerodelnea">
    <w:name w:val="line number"/>
    <w:basedOn w:val="Fuentedeprrafopredeter"/>
    <w:uiPriority w:val="99"/>
    <w:semiHidden/>
    <w:unhideWhenUsed/>
    <w:rsid w:val="00705991"/>
  </w:style>
  <w:style w:type="character" w:styleId="Hipervnculo">
    <w:name w:val="Hyperlink"/>
    <w:basedOn w:val="Fuentedeprrafopredeter"/>
    <w:uiPriority w:val="99"/>
    <w:unhideWhenUsed/>
    <w:rsid w:val="00705991"/>
    <w:rPr>
      <w:color w:val="0563C1" w:themeColor="hyperlink"/>
      <w:u w:val="single"/>
    </w:rPr>
  </w:style>
  <w:style w:type="paragraph" w:customStyle="1" w:styleId="Textoindependiente1">
    <w:name w:val="Texto independiente1"/>
    <w:basedOn w:val="Normal"/>
    <w:rsid w:val="00705991"/>
    <w:pPr>
      <w:widowControl w:val="0"/>
    </w:pPr>
    <w:rPr>
      <w:rFonts w:ascii="New York" w:hAnsi="New York"/>
      <w:szCs w:val="20"/>
      <w:lang w:val="es-ES_tradnl"/>
    </w:rPr>
  </w:style>
  <w:style w:type="paragraph" w:styleId="Sinespaciado">
    <w:name w:val="No Spacing"/>
    <w:uiPriority w:val="1"/>
    <w:qFormat/>
    <w:rsid w:val="00705991"/>
    <w:pPr>
      <w:spacing w:after="0" w:line="240" w:lineRule="auto"/>
    </w:pPr>
    <w:rPr>
      <w:rFonts w:ascii="Times New Roman" w:eastAsia="Times New Roman" w:hAnsi="Times New Roman" w:cs="Times New Roman"/>
      <w:sz w:val="24"/>
      <w:szCs w:val="24"/>
      <w:lang w:val="es-MX"/>
    </w:rPr>
  </w:style>
  <w:style w:type="paragraph" w:customStyle="1" w:styleId="citaindirecta">
    <w:name w:val="cita indirecta"/>
    <w:basedOn w:val="Normal"/>
    <w:uiPriority w:val="99"/>
    <w:rsid w:val="00705991"/>
    <w:pPr>
      <w:ind w:left="708"/>
    </w:pPr>
    <w:rPr>
      <w:szCs w:val="20"/>
      <w:lang w:val="es-ES_tradnl" w:eastAsia="es-MX"/>
    </w:rPr>
  </w:style>
  <w:style w:type="paragraph" w:styleId="TtuloTDC">
    <w:name w:val="TOC Heading"/>
    <w:basedOn w:val="Ttulo1"/>
    <w:next w:val="Normal"/>
    <w:uiPriority w:val="39"/>
    <w:unhideWhenUsed/>
    <w:qFormat/>
    <w:rsid w:val="00705991"/>
    <w:pPr>
      <w:spacing w:before="480" w:line="276" w:lineRule="auto"/>
      <w:jc w:val="left"/>
      <w:outlineLvl w:val="9"/>
    </w:pPr>
    <w:rPr>
      <w:rFonts w:asciiTheme="majorHAnsi" w:hAnsiTheme="majorHAnsi"/>
      <w:color w:val="2E74B5" w:themeColor="accent1" w:themeShade="BF"/>
      <w:sz w:val="28"/>
      <w:lang w:eastAsia="ja-JP"/>
    </w:rPr>
  </w:style>
  <w:style w:type="paragraph" w:styleId="TDC2">
    <w:name w:val="toc 2"/>
    <w:basedOn w:val="Normal"/>
    <w:next w:val="Normal"/>
    <w:autoRedefine/>
    <w:uiPriority w:val="39"/>
    <w:unhideWhenUsed/>
    <w:qFormat/>
    <w:rsid w:val="00705991"/>
    <w:pPr>
      <w:tabs>
        <w:tab w:val="left" w:pos="284"/>
        <w:tab w:val="right" w:leader="dot" w:pos="9394"/>
      </w:tabs>
    </w:pPr>
    <w:rPr>
      <w:rFonts w:asciiTheme="minorHAnsi" w:hAnsiTheme="minorHAnsi"/>
      <w:i/>
      <w:iCs/>
      <w:szCs w:val="20"/>
    </w:rPr>
  </w:style>
  <w:style w:type="paragraph" w:styleId="TDC1">
    <w:name w:val="toc 1"/>
    <w:basedOn w:val="Normal"/>
    <w:next w:val="Normal"/>
    <w:autoRedefine/>
    <w:uiPriority w:val="39"/>
    <w:unhideWhenUsed/>
    <w:qFormat/>
    <w:rsid w:val="00705991"/>
    <w:pPr>
      <w:tabs>
        <w:tab w:val="left" w:pos="426"/>
        <w:tab w:val="right" w:leader="dot" w:pos="9394"/>
      </w:tabs>
      <w:jc w:val="center"/>
    </w:pPr>
    <w:rPr>
      <w:b/>
      <w:bCs/>
      <w:szCs w:val="20"/>
    </w:rPr>
  </w:style>
  <w:style w:type="paragraph" w:styleId="TDC3">
    <w:name w:val="toc 3"/>
    <w:basedOn w:val="Normal"/>
    <w:next w:val="Normal"/>
    <w:autoRedefine/>
    <w:uiPriority w:val="39"/>
    <w:unhideWhenUsed/>
    <w:qFormat/>
    <w:rsid w:val="00705991"/>
    <w:pPr>
      <w:ind w:left="400"/>
    </w:pPr>
    <w:rPr>
      <w:rFonts w:asciiTheme="minorHAnsi" w:hAnsiTheme="minorHAnsi"/>
      <w:szCs w:val="20"/>
    </w:rPr>
  </w:style>
  <w:style w:type="paragraph" w:styleId="TDC4">
    <w:name w:val="toc 4"/>
    <w:basedOn w:val="Normal"/>
    <w:next w:val="Normal"/>
    <w:autoRedefine/>
    <w:uiPriority w:val="39"/>
    <w:unhideWhenUsed/>
    <w:rsid w:val="00705991"/>
    <w:pPr>
      <w:ind w:left="600"/>
    </w:pPr>
    <w:rPr>
      <w:rFonts w:asciiTheme="minorHAnsi" w:hAnsiTheme="minorHAnsi"/>
      <w:szCs w:val="20"/>
    </w:rPr>
  </w:style>
  <w:style w:type="paragraph" w:styleId="TDC5">
    <w:name w:val="toc 5"/>
    <w:basedOn w:val="Normal"/>
    <w:next w:val="Normal"/>
    <w:autoRedefine/>
    <w:uiPriority w:val="39"/>
    <w:unhideWhenUsed/>
    <w:rsid w:val="00705991"/>
    <w:pPr>
      <w:ind w:left="800"/>
    </w:pPr>
    <w:rPr>
      <w:rFonts w:asciiTheme="minorHAnsi" w:hAnsiTheme="minorHAnsi"/>
      <w:szCs w:val="20"/>
    </w:rPr>
  </w:style>
  <w:style w:type="paragraph" w:styleId="TDC6">
    <w:name w:val="toc 6"/>
    <w:basedOn w:val="Normal"/>
    <w:next w:val="Normal"/>
    <w:autoRedefine/>
    <w:uiPriority w:val="39"/>
    <w:unhideWhenUsed/>
    <w:rsid w:val="00705991"/>
    <w:pPr>
      <w:ind w:left="1000"/>
    </w:pPr>
    <w:rPr>
      <w:rFonts w:asciiTheme="minorHAnsi" w:hAnsiTheme="minorHAnsi"/>
      <w:szCs w:val="20"/>
    </w:rPr>
  </w:style>
  <w:style w:type="paragraph" w:styleId="TDC7">
    <w:name w:val="toc 7"/>
    <w:basedOn w:val="Normal"/>
    <w:next w:val="Normal"/>
    <w:autoRedefine/>
    <w:uiPriority w:val="39"/>
    <w:unhideWhenUsed/>
    <w:rsid w:val="00705991"/>
    <w:pPr>
      <w:ind w:left="1200"/>
    </w:pPr>
    <w:rPr>
      <w:rFonts w:asciiTheme="minorHAnsi" w:hAnsiTheme="minorHAnsi"/>
      <w:szCs w:val="20"/>
    </w:rPr>
  </w:style>
  <w:style w:type="paragraph" w:styleId="TDC8">
    <w:name w:val="toc 8"/>
    <w:basedOn w:val="Normal"/>
    <w:next w:val="Normal"/>
    <w:autoRedefine/>
    <w:uiPriority w:val="39"/>
    <w:unhideWhenUsed/>
    <w:rsid w:val="00705991"/>
    <w:pPr>
      <w:ind w:left="1400"/>
    </w:pPr>
    <w:rPr>
      <w:rFonts w:asciiTheme="minorHAnsi" w:hAnsiTheme="minorHAnsi"/>
      <w:szCs w:val="20"/>
    </w:rPr>
  </w:style>
  <w:style w:type="paragraph" w:styleId="TDC9">
    <w:name w:val="toc 9"/>
    <w:basedOn w:val="Normal"/>
    <w:next w:val="Normal"/>
    <w:autoRedefine/>
    <w:uiPriority w:val="39"/>
    <w:unhideWhenUsed/>
    <w:rsid w:val="00705991"/>
    <w:pPr>
      <w:ind w:left="1600"/>
    </w:pPr>
    <w:rPr>
      <w:rFonts w:asciiTheme="minorHAnsi" w:hAnsiTheme="minorHAnsi"/>
      <w:szCs w:val="20"/>
    </w:rPr>
  </w:style>
  <w:style w:type="character" w:styleId="Nmerodepgina">
    <w:name w:val="page number"/>
    <w:basedOn w:val="Fuentedeprrafopredeter"/>
    <w:uiPriority w:val="99"/>
    <w:semiHidden/>
    <w:unhideWhenUsed/>
    <w:rsid w:val="00705991"/>
  </w:style>
  <w:style w:type="character" w:customStyle="1" w:styleId="FootnoteAnchor">
    <w:name w:val="Footnote Anchor"/>
    <w:rsid w:val="00705991"/>
    <w:rPr>
      <w:vertAlign w:val="superscript"/>
    </w:rPr>
  </w:style>
  <w:style w:type="paragraph" w:customStyle="1" w:styleId="Textonotapie1">
    <w:name w:val="Texto nota pie1"/>
    <w:basedOn w:val="Normal"/>
    <w:qFormat/>
    <w:rsid w:val="00705991"/>
    <w:rPr>
      <w:szCs w:val="20"/>
      <w:lang w:eastAsia="es-ES"/>
    </w:rPr>
  </w:style>
  <w:style w:type="character" w:styleId="nfasis">
    <w:name w:val="Emphasis"/>
    <w:basedOn w:val="Fuentedeprrafopredeter"/>
    <w:uiPriority w:val="20"/>
    <w:qFormat/>
    <w:rsid w:val="00705991"/>
    <w:rPr>
      <w:i/>
      <w:iCs/>
    </w:rPr>
  </w:style>
  <w:style w:type="character" w:customStyle="1" w:styleId="apple-style-span">
    <w:name w:val="apple-style-span"/>
    <w:basedOn w:val="Fuentedeprrafopredeter"/>
    <w:rsid w:val="00705991"/>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www.ohchr.org/en/professionalinterest/pages/remedyandreparation.aspx" TargetMode="External"/><Relationship Id="rId2" Type="http://schemas.openxmlformats.org/officeDocument/2006/relationships/hyperlink" Target="http://www.corteidh.or.cr/docs/comunicados/cp_111_2020.pdf" TargetMode="External"/><Relationship Id="rId1" Type="http://schemas.openxmlformats.org/officeDocument/2006/relationships/hyperlink" Target="http://www.corteidh.or.cr/docs/asuntos/almeida_30_07_20.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EC9FE-44C3-4F6A-B6F5-BFE4AA9FEB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10385</Words>
  <Characters>57118</Characters>
  <Application>Microsoft Office Word</Application>
  <DocSecurity>0</DocSecurity>
  <Lines>475</Lines>
  <Paragraphs>134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Francella Hernandez</cp:lastModifiedBy>
  <cp:revision>2</cp:revision>
  <cp:lastPrinted>2020-12-15T21:24:00Z</cp:lastPrinted>
  <dcterms:created xsi:type="dcterms:W3CDTF">2020-12-17T22:27:00Z</dcterms:created>
  <dcterms:modified xsi:type="dcterms:W3CDTF">2020-12-17T22:27:00Z</dcterms:modified>
</cp:coreProperties>
</file>