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680C" w:rsidRPr="00B6232C" w:rsidRDefault="007B680C" w:rsidP="00AE0DC6">
      <w:pPr>
        <w:spacing w:after="0" w:line="240" w:lineRule="auto"/>
        <w:jc w:val="center"/>
        <w:rPr>
          <w:rFonts w:ascii="Verdana" w:eastAsia="Times New Roman" w:hAnsi="Verdana" w:cs="Verdana"/>
          <w:b/>
          <w:bCs/>
          <w:caps/>
          <w:snapToGrid w:val="0"/>
          <w:sz w:val="20"/>
          <w:szCs w:val="20"/>
          <w:lang w:val="es-CR" w:eastAsia="es-ES"/>
        </w:rPr>
      </w:pPr>
    </w:p>
    <w:p w:rsidR="007B680C" w:rsidRPr="00B6232C" w:rsidRDefault="007B680C" w:rsidP="00AE0DC6">
      <w:pPr>
        <w:spacing w:after="0" w:line="240" w:lineRule="auto"/>
        <w:jc w:val="center"/>
        <w:rPr>
          <w:rFonts w:ascii="Verdana" w:eastAsia="Times New Roman" w:hAnsi="Verdana" w:cs="Verdana"/>
          <w:b/>
          <w:bCs/>
          <w:caps/>
          <w:snapToGrid w:val="0"/>
          <w:sz w:val="20"/>
          <w:szCs w:val="20"/>
          <w:lang w:val="es-CR" w:eastAsia="es-ES"/>
        </w:rPr>
      </w:pPr>
    </w:p>
    <w:p w:rsidR="007B680C" w:rsidRPr="00B6232C" w:rsidRDefault="007B680C" w:rsidP="00AE0DC6">
      <w:pPr>
        <w:spacing w:after="0" w:line="240" w:lineRule="auto"/>
        <w:jc w:val="center"/>
        <w:rPr>
          <w:rFonts w:ascii="Verdana" w:eastAsia="Times New Roman" w:hAnsi="Verdana" w:cs="Verdana"/>
          <w:b/>
          <w:bCs/>
          <w:caps/>
          <w:snapToGrid w:val="0"/>
          <w:sz w:val="20"/>
          <w:szCs w:val="20"/>
          <w:lang w:val="es-CR" w:eastAsia="es-ES"/>
        </w:rPr>
      </w:pPr>
    </w:p>
    <w:p w:rsidR="007B680C" w:rsidRPr="00B6232C" w:rsidRDefault="007B680C" w:rsidP="00AE0DC6">
      <w:pPr>
        <w:spacing w:after="0" w:line="240" w:lineRule="auto"/>
        <w:jc w:val="center"/>
        <w:rPr>
          <w:rFonts w:ascii="Verdana" w:eastAsia="Times New Roman" w:hAnsi="Verdana" w:cs="Verdana"/>
          <w:b/>
          <w:bCs/>
          <w:caps/>
          <w:snapToGrid w:val="0"/>
          <w:sz w:val="20"/>
          <w:szCs w:val="20"/>
          <w:lang w:val="es-CR" w:eastAsia="es-ES"/>
        </w:rPr>
      </w:pPr>
    </w:p>
    <w:p w:rsidR="007B680C" w:rsidRPr="00B6232C" w:rsidRDefault="007B680C" w:rsidP="00AE0DC6">
      <w:pPr>
        <w:spacing w:after="0" w:line="240" w:lineRule="auto"/>
        <w:jc w:val="center"/>
        <w:rPr>
          <w:rFonts w:ascii="Verdana" w:eastAsia="Times New Roman" w:hAnsi="Verdana" w:cs="Verdana"/>
          <w:b/>
          <w:bCs/>
          <w:caps/>
          <w:snapToGrid w:val="0"/>
          <w:sz w:val="20"/>
          <w:szCs w:val="20"/>
          <w:lang w:val="es-CR" w:eastAsia="es-ES"/>
        </w:rPr>
      </w:pPr>
      <w:r w:rsidRPr="00B6232C">
        <w:rPr>
          <w:rFonts w:ascii="Verdana" w:eastAsia="Times New Roman" w:hAnsi="Verdana" w:cs="Verdana"/>
          <w:b/>
          <w:bCs/>
          <w:caps/>
          <w:snapToGrid w:val="0"/>
          <w:sz w:val="20"/>
          <w:szCs w:val="20"/>
          <w:lang w:val="es-CR" w:eastAsia="es-ES"/>
        </w:rPr>
        <w:t>Corte Interamericana de DERECHOS Humanos</w:t>
      </w:r>
    </w:p>
    <w:p w:rsidR="002925F1" w:rsidRPr="00B6232C" w:rsidRDefault="002925F1" w:rsidP="00AE0DC6">
      <w:pPr>
        <w:spacing w:after="0" w:line="240" w:lineRule="auto"/>
        <w:jc w:val="center"/>
        <w:rPr>
          <w:rFonts w:ascii="Verdana" w:eastAsia="Times New Roman" w:hAnsi="Verdana" w:cs="Verdana"/>
          <w:b/>
          <w:bCs/>
          <w:caps/>
          <w:snapToGrid w:val="0"/>
          <w:sz w:val="20"/>
          <w:szCs w:val="20"/>
          <w:lang w:val="es-CR" w:eastAsia="es-ES"/>
        </w:rPr>
      </w:pPr>
    </w:p>
    <w:p w:rsidR="002925F1" w:rsidRPr="00B6232C" w:rsidRDefault="002925F1" w:rsidP="00AE0DC6">
      <w:pPr>
        <w:spacing w:after="0" w:line="240" w:lineRule="auto"/>
        <w:jc w:val="center"/>
        <w:rPr>
          <w:rFonts w:ascii="Verdana" w:eastAsia="Times New Roman" w:hAnsi="Verdana" w:cs="Verdana"/>
          <w:b/>
          <w:bCs/>
          <w:caps/>
          <w:snapToGrid w:val="0"/>
          <w:sz w:val="20"/>
          <w:szCs w:val="20"/>
          <w:lang w:val="es-CR" w:eastAsia="es-ES"/>
        </w:rPr>
      </w:pPr>
    </w:p>
    <w:p w:rsidR="007B680C" w:rsidRPr="00B6232C" w:rsidRDefault="007B680C" w:rsidP="002925F1">
      <w:pPr>
        <w:spacing w:after="0" w:line="240" w:lineRule="auto"/>
        <w:jc w:val="center"/>
        <w:rPr>
          <w:rFonts w:ascii="Verdana" w:eastAsia="Times New Roman" w:hAnsi="Verdana" w:cs="Verdana"/>
          <w:b/>
          <w:bCs/>
          <w:caps/>
          <w:snapToGrid w:val="0"/>
          <w:sz w:val="20"/>
          <w:szCs w:val="20"/>
          <w:lang w:val="es-CR" w:eastAsia="es-ES"/>
        </w:rPr>
      </w:pPr>
      <w:r w:rsidRPr="00B6232C">
        <w:rPr>
          <w:rFonts w:ascii="Verdana" w:eastAsia="Times New Roman" w:hAnsi="Verdana" w:cs="Verdana"/>
          <w:b/>
          <w:bCs/>
          <w:caps/>
          <w:snapToGrid w:val="0"/>
          <w:sz w:val="20"/>
          <w:szCs w:val="20"/>
          <w:lang w:val="es-CR" w:eastAsia="es-ES"/>
        </w:rPr>
        <w:t xml:space="preserve">CASO </w:t>
      </w:r>
      <w:r w:rsidR="00E62285" w:rsidRPr="00B6232C">
        <w:rPr>
          <w:rFonts w:ascii="Verdana" w:eastAsia="Times New Roman" w:hAnsi="Verdana" w:cs="Verdana"/>
          <w:b/>
          <w:bCs/>
          <w:caps/>
          <w:snapToGrid w:val="0"/>
          <w:sz w:val="20"/>
          <w:szCs w:val="20"/>
          <w:lang w:val="es-CR" w:eastAsia="es-ES"/>
        </w:rPr>
        <w:t xml:space="preserve">EMPLEADOS DE LA FÁBRICA DE FUEGOS EN SANTO </w:t>
      </w:r>
      <w:bookmarkStart w:id="0" w:name="_GoBack"/>
      <w:r w:rsidR="00E62285" w:rsidRPr="00B6232C">
        <w:rPr>
          <w:rFonts w:ascii="Verdana" w:eastAsia="Times New Roman" w:hAnsi="Verdana" w:cs="Verdana"/>
          <w:b/>
          <w:bCs/>
          <w:caps/>
          <w:snapToGrid w:val="0"/>
          <w:sz w:val="20"/>
          <w:szCs w:val="20"/>
          <w:lang w:val="es-CR" w:eastAsia="es-ES"/>
        </w:rPr>
        <w:t>ANTÔNIO</w:t>
      </w:r>
      <w:bookmarkEnd w:id="0"/>
      <w:r w:rsidR="00E62285" w:rsidRPr="00B6232C">
        <w:rPr>
          <w:rFonts w:ascii="Verdana" w:eastAsia="Times New Roman" w:hAnsi="Verdana" w:cs="Verdana"/>
          <w:b/>
          <w:bCs/>
          <w:caps/>
          <w:snapToGrid w:val="0"/>
          <w:sz w:val="20"/>
          <w:szCs w:val="20"/>
          <w:lang w:val="es-CR" w:eastAsia="es-ES"/>
        </w:rPr>
        <w:t xml:space="preserve"> DE JESUS Y SUS FAMILIARES VS. BRASIL</w:t>
      </w:r>
    </w:p>
    <w:p w:rsidR="002925F1" w:rsidRPr="00B6232C" w:rsidRDefault="002925F1" w:rsidP="00AE0DC6">
      <w:pPr>
        <w:spacing w:after="0" w:line="240" w:lineRule="auto"/>
        <w:jc w:val="center"/>
        <w:rPr>
          <w:rFonts w:ascii="Verdana" w:eastAsia="Times New Roman" w:hAnsi="Verdana" w:cs="Verdana"/>
          <w:b/>
          <w:bCs/>
          <w:snapToGrid w:val="0"/>
          <w:sz w:val="20"/>
          <w:szCs w:val="20"/>
          <w:lang w:val="es-CR" w:eastAsia="es-ES"/>
        </w:rPr>
      </w:pPr>
    </w:p>
    <w:p w:rsidR="002925F1" w:rsidRPr="00B6232C" w:rsidRDefault="002925F1" w:rsidP="00AE0DC6">
      <w:pPr>
        <w:spacing w:after="0" w:line="240" w:lineRule="auto"/>
        <w:jc w:val="center"/>
        <w:rPr>
          <w:rFonts w:ascii="Verdana" w:eastAsia="Times New Roman" w:hAnsi="Verdana" w:cs="Verdana"/>
          <w:b/>
          <w:bCs/>
          <w:snapToGrid w:val="0"/>
          <w:sz w:val="20"/>
          <w:szCs w:val="20"/>
          <w:lang w:val="es-CR" w:eastAsia="es-ES"/>
        </w:rPr>
      </w:pPr>
    </w:p>
    <w:p w:rsidR="007B680C" w:rsidRPr="00B6232C" w:rsidRDefault="007B680C" w:rsidP="00AE0DC6">
      <w:pPr>
        <w:spacing w:after="0" w:line="240" w:lineRule="auto"/>
        <w:jc w:val="center"/>
        <w:rPr>
          <w:rFonts w:ascii="Verdana" w:eastAsia="Times New Roman" w:hAnsi="Verdana" w:cs="Verdana"/>
          <w:b/>
          <w:bCs/>
          <w:snapToGrid w:val="0"/>
          <w:sz w:val="20"/>
          <w:szCs w:val="20"/>
          <w:lang w:val="es-CR" w:eastAsia="es-ES"/>
        </w:rPr>
      </w:pPr>
      <w:r w:rsidRPr="00B6232C">
        <w:rPr>
          <w:rFonts w:ascii="Verdana" w:eastAsia="Times New Roman" w:hAnsi="Verdana" w:cs="Verdana"/>
          <w:b/>
          <w:bCs/>
          <w:snapToGrid w:val="0"/>
          <w:sz w:val="20"/>
          <w:szCs w:val="20"/>
          <w:lang w:val="es-CR" w:eastAsia="es-ES"/>
        </w:rPr>
        <w:t xml:space="preserve">SENTENCIA DE </w:t>
      </w:r>
      <w:r w:rsidR="008476B9" w:rsidRPr="00B6232C">
        <w:rPr>
          <w:rFonts w:ascii="Verdana" w:eastAsia="Times New Roman" w:hAnsi="Verdana" w:cs="Verdana"/>
          <w:b/>
          <w:bCs/>
          <w:snapToGrid w:val="0"/>
          <w:sz w:val="20"/>
          <w:szCs w:val="20"/>
          <w:lang w:val="es-CR" w:eastAsia="es-ES"/>
        </w:rPr>
        <w:t xml:space="preserve">21 </w:t>
      </w:r>
      <w:r w:rsidRPr="00B6232C">
        <w:rPr>
          <w:rFonts w:ascii="Verdana" w:eastAsia="Times New Roman" w:hAnsi="Verdana" w:cs="Verdana"/>
          <w:b/>
          <w:bCs/>
          <w:snapToGrid w:val="0"/>
          <w:sz w:val="20"/>
          <w:szCs w:val="20"/>
          <w:lang w:val="es-CR" w:eastAsia="es-ES"/>
        </w:rPr>
        <w:t xml:space="preserve">DE </w:t>
      </w:r>
      <w:r w:rsidR="008476B9" w:rsidRPr="00B6232C">
        <w:rPr>
          <w:rFonts w:ascii="Verdana" w:eastAsia="Times New Roman" w:hAnsi="Verdana" w:cs="Verdana"/>
          <w:b/>
          <w:bCs/>
          <w:snapToGrid w:val="0"/>
          <w:sz w:val="20"/>
          <w:szCs w:val="20"/>
          <w:lang w:val="es-CR" w:eastAsia="es-ES"/>
        </w:rPr>
        <w:t xml:space="preserve">JUNIO </w:t>
      </w:r>
      <w:r w:rsidRPr="00B6232C">
        <w:rPr>
          <w:rFonts w:ascii="Verdana" w:eastAsia="Times New Roman" w:hAnsi="Verdana" w:cs="Verdana"/>
          <w:b/>
          <w:bCs/>
          <w:snapToGrid w:val="0"/>
          <w:sz w:val="20"/>
          <w:szCs w:val="20"/>
          <w:lang w:val="es-CR" w:eastAsia="es-ES"/>
        </w:rPr>
        <w:t>DE 20</w:t>
      </w:r>
      <w:r w:rsidR="00E62285" w:rsidRPr="00B6232C">
        <w:rPr>
          <w:rFonts w:ascii="Verdana" w:eastAsia="Times New Roman" w:hAnsi="Verdana" w:cs="Verdana"/>
          <w:b/>
          <w:bCs/>
          <w:snapToGrid w:val="0"/>
          <w:sz w:val="20"/>
          <w:szCs w:val="20"/>
          <w:lang w:val="es-CR" w:eastAsia="es-ES"/>
        </w:rPr>
        <w:t>21</w:t>
      </w:r>
    </w:p>
    <w:p w:rsidR="007B680C" w:rsidRPr="00B6232C" w:rsidRDefault="007B680C" w:rsidP="00AE0DC6">
      <w:pPr>
        <w:spacing w:after="0" w:line="240" w:lineRule="auto"/>
        <w:jc w:val="center"/>
        <w:rPr>
          <w:rFonts w:ascii="Verdana" w:eastAsia="Times New Roman" w:hAnsi="Verdana"/>
          <w:b/>
          <w:bCs/>
          <w:caps/>
          <w:snapToGrid w:val="0"/>
          <w:sz w:val="20"/>
          <w:szCs w:val="20"/>
          <w:lang w:val="es-CR" w:eastAsia="es-ES"/>
        </w:rPr>
      </w:pPr>
    </w:p>
    <w:p w:rsidR="007B680C" w:rsidRPr="00B6232C" w:rsidRDefault="007B680C" w:rsidP="00AE0DC6">
      <w:pPr>
        <w:spacing w:after="0" w:line="240" w:lineRule="auto"/>
        <w:jc w:val="center"/>
        <w:rPr>
          <w:rFonts w:ascii="Verdana" w:eastAsia="Times New Roman" w:hAnsi="Verdana" w:cs="Verdana"/>
          <w:b/>
          <w:bCs/>
          <w:i/>
          <w:iCs/>
          <w:snapToGrid w:val="0"/>
          <w:sz w:val="20"/>
          <w:szCs w:val="20"/>
          <w:lang w:val="es-CR" w:eastAsia="es-ES"/>
        </w:rPr>
      </w:pPr>
      <w:r w:rsidRPr="00B6232C">
        <w:rPr>
          <w:rFonts w:ascii="Verdana" w:eastAsia="Times New Roman" w:hAnsi="Verdana" w:cs="Verdana"/>
          <w:b/>
          <w:bCs/>
          <w:i/>
          <w:iCs/>
          <w:snapToGrid w:val="0"/>
          <w:sz w:val="20"/>
          <w:szCs w:val="20"/>
          <w:lang w:val="es-CR" w:eastAsia="es-ES"/>
        </w:rPr>
        <w:t xml:space="preserve">(Interpretación de la Sentencia de Excepciones Preliminares, </w:t>
      </w:r>
    </w:p>
    <w:p w:rsidR="007B680C" w:rsidRPr="00B6232C" w:rsidRDefault="007B680C" w:rsidP="00AE0DC6">
      <w:pPr>
        <w:spacing w:after="0" w:line="240" w:lineRule="auto"/>
        <w:jc w:val="center"/>
        <w:rPr>
          <w:rFonts w:ascii="Verdana" w:hAnsi="Verdana"/>
          <w:b/>
          <w:i/>
          <w:caps/>
          <w:snapToGrid w:val="0"/>
          <w:sz w:val="20"/>
          <w:szCs w:val="20"/>
          <w:lang w:val="es-CR"/>
        </w:rPr>
      </w:pPr>
      <w:r w:rsidRPr="00B6232C">
        <w:rPr>
          <w:rFonts w:ascii="Verdana" w:eastAsia="Times New Roman" w:hAnsi="Verdana" w:cs="Verdana"/>
          <w:b/>
          <w:bCs/>
          <w:i/>
          <w:iCs/>
          <w:snapToGrid w:val="0"/>
          <w:sz w:val="20"/>
          <w:szCs w:val="20"/>
          <w:lang w:val="es-CR" w:eastAsia="es-ES"/>
        </w:rPr>
        <w:t>Fondo, Reparaciones y Costas</w:t>
      </w:r>
      <w:r w:rsidRPr="00B6232C">
        <w:rPr>
          <w:rFonts w:ascii="Verdana" w:hAnsi="Verdana"/>
          <w:b/>
          <w:i/>
          <w:caps/>
          <w:snapToGrid w:val="0"/>
          <w:sz w:val="20"/>
          <w:szCs w:val="20"/>
          <w:lang w:val="es-CR"/>
        </w:rPr>
        <w:t>)</w:t>
      </w:r>
    </w:p>
    <w:p w:rsidR="007B680C" w:rsidRPr="00B6232C" w:rsidRDefault="007B680C" w:rsidP="00AE0DC6">
      <w:pPr>
        <w:spacing w:after="0" w:line="240" w:lineRule="auto"/>
        <w:jc w:val="center"/>
        <w:rPr>
          <w:rFonts w:ascii="Verdana" w:hAnsi="Verdana"/>
          <w:b/>
          <w:i/>
          <w:caps/>
          <w:snapToGrid w:val="0"/>
          <w:sz w:val="20"/>
          <w:szCs w:val="20"/>
          <w:lang w:val="es-CR"/>
        </w:rPr>
      </w:pPr>
    </w:p>
    <w:p w:rsidR="007B680C" w:rsidRPr="00B6232C" w:rsidRDefault="007B680C" w:rsidP="00AE0DC6">
      <w:pPr>
        <w:spacing w:after="0" w:line="240" w:lineRule="auto"/>
        <w:jc w:val="center"/>
        <w:rPr>
          <w:rFonts w:ascii="Verdana" w:eastAsia="Times New Roman" w:hAnsi="Verdana"/>
          <w:sz w:val="20"/>
          <w:szCs w:val="20"/>
          <w:lang w:val="es-CR"/>
        </w:rPr>
      </w:pPr>
    </w:p>
    <w:p w:rsidR="007B680C" w:rsidRPr="00B6232C" w:rsidRDefault="007B680C" w:rsidP="00AE0DC6">
      <w:pPr>
        <w:spacing w:after="0" w:line="240" w:lineRule="auto"/>
        <w:jc w:val="both"/>
        <w:rPr>
          <w:rFonts w:ascii="Verdana" w:eastAsia="Times New Roman" w:hAnsi="Verdana"/>
          <w:sz w:val="20"/>
          <w:szCs w:val="20"/>
          <w:lang w:val="es-CR"/>
        </w:rPr>
      </w:pPr>
    </w:p>
    <w:p w:rsidR="007B680C" w:rsidRPr="00B6232C" w:rsidRDefault="007B680C" w:rsidP="00AE0DC6">
      <w:pPr>
        <w:spacing w:after="0" w:line="240" w:lineRule="auto"/>
        <w:jc w:val="both"/>
        <w:rPr>
          <w:rFonts w:ascii="Verdana" w:hAnsi="Verdana"/>
          <w:sz w:val="20"/>
          <w:szCs w:val="20"/>
          <w:lang w:val="es-CR"/>
        </w:rPr>
      </w:pPr>
      <w:r w:rsidRPr="00B6232C">
        <w:rPr>
          <w:rFonts w:ascii="Verdana" w:hAnsi="Verdana"/>
          <w:sz w:val="20"/>
          <w:szCs w:val="20"/>
          <w:lang w:val="es-CR"/>
        </w:rPr>
        <w:t xml:space="preserve">En el </w:t>
      </w:r>
      <w:r w:rsidR="00E62285" w:rsidRPr="00B6232C">
        <w:rPr>
          <w:rFonts w:ascii="Verdana" w:hAnsi="Verdana"/>
          <w:i/>
          <w:sz w:val="20"/>
          <w:szCs w:val="20"/>
          <w:lang w:val="es-CR"/>
        </w:rPr>
        <w:t>Caso Empleados de la Fábrica de Fuegos en Santo Antônio de Jesus y sus familiares</w:t>
      </w:r>
      <w:r w:rsidR="00067454" w:rsidRPr="00B6232C">
        <w:rPr>
          <w:rFonts w:ascii="Verdana" w:hAnsi="Verdana"/>
          <w:i/>
          <w:sz w:val="20"/>
          <w:szCs w:val="20"/>
          <w:lang w:val="es-CR"/>
        </w:rPr>
        <w:t xml:space="preserve"> Vs. Brasil</w:t>
      </w:r>
      <w:r w:rsidRPr="00B6232C">
        <w:rPr>
          <w:rFonts w:ascii="Verdana" w:hAnsi="Verdana"/>
          <w:sz w:val="20"/>
          <w:szCs w:val="20"/>
          <w:lang w:val="es-CR"/>
        </w:rPr>
        <w:t>,</w:t>
      </w:r>
    </w:p>
    <w:p w:rsidR="007B680C" w:rsidRPr="00B6232C" w:rsidRDefault="007B680C" w:rsidP="00AE0DC6">
      <w:pPr>
        <w:spacing w:after="0" w:line="240" w:lineRule="auto"/>
        <w:jc w:val="both"/>
        <w:rPr>
          <w:rFonts w:ascii="Verdana" w:hAnsi="Verdana"/>
          <w:sz w:val="20"/>
          <w:szCs w:val="20"/>
          <w:lang w:val="es-CR"/>
        </w:rPr>
      </w:pPr>
    </w:p>
    <w:p w:rsidR="007B680C" w:rsidRPr="00B6232C" w:rsidRDefault="007B680C" w:rsidP="00AE0DC6">
      <w:pPr>
        <w:spacing w:after="0" w:line="240" w:lineRule="auto"/>
        <w:jc w:val="both"/>
        <w:rPr>
          <w:rFonts w:ascii="Verdana" w:hAnsi="Verdana"/>
          <w:sz w:val="20"/>
          <w:szCs w:val="20"/>
          <w:lang w:val="es-CR"/>
        </w:rPr>
      </w:pPr>
      <w:r w:rsidRPr="00B6232C">
        <w:rPr>
          <w:rFonts w:ascii="Verdana" w:hAnsi="Verdana"/>
          <w:sz w:val="20"/>
          <w:szCs w:val="20"/>
          <w:lang w:val="es-CR"/>
        </w:rPr>
        <w:t>la Corte Interamericana de Derechos Humanos (en adelante “la Corte Interamericana”, “la Corte” o “el Tribunal”), integrada por los siguientes jueces:</w:t>
      </w:r>
    </w:p>
    <w:p w:rsidR="007B680C" w:rsidRPr="00B6232C" w:rsidRDefault="007B680C" w:rsidP="00AE0DC6">
      <w:pPr>
        <w:spacing w:after="0" w:line="240" w:lineRule="auto"/>
        <w:jc w:val="both"/>
        <w:rPr>
          <w:rFonts w:ascii="Verdana" w:hAnsi="Verdana"/>
          <w:sz w:val="20"/>
          <w:szCs w:val="20"/>
          <w:lang w:val="es-CR"/>
        </w:rPr>
      </w:pPr>
    </w:p>
    <w:p w:rsidR="00EA7A25" w:rsidRPr="00B6232C" w:rsidRDefault="00EA7A25">
      <w:pPr>
        <w:spacing w:after="0" w:line="240" w:lineRule="auto"/>
        <w:jc w:val="both"/>
        <w:rPr>
          <w:rFonts w:ascii="Verdana" w:hAnsi="Verdana"/>
          <w:sz w:val="20"/>
          <w:szCs w:val="20"/>
          <w:lang w:val="es-CR"/>
        </w:rPr>
      </w:pPr>
      <w:r w:rsidRPr="00B6232C">
        <w:rPr>
          <w:rFonts w:ascii="Verdana" w:hAnsi="Verdana"/>
          <w:sz w:val="20"/>
          <w:szCs w:val="20"/>
          <w:lang w:val="es-CR"/>
        </w:rPr>
        <w:t xml:space="preserve">Elizabeth Odio Benito, Presidenta; </w:t>
      </w:r>
    </w:p>
    <w:p w:rsidR="00EA7A25" w:rsidRPr="00B6232C" w:rsidRDefault="00EA7A25">
      <w:pPr>
        <w:spacing w:after="0" w:line="240" w:lineRule="auto"/>
        <w:jc w:val="both"/>
        <w:rPr>
          <w:rFonts w:ascii="Verdana" w:hAnsi="Verdana"/>
          <w:sz w:val="20"/>
          <w:szCs w:val="20"/>
          <w:lang w:val="es-CR"/>
        </w:rPr>
      </w:pPr>
      <w:r w:rsidRPr="00B6232C">
        <w:rPr>
          <w:rFonts w:ascii="Verdana" w:hAnsi="Verdana"/>
          <w:sz w:val="20"/>
          <w:szCs w:val="20"/>
          <w:lang w:val="es-CR"/>
        </w:rPr>
        <w:t>L. Patricio Pazmiño Freire, Vicepresidente;</w:t>
      </w:r>
    </w:p>
    <w:p w:rsidR="00EA7A25" w:rsidRPr="00B6232C" w:rsidRDefault="00EA7A25">
      <w:pPr>
        <w:spacing w:after="0" w:line="240" w:lineRule="auto"/>
        <w:jc w:val="both"/>
        <w:rPr>
          <w:rFonts w:ascii="Verdana" w:hAnsi="Verdana"/>
          <w:sz w:val="20"/>
          <w:szCs w:val="20"/>
          <w:lang w:val="es-CR"/>
        </w:rPr>
      </w:pPr>
      <w:r w:rsidRPr="00B6232C">
        <w:rPr>
          <w:rFonts w:ascii="Verdana" w:hAnsi="Verdana"/>
          <w:sz w:val="20"/>
          <w:szCs w:val="20"/>
          <w:lang w:val="es-CR"/>
        </w:rPr>
        <w:t xml:space="preserve">Eduardo Vio Grossi, Juez; </w:t>
      </w:r>
    </w:p>
    <w:p w:rsidR="00EA7A25" w:rsidRPr="00B6232C" w:rsidRDefault="00EA7A25">
      <w:pPr>
        <w:spacing w:after="0" w:line="240" w:lineRule="auto"/>
        <w:jc w:val="both"/>
        <w:rPr>
          <w:rFonts w:ascii="Verdana" w:hAnsi="Verdana"/>
          <w:sz w:val="20"/>
          <w:szCs w:val="20"/>
          <w:lang w:val="es-CR"/>
        </w:rPr>
      </w:pPr>
      <w:r w:rsidRPr="00B6232C">
        <w:rPr>
          <w:rFonts w:ascii="Verdana" w:hAnsi="Verdana"/>
          <w:sz w:val="20"/>
          <w:szCs w:val="20"/>
          <w:lang w:val="es-CR"/>
        </w:rPr>
        <w:t>Humberto Antonio Sierra Porto, Juez;</w:t>
      </w:r>
    </w:p>
    <w:p w:rsidR="00EA7A25" w:rsidRPr="00B6232C" w:rsidRDefault="00EA7A25">
      <w:pPr>
        <w:spacing w:after="0" w:line="240" w:lineRule="auto"/>
        <w:jc w:val="both"/>
        <w:rPr>
          <w:rFonts w:ascii="Verdana" w:hAnsi="Verdana"/>
          <w:sz w:val="20"/>
          <w:szCs w:val="20"/>
          <w:lang w:val="es-CR"/>
        </w:rPr>
      </w:pPr>
      <w:r w:rsidRPr="00B6232C">
        <w:rPr>
          <w:rFonts w:ascii="Verdana" w:hAnsi="Verdana"/>
          <w:sz w:val="20"/>
          <w:szCs w:val="20"/>
          <w:lang w:val="es-CR"/>
        </w:rPr>
        <w:t>Eduardo Ferrer Mac-Gregor Poisot, Juez;</w:t>
      </w:r>
    </w:p>
    <w:p w:rsidR="00EA7A25" w:rsidRPr="00B6232C" w:rsidRDefault="00EA7A25">
      <w:pPr>
        <w:spacing w:after="0" w:line="240" w:lineRule="auto"/>
        <w:jc w:val="both"/>
        <w:rPr>
          <w:rFonts w:ascii="Verdana" w:hAnsi="Verdana"/>
          <w:sz w:val="20"/>
          <w:szCs w:val="20"/>
          <w:lang w:val="es-CR"/>
        </w:rPr>
      </w:pPr>
      <w:r w:rsidRPr="00B6232C">
        <w:rPr>
          <w:rFonts w:ascii="Verdana" w:hAnsi="Verdana"/>
          <w:sz w:val="20"/>
          <w:szCs w:val="20"/>
          <w:lang w:val="es-CR"/>
        </w:rPr>
        <w:t>Eugenio Raúl Zaffaroni, Juez, y</w:t>
      </w:r>
    </w:p>
    <w:p w:rsidR="00EA7A25" w:rsidRPr="00B6232C" w:rsidRDefault="00EA7A25">
      <w:pPr>
        <w:spacing w:after="0" w:line="240" w:lineRule="auto"/>
        <w:jc w:val="both"/>
        <w:rPr>
          <w:rFonts w:ascii="Verdana" w:hAnsi="Verdana"/>
          <w:sz w:val="20"/>
          <w:szCs w:val="20"/>
          <w:lang w:val="es-CR"/>
        </w:rPr>
      </w:pPr>
      <w:r w:rsidRPr="00B6232C">
        <w:rPr>
          <w:rFonts w:ascii="Verdana" w:hAnsi="Verdana"/>
          <w:sz w:val="20"/>
          <w:szCs w:val="20"/>
          <w:lang w:val="es-CR"/>
        </w:rPr>
        <w:t>Ricardo Pérez Manrique, Juez;</w:t>
      </w:r>
    </w:p>
    <w:p w:rsidR="00EA7A25" w:rsidRPr="00B6232C" w:rsidRDefault="00EA7A25">
      <w:pPr>
        <w:spacing w:after="0" w:line="240" w:lineRule="auto"/>
        <w:jc w:val="both"/>
        <w:rPr>
          <w:rFonts w:ascii="Verdana" w:hAnsi="Verdana"/>
          <w:sz w:val="20"/>
          <w:szCs w:val="20"/>
          <w:lang w:val="es-CR"/>
        </w:rPr>
      </w:pPr>
    </w:p>
    <w:p w:rsidR="001B2A7F" w:rsidRPr="00B6232C" w:rsidRDefault="001B2A7F">
      <w:pPr>
        <w:spacing w:after="0" w:line="240" w:lineRule="auto"/>
        <w:jc w:val="both"/>
        <w:rPr>
          <w:rFonts w:ascii="Verdana" w:hAnsi="Verdana"/>
          <w:sz w:val="20"/>
          <w:szCs w:val="20"/>
          <w:lang w:val="es-CR"/>
        </w:rPr>
      </w:pPr>
    </w:p>
    <w:p w:rsidR="00EA7A25" w:rsidRPr="00B6232C" w:rsidRDefault="00EA7A25">
      <w:pPr>
        <w:spacing w:after="0" w:line="240" w:lineRule="auto"/>
        <w:jc w:val="both"/>
        <w:rPr>
          <w:rFonts w:ascii="Verdana" w:hAnsi="Verdana"/>
          <w:sz w:val="20"/>
          <w:szCs w:val="20"/>
          <w:lang w:val="es-CR"/>
        </w:rPr>
      </w:pPr>
      <w:r w:rsidRPr="00B6232C">
        <w:rPr>
          <w:rFonts w:ascii="Verdana" w:hAnsi="Verdana"/>
          <w:sz w:val="20"/>
          <w:szCs w:val="20"/>
          <w:lang w:val="es-CR"/>
        </w:rPr>
        <w:t>presentes, además,</w:t>
      </w:r>
    </w:p>
    <w:p w:rsidR="00EA7A25" w:rsidRPr="00B6232C" w:rsidRDefault="00EA7A25">
      <w:pPr>
        <w:spacing w:after="0" w:line="240" w:lineRule="auto"/>
        <w:jc w:val="both"/>
        <w:rPr>
          <w:rFonts w:ascii="Verdana" w:hAnsi="Verdana"/>
          <w:sz w:val="20"/>
          <w:szCs w:val="20"/>
          <w:lang w:val="es-CR"/>
        </w:rPr>
      </w:pPr>
    </w:p>
    <w:p w:rsidR="00EA7A25" w:rsidRPr="00B6232C" w:rsidRDefault="00EA7A25">
      <w:pPr>
        <w:spacing w:after="0" w:line="240" w:lineRule="auto"/>
        <w:jc w:val="both"/>
        <w:rPr>
          <w:rFonts w:ascii="Verdana" w:hAnsi="Verdana"/>
          <w:sz w:val="20"/>
          <w:szCs w:val="20"/>
          <w:lang w:val="es-CR"/>
        </w:rPr>
      </w:pPr>
      <w:r w:rsidRPr="00B6232C">
        <w:rPr>
          <w:rFonts w:ascii="Verdana" w:hAnsi="Verdana"/>
          <w:sz w:val="20"/>
          <w:szCs w:val="20"/>
          <w:lang w:val="es-CR"/>
        </w:rPr>
        <w:t>Pablo Saavedra Alessandri, Secretario, y</w:t>
      </w:r>
    </w:p>
    <w:p w:rsidR="007B680C" w:rsidRPr="00B6232C" w:rsidRDefault="00EA7A25">
      <w:pPr>
        <w:spacing w:after="0" w:line="240" w:lineRule="auto"/>
        <w:jc w:val="both"/>
        <w:rPr>
          <w:rFonts w:ascii="Verdana" w:hAnsi="Verdana"/>
          <w:sz w:val="20"/>
          <w:szCs w:val="20"/>
          <w:lang w:val="es-CR"/>
        </w:rPr>
      </w:pPr>
      <w:r w:rsidRPr="00B6232C">
        <w:rPr>
          <w:rFonts w:ascii="Verdana" w:hAnsi="Verdana"/>
          <w:sz w:val="20"/>
          <w:szCs w:val="20"/>
          <w:lang w:val="es-CR"/>
        </w:rPr>
        <w:t>Romina I. Sijniensky, Secretaria Adjunta,</w:t>
      </w:r>
    </w:p>
    <w:p w:rsidR="007B680C" w:rsidRPr="00B6232C" w:rsidRDefault="007B680C">
      <w:pPr>
        <w:spacing w:after="0" w:line="240" w:lineRule="auto"/>
        <w:jc w:val="both"/>
        <w:rPr>
          <w:rFonts w:ascii="Verdana" w:hAnsi="Verdana"/>
          <w:sz w:val="20"/>
          <w:szCs w:val="20"/>
          <w:lang w:val="es-CR"/>
        </w:rPr>
      </w:pPr>
    </w:p>
    <w:p w:rsidR="007B680C" w:rsidRPr="00B6232C" w:rsidRDefault="007B680C" w:rsidP="00AE0DC6">
      <w:pPr>
        <w:spacing w:after="0" w:line="240" w:lineRule="auto"/>
        <w:jc w:val="both"/>
        <w:rPr>
          <w:rFonts w:ascii="Verdana" w:hAnsi="Verdana" w:cs="Verdana"/>
          <w:b/>
          <w:sz w:val="20"/>
          <w:szCs w:val="20"/>
          <w:lang w:val="es-CR"/>
        </w:rPr>
      </w:pPr>
      <w:r w:rsidRPr="00B6232C">
        <w:rPr>
          <w:rFonts w:ascii="Verdana" w:hAnsi="Verdana"/>
          <w:sz w:val="20"/>
          <w:szCs w:val="20"/>
          <w:lang w:val="es-CR"/>
        </w:rPr>
        <w:t xml:space="preserve">de conformidad con el artículo 67 </w:t>
      </w:r>
      <w:r w:rsidR="000079C5" w:rsidRPr="00B6232C">
        <w:rPr>
          <w:rFonts w:ascii="Verdana" w:hAnsi="Verdana"/>
          <w:sz w:val="20"/>
          <w:szCs w:val="20"/>
          <w:lang w:val="es-CR"/>
        </w:rPr>
        <w:t xml:space="preserve">de la </w:t>
      </w:r>
      <w:r w:rsidRPr="00B6232C">
        <w:rPr>
          <w:rFonts w:ascii="Verdana" w:hAnsi="Verdana"/>
          <w:sz w:val="20"/>
          <w:szCs w:val="20"/>
          <w:lang w:val="es-CR"/>
        </w:rPr>
        <w:t xml:space="preserve">Convención Americana sobre Derechos Humanos (en adelante “la Convención Americana” o “la Convención”) y el artículo 68 del Reglamento de la Corte (en adelante “el Reglamento”), resuelve las solicitudes de interpretación de la Sentencia de </w:t>
      </w:r>
      <w:r w:rsidR="000079C5" w:rsidRPr="00B6232C">
        <w:rPr>
          <w:rFonts w:ascii="Verdana" w:hAnsi="Verdana"/>
          <w:sz w:val="20"/>
          <w:szCs w:val="20"/>
          <w:lang w:val="es-CR"/>
        </w:rPr>
        <w:t>Excepciones Preliminares</w:t>
      </w:r>
      <w:r w:rsidRPr="00B6232C">
        <w:rPr>
          <w:rFonts w:ascii="Verdana" w:hAnsi="Verdana"/>
          <w:sz w:val="20"/>
          <w:szCs w:val="20"/>
          <w:lang w:val="es-CR"/>
        </w:rPr>
        <w:t xml:space="preserve">, </w:t>
      </w:r>
      <w:r w:rsidR="000079C5" w:rsidRPr="00B6232C">
        <w:rPr>
          <w:rFonts w:ascii="Verdana" w:hAnsi="Verdana"/>
          <w:sz w:val="20"/>
          <w:szCs w:val="20"/>
          <w:lang w:val="es-CR"/>
        </w:rPr>
        <w:t>Fondo</w:t>
      </w:r>
      <w:r w:rsidRPr="00B6232C">
        <w:rPr>
          <w:rFonts w:ascii="Verdana" w:hAnsi="Verdana"/>
          <w:sz w:val="20"/>
          <w:szCs w:val="20"/>
          <w:lang w:val="es-CR"/>
        </w:rPr>
        <w:t xml:space="preserve">, </w:t>
      </w:r>
      <w:r w:rsidR="000079C5" w:rsidRPr="00B6232C">
        <w:rPr>
          <w:rFonts w:ascii="Verdana" w:hAnsi="Verdana"/>
          <w:sz w:val="20"/>
          <w:szCs w:val="20"/>
          <w:lang w:val="es-CR"/>
        </w:rPr>
        <w:t xml:space="preserve">Reparaciones </w:t>
      </w:r>
      <w:r w:rsidRPr="00B6232C">
        <w:rPr>
          <w:rFonts w:ascii="Verdana" w:hAnsi="Verdana"/>
          <w:sz w:val="20"/>
          <w:szCs w:val="20"/>
          <w:lang w:val="es-CR"/>
        </w:rPr>
        <w:t xml:space="preserve">y </w:t>
      </w:r>
      <w:r w:rsidR="000079C5" w:rsidRPr="00B6232C">
        <w:rPr>
          <w:rFonts w:ascii="Verdana" w:hAnsi="Verdana"/>
          <w:sz w:val="20"/>
          <w:szCs w:val="20"/>
          <w:lang w:val="es-CR"/>
        </w:rPr>
        <w:t xml:space="preserve">Costas </w:t>
      </w:r>
      <w:r w:rsidRPr="00B6232C">
        <w:rPr>
          <w:rFonts w:ascii="Verdana" w:hAnsi="Verdana"/>
          <w:sz w:val="20"/>
          <w:szCs w:val="20"/>
          <w:lang w:val="es-CR"/>
        </w:rPr>
        <w:t xml:space="preserve">emitida por </w:t>
      </w:r>
      <w:r w:rsidR="000079C5" w:rsidRPr="00B6232C">
        <w:rPr>
          <w:rFonts w:ascii="Verdana" w:hAnsi="Verdana"/>
          <w:sz w:val="20"/>
          <w:szCs w:val="20"/>
          <w:lang w:val="es-CR"/>
        </w:rPr>
        <w:t xml:space="preserve">este </w:t>
      </w:r>
      <w:r w:rsidRPr="00B6232C">
        <w:rPr>
          <w:rFonts w:ascii="Verdana" w:hAnsi="Verdana"/>
          <w:sz w:val="20"/>
          <w:szCs w:val="20"/>
          <w:lang w:val="es-CR"/>
        </w:rPr>
        <w:t xml:space="preserve">Tribunal el </w:t>
      </w:r>
      <w:r w:rsidR="00EA7A25" w:rsidRPr="00B6232C">
        <w:rPr>
          <w:rFonts w:ascii="Verdana" w:hAnsi="Verdana"/>
          <w:sz w:val="20"/>
          <w:szCs w:val="20"/>
          <w:lang w:val="es-CR"/>
        </w:rPr>
        <w:t>15</w:t>
      </w:r>
      <w:r w:rsidRPr="00B6232C">
        <w:rPr>
          <w:rFonts w:ascii="Verdana" w:hAnsi="Verdana"/>
          <w:sz w:val="20"/>
          <w:szCs w:val="20"/>
          <w:lang w:val="es-CR"/>
        </w:rPr>
        <w:t xml:space="preserve"> de </w:t>
      </w:r>
      <w:r w:rsidR="00EA7A25" w:rsidRPr="00B6232C">
        <w:rPr>
          <w:rFonts w:ascii="Verdana" w:hAnsi="Verdana"/>
          <w:sz w:val="20"/>
          <w:szCs w:val="20"/>
          <w:lang w:val="es-CR"/>
        </w:rPr>
        <w:t>julio</w:t>
      </w:r>
      <w:r w:rsidRPr="00B6232C">
        <w:rPr>
          <w:rFonts w:ascii="Verdana" w:hAnsi="Verdana"/>
          <w:sz w:val="20"/>
          <w:szCs w:val="20"/>
          <w:lang w:val="es-CR"/>
        </w:rPr>
        <w:t xml:space="preserve"> de 20</w:t>
      </w:r>
      <w:r w:rsidR="00EA7A25" w:rsidRPr="00B6232C">
        <w:rPr>
          <w:rFonts w:ascii="Verdana" w:hAnsi="Verdana"/>
          <w:sz w:val="20"/>
          <w:szCs w:val="20"/>
          <w:lang w:val="es-CR"/>
        </w:rPr>
        <w:t>20</w:t>
      </w:r>
      <w:r w:rsidRPr="00B6232C">
        <w:rPr>
          <w:rFonts w:ascii="Verdana" w:hAnsi="Verdana"/>
          <w:sz w:val="20"/>
          <w:szCs w:val="20"/>
          <w:lang w:val="es-CR"/>
        </w:rPr>
        <w:t xml:space="preserve"> en el presente caso (en adelante “la Sentencia”), interpuestas el</w:t>
      </w:r>
      <w:r w:rsidR="00EA7A25" w:rsidRPr="00B6232C">
        <w:rPr>
          <w:rFonts w:ascii="Verdana" w:hAnsi="Verdana"/>
          <w:sz w:val="20"/>
          <w:szCs w:val="20"/>
          <w:lang w:val="es-CR"/>
        </w:rPr>
        <w:t xml:space="preserve"> 21</w:t>
      </w:r>
      <w:r w:rsidRPr="00B6232C">
        <w:rPr>
          <w:rFonts w:ascii="Verdana" w:hAnsi="Verdana"/>
          <w:sz w:val="20"/>
          <w:szCs w:val="20"/>
          <w:lang w:val="es-CR"/>
        </w:rPr>
        <w:t xml:space="preserve"> de </w:t>
      </w:r>
      <w:r w:rsidR="00EA7A25" w:rsidRPr="00B6232C">
        <w:rPr>
          <w:rFonts w:ascii="Verdana" w:hAnsi="Verdana"/>
          <w:sz w:val="20"/>
          <w:szCs w:val="20"/>
          <w:lang w:val="es-CR"/>
        </w:rPr>
        <w:t>enero</w:t>
      </w:r>
      <w:r w:rsidRPr="00B6232C">
        <w:rPr>
          <w:rFonts w:ascii="Verdana" w:hAnsi="Verdana"/>
          <w:sz w:val="20"/>
          <w:szCs w:val="20"/>
          <w:lang w:val="es-CR"/>
        </w:rPr>
        <w:t xml:space="preserve"> y el </w:t>
      </w:r>
      <w:r w:rsidR="00EA7A25" w:rsidRPr="00B6232C">
        <w:rPr>
          <w:rFonts w:ascii="Verdana" w:hAnsi="Verdana"/>
          <w:sz w:val="20"/>
          <w:szCs w:val="20"/>
          <w:lang w:val="es-CR"/>
        </w:rPr>
        <w:t>22</w:t>
      </w:r>
      <w:r w:rsidRPr="00B6232C">
        <w:rPr>
          <w:rFonts w:ascii="Verdana" w:hAnsi="Verdana"/>
          <w:sz w:val="20"/>
          <w:szCs w:val="20"/>
          <w:lang w:val="es-CR"/>
        </w:rPr>
        <w:t xml:space="preserve"> de </w:t>
      </w:r>
      <w:r w:rsidR="00EA7A25" w:rsidRPr="00B6232C">
        <w:rPr>
          <w:rFonts w:ascii="Verdana" w:hAnsi="Verdana"/>
          <w:sz w:val="20"/>
          <w:szCs w:val="20"/>
          <w:lang w:val="es-CR"/>
        </w:rPr>
        <w:t>enero</w:t>
      </w:r>
      <w:r w:rsidRPr="00B6232C">
        <w:rPr>
          <w:rFonts w:ascii="Verdana" w:hAnsi="Verdana"/>
          <w:sz w:val="20"/>
          <w:szCs w:val="20"/>
          <w:lang w:val="es-CR"/>
        </w:rPr>
        <w:t xml:space="preserve"> de 20</w:t>
      </w:r>
      <w:r w:rsidR="00EA7A25" w:rsidRPr="00B6232C">
        <w:rPr>
          <w:rFonts w:ascii="Verdana" w:hAnsi="Verdana"/>
          <w:sz w:val="20"/>
          <w:szCs w:val="20"/>
          <w:lang w:val="es-CR"/>
        </w:rPr>
        <w:t>21</w:t>
      </w:r>
      <w:r w:rsidRPr="00B6232C">
        <w:rPr>
          <w:rFonts w:ascii="Verdana" w:hAnsi="Verdana"/>
          <w:sz w:val="20"/>
          <w:szCs w:val="20"/>
          <w:lang w:val="es-CR"/>
        </w:rPr>
        <w:t>, respectivamente, por los representantes de las víctimas (en adelante “los representantes”) y la República Federativa de Brasil (en adelante el “Estado” o “Brasil”).</w:t>
      </w:r>
      <w:r w:rsidRPr="00B6232C">
        <w:rPr>
          <w:rFonts w:ascii="Verdana" w:hAnsi="Verdana"/>
          <w:sz w:val="20"/>
          <w:szCs w:val="20"/>
          <w:lang w:val="es-CR"/>
        </w:rPr>
        <w:br w:type="page"/>
      </w:r>
    </w:p>
    <w:p w:rsidR="007B680C" w:rsidRPr="00B6232C" w:rsidRDefault="007B680C" w:rsidP="00AE0DC6">
      <w:pPr>
        <w:pStyle w:val="Ttulo1"/>
      </w:pPr>
      <w:r w:rsidRPr="00B6232C">
        <w:lastRenderedPageBreak/>
        <w:t>I</w:t>
      </w:r>
    </w:p>
    <w:p w:rsidR="007B680C" w:rsidRPr="00B6232C" w:rsidRDefault="007B680C" w:rsidP="00AE0DC6">
      <w:pPr>
        <w:pStyle w:val="Ttulo1"/>
        <w:rPr>
          <w:rFonts w:eastAsia="Times"/>
        </w:rPr>
      </w:pPr>
      <w:r w:rsidRPr="00B6232C">
        <w:t xml:space="preserve">SOLICITUD DE INTERPRETACIÓN Y PROCEDIMIENTO ANTE LA CORTE </w:t>
      </w:r>
    </w:p>
    <w:p w:rsidR="007B680C" w:rsidRPr="00B6232C" w:rsidRDefault="007B680C" w:rsidP="00AE0DC6">
      <w:pPr>
        <w:spacing w:after="0" w:line="240" w:lineRule="auto"/>
        <w:jc w:val="both"/>
        <w:rPr>
          <w:rFonts w:ascii="Verdana" w:eastAsia="Times" w:hAnsi="Verdana"/>
          <w:sz w:val="20"/>
          <w:szCs w:val="20"/>
          <w:lang w:val="es-CR"/>
        </w:rPr>
      </w:pPr>
    </w:p>
    <w:p w:rsidR="008B00D8" w:rsidRPr="00B6232C" w:rsidRDefault="007B680C" w:rsidP="00AE0DC6">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CR"/>
        </w:rPr>
      </w:pPr>
      <w:r w:rsidRPr="00B6232C">
        <w:rPr>
          <w:rFonts w:ascii="Verdana" w:hAnsi="Verdana" w:cs="Verdana"/>
          <w:sz w:val="20"/>
          <w:szCs w:val="20"/>
          <w:lang w:val="es-CR"/>
        </w:rPr>
        <w:t>E</w:t>
      </w:r>
      <w:r w:rsidR="00EA7A25" w:rsidRPr="00B6232C">
        <w:rPr>
          <w:rFonts w:ascii="Verdana" w:hAnsi="Verdana" w:cs="Verdana"/>
          <w:sz w:val="20"/>
          <w:szCs w:val="20"/>
          <w:lang w:val="es-CR"/>
        </w:rPr>
        <w:t>l 15</w:t>
      </w:r>
      <w:r w:rsidRPr="00B6232C">
        <w:rPr>
          <w:rFonts w:ascii="Verdana" w:hAnsi="Verdana" w:cs="Verdana"/>
          <w:sz w:val="20"/>
          <w:szCs w:val="20"/>
          <w:lang w:val="es-CR"/>
        </w:rPr>
        <w:t xml:space="preserve"> de </w:t>
      </w:r>
      <w:r w:rsidR="00EA7A25" w:rsidRPr="00B6232C">
        <w:rPr>
          <w:rFonts w:ascii="Verdana" w:hAnsi="Verdana" w:cs="Verdana"/>
          <w:sz w:val="20"/>
          <w:szCs w:val="20"/>
          <w:lang w:val="es-CR"/>
        </w:rPr>
        <w:t>julio</w:t>
      </w:r>
      <w:r w:rsidRPr="00B6232C">
        <w:rPr>
          <w:rFonts w:ascii="Verdana" w:hAnsi="Verdana" w:cs="Verdana"/>
          <w:sz w:val="20"/>
          <w:szCs w:val="20"/>
          <w:lang w:val="es-CR"/>
        </w:rPr>
        <w:t xml:space="preserve"> de 20</w:t>
      </w:r>
      <w:r w:rsidR="00EA7A25" w:rsidRPr="00B6232C">
        <w:rPr>
          <w:rFonts w:ascii="Verdana" w:hAnsi="Verdana" w:cs="Verdana"/>
          <w:sz w:val="20"/>
          <w:szCs w:val="20"/>
          <w:lang w:val="es-CR"/>
        </w:rPr>
        <w:t>20</w:t>
      </w:r>
      <w:r w:rsidRPr="00B6232C">
        <w:rPr>
          <w:rFonts w:ascii="Verdana" w:hAnsi="Verdana" w:cs="Verdana"/>
          <w:sz w:val="20"/>
          <w:szCs w:val="20"/>
          <w:lang w:val="es-CR"/>
        </w:rPr>
        <w:t xml:space="preserve"> la Corte emitió la Sentencia </w:t>
      </w:r>
      <w:r w:rsidRPr="00B6232C">
        <w:rPr>
          <w:rFonts w:ascii="Verdana" w:hAnsi="Verdana"/>
          <w:sz w:val="20"/>
          <w:szCs w:val="20"/>
          <w:lang w:val="es-CR"/>
        </w:rPr>
        <w:t xml:space="preserve">de </w:t>
      </w:r>
      <w:r w:rsidR="000079C5" w:rsidRPr="00B6232C">
        <w:rPr>
          <w:rFonts w:ascii="Verdana" w:hAnsi="Verdana"/>
          <w:sz w:val="20"/>
          <w:szCs w:val="20"/>
          <w:lang w:val="es-CR"/>
        </w:rPr>
        <w:t>Excepciones Preliminares</w:t>
      </w:r>
      <w:r w:rsidRPr="00B6232C">
        <w:rPr>
          <w:rFonts w:ascii="Verdana" w:hAnsi="Verdana"/>
          <w:sz w:val="20"/>
          <w:szCs w:val="20"/>
          <w:lang w:val="es-CR"/>
        </w:rPr>
        <w:t xml:space="preserve">, </w:t>
      </w:r>
      <w:r w:rsidR="000079C5" w:rsidRPr="00B6232C">
        <w:rPr>
          <w:rFonts w:ascii="Verdana" w:hAnsi="Verdana"/>
          <w:sz w:val="20"/>
          <w:szCs w:val="20"/>
          <w:lang w:val="es-CR"/>
        </w:rPr>
        <w:t>Fondo</w:t>
      </w:r>
      <w:r w:rsidRPr="00B6232C">
        <w:rPr>
          <w:rFonts w:ascii="Verdana" w:hAnsi="Verdana"/>
          <w:sz w:val="20"/>
          <w:szCs w:val="20"/>
          <w:lang w:val="es-CR"/>
        </w:rPr>
        <w:t xml:space="preserve">, </w:t>
      </w:r>
      <w:r w:rsidR="000079C5" w:rsidRPr="00B6232C">
        <w:rPr>
          <w:rFonts w:ascii="Verdana" w:hAnsi="Verdana"/>
          <w:sz w:val="20"/>
          <w:szCs w:val="20"/>
          <w:lang w:val="es-CR"/>
        </w:rPr>
        <w:t xml:space="preserve">Reparaciones </w:t>
      </w:r>
      <w:r w:rsidRPr="00B6232C">
        <w:rPr>
          <w:rFonts w:ascii="Verdana" w:hAnsi="Verdana"/>
          <w:sz w:val="20"/>
          <w:szCs w:val="20"/>
          <w:lang w:val="es-CR"/>
        </w:rPr>
        <w:t xml:space="preserve">y </w:t>
      </w:r>
      <w:r w:rsidR="000079C5" w:rsidRPr="00B6232C">
        <w:rPr>
          <w:rFonts w:ascii="Verdana" w:hAnsi="Verdana"/>
          <w:sz w:val="20"/>
          <w:szCs w:val="20"/>
          <w:lang w:val="es-CR"/>
        </w:rPr>
        <w:t>Costas</w:t>
      </w:r>
      <w:r w:rsidRPr="00B6232C">
        <w:rPr>
          <w:rFonts w:ascii="Verdana" w:hAnsi="Verdana" w:cs="Verdana"/>
          <w:sz w:val="20"/>
          <w:szCs w:val="20"/>
          <w:shd w:val="clear" w:color="auto" w:fill="FFFFFF" w:themeFill="background1"/>
          <w:lang w:val="es-CR"/>
        </w:rPr>
        <w:t xml:space="preserve">, de </w:t>
      </w:r>
      <w:r w:rsidRPr="00B6232C">
        <w:rPr>
          <w:rFonts w:ascii="Verdana" w:hAnsi="Verdana" w:cs="Verdana"/>
          <w:sz w:val="20"/>
          <w:szCs w:val="20"/>
          <w:lang w:val="es-CR"/>
        </w:rPr>
        <w:t xml:space="preserve">la cual fueron notificadas las partes y la Comisión Interamericana de Derechos Humanos (en adelante “Comisión Interamericana” o “Comisión”) el </w:t>
      </w:r>
      <w:r w:rsidR="00EA7A25" w:rsidRPr="00B6232C">
        <w:rPr>
          <w:rFonts w:ascii="Verdana" w:hAnsi="Verdana" w:cs="Verdana"/>
          <w:sz w:val="20"/>
          <w:szCs w:val="20"/>
          <w:lang w:val="es-CR"/>
        </w:rPr>
        <w:t>26</w:t>
      </w:r>
      <w:r w:rsidRPr="00B6232C">
        <w:rPr>
          <w:rFonts w:ascii="Verdana" w:hAnsi="Verdana" w:cs="Verdana"/>
          <w:sz w:val="20"/>
          <w:szCs w:val="20"/>
          <w:lang w:val="es-CR"/>
        </w:rPr>
        <w:t xml:space="preserve"> de </w:t>
      </w:r>
      <w:r w:rsidR="00EA7A25" w:rsidRPr="00B6232C">
        <w:rPr>
          <w:rFonts w:ascii="Verdana" w:hAnsi="Verdana" w:cs="Verdana"/>
          <w:sz w:val="20"/>
          <w:szCs w:val="20"/>
          <w:lang w:val="es-CR"/>
        </w:rPr>
        <w:t>octubre</w:t>
      </w:r>
      <w:r w:rsidRPr="00B6232C">
        <w:rPr>
          <w:rFonts w:ascii="Verdana" w:hAnsi="Verdana" w:cs="Verdana"/>
          <w:sz w:val="20"/>
          <w:szCs w:val="20"/>
          <w:lang w:val="es-CR"/>
        </w:rPr>
        <w:t xml:space="preserve"> de 20</w:t>
      </w:r>
      <w:r w:rsidR="00EA7A25" w:rsidRPr="00B6232C">
        <w:rPr>
          <w:rFonts w:ascii="Verdana" w:hAnsi="Verdana" w:cs="Verdana"/>
          <w:sz w:val="20"/>
          <w:szCs w:val="20"/>
          <w:lang w:val="es-CR"/>
        </w:rPr>
        <w:t>20</w:t>
      </w:r>
      <w:r w:rsidRPr="00B6232C">
        <w:rPr>
          <w:rFonts w:ascii="Verdana" w:hAnsi="Verdana" w:cs="Verdana"/>
          <w:sz w:val="20"/>
          <w:szCs w:val="20"/>
          <w:lang w:val="es-CR"/>
        </w:rPr>
        <w:t xml:space="preserve">. </w:t>
      </w:r>
    </w:p>
    <w:p w:rsidR="008B00D8" w:rsidRPr="00B6232C" w:rsidRDefault="008B00D8" w:rsidP="00AE0DC6">
      <w:pPr>
        <w:autoSpaceDE w:val="0"/>
        <w:autoSpaceDN w:val="0"/>
        <w:adjustRightInd w:val="0"/>
        <w:spacing w:after="0" w:line="240" w:lineRule="auto"/>
        <w:jc w:val="both"/>
        <w:rPr>
          <w:rFonts w:ascii="Verdana" w:hAnsi="Verdana" w:cs="Verdana"/>
          <w:sz w:val="20"/>
          <w:szCs w:val="20"/>
          <w:lang w:val="es-CR"/>
        </w:rPr>
      </w:pPr>
    </w:p>
    <w:p w:rsidR="00E2703A" w:rsidRPr="00B6232C" w:rsidRDefault="00956A94" w:rsidP="00AE0DC6">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CR"/>
        </w:rPr>
      </w:pPr>
      <w:r w:rsidRPr="00B6232C">
        <w:rPr>
          <w:rFonts w:ascii="Verdana" w:hAnsi="Verdana" w:cs="Verdana"/>
          <w:sz w:val="20"/>
          <w:szCs w:val="20"/>
          <w:lang w:val="es-CR"/>
        </w:rPr>
        <w:t>El 21</w:t>
      </w:r>
      <w:r w:rsidR="007B680C" w:rsidRPr="00B6232C">
        <w:rPr>
          <w:rFonts w:ascii="Verdana" w:hAnsi="Verdana" w:cs="Verdana"/>
          <w:sz w:val="20"/>
          <w:szCs w:val="20"/>
          <w:lang w:val="es-CR"/>
        </w:rPr>
        <w:t xml:space="preserve"> de </w:t>
      </w:r>
      <w:r w:rsidRPr="00B6232C">
        <w:rPr>
          <w:rFonts w:ascii="Verdana" w:hAnsi="Verdana" w:cs="Verdana"/>
          <w:sz w:val="20"/>
          <w:szCs w:val="20"/>
          <w:lang w:val="es-CR"/>
        </w:rPr>
        <w:t>enero</w:t>
      </w:r>
      <w:r w:rsidR="007B680C" w:rsidRPr="00B6232C">
        <w:rPr>
          <w:rFonts w:ascii="Verdana" w:hAnsi="Verdana" w:cs="Verdana"/>
          <w:sz w:val="20"/>
          <w:szCs w:val="20"/>
          <w:lang w:val="es-CR"/>
        </w:rPr>
        <w:t xml:space="preserve"> de 20</w:t>
      </w:r>
      <w:r w:rsidRPr="00B6232C">
        <w:rPr>
          <w:rFonts w:ascii="Verdana" w:hAnsi="Verdana" w:cs="Verdana"/>
          <w:sz w:val="20"/>
          <w:szCs w:val="20"/>
          <w:lang w:val="es-CR"/>
        </w:rPr>
        <w:t>21</w:t>
      </w:r>
      <w:r w:rsidR="007B680C" w:rsidRPr="00B6232C">
        <w:rPr>
          <w:rFonts w:ascii="Verdana" w:hAnsi="Verdana" w:cs="Verdana"/>
          <w:sz w:val="20"/>
          <w:szCs w:val="20"/>
          <w:lang w:val="es-CR"/>
        </w:rPr>
        <w:t xml:space="preserve"> los representantes presentaron una solicitud de interpretación de sentencia de conformidad con los artículos 67 de la Convención y 68 del Reglamento, </w:t>
      </w:r>
      <w:r w:rsidR="003F54C6" w:rsidRPr="00B6232C">
        <w:rPr>
          <w:rFonts w:ascii="Verdana" w:hAnsi="Verdana" w:cs="Verdana"/>
          <w:sz w:val="20"/>
          <w:szCs w:val="20"/>
          <w:lang w:val="es-CR"/>
        </w:rPr>
        <w:t xml:space="preserve">en relación con </w:t>
      </w:r>
      <w:r w:rsidR="00E9090D" w:rsidRPr="00B6232C">
        <w:rPr>
          <w:rFonts w:ascii="Verdana" w:hAnsi="Verdana" w:cs="Verdana"/>
          <w:sz w:val="20"/>
          <w:szCs w:val="20"/>
          <w:lang w:val="es-CR"/>
        </w:rPr>
        <w:t xml:space="preserve">la ausencia de algunos nombres de </w:t>
      </w:r>
      <w:r w:rsidR="00FC5196" w:rsidRPr="00B6232C">
        <w:rPr>
          <w:rFonts w:ascii="Verdana" w:hAnsi="Verdana" w:cs="Verdana"/>
          <w:sz w:val="20"/>
          <w:szCs w:val="20"/>
          <w:lang w:val="es-CR"/>
        </w:rPr>
        <w:t>víctimas menores de edad</w:t>
      </w:r>
      <w:r w:rsidR="00E9090D" w:rsidRPr="00B6232C">
        <w:rPr>
          <w:rFonts w:ascii="Verdana" w:hAnsi="Verdana" w:cs="Verdana"/>
          <w:sz w:val="20"/>
          <w:szCs w:val="20"/>
          <w:lang w:val="es-CR"/>
        </w:rPr>
        <w:t xml:space="preserve"> en el párrafo 303</w:t>
      </w:r>
      <w:r w:rsidR="009107ED" w:rsidRPr="00B6232C">
        <w:rPr>
          <w:rFonts w:ascii="Verdana" w:hAnsi="Verdana" w:cs="Verdana"/>
          <w:sz w:val="20"/>
          <w:szCs w:val="20"/>
          <w:lang w:val="es-CR"/>
        </w:rPr>
        <w:t xml:space="preserve">, </w:t>
      </w:r>
      <w:r w:rsidR="001A6ACD" w:rsidRPr="00B6232C">
        <w:rPr>
          <w:rFonts w:ascii="Verdana" w:hAnsi="Verdana" w:cs="Verdana"/>
          <w:sz w:val="20"/>
          <w:szCs w:val="20"/>
          <w:lang w:val="es-CR"/>
        </w:rPr>
        <w:t xml:space="preserve">inciso </w:t>
      </w:r>
      <w:r w:rsidR="009107ED" w:rsidRPr="00B6232C">
        <w:rPr>
          <w:rFonts w:ascii="Verdana" w:hAnsi="Verdana" w:cs="Verdana"/>
          <w:sz w:val="20"/>
          <w:szCs w:val="20"/>
          <w:lang w:val="es-CR"/>
        </w:rPr>
        <w:t>“a”,</w:t>
      </w:r>
      <w:r w:rsidR="00E9090D" w:rsidRPr="00B6232C">
        <w:rPr>
          <w:rFonts w:ascii="Verdana" w:hAnsi="Verdana" w:cs="Verdana"/>
          <w:sz w:val="20"/>
          <w:szCs w:val="20"/>
          <w:lang w:val="es-CR"/>
        </w:rPr>
        <w:t xml:space="preserve"> de la Sentencia, y sobre errores en la grafía de algunos nombres </w:t>
      </w:r>
      <w:r w:rsidR="001365DF" w:rsidRPr="00B6232C">
        <w:rPr>
          <w:rFonts w:ascii="Verdana" w:hAnsi="Verdana" w:cs="Verdana"/>
          <w:sz w:val="20"/>
          <w:szCs w:val="20"/>
          <w:lang w:val="es-CR"/>
        </w:rPr>
        <w:t>de algunas víctimas</w:t>
      </w:r>
      <w:r w:rsidR="00C63F03" w:rsidRPr="00B6232C">
        <w:rPr>
          <w:rFonts w:ascii="Verdana" w:hAnsi="Verdana" w:cs="Verdana"/>
          <w:sz w:val="20"/>
          <w:szCs w:val="20"/>
          <w:lang w:val="es-CR"/>
        </w:rPr>
        <w:t>.</w:t>
      </w:r>
      <w:r w:rsidR="002434E8" w:rsidRPr="00B6232C">
        <w:rPr>
          <w:rFonts w:ascii="Verdana" w:hAnsi="Verdana" w:cs="Verdana"/>
          <w:sz w:val="20"/>
          <w:szCs w:val="20"/>
          <w:lang w:val="es-CR"/>
        </w:rPr>
        <w:t xml:space="preserve"> Los aspectos a los cuales se refirieron los representantes corresponden a errores materiales que, en virtud del artículo 76 del Reglamento de la Corte, fueron corregidos por este Tribunal, según fue informado a la Comisión y a las partes el </w:t>
      </w:r>
      <w:r w:rsidR="00925880" w:rsidRPr="00B6232C">
        <w:rPr>
          <w:rFonts w:ascii="Verdana" w:hAnsi="Verdana" w:cs="Verdana"/>
          <w:sz w:val="20"/>
          <w:szCs w:val="20"/>
          <w:lang w:val="es-CR"/>
        </w:rPr>
        <w:t>19</w:t>
      </w:r>
      <w:r w:rsidR="002434E8" w:rsidRPr="00B6232C">
        <w:rPr>
          <w:rFonts w:ascii="Verdana" w:hAnsi="Verdana" w:cs="Verdana"/>
          <w:sz w:val="20"/>
          <w:szCs w:val="20"/>
          <w:lang w:val="es-CR"/>
        </w:rPr>
        <w:t xml:space="preserve"> de mayo de 2021. Por lo tanto, dicha solicitud no será objeto de la presente Sentencia.   </w:t>
      </w:r>
    </w:p>
    <w:p w:rsidR="00E2703A" w:rsidRPr="00B6232C" w:rsidRDefault="00E2703A">
      <w:pPr>
        <w:autoSpaceDE w:val="0"/>
        <w:autoSpaceDN w:val="0"/>
        <w:adjustRightInd w:val="0"/>
        <w:spacing w:after="0" w:line="240" w:lineRule="auto"/>
        <w:jc w:val="both"/>
        <w:rPr>
          <w:rFonts w:ascii="Verdana" w:hAnsi="Verdana" w:cs="Verdana"/>
          <w:sz w:val="20"/>
          <w:szCs w:val="20"/>
          <w:lang w:val="es-CR"/>
        </w:rPr>
      </w:pPr>
    </w:p>
    <w:p w:rsidR="007B680C" w:rsidRPr="00B6232C" w:rsidRDefault="007B680C" w:rsidP="00F54F1F">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CR"/>
        </w:rPr>
      </w:pPr>
      <w:r w:rsidRPr="00B6232C">
        <w:rPr>
          <w:rFonts w:ascii="Verdana" w:hAnsi="Verdana" w:cs="Verdana"/>
          <w:sz w:val="20"/>
          <w:szCs w:val="20"/>
          <w:lang w:val="es-CR"/>
        </w:rPr>
        <w:t xml:space="preserve">El </w:t>
      </w:r>
      <w:r w:rsidR="00956A94" w:rsidRPr="00B6232C">
        <w:rPr>
          <w:rFonts w:ascii="Verdana" w:hAnsi="Verdana" w:cs="Verdana"/>
          <w:sz w:val="20"/>
          <w:szCs w:val="20"/>
          <w:lang w:val="es-CR"/>
        </w:rPr>
        <w:t>2</w:t>
      </w:r>
      <w:r w:rsidR="00573B05" w:rsidRPr="00B6232C">
        <w:rPr>
          <w:rFonts w:ascii="Verdana" w:hAnsi="Verdana" w:cs="Verdana"/>
          <w:sz w:val="20"/>
          <w:szCs w:val="20"/>
          <w:lang w:val="es-CR"/>
        </w:rPr>
        <w:t>2</w:t>
      </w:r>
      <w:r w:rsidR="00956A94" w:rsidRPr="00B6232C">
        <w:rPr>
          <w:rFonts w:ascii="Verdana" w:hAnsi="Verdana" w:cs="Verdana"/>
          <w:sz w:val="20"/>
          <w:szCs w:val="20"/>
          <w:lang w:val="es-CR"/>
        </w:rPr>
        <w:t xml:space="preserve"> de enero de 202</w:t>
      </w:r>
      <w:r w:rsidR="003F54C6" w:rsidRPr="00B6232C">
        <w:rPr>
          <w:rFonts w:ascii="Verdana" w:hAnsi="Verdana" w:cs="Verdana"/>
          <w:sz w:val="20"/>
          <w:szCs w:val="20"/>
          <w:lang w:val="es-CR"/>
        </w:rPr>
        <w:t>1</w:t>
      </w:r>
      <w:r w:rsidR="00956A94" w:rsidRPr="00B6232C">
        <w:rPr>
          <w:rFonts w:ascii="Verdana" w:hAnsi="Verdana" w:cs="Verdana"/>
          <w:sz w:val="20"/>
          <w:szCs w:val="20"/>
          <w:lang w:val="es-CR"/>
        </w:rPr>
        <w:t xml:space="preserve"> </w:t>
      </w:r>
      <w:r w:rsidRPr="00B6232C">
        <w:rPr>
          <w:rFonts w:ascii="Verdana" w:hAnsi="Verdana" w:cs="Verdana"/>
          <w:sz w:val="20"/>
          <w:szCs w:val="20"/>
          <w:lang w:val="es-CR"/>
        </w:rPr>
        <w:t>Brasil presentó una solicitud de interpretación de sentencia, de conformidad con los artículos 67 de la Convención y 68 del Reglamento, sobre: a)</w:t>
      </w:r>
      <w:r w:rsidR="009107ED" w:rsidRPr="00B6232C">
        <w:rPr>
          <w:rFonts w:ascii="Verdana" w:hAnsi="Verdana" w:cs="Verdana"/>
          <w:sz w:val="20"/>
          <w:szCs w:val="20"/>
          <w:lang w:val="es-CR"/>
        </w:rPr>
        <w:t xml:space="preserve"> </w:t>
      </w:r>
      <w:r w:rsidRPr="00B6232C">
        <w:rPr>
          <w:rFonts w:ascii="Verdana" w:hAnsi="Verdana"/>
          <w:sz w:val="20"/>
          <w:szCs w:val="20"/>
          <w:lang w:val="es-CR" w:bidi="en-US"/>
        </w:rPr>
        <w:t xml:space="preserve">la competencia en razón de la materia para declarar supuestas violaciones </w:t>
      </w:r>
      <w:r w:rsidR="00956A94" w:rsidRPr="00B6232C">
        <w:rPr>
          <w:rFonts w:ascii="Verdana" w:hAnsi="Verdana"/>
          <w:sz w:val="20"/>
          <w:szCs w:val="20"/>
          <w:lang w:val="es-CR" w:bidi="en-US"/>
        </w:rPr>
        <w:t xml:space="preserve">al </w:t>
      </w:r>
      <w:r w:rsidR="00966D9B" w:rsidRPr="00B6232C">
        <w:rPr>
          <w:rFonts w:ascii="Verdana" w:hAnsi="Verdana"/>
          <w:sz w:val="20"/>
          <w:szCs w:val="20"/>
          <w:lang w:val="es-CR" w:bidi="en-US"/>
        </w:rPr>
        <w:t xml:space="preserve">derecho al trabajo, contenido en el </w:t>
      </w:r>
      <w:r w:rsidR="00956A94" w:rsidRPr="00B6232C">
        <w:rPr>
          <w:rFonts w:ascii="Verdana" w:hAnsi="Verdana"/>
          <w:sz w:val="20"/>
          <w:szCs w:val="20"/>
          <w:lang w:val="es-CR" w:bidi="en-US"/>
        </w:rPr>
        <w:t>artículo 26 de</w:t>
      </w:r>
      <w:r w:rsidRPr="00B6232C">
        <w:rPr>
          <w:rFonts w:ascii="Verdana" w:hAnsi="Verdana"/>
          <w:sz w:val="20"/>
          <w:szCs w:val="20"/>
          <w:lang w:val="es-CR" w:bidi="en-US"/>
        </w:rPr>
        <w:t xml:space="preserve"> la Convención </w:t>
      </w:r>
      <w:r w:rsidR="00956A94" w:rsidRPr="00B6232C">
        <w:rPr>
          <w:rFonts w:ascii="Verdana" w:hAnsi="Verdana"/>
          <w:iCs/>
          <w:sz w:val="20"/>
          <w:szCs w:val="20"/>
          <w:lang w:val="es-CR" w:bidi="en-US"/>
        </w:rPr>
        <w:t>A</w:t>
      </w:r>
      <w:r w:rsidRPr="00B6232C">
        <w:rPr>
          <w:rFonts w:ascii="Verdana" w:hAnsi="Verdana"/>
          <w:iCs/>
          <w:sz w:val="20"/>
          <w:szCs w:val="20"/>
          <w:lang w:val="es-CR" w:bidi="en-US"/>
        </w:rPr>
        <w:t xml:space="preserve">mericana </w:t>
      </w:r>
      <w:r w:rsidR="00956A94" w:rsidRPr="00B6232C">
        <w:rPr>
          <w:rFonts w:ascii="Verdana" w:hAnsi="Verdana"/>
          <w:iCs/>
          <w:sz w:val="20"/>
          <w:szCs w:val="20"/>
          <w:lang w:val="es-CR" w:bidi="en-US"/>
        </w:rPr>
        <w:t xml:space="preserve">sobre Derechos Humanos </w:t>
      </w:r>
      <w:r w:rsidRPr="00B6232C">
        <w:rPr>
          <w:rFonts w:ascii="Verdana" w:hAnsi="Verdana"/>
          <w:iCs/>
          <w:sz w:val="20"/>
          <w:szCs w:val="20"/>
          <w:lang w:val="es-CR" w:bidi="en-US"/>
        </w:rPr>
        <w:t xml:space="preserve">(párrafos </w:t>
      </w:r>
      <w:r w:rsidR="00966D9B" w:rsidRPr="00B6232C">
        <w:rPr>
          <w:rFonts w:ascii="Verdana" w:hAnsi="Verdana"/>
          <w:iCs/>
          <w:sz w:val="20"/>
          <w:szCs w:val="20"/>
          <w:lang w:val="es-CR" w:bidi="en-US"/>
        </w:rPr>
        <w:t>21 a</w:t>
      </w:r>
      <w:r w:rsidRPr="00B6232C">
        <w:rPr>
          <w:rFonts w:ascii="Verdana" w:hAnsi="Verdana"/>
          <w:iCs/>
          <w:sz w:val="20"/>
          <w:szCs w:val="20"/>
          <w:lang w:val="es-CR" w:bidi="en-US"/>
        </w:rPr>
        <w:t xml:space="preserve"> </w:t>
      </w:r>
      <w:r w:rsidR="00966D9B" w:rsidRPr="00B6232C">
        <w:rPr>
          <w:rFonts w:ascii="Verdana" w:hAnsi="Verdana"/>
          <w:iCs/>
          <w:sz w:val="20"/>
          <w:szCs w:val="20"/>
          <w:lang w:val="es-CR" w:bidi="en-US"/>
        </w:rPr>
        <w:t>23</w:t>
      </w:r>
      <w:r w:rsidRPr="00B6232C">
        <w:rPr>
          <w:rFonts w:ascii="Verdana" w:hAnsi="Verdana"/>
          <w:iCs/>
          <w:sz w:val="20"/>
          <w:szCs w:val="20"/>
          <w:lang w:val="es-CR" w:bidi="en-US"/>
        </w:rPr>
        <w:t xml:space="preserve"> de la Sentencia)</w:t>
      </w:r>
      <w:r w:rsidRPr="00B6232C">
        <w:rPr>
          <w:rFonts w:ascii="Verdana" w:hAnsi="Verdana" w:cs="Verdana"/>
          <w:sz w:val="20"/>
          <w:szCs w:val="20"/>
          <w:lang w:val="es-CR"/>
        </w:rPr>
        <w:t xml:space="preserve">; </w:t>
      </w:r>
      <w:r w:rsidR="00966D9B" w:rsidRPr="00B6232C">
        <w:rPr>
          <w:rFonts w:ascii="Verdana" w:hAnsi="Verdana" w:cs="Verdana"/>
          <w:sz w:val="20"/>
          <w:szCs w:val="20"/>
          <w:lang w:val="es-CR"/>
        </w:rPr>
        <w:t>b</w:t>
      </w:r>
      <w:r w:rsidRPr="00B6232C">
        <w:rPr>
          <w:rFonts w:ascii="Verdana" w:hAnsi="Verdana" w:cs="Verdana"/>
          <w:sz w:val="20"/>
          <w:szCs w:val="20"/>
          <w:lang w:val="es-CR"/>
        </w:rPr>
        <w:t>)</w:t>
      </w:r>
      <w:r w:rsidR="005D351D" w:rsidRPr="00B6232C">
        <w:rPr>
          <w:rFonts w:ascii="Verdana" w:hAnsi="Verdana" w:cs="Verdana"/>
          <w:sz w:val="20"/>
          <w:szCs w:val="20"/>
          <w:lang w:val="es-CR"/>
        </w:rPr>
        <w:t xml:space="preserve"> </w:t>
      </w:r>
      <w:r w:rsidR="009B0176" w:rsidRPr="00B6232C">
        <w:rPr>
          <w:rFonts w:ascii="Verdana" w:hAnsi="Verdana" w:cs="Verdana"/>
          <w:sz w:val="20"/>
          <w:szCs w:val="20"/>
          <w:lang w:val="es-CR"/>
        </w:rPr>
        <w:t>la consideración, para el pago</w:t>
      </w:r>
      <w:r w:rsidR="008C1A30" w:rsidRPr="00B6232C">
        <w:rPr>
          <w:rFonts w:ascii="Verdana" w:hAnsi="Verdana" w:cs="Verdana"/>
          <w:sz w:val="20"/>
          <w:szCs w:val="20"/>
          <w:lang w:val="es-CR"/>
        </w:rPr>
        <w:t xml:space="preserve"> de las</w:t>
      </w:r>
      <w:r w:rsidR="009B0176" w:rsidRPr="00B6232C">
        <w:rPr>
          <w:rFonts w:ascii="Verdana" w:hAnsi="Verdana" w:cs="Verdana"/>
          <w:sz w:val="20"/>
          <w:szCs w:val="20"/>
          <w:lang w:val="es-CR"/>
        </w:rPr>
        <w:t xml:space="preserve"> </w:t>
      </w:r>
      <w:r w:rsidR="008C1A30" w:rsidRPr="00B6232C">
        <w:rPr>
          <w:rFonts w:ascii="Verdana" w:hAnsi="Verdana" w:cs="Verdana"/>
          <w:sz w:val="20"/>
          <w:szCs w:val="20"/>
          <w:lang w:val="es-CR"/>
        </w:rPr>
        <w:t>indemnizaciones por daños materiales e inmateriales (párrafos 298 y 305 de la Sentencia)</w:t>
      </w:r>
      <w:r w:rsidR="00FA5A7A" w:rsidRPr="00B6232C">
        <w:rPr>
          <w:rFonts w:ascii="Verdana" w:hAnsi="Verdana" w:cs="Verdana"/>
          <w:sz w:val="20"/>
          <w:szCs w:val="20"/>
          <w:lang w:val="es-CR"/>
        </w:rPr>
        <w:t>,</w:t>
      </w:r>
      <w:r w:rsidR="009B0176" w:rsidRPr="00B6232C">
        <w:rPr>
          <w:rFonts w:ascii="Verdana" w:hAnsi="Verdana" w:cs="Verdana"/>
          <w:sz w:val="20"/>
          <w:szCs w:val="20"/>
          <w:lang w:val="es-CR"/>
        </w:rPr>
        <w:t xml:space="preserve"> de los montos indemnizatorios relacionados con procesos internos que </w:t>
      </w:r>
      <w:r w:rsidR="00573B05" w:rsidRPr="00B6232C">
        <w:rPr>
          <w:rFonts w:ascii="Verdana" w:hAnsi="Verdana" w:cs="Verdana"/>
          <w:sz w:val="20"/>
          <w:szCs w:val="20"/>
          <w:lang w:val="es-CR"/>
        </w:rPr>
        <w:t xml:space="preserve">reconocen </w:t>
      </w:r>
      <w:r w:rsidR="009B0176" w:rsidRPr="00B6232C">
        <w:rPr>
          <w:rFonts w:ascii="Verdana" w:hAnsi="Verdana" w:cs="Verdana"/>
          <w:sz w:val="20"/>
          <w:szCs w:val="20"/>
          <w:lang w:val="es-CR"/>
        </w:rPr>
        <w:t>la responsabilidad civil del Estado por los mismos hechos objeto del presente caso</w:t>
      </w:r>
      <w:r w:rsidR="002D3AF3" w:rsidRPr="00B6232C">
        <w:rPr>
          <w:rFonts w:ascii="Verdana" w:hAnsi="Verdana" w:cs="Verdana"/>
          <w:sz w:val="20"/>
          <w:szCs w:val="20"/>
          <w:lang w:val="es-CR"/>
        </w:rPr>
        <w:t xml:space="preserve">, y </w:t>
      </w:r>
      <w:r w:rsidR="00FA5A7A" w:rsidRPr="00B6232C">
        <w:rPr>
          <w:rFonts w:ascii="Verdana" w:hAnsi="Verdana" w:cs="Verdana"/>
          <w:sz w:val="20"/>
          <w:szCs w:val="20"/>
          <w:lang w:val="es-CR"/>
        </w:rPr>
        <w:t>c)</w:t>
      </w:r>
      <w:r w:rsidRPr="00B6232C">
        <w:rPr>
          <w:rFonts w:ascii="Verdana" w:hAnsi="Verdana" w:cs="Verdana"/>
          <w:sz w:val="20"/>
          <w:szCs w:val="20"/>
          <w:lang w:val="es-CR"/>
        </w:rPr>
        <w:t xml:space="preserve"> la modalidad de cumplimiento de los pagos ordenados (párrafos </w:t>
      </w:r>
      <w:r w:rsidR="00323F43" w:rsidRPr="00B6232C">
        <w:rPr>
          <w:rFonts w:ascii="Verdana" w:hAnsi="Verdana" w:cs="Verdana"/>
          <w:sz w:val="20"/>
          <w:szCs w:val="20"/>
          <w:lang w:val="es-CR"/>
        </w:rPr>
        <w:t>313 a 317</w:t>
      </w:r>
      <w:r w:rsidR="001151EE" w:rsidRPr="00B6232C">
        <w:rPr>
          <w:rFonts w:ascii="Verdana" w:hAnsi="Verdana" w:cs="Verdana"/>
          <w:sz w:val="20"/>
          <w:szCs w:val="20"/>
          <w:lang w:val="es-CR"/>
        </w:rPr>
        <w:t xml:space="preserve"> </w:t>
      </w:r>
      <w:r w:rsidRPr="00B6232C">
        <w:rPr>
          <w:rFonts w:ascii="Verdana" w:hAnsi="Verdana" w:cs="Verdana"/>
          <w:sz w:val="20"/>
          <w:szCs w:val="20"/>
          <w:lang w:val="es-CR"/>
        </w:rPr>
        <w:t>de la Sentencia)</w:t>
      </w:r>
      <w:r w:rsidR="002D3AF3" w:rsidRPr="00B6232C">
        <w:rPr>
          <w:rFonts w:ascii="Verdana" w:hAnsi="Verdana" w:cs="Verdana"/>
          <w:sz w:val="20"/>
          <w:szCs w:val="20"/>
          <w:lang w:val="es-CR"/>
        </w:rPr>
        <w:t>.</w:t>
      </w:r>
    </w:p>
    <w:p w:rsidR="007B680C" w:rsidRPr="00B6232C" w:rsidRDefault="007B680C">
      <w:pPr>
        <w:autoSpaceDE w:val="0"/>
        <w:autoSpaceDN w:val="0"/>
        <w:adjustRightInd w:val="0"/>
        <w:spacing w:after="0" w:line="240" w:lineRule="auto"/>
        <w:jc w:val="both"/>
        <w:rPr>
          <w:rFonts w:ascii="Verdana" w:hAnsi="Verdana" w:cs="Verdana"/>
          <w:sz w:val="20"/>
          <w:szCs w:val="20"/>
          <w:lang w:val="es-CR"/>
        </w:rPr>
      </w:pPr>
    </w:p>
    <w:p w:rsidR="007B680C" w:rsidRPr="00B6232C" w:rsidRDefault="000B1DF5" w:rsidP="00F54F1F">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CR"/>
        </w:rPr>
      </w:pPr>
      <w:r w:rsidRPr="00B6232C">
        <w:rPr>
          <w:rFonts w:ascii="Verdana" w:hAnsi="Verdana" w:cs="Verdana"/>
          <w:sz w:val="20"/>
          <w:szCs w:val="20"/>
          <w:lang w:val="es-CR"/>
        </w:rPr>
        <w:t xml:space="preserve">El </w:t>
      </w:r>
      <w:r w:rsidR="007B57C6" w:rsidRPr="00B6232C">
        <w:rPr>
          <w:rFonts w:ascii="Verdana" w:hAnsi="Verdana" w:cs="Verdana"/>
          <w:sz w:val="20"/>
          <w:szCs w:val="20"/>
          <w:lang w:val="es-CR"/>
        </w:rPr>
        <w:t>16</w:t>
      </w:r>
      <w:r w:rsidR="007B680C" w:rsidRPr="00B6232C">
        <w:rPr>
          <w:rFonts w:ascii="Verdana" w:hAnsi="Verdana" w:cs="Verdana"/>
          <w:sz w:val="20"/>
          <w:szCs w:val="20"/>
          <w:lang w:val="es-CR"/>
        </w:rPr>
        <w:t xml:space="preserve"> de </w:t>
      </w:r>
      <w:r w:rsidRPr="00B6232C">
        <w:rPr>
          <w:rFonts w:ascii="Verdana" w:hAnsi="Verdana" w:cs="Verdana"/>
          <w:sz w:val="20"/>
          <w:szCs w:val="20"/>
          <w:lang w:val="es-CR"/>
        </w:rPr>
        <w:t>febrero</w:t>
      </w:r>
      <w:r w:rsidR="007B680C" w:rsidRPr="00B6232C">
        <w:rPr>
          <w:rFonts w:ascii="Verdana" w:hAnsi="Verdana" w:cs="Verdana"/>
          <w:sz w:val="20"/>
          <w:szCs w:val="20"/>
          <w:lang w:val="es-CR"/>
        </w:rPr>
        <w:t xml:space="preserve"> de 20</w:t>
      </w:r>
      <w:r w:rsidRPr="00B6232C">
        <w:rPr>
          <w:rFonts w:ascii="Verdana" w:hAnsi="Verdana" w:cs="Verdana"/>
          <w:sz w:val="20"/>
          <w:szCs w:val="20"/>
          <w:lang w:val="es-CR"/>
        </w:rPr>
        <w:t>21</w:t>
      </w:r>
      <w:r w:rsidR="007B680C" w:rsidRPr="00B6232C">
        <w:rPr>
          <w:rFonts w:ascii="Verdana" w:hAnsi="Verdana" w:cs="Verdana"/>
          <w:sz w:val="20"/>
          <w:szCs w:val="20"/>
          <w:lang w:val="es-CR"/>
        </w:rPr>
        <w:t xml:space="preserve">, </w:t>
      </w:r>
      <w:r w:rsidR="00E81906" w:rsidRPr="00B6232C">
        <w:rPr>
          <w:rFonts w:ascii="Verdana" w:hAnsi="Verdana" w:cs="Verdana"/>
          <w:sz w:val="20"/>
          <w:szCs w:val="20"/>
          <w:lang w:val="es-CR"/>
        </w:rPr>
        <w:t xml:space="preserve">siguiendo instrucciones de la Presidenta, </w:t>
      </w:r>
      <w:r w:rsidR="007B680C" w:rsidRPr="00B6232C">
        <w:rPr>
          <w:rFonts w:ascii="Verdana" w:hAnsi="Verdana" w:cs="Verdana"/>
          <w:sz w:val="20"/>
          <w:szCs w:val="20"/>
          <w:lang w:val="es-CR"/>
        </w:rPr>
        <w:t>la Secretaría de la Corte transmitió las solicitudes de interpretación a l</w:t>
      </w:r>
      <w:r w:rsidR="00E81906" w:rsidRPr="00B6232C">
        <w:rPr>
          <w:rFonts w:ascii="Verdana" w:hAnsi="Verdana" w:cs="Verdana"/>
          <w:sz w:val="20"/>
          <w:szCs w:val="20"/>
          <w:lang w:val="es-CR"/>
        </w:rPr>
        <w:t xml:space="preserve">as partes y a </w:t>
      </w:r>
      <w:r w:rsidR="007B680C" w:rsidRPr="00B6232C">
        <w:rPr>
          <w:rFonts w:ascii="Verdana" w:hAnsi="Verdana" w:cs="Verdana"/>
          <w:sz w:val="20"/>
          <w:szCs w:val="20"/>
          <w:lang w:val="es-CR"/>
        </w:rPr>
        <w:t xml:space="preserve">la Comisión Interamericana de Derechos Humanos y concedió un plazo hasta el </w:t>
      </w:r>
      <w:r w:rsidR="002D3AF3" w:rsidRPr="00B6232C">
        <w:rPr>
          <w:rFonts w:ascii="Verdana" w:hAnsi="Verdana" w:cs="Verdana"/>
          <w:sz w:val="20"/>
          <w:szCs w:val="20"/>
          <w:lang w:val="es-CR"/>
        </w:rPr>
        <w:t>15</w:t>
      </w:r>
      <w:r w:rsidR="007B680C" w:rsidRPr="00B6232C">
        <w:rPr>
          <w:rFonts w:ascii="Verdana" w:hAnsi="Verdana" w:cs="Verdana"/>
          <w:sz w:val="20"/>
          <w:szCs w:val="20"/>
          <w:lang w:val="es-CR"/>
        </w:rPr>
        <w:t xml:space="preserve"> de </w:t>
      </w:r>
      <w:r w:rsidRPr="00B6232C">
        <w:rPr>
          <w:rFonts w:ascii="Verdana" w:hAnsi="Verdana" w:cs="Verdana"/>
          <w:sz w:val="20"/>
          <w:szCs w:val="20"/>
          <w:lang w:val="es-CR"/>
        </w:rPr>
        <w:t>marzo</w:t>
      </w:r>
      <w:r w:rsidR="007B680C" w:rsidRPr="00B6232C">
        <w:rPr>
          <w:rFonts w:ascii="Verdana" w:hAnsi="Verdana" w:cs="Verdana"/>
          <w:sz w:val="20"/>
          <w:szCs w:val="20"/>
          <w:lang w:val="es-CR"/>
        </w:rPr>
        <w:t xml:space="preserve"> del mismo año para presentar las observaciones escritas que estimaran pertinentes</w:t>
      </w:r>
      <w:r w:rsidR="00B71308" w:rsidRPr="00B6232C">
        <w:rPr>
          <w:rFonts w:ascii="Verdana" w:hAnsi="Verdana" w:cs="Verdana"/>
          <w:sz w:val="20"/>
          <w:szCs w:val="20"/>
          <w:lang w:val="es-CR"/>
        </w:rPr>
        <w:t>.</w:t>
      </w:r>
    </w:p>
    <w:p w:rsidR="007B680C" w:rsidRPr="00B6232C" w:rsidRDefault="007B680C">
      <w:pPr>
        <w:autoSpaceDE w:val="0"/>
        <w:autoSpaceDN w:val="0"/>
        <w:adjustRightInd w:val="0"/>
        <w:spacing w:after="0" w:line="240" w:lineRule="auto"/>
        <w:jc w:val="both"/>
        <w:rPr>
          <w:rFonts w:ascii="Verdana" w:hAnsi="Verdana" w:cs="Verdana"/>
          <w:sz w:val="20"/>
          <w:szCs w:val="20"/>
          <w:lang w:val="es-CR"/>
        </w:rPr>
      </w:pPr>
    </w:p>
    <w:p w:rsidR="00122FF2" w:rsidRPr="00B6232C" w:rsidRDefault="007B680C" w:rsidP="00F54F1F">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CR"/>
        </w:rPr>
      </w:pPr>
      <w:r w:rsidRPr="00B6232C">
        <w:rPr>
          <w:rFonts w:ascii="Verdana" w:hAnsi="Verdana" w:cs="Verdana"/>
          <w:sz w:val="20"/>
          <w:szCs w:val="20"/>
          <w:lang w:val="es-CR"/>
        </w:rPr>
        <w:t xml:space="preserve">El </w:t>
      </w:r>
      <w:r w:rsidR="006D384B" w:rsidRPr="00B6232C">
        <w:rPr>
          <w:rFonts w:ascii="Verdana" w:hAnsi="Verdana" w:cs="Verdana"/>
          <w:sz w:val="20"/>
          <w:szCs w:val="20"/>
          <w:lang w:val="es-CR"/>
        </w:rPr>
        <w:t>15</w:t>
      </w:r>
      <w:r w:rsidRPr="00B6232C">
        <w:rPr>
          <w:rFonts w:ascii="Verdana" w:hAnsi="Verdana" w:cs="Verdana"/>
          <w:sz w:val="20"/>
          <w:szCs w:val="20"/>
          <w:lang w:val="es-CR"/>
        </w:rPr>
        <w:t xml:space="preserve"> de </w:t>
      </w:r>
      <w:r w:rsidR="000B1DF5" w:rsidRPr="00B6232C">
        <w:rPr>
          <w:rFonts w:ascii="Verdana" w:hAnsi="Verdana" w:cs="Verdana"/>
          <w:sz w:val="20"/>
          <w:szCs w:val="20"/>
          <w:lang w:val="es-CR"/>
        </w:rPr>
        <w:t>marzo de 2021</w:t>
      </w:r>
      <w:r w:rsidRPr="00B6232C">
        <w:rPr>
          <w:rFonts w:ascii="Verdana" w:hAnsi="Verdana" w:cs="Verdana"/>
          <w:sz w:val="20"/>
          <w:szCs w:val="20"/>
          <w:lang w:val="es-CR"/>
        </w:rPr>
        <w:t xml:space="preserve"> los representantes</w:t>
      </w:r>
      <w:r w:rsidR="006D384B" w:rsidRPr="00B6232C">
        <w:rPr>
          <w:rFonts w:ascii="Verdana" w:hAnsi="Verdana" w:cs="Verdana"/>
          <w:sz w:val="20"/>
          <w:szCs w:val="20"/>
          <w:lang w:val="es-CR"/>
        </w:rPr>
        <w:t xml:space="preserve"> </w:t>
      </w:r>
      <w:r w:rsidRPr="00B6232C">
        <w:rPr>
          <w:rFonts w:ascii="Verdana" w:hAnsi="Verdana" w:cs="Verdana"/>
          <w:sz w:val="20"/>
          <w:szCs w:val="20"/>
          <w:lang w:val="es-CR"/>
        </w:rPr>
        <w:t xml:space="preserve">y la </w:t>
      </w:r>
      <w:r w:rsidR="00DB05FC" w:rsidRPr="00B6232C">
        <w:rPr>
          <w:rFonts w:ascii="Verdana" w:hAnsi="Verdana" w:cs="Verdana"/>
          <w:sz w:val="20"/>
          <w:szCs w:val="20"/>
          <w:lang w:val="es-CR"/>
        </w:rPr>
        <w:t>Comisión remitieron</w:t>
      </w:r>
      <w:r w:rsidR="00B71811" w:rsidRPr="00B6232C">
        <w:rPr>
          <w:rFonts w:ascii="Verdana" w:hAnsi="Verdana" w:cs="Verdana"/>
          <w:sz w:val="20"/>
          <w:szCs w:val="20"/>
          <w:lang w:val="es-CR"/>
        </w:rPr>
        <w:t xml:space="preserve"> </w:t>
      </w:r>
      <w:r w:rsidRPr="00B6232C">
        <w:rPr>
          <w:rFonts w:ascii="Verdana" w:hAnsi="Verdana" w:cs="Verdana"/>
          <w:sz w:val="20"/>
          <w:szCs w:val="20"/>
          <w:lang w:val="es-CR"/>
        </w:rPr>
        <w:t>sus observaciones escritas.</w:t>
      </w:r>
      <w:r w:rsidR="006D384B" w:rsidRPr="00B6232C">
        <w:rPr>
          <w:rFonts w:ascii="Verdana" w:hAnsi="Verdana" w:cs="Verdana"/>
          <w:sz w:val="20"/>
          <w:szCs w:val="20"/>
          <w:lang w:val="es-CR"/>
        </w:rPr>
        <w:t xml:space="preserve"> El Estado no presentó observaciones.</w:t>
      </w:r>
    </w:p>
    <w:p w:rsidR="007B680C" w:rsidRPr="00B6232C" w:rsidRDefault="007B680C">
      <w:pPr>
        <w:autoSpaceDE w:val="0"/>
        <w:autoSpaceDN w:val="0"/>
        <w:adjustRightInd w:val="0"/>
        <w:spacing w:after="0" w:line="240" w:lineRule="auto"/>
        <w:jc w:val="both"/>
        <w:rPr>
          <w:rFonts w:ascii="Verdana" w:hAnsi="Verdana" w:cs="Verdana"/>
          <w:sz w:val="20"/>
          <w:szCs w:val="20"/>
          <w:lang w:val="es-CR"/>
        </w:rPr>
      </w:pPr>
    </w:p>
    <w:p w:rsidR="007B680C" w:rsidRPr="00B6232C" w:rsidRDefault="007B680C" w:rsidP="00AE0DC6">
      <w:pPr>
        <w:pStyle w:val="Ttulo1"/>
        <w:rPr>
          <w:rFonts w:eastAsia="Times"/>
        </w:rPr>
      </w:pPr>
      <w:r w:rsidRPr="00B6232C">
        <w:rPr>
          <w:rFonts w:eastAsia="Times"/>
        </w:rPr>
        <w:t>II</w:t>
      </w:r>
    </w:p>
    <w:p w:rsidR="007B680C" w:rsidRPr="00B6232C" w:rsidRDefault="007B680C" w:rsidP="00AE0DC6">
      <w:pPr>
        <w:pStyle w:val="Ttulo1"/>
        <w:rPr>
          <w:rFonts w:eastAsia="Times"/>
        </w:rPr>
      </w:pPr>
      <w:r w:rsidRPr="00B6232C">
        <w:rPr>
          <w:rFonts w:eastAsia="Times"/>
        </w:rPr>
        <w:t xml:space="preserve">COMPETENCIA </w:t>
      </w:r>
    </w:p>
    <w:p w:rsidR="007B680C" w:rsidRPr="00B6232C" w:rsidRDefault="007B680C" w:rsidP="00AE0DC6">
      <w:pPr>
        <w:spacing w:after="0" w:line="240" w:lineRule="auto"/>
        <w:jc w:val="center"/>
        <w:rPr>
          <w:rFonts w:ascii="Verdana" w:eastAsia="Times" w:hAnsi="Verdana"/>
          <w:b/>
          <w:bCs/>
          <w:sz w:val="20"/>
          <w:szCs w:val="20"/>
          <w:lang w:val="es-CR"/>
        </w:rPr>
      </w:pPr>
    </w:p>
    <w:p w:rsidR="007B680C" w:rsidRPr="00B6232C" w:rsidRDefault="007B680C" w:rsidP="00AE0DC6">
      <w:pPr>
        <w:pStyle w:val="Prrafodelista"/>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lang w:val="es-CR"/>
        </w:rPr>
      </w:pPr>
      <w:r w:rsidRPr="00B6232C">
        <w:rPr>
          <w:rFonts w:ascii="Verdana" w:hAnsi="Verdana" w:cs="Verdana"/>
          <w:sz w:val="20"/>
          <w:szCs w:val="20"/>
          <w:lang w:val="es-CR"/>
        </w:rPr>
        <w:t>El artículo 67 de la Convención establece que:</w:t>
      </w:r>
    </w:p>
    <w:p w:rsidR="007B680C" w:rsidRPr="00B6232C" w:rsidRDefault="007B680C" w:rsidP="00AE0DC6">
      <w:pPr>
        <w:autoSpaceDE w:val="0"/>
        <w:autoSpaceDN w:val="0"/>
        <w:adjustRightInd w:val="0"/>
        <w:spacing w:after="0" w:line="240" w:lineRule="auto"/>
        <w:jc w:val="both"/>
        <w:rPr>
          <w:rFonts w:ascii="Verdana" w:hAnsi="Verdana" w:cs="Verdana"/>
          <w:sz w:val="20"/>
          <w:szCs w:val="20"/>
          <w:lang w:val="es-CR"/>
        </w:rPr>
      </w:pPr>
    </w:p>
    <w:p w:rsidR="007B680C" w:rsidRPr="00B6232C" w:rsidRDefault="007B680C" w:rsidP="00AE0DC6">
      <w:pPr>
        <w:pStyle w:val="Textodebloque"/>
        <w:ind w:right="713"/>
        <w:rPr>
          <w:sz w:val="16"/>
          <w:szCs w:val="20"/>
          <w:lang w:val="es-CR"/>
        </w:rPr>
      </w:pPr>
      <w:r w:rsidRPr="00B6232C">
        <w:rPr>
          <w:sz w:val="16"/>
          <w:szCs w:val="20"/>
          <w:lang w:val="es-CR"/>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rsidR="007B680C" w:rsidRPr="00B6232C" w:rsidRDefault="007B680C" w:rsidP="00AE0DC6">
      <w:pPr>
        <w:autoSpaceDE w:val="0"/>
        <w:autoSpaceDN w:val="0"/>
        <w:adjustRightInd w:val="0"/>
        <w:spacing w:after="0" w:line="240" w:lineRule="auto"/>
        <w:jc w:val="both"/>
        <w:rPr>
          <w:rFonts w:ascii="Verdana" w:hAnsi="Verdana" w:cs="Verdana"/>
          <w:sz w:val="20"/>
          <w:szCs w:val="20"/>
          <w:lang w:val="es-CR"/>
        </w:rPr>
      </w:pPr>
    </w:p>
    <w:p w:rsidR="007B680C" w:rsidRPr="00B6232C" w:rsidRDefault="007B680C" w:rsidP="00AE0DC6">
      <w:pPr>
        <w:pStyle w:val="Prrafodelista"/>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lang w:val="es-CR"/>
        </w:rPr>
      </w:pPr>
      <w:r w:rsidRPr="00B6232C">
        <w:rPr>
          <w:rFonts w:ascii="Verdana" w:hAnsi="Verdana" w:cs="Verdana"/>
          <w:sz w:val="20"/>
          <w:szCs w:val="20"/>
          <w:lang w:val="es-CR"/>
        </w:rPr>
        <w:t xml:space="preserve">De conformidad con el artículo citado, la Corte es competente para interpretar sus fallos. Para realizar el examen de las solicitudes de interpretación y resolver lo que corresponda, el Tribunal debe tener, si es posible, la misma composición que tenía al dictar la Sentencia respectiva, de acuerdo con el artículo 68.3 del Reglamento. En esta ocasión, la Corte está integrada por los mismos </w:t>
      </w:r>
      <w:r w:rsidR="00E81906" w:rsidRPr="00B6232C">
        <w:rPr>
          <w:rFonts w:ascii="Verdana" w:hAnsi="Verdana" w:cs="Verdana"/>
          <w:sz w:val="20"/>
          <w:szCs w:val="20"/>
          <w:lang w:val="es-CR"/>
        </w:rPr>
        <w:t>J</w:t>
      </w:r>
      <w:r w:rsidRPr="00B6232C">
        <w:rPr>
          <w:rFonts w:ascii="Verdana" w:hAnsi="Verdana" w:cs="Verdana"/>
          <w:sz w:val="20"/>
          <w:szCs w:val="20"/>
          <w:lang w:val="es-CR"/>
        </w:rPr>
        <w:t xml:space="preserve">ueces </w:t>
      </w:r>
      <w:r w:rsidR="00E81906" w:rsidRPr="00B6232C">
        <w:rPr>
          <w:rFonts w:ascii="Verdana" w:hAnsi="Verdana" w:cs="Verdana"/>
          <w:sz w:val="20"/>
          <w:szCs w:val="20"/>
          <w:lang w:val="es-CR"/>
        </w:rPr>
        <w:t xml:space="preserve">y Jueza </w:t>
      </w:r>
      <w:r w:rsidRPr="00B6232C">
        <w:rPr>
          <w:rFonts w:ascii="Verdana" w:hAnsi="Verdana" w:cs="Verdana"/>
          <w:sz w:val="20"/>
          <w:szCs w:val="20"/>
          <w:lang w:val="es-CR"/>
        </w:rPr>
        <w:t xml:space="preserve">que dictaron la Sentencia cuya interpretación ha sido solicitada por </w:t>
      </w:r>
      <w:r w:rsidR="00E81906" w:rsidRPr="00B6232C">
        <w:rPr>
          <w:rFonts w:ascii="Verdana" w:hAnsi="Verdana" w:cs="Verdana"/>
          <w:sz w:val="20"/>
          <w:szCs w:val="20"/>
          <w:lang w:val="es-CR"/>
        </w:rPr>
        <w:t>las partes</w:t>
      </w:r>
      <w:r w:rsidR="00067454" w:rsidRPr="00B6232C">
        <w:rPr>
          <w:rStyle w:val="Refdenotaalpie"/>
          <w:sz w:val="20"/>
          <w:szCs w:val="20"/>
          <w:lang w:val="es-CR"/>
        </w:rPr>
        <w:footnoteReference w:id="1"/>
      </w:r>
      <w:r w:rsidR="00E81906" w:rsidRPr="00B6232C">
        <w:rPr>
          <w:rFonts w:ascii="Verdana" w:hAnsi="Verdana" w:cs="Verdana"/>
          <w:sz w:val="20"/>
          <w:szCs w:val="20"/>
          <w:lang w:val="es-CR"/>
        </w:rPr>
        <w:t>.</w:t>
      </w:r>
    </w:p>
    <w:p w:rsidR="00047915" w:rsidRPr="00B6232C" w:rsidRDefault="00047915" w:rsidP="00AE0DC6">
      <w:pPr>
        <w:autoSpaceDE w:val="0"/>
        <w:autoSpaceDN w:val="0"/>
        <w:adjustRightInd w:val="0"/>
        <w:spacing w:after="0" w:line="240" w:lineRule="auto"/>
        <w:jc w:val="both"/>
        <w:rPr>
          <w:rFonts w:ascii="Verdana" w:hAnsi="Verdana" w:cs="Verdana"/>
          <w:sz w:val="20"/>
          <w:szCs w:val="20"/>
          <w:lang w:val="es-CR"/>
        </w:rPr>
      </w:pPr>
    </w:p>
    <w:p w:rsidR="007B680C" w:rsidRPr="00B6232C" w:rsidRDefault="007B680C" w:rsidP="00AE0DC6">
      <w:pPr>
        <w:pStyle w:val="Ttulo1"/>
      </w:pPr>
      <w:r w:rsidRPr="00B6232C">
        <w:t>III</w:t>
      </w:r>
    </w:p>
    <w:p w:rsidR="007B680C" w:rsidRPr="00B6232C" w:rsidRDefault="007B680C" w:rsidP="00AE0DC6">
      <w:pPr>
        <w:pStyle w:val="Ttulo1"/>
      </w:pPr>
      <w:r w:rsidRPr="00B6232C">
        <w:t>ADMISIBILIDAD</w:t>
      </w:r>
    </w:p>
    <w:p w:rsidR="007B680C" w:rsidRPr="00B6232C" w:rsidRDefault="007B680C" w:rsidP="00AE0DC6">
      <w:pPr>
        <w:autoSpaceDE w:val="0"/>
        <w:autoSpaceDN w:val="0"/>
        <w:adjustRightInd w:val="0"/>
        <w:spacing w:after="0" w:line="240" w:lineRule="auto"/>
        <w:jc w:val="both"/>
        <w:rPr>
          <w:rFonts w:ascii="Verdana" w:hAnsi="Verdana" w:cs="Verdana"/>
          <w:sz w:val="20"/>
          <w:szCs w:val="20"/>
          <w:lang w:val="es-CR"/>
        </w:rPr>
      </w:pPr>
    </w:p>
    <w:p w:rsidR="007B680C" w:rsidRPr="00B6232C" w:rsidRDefault="007B680C" w:rsidP="00AE0DC6">
      <w:pPr>
        <w:numPr>
          <w:ilvl w:val="0"/>
          <w:numId w:val="2"/>
        </w:numPr>
        <w:tabs>
          <w:tab w:val="clear" w:pos="1247"/>
          <w:tab w:val="num" w:pos="720"/>
          <w:tab w:val="num" w:pos="1427"/>
        </w:tabs>
        <w:autoSpaceDE w:val="0"/>
        <w:autoSpaceDN w:val="0"/>
        <w:adjustRightInd w:val="0"/>
        <w:spacing w:after="0" w:line="240" w:lineRule="auto"/>
        <w:jc w:val="both"/>
        <w:rPr>
          <w:rFonts w:ascii="Verdana" w:hAnsi="Verdana" w:cs="Verdana"/>
          <w:strike/>
          <w:sz w:val="20"/>
          <w:szCs w:val="20"/>
          <w:lang w:val="es-CR"/>
        </w:rPr>
      </w:pPr>
      <w:r w:rsidRPr="00B6232C">
        <w:rPr>
          <w:rFonts w:ascii="Verdana" w:hAnsi="Verdana"/>
          <w:sz w:val="20"/>
          <w:szCs w:val="20"/>
          <w:lang w:val="es-CR"/>
        </w:rPr>
        <w:t>Corresponde a la Corte verificar si la solicitud presentada por el Estado</w:t>
      </w:r>
      <w:r w:rsidR="00E81906" w:rsidRPr="00B6232C">
        <w:rPr>
          <w:rFonts w:ascii="Verdana" w:hAnsi="Verdana"/>
          <w:sz w:val="20"/>
          <w:szCs w:val="20"/>
          <w:lang w:val="es-CR"/>
        </w:rPr>
        <w:t xml:space="preserve"> </w:t>
      </w:r>
      <w:r w:rsidRPr="00B6232C">
        <w:rPr>
          <w:rFonts w:ascii="Verdana" w:hAnsi="Verdana"/>
          <w:sz w:val="20"/>
          <w:szCs w:val="20"/>
          <w:lang w:val="es-CR"/>
        </w:rPr>
        <w:t>cumple con los requisitos establecidos en las normas aplicables a una solicitud de interpretación de Sentencia, a saber, el artículo 67 de la Convención y el artículo 68 del Reglamento</w:t>
      </w:r>
      <w:r w:rsidRPr="00B6232C">
        <w:rPr>
          <w:rStyle w:val="Refdenotaalpie"/>
          <w:sz w:val="20"/>
          <w:szCs w:val="20"/>
          <w:lang w:val="es-CR"/>
        </w:rPr>
        <w:footnoteReference w:id="2"/>
      </w:r>
      <w:r w:rsidRPr="00B6232C">
        <w:rPr>
          <w:rFonts w:ascii="Verdana" w:hAnsi="Verdana"/>
          <w:sz w:val="20"/>
          <w:szCs w:val="20"/>
          <w:lang w:val="es-CR"/>
        </w:rPr>
        <w:t>.</w:t>
      </w:r>
    </w:p>
    <w:p w:rsidR="007B680C" w:rsidRPr="00B6232C" w:rsidRDefault="007B680C" w:rsidP="00AE0DC6">
      <w:pPr>
        <w:autoSpaceDE w:val="0"/>
        <w:autoSpaceDN w:val="0"/>
        <w:adjustRightInd w:val="0"/>
        <w:spacing w:after="0" w:line="240" w:lineRule="auto"/>
        <w:jc w:val="both"/>
        <w:rPr>
          <w:rFonts w:ascii="Verdana" w:hAnsi="Verdana" w:cs="Verdana"/>
          <w:sz w:val="20"/>
          <w:szCs w:val="20"/>
          <w:lang w:val="es-CR"/>
        </w:rPr>
      </w:pPr>
    </w:p>
    <w:p w:rsidR="00F70BC9" w:rsidRPr="00B6232C" w:rsidRDefault="007B680C" w:rsidP="00AE0DC6">
      <w:pPr>
        <w:pStyle w:val="Prrafodelista"/>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lang w:val="es-CR"/>
        </w:rPr>
      </w:pPr>
      <w:r w:rsidRPr="00B6232C">
        <w:rPr>
          <w:rFonts w:ascii="Verdana" w:hAnsi="Verdana" w:cs="Verdana"/>
          <w:sz w:val="20"/>
          <w:szCs w:val="20"/>
          <w:lang w:val="es-CR"/>
        </w:rPr>
        <w:t xml:space="preserve">La Corte nota que </w:t>
      </w:r>
      <w:r w:rsidR="00A96627" w:rsidRPr="00B6232C">
        <w:rPr>
          <w:rFonts w:ascii="Verdana" w:hAnsi="Verdana" w:cs="Verdana"/>
          <w:sz w:val="20"/>
          <w:szCs w:val="20"/>
          <w:lang w:val="es-CR"/>
        </w:rPr>
        <w:t>las partes fueron notificadas de la Sentencia el 26 de octubre de 2020</w:t>
      </w:r>
      <w:r w:rsidR="00F70BC9" w:rsidRPr="00B6232C">
        <w:rPr>
          <w:rFonts w:ascii="Verdana" w:hAnsi="Verdana" w:cs="Verdana"/>
          <w:sz w:val="20"/>
          <w:szCs w:val="20"/>
          <w:lang w:val="es-CR"/>
        </w:rPr>
        <w:t xml:space="preserve"> y el</w:t>
      </w:r>
      <w:r w:rsidRPr="00B6232C">
        <w:rPr>
          <w:rFonts w:ascii="Verdana" w:hAnsi="Verdana" w:cs="Verdana"/>
          <w:sz w:val="20"/>
          <w:szCs w:val="20"/>
          <w:lang w:val="es-CR"/>
        </w:rPr>
        <w:t xml:space="preserve"> Estado </w:t>
      </w:r>
      <w:r w:rsidR="00A96627" w:rsidRPr="00B6232C">
        <w:rPr>
          <w:rFonts w:ascii="Verdana" w:hAnsi="Verdana" w:cs="Verdana"/>
          <w:sz w:val="20"/>
          <w:szCs w:val="20"/>
          <w:lang w:val="es-CR"/>
        </w:rPr>
        <w:t>presentó</w:t>
      </w:r>
      <w:r w:rsidRPr="00B6232C">
        <w:rPr>
          <w:rFonts w:ascii="Verdana" w:hAnsi="Verdana" w:cs="Verdana"/>
          <w:sz w:val="20"/>
          <w:szCs w:val="20"/>
          <w:lang w:val="es-CR"/>
        </w:rPr>
        <w:t xml:space="preserve"> su</w:t>
      </w:r>
      <w:r w:rsidR="00A96627" w:rsidRPr="00B6232C">
        <w:rPr>
          <w:rFonts w:ascii="Verdana" w:hAnsi="Verdana" w:cs="Verdana"/>
          <w:sz w:val="20"/>
          <w:szCs w:val="20"/>
          <w:lang w:val="es-CR"/>
        </w:rPr>
        <w:t xml:space="preserve"> solicitud de interpretación el 22 de enero de 2021, dentro</w:t>
      </w:r>
      <w:r w:rsidRPr="00B6232C">
        <w:rPr>
          <w:rFonts w:ascii="Verdana" w:hAnsi="Verdana" w:cs="Verdana"/>
          <w:sz w:val="20"/>
          <w:szCs w:val="20"/>
          <w:lang w:val="es-CR"/>
        </w:rPr>
        <w:t xml:space="preserve"> </w:t>
      </w:r>
      <w:r w:rsidR="00A96627" w:rsidRPr="00B6232C">
        <w:rPr>
          <w:rFonts w:ascii="Verdana" w:hAnsi="Verdana" w:cs="Verdana"/>
          <w:sz w:val="20"/>
          <w:szCs w:val="20"/>
          <w:lang w:val="es-CR"/>
        </w:rPr>
        <w:t>d</w:t>
      </w:r>
      <w:r w:rsidRPr="00B6232C">
        <w:rPr>
          <w:rFonts w:ascii="Verdana" w:hAnsi="Verdana" w:cs="Verdana"/>
          <w:sz w:val="20"/>
          <w:szCs w:val="20"/>
          <w:lang w:val="es-CR"/>
        </w:rPr>
        <w:t xml:space="preserve">el plazo establecido en el artículo 67 de la Convención. Por lo tanto, </w:t>
      </w:r>
      <w:r w:rsidR="00A96627" w:rsidRPr="00B6232C">
        <w:rPr>
          <w:rFonts w:ascii="Verdana" w:hAnsi="Verdana" w:cs="Verdana"/>
          <w:sz w:val="20"/>
          <w:szCs w:val="20"/>
          <w:lang w:val="es-CR"/>
        </w:rPr>
        <w:t xml:space="preserve">la </w:t>
      </w:r>
      <w:r w:rsidRPr="00B6232C">
        <w:rPr>
          <w:rFonts w:ascii="Verdana" w:hAnsi="Verdana" w:cs="Verdana"/>
          <w:sz w:val="20"/>
          <w:szCs w:val="20"/>
          <w:lang w:val="es-CR"/>
        </w:rPr>
        <w:t xml:space="preserve">solicitud </w:t>
      </w:r>
      <w:r w:rsidR="00A96627" w:rsidRPr="00B6232C">
        <w:rPr>
          <w:rFonts w:ascii="Verdana" w:hAnsi="Verdana" w:cs="Verdana"/>
          <w:sz w:val="20"/>
          <w:szCs w:val="20"/>
          <w:lang w:val="es-CR"/>
        </w:rPr>
        <w:t>es admisible</w:t>
      </w:r>
      <w:r w:rsidRPr="00B6232C">
        <w:rPr>
          <w:rFonts w:ascii="Verdana" w:hAnsi="Verdana" w:cs="Verdana"/>
          <w:sz w:val="20"/>
          <w:szCs w:val="20"/>
          <w:lang w:val="es-CR"/>
        </w:rPr>
        <w:t xml:space="preserve"> en lo que se refiere al plazo en que </w:t>
      </w:r>
      <w:r w:rsidR="00A96627" w:rsidRPr="00B6232C">
        <w:rPr>
          <w:rFonts w:ascii="Verdana" w:hAnsi="Verdana" w:cs="Verdana"/>
          <w:sz w:val="20"/>
          <w:szCs w:val="20"/>
          <w:lang w:val="es-CR"/>
        </w:rPr>
        <w:t>fue presentada</w:t>
      </w:r>
      <w:r w:rsidRPr="00B6232C">
        <w:rPr>
          <w:rFonts w:ascii="Verdana" w:hAnsi="Verdana" w:cs="Verdana"/>
          <w:sz w:val="20"/>
          <w:szCs w:val="20"/>
          <w:lang w:val="es-CR"/>
        </w:rPr>
        <w:t>. En cuanto a los demás requisitos, la Corte realizará el análisis respectivo en el próximo capítulo.</w:t>
      </w:r>
      <w:r w:rsidR="00A96627" w:rsidRPr="00B6232C">
        <w:rPr>
          <w:rFonts w:ascii="Verdana" w:hAnsi="Verdana" w:cs="Verdana"/>
          <w:sz w:val="20"/>
          <w:szCs w:val="20"/>
          <w:lang w:val="es-CR"/>
        </w:rPr>
        <w:t xml:space="preserve"> </w:t>
      </w:r>
    </w:p>
    <w:p w:rsidR="002434E8" w:rsidRPr="00B6232C" w:rsidRDefault="002434E8" w:rsidP="00AE0DC6">
      <w:pPr>
        <w:pStyle w:val="Sinespaciado"/>
        <w:rPr>
          <w:lang w:val="es-CR"/>
        </w:rPr>
      </w:pPr>
    </w:p>
    <w:p w:rsidR="007B680C" w:rsidRPr="00B6232C" w:rsidRDefault="007B680C" w:rsidP="00AE0DC6">
      <w:pPr>
        <w:pStyle w:val="Ttulo1"/>
        <w:rPr>
          <w:rFonts w:eastAsia="Times"/>
        </w:rPr>
      </w:pPr>
      <w:r w:rsidRPr="00B6232C">
        <w:rPr>
          <w:rFonts w:eastAsia="Times"/>
        </w:rPr>
        <w:t>IV</w:t>
      </w:r>
    </w:p>
    <w:p w:rsidR="007B680C" w:rsidRPr="00B6232C" w:rsidRDefault="002F0B5F" w:rsidP="00AE0DC6">
      <w:pPr>
        <w:pStyle w:val="Ttulo1"/>
      </w:pPr>
      <w:r w:rsidRPr="00B6232C">
        <w:rPr>
          <w:caps w:val="0"/>
        </w:rPr>
        <w:t>ANÁLISIS DE LA PROCEDENCIA DE LA SOLICITUD DE INTERPRETACIÓN</w:t>
      </w:r>
    </w:p>
    <w:p w:rsidR="007B680C" w:rsidRPr="00B6232C" w:rsidRDefault="007B680C" w:rsidP="00AE0DC6">
      <w:pPr>
        <w:autoSpaceDE w:val="0"/>
        <w:autoSpaceDN w:val="0"/>
        <w:adjustRightInd w:val="0"/>
        <w:spacing w:after="0" w:line="240" w:lineRule="auto"/>
        <w:jc w:val="center"/>
        <w:rPr>
          <w:rFonts w:ascii="Verdana" w:hAnsi="Verdana" w:cs="Verdana"/>
          <w:b/>
          <w:caps/>
          <w:sz w:val="20"/>
          <w:szCs w:val="20"/>
          <w:lang w:val="es-CR"/>
        </w:rPr>
      </w:pPr>
    </w:p>
    <w:p w:rsidR="007B680C" w:rsidRPr="00B6232C" w:rsidRDefault="007B680C" w:rsidP="00AE0DC6">
      <w:pPr>
        <w:pStyle w:val="Prrafodelista"/>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lang w:val="es-CR"/>
        </w:rPr>
      </w:pPr>
      <w:r w:rsidRPr="00B6232C">
        <w:rPr>
          <w:rFonts w:ascii="Verdana" w:hAnsi="Verdana" w:cs="Verdana"/>
          <w:sz w:val="20"/>
          <w:szCs w:val="20"/>
          <w:lang w:val="es-CR"/>
        </w:rPr>
        <w:t>A continuación</w:t>
      </w:r>
      <w:r w:rsidR="00850585" w:rsidRPr="00B6232C">
        <w:rPr>
          <w:rFonts w:ascii="Verdana" w:hAnsi="Verdana" w:cs="Verdana"/>
          <w:sz w:val="20"/>
          <w:szCs w:val="20"/>
          <w:lang w:val="es-CR"/>
        </w:rPr>
        <w:t>,</w:t>
      </w:r>
      <w:r w:rsidRPr="00B6232C">
        <w:rPr>
          <w:rFonts w:ascii="Verdana" w:hAnsi="Verdana" w:cs="Verdana"/>
          <w:sz w:val="20"/>
          <w:szCs w:val="20"/>
          <w:lang w:val="es-CR"/>
        </w:rPr>
        <w:t xml:space="preserve"> la Corte analizará la solicitud del Estado para determinar si, de acuerdo a la normativa y a los criterios desarrollados en su jurisprudencia, procede aclarar el sentido </w:t>
      </w:r>
      <w:r w:rsidR="00EC1319" w:rsidRPr="00B6232C">
        <w:rPr>
          <w:rFonts w:ascii="Verdana" w:hAnsi="Verdana" w:cs="Verdana"/>
          <w:sz w:val="20"/>
          <w:szCs w:val="20"/>
          <w:lang w:val="es-CR"/>
        </w:rPr>
        <w:t xml:space="preserve">o alcance </w:t>
      </w:r>
      <w:r w:rsidRPr="00B6232C">
        <w:rPr>
          <w:rFonts w:ascii="Verdana" w:hAnsi="Verdana" w:cs="Verdana"/>
          <w:sz w:val="20"/>
          <w:szCs w:val="20"/>
          <w:lang w:val="es-CR"/>
        </w:rPr>
        <w:t xml:space="preserve">de </w:t>
      </w:r>
      <w:r w:rsidR="00EC1319" w:rsidRPr="00B6232C">
        <w:rPr>
          <w:rFonts w:ascii="Verdana" w:hAnsi="Verdana" w:cs="Verdana"/>
          <w:sz w:val="20"/>
          <w:szCs w:val="20"/>
          <w:lang w:val="es-CR"/>
        </w:rPr>
        <w:t xml:space="preserve">algún punto </w:t>
      </w:r>
      <w:r w:rsidRPr="00B6232C">
        <w:rPr>
          <w:rFonts w:ascii="Verdana" w:hAnsi="Verdana" w:cs="Verdana"/>
          <w:sz w:val="20"/>
          <w:szCs w:val="20"/>
          <w:lang w:val="es-CR"/>
        </w:rPr>
        <w:t>de la Sentencia.</w:t>
      </w:r>
    </w:p>
    <w:p w:rsidR="007B680C" w:rsidRPr="00B6232C" w:rsidRDefault="007B680C" w:rsidP="00AE0DC6">
      <w:pPr>
        <w:autoSpaceDE w:val="0"/>
        <w:autoSpaceDN w:val="0"/>
        <w:adjustRightInd w:val="0"/>
        <w:spacing w:after="0" w:line="240" w:lineRule="auto"/>
        <w:jc w:val="both"/>
        <w:rPr>
          <w:rFonts w:ascii="Verdana" w:hAnsi="Verdana" w:cs="Verdana"/>
          <w:sz w:val="20"/>
          <w:szCs w:val="20"/>
          <w:lang w:val="es-CR"/>
        </w:rPr>
      </w:pPr>
    </w:p>
    <w:p w:rsidR="007B680C" w:rsidRPr="00B6232C" w:rsidRDefault="00EC1319" w:rsidP="00AE0DC6">
      <w:pPr>
        <w:pStyle w:val="Prrafodelista"/>
        <w:numPr>
          <w:ilvl w:val="0"/>
          <w:numId w:val="2"/>
        </w:numPr>
        <w:tabs>
          <w:tab w:val="clear" w:pos="1247"/>
          <w:tab w:val="num" w:pos="0"/>
        </w:tabs>
        <w:autoSpaceDE w:val="0"/>
        <w:autoSpaceDN w:val="0"/>
        <w:adjustRightInd w:val="0"/>
        <w:spacing w:after="0" w:line="240" w:lineRule="auto"/>
        <w:contextualSpacing w:val="0"/>
        <w:jc w:val="both"/>
        <w:rPr>
          <w:rFonts w:ascii="Verdana" w:hAnsi="Verdana" w:cs="Verdana"/>
          <w:sz w:val="20"/>
          <w:szCs w:val="20"/>
          <w:lang w:val="es-CR"/>
        </w:rPr>
      </w:pPr>
      <w:r w:rsidRPr="00B6232C">
        <w:rPr>
          <w:rFonts w:ascii="Verdana" w:hAnsi="Verdana" w:cs="Verdana"/>
          <w:sz w:val="20"/>
          <w:szCs w:val="20"/>
          <w:lang w:val="es-CR"/>
        </w:rPr>
        <w:t>L</w:t>
      </w:r>
      <w:r w:rsidR="007B680C" w:rsidRPr="00B6232C">
        <w:rPr>
          <w:rFonts w:ascii="Verdana" w:hAnsi="Verdana" w:cs="Verdana"/>
          <w:sz w:val="20"/>
          <w:szCs w:val="20"/>
          <w:lang w:val="es-CR"/>
        </w:rPr>
        <w:t xml:space="preserve">a Corte </w:t>
      </w:r>
      <w:r w:rsidRPr="00B6232C">
        <w:rPr>
          <w:rFonts w:ascii="Verdana" w:hAnsi="Verdana" w:cs="Verdana"/>
          <w:sz w:val="20"/>
          <w:szCs w:val="20"/>
          <w:lang w:val="es-CR"/>
        </w:rPr>
        <w:t xml:space="preserve">ha señalado </w:t>
      </w:r>
      <w:r w:rsidR="007B680C" w:rsidRPr="00B6232C">
        <w:rPr>
          <w:rFonts w:ascii="Verdana" w:hAnsi="Verdana" w:cs="Verdana"/>
          <w:sz w:val="20"/>
          <w:szCs w:val="20"/>
          <w:lang w:val="es-CR"/>
        </w:rPr>
        <w:t>que una solicitud de interpretación de sentencia no puede utilizarse como medio de impugnación de la decisión cuya interpretación se requiere. Dicha solicitud debe tener como objeto, exclusivamente, determinar el sentido de un fallo cuando alguna de las partes sostiene que el texto de sus puntos resolutivos o de sus consideraciones carece de claridad o precisión, siempre y cuando esas consideraciones incidan en la parte resolutiva de la Sentencia. Por lo tanto,</w:t>
      </w:r>
      <w:r w:rsidR="007B680C" w:rsidRPr="00B6232C">
        <w:rPr>
          <w:rFonts w:ascii="Verdana" w:hAnsi="Verdana"/>
          <w:sz w:val="20"/>
          <w:szCs w:val="20"/>
          <w:lang w:val="es-CR"/>
        </w:rPr>
        <w:t xml:space="preserve"> </w:t>
      </w:r>
      <w:r w:rsidR="007B680C" w:rsidRPr="00B6232C">
        <w:rPr>
          <w:rFonts w:ascii="Verdana" w:hAnsi="Verdana" w:cs="Verdana"/>
          <w:sz w:val="20"/>
          <w:szCs w:val="20"/>
          <w:lang w:val="es-CR"/>
        </w:rPr>
        <w:t>de conformidad con el artículo 31.3 del Reglamento, no se puede solicitar la modificación o anulación de la sentencia respectiva a través de una solicitud de interpretación</w:t>
      </w:r>
      <w:r w:rsidR="00ED5000" w:rsidRPr="00B6232C">
        <w:rPr>
          <w:rStyle w:val="Refdenotaalpie"/>
          <w:rFonts w:cs="Verdana"/>
          <w:sz w:val="20"/>
          <w:szCs w:val="20"/>
          <w:lang w:val="es-CR"/>
        </w:rPr>
        <w:footnoteReference w:id="3"/>
      </w:r>
      <w:r w:rsidR="007B680C" w:rsidRPr="00B6232C">
        <w:rPr>
          <w:rFonts w:ascii="Verdana" w:hAnsi="Verdana" w:cs="Verdana"/>
          <w:sz w:val="20"/>
          <w:szCs w:val="20"/>
          <w:lang w:val="es-CR"/>
        </w:rPr>
        <w:t xml:space="preserve">. </w:t>
      </w:r>
    </w:p>
    <w:p w:rsidR="007B680C" w:rsidRPr="00B6232C" w:rsidRDefault="007B680C" w:rsidP="00AE0DC6">
      <w:pPr>
        <w:pStyle w:val="Prrafodelista"/>
        <w:spacing w:after="0" w:line="240" w:lineRule="auto"/>
        <w:contextualSpacing w:val="0"/>
        <w:rPr>
          <w:rFonts w:ascii="Verdana" w:hAnsi="Verdana" w:cs="Verdana"/>
          <w:sz w:val="20"/>
          <w:szCs w:val="20"/>
          <w:lang w:val="es-CR"/>
        </w:rPr>
      </w:pPr>
    </w:p>
    <w:p w:rsidR="00A32FF0" w:rsidRPr="00B6232C" w:rsidRDefault="007B680C" w:rsidP="00AE0DC6">
      <w:pPr>
        <w:pStyle w:val="Prrafodelista"/>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lang w:val="es-CR"/>
        </w:rPr>
      </w:pPr>
      <w:r w:rsidRPr="00B6232C">
        <w:rPr>
          <w:rFonts w:ascii="Verdana" w:hAnsi="Verdana" w:cs="Verdana"/>
          <w:sz w:val="20"/>
          <w:szCs w:val="20"/>
          <w:lang w:val="es-CR"/>
        </w:rPr>
        <w:t>Adicionalmente, la Corte ha sostenido la improcedencia de utilizar una solicitud de interpretación para someter cuestiones de hecho y de derecho que ya fueron planteadas en su oportunidad procesal y sobre las cuales la Corte ya adoptó una decisión</w:t>
      </w:r>
      <w:r w:rsidRPr="00B6232C">
        <w:rPr>
          <w:rStyle w:val="Refdenotaalpie"/>
          <w:rFonts w:cs="Verdana"/>
          <w:sz w:val="20"/>
          <w:szCs w:val="20"/>
          <w:lang w:val="es-CR"/>
        </w:rPr>
        <w:footnoteReference w:id="4"/>
      </w:r>
      <w:r w:rsidRPr="00B6232C">
        <w:rPr>
          <w:rFonts w:ascii="Verdana" w:hAnsi="Verdana" w:cs="Verdana"/>
          <w:sz w:val="20"/>
          <w:szCs w:val="20"/>
          <w:lang w:val="es-CR"/>
        </w:rPr>
        <w:t xml:space="preserve">, así como para pretender que la Corte valore nuevamente cuestiones que ya han sido resueltas en </w:t>
      </w:r>
      <w:r w:rsidR="00EF5654" w:rsidRPr="00B6232C">
        <w:rPr>
          <w:rFonts w:ascii="Verdana" w:hAnsi="Verdana" w:cs="Verdana"/>
          <w:sz w:val="20"/>
          <w:szCs w:val="20"/>
          <w:lang w:val="es-CR"/>
        </w:rPr>
        <w:t>la</w:t>
      </w:r>
      <w:r w:rsidRPr="00B6232C">
        <w:rPr>
          <w:rFonts w:ascii="Verdana" w:hAnsi="Verdana" w:cs="Verdana"/>
          <w:sz w:val="20"/>
          <w:szCs w:val="20"/>
          <w:lang w:val="es-CR"/>
        </w:rPr>
        <w:t xml:space="preserve"> </w:t>
      </w:r>
      <w:r w:rsidR="00EF5654" w:rsidRPr="00B6232C">
        <w:rPr>
          <w:rFonts w:ascii="Verdana" w:hAnsi="Verdana" w:cs="Verdana"/>
          <w:sz w:val="20"/>
          <w:szCs w:val="20"/>
          <w:lang w:val="es-CR"/>
        </w:rPr>
        <w:lastRenderedPageBreak/>
        <w:t>S</w:t>
      </w:r>
      <w:r w:rsidRPr="00B6232C">
        <w:rPr>
          <w:rFonts w:ascii="Verdana" w:hAnsi="Verdana" w:cs="Verdana"/>
          <w:sz w:val="20"/>
          <w:szCs w:val="20"/>
          <w:lang w:val="es-CR"/>
        </w:rPr>
        <w:t>entencia</w:t>
      </w:r>
      <w:r w:rsidRPr="00B6232C">
        <w:rPr>
          <w:rStyle w:val="Refdenotaalpie"/>
          <w:rFonts w:cs="Verdana"/>
          <w:sz w:val="20"/>
          <w:szCs w:val="20"/>
          <w:lang w:val="es-CR"/>
        </w:rPr>
        <w:footnoteReference w:id="5"/>
      </w:r>
      <w:r w:rsidRPr="00B6232C">
        <w:rPr>
          <w:rFonts w:ascii="Verdana" w:hAnsi="Verdana" w:cs="Verdana"/>
          <w:sz w:val="20"/>
          <w:szCs w:val="20"/>
          <w:lang w:val="es-CR"/>
        </w:rPr>
        <w:t>. De igual manera, por esta vía tampoco se puede intentar que se amplíe el alcance de una medida de reparación ordenada oportunamente</w:t>
      </w:r>
      <w:r w:rsidRPr="00B6232C">
        <w:rPr>
          <w:rStyle w:val="Refdenotaalpie"/>
          <w:rFonts w:cs="Verdana"/>
          <w:sz w:val="20"/>
          <w:szCs w:val="20"/>
          <w:lang w:val="es-CR"/>
        </w:rPr>
        <w:footnoteReference w:id="6"/>
      </w:r>
      <w:r w:rsidRPr="00B6232C">
        <w:rPr>
          <w:rFonts w:ascii="Verdana" w:hAnsi="Verdana" w:cs="Verdana"/>
          <w:sz w:val="20"/>
          <w:szCs w:val="20"/>
          <w:lang w:val="es-CR"/>
        </w:rPr>
        <w:t>.</w:t>
      </w:r>
    </w:p>
    <w:p w:rsidR="001F3329" w:rsidRPr="00B6232C" w:rsidRDefault="001F3329" w:rsidP="00ED5000">
      <w:pPr>
        <w:spacing w:after="0" w:line="240" w:lineRule="auto"/>
        <w:rPr>
          <w:rFonts w:ascii="Verdana" w:hAnsi="Verdana" w:cs="Verdana"/>
          <w:sz w:val="20"/>
          <w:szCs w:val="20"/>
          <w:lang w:val="es-CR"/>
        </w:rPr>
      </w:pPr>
    </w:p>
    <w:p w:rsidR="001F3329" w:rsidRPr="00B6232C" w:rsidRDefault="007B680C" w:rsidP="00ED5000">
      <w:pPr>
        <w:pStyle w:val="Prrafodelista"/>
        <w:numPr>
          <w:ilvl w:val="0"/>
          <w:numId w:val="2"/>
        </w:numPr>
        <w:tabs>
          <w:tab w:val="clear" w:pos="1247"/>
        </w:tabs>
        <w:autoSpaceDE w:val="0"/>
        <w:autoSpaceDN w:val="0"/>
        <w:adjustRightInd w:val="0"/>
        <w:spacing w:after="0" w:line="240" w:lineRule="auto"/>
        <w:contextualSpacing w:val="0"/>
        <w:jc w:val="both"/>
        <w:rPr>
          <w:rFonts w:ascii="Verdana" w:hAnsi="Verdana" w:cs="Verdana"/>
          <w:sz w:val="20"/>
          <w:szCs w:val="20"/>
          <w:lang w:val="es-CR"/>
        </w:rPr>
      </w:pPr>
      <w:r w:rsidRPr="00B6232C">
        <w:rPr>
          <w:rFonts w:ascii="Verdana" w:hAnsi="Verdana" w:cs="Verdana"/>
          <w:sz w:val="20"/>
          <w:szCs w:val="20"/>
          <w:lang w:val="es-CR"/>
        </w:rPr>
        <w:t xml:space="preserve">Bajo este entendido, la Corte examinará las cuestiones planteadas por </w:t>
      </w:r>
      <w:r w:rsidR="00FC5196" w:rsidRPr="00B6232C">
        <w:rPr>
          <w:rFonts w:ascii="Verdana" w:hAnsi="Verdana" w:cs="Verdana"/>
          <w:sz w:val="20"/>
          <w:szCs w:val="20"/>
          <w:lang w:val="es-CR"/>
        </w:rPr>
        <w:t>el Estado,</w:t>
      </w:r>
      <w:r w:rsidRPr="00B6232C">
        <w:rPr>
          <w:rFonts w:ascii="Verdana" w:hAnsi="Verdana" w:cs="Verdana"/>
          <w:sz w:val="20"/>
          <w:szCs w:val="20"/>
          <w:lang w:val="es-CR"/>
        </w:rPr>
        <w:t xml:space="preserve"> así como las observaciones de</w:t>
      </w:r>
      <w:r w:rsidR="00A32FF0" w:rsidRPr="00B6232C">
        <w:rPr>
          <w:rFonts w:ascii="Verdana" w:hAnsi="Verdana" w:cs="Verdana"/>
          <w:sz w:val="20"/>
          <w:szCs w:val="20"/>
          <w:lang w:val="es-CR"/>
        </w:rPr>
        <w:t xml:space="preserve"> los representantes y</w:t>
      </w:r>
      <w:r w:rsidRPr="00B6232C">
        <w:rPr>
          <w:rFonts w:ascii="Verdana" w:hAnsi="Verdana" w:cs="Verdana"/>
          <w:sz w:val="20"/>
          <w:szCs w:val="20"/>
          <w:lang w:val="es-CR"/>
        </w:rPr>
        <w:t xml:space="preserve"> la Comisión, en el siguiente orden: </w:t>
      </w:r>
      <w:r w:rsidR="00A32FF0" w:rsidRPr="00B6232C">
        <w:rPr>
          <w:rFonts w:ascii="Verdana" w:hAnsi="Verdana" w:cs="Verdana"/>
          <w:sz w:val="20"/>
          <w:szCs w:val="20"/>
          <w:lang w:val="es-CR"/>
        </w:rPr>
        <w:t>a</w:t>
      </w:r>
      <w:r w:rsidRPr="00B6232C">
        <w:rPr>
          <w:rFonts w:ascii="Verdana" w:hAnsi="Verdana" w:cs="Verdana"/>
          <w:sz w:val="20"/>
          <w:szCs w:val="20"/>
          <w:lang w:val="es-CR"/>
        </w:rPr>
        <w:t>)</w:t>
      </w:r>
      <w:r w:rsidRPr="00B6232C">
        <w:rPr>
          <w:rFonts w:ascii="Verdana" w:hAnsi="Verdana"/>
          <w:sz w:val="20"/>
          <w:szCs w:val="20"/>
          <w:lang w:val="es-CR" w:bidi="en-US"/>
        </w:rPr>
        <w:t xml:space="preserve"> </w:t>
      </w:r>
      <w:r w:rsidR="00EF5654" w:rsidRPr="00B6232C">
        <w:rPr>
          <w:rFonts w:ascii="Verdana" w:hAnsi="Verdana"/>
          <w:sz w:val="20"/>
          <w:szCs w:val="20"/>
          <w:lang w:val="es-CR" w:bidi="en-US"/>
        </w:rPr>
        <w:t>l</w:t>
      </w:r>
      <w:r w:rsidR="00E46B0B" w:rsidRPr="00B6232C">
        <w:rPr>
          <w:rFonts w:ascii="Verdana" w:hAnsi="Verdana"/>
          <w:sz w:val="20"/>
          <w:szCs w:val="20"/>
          <w:lang w:val="es-CR" w:bidi="en-US"/>
        </w:rPr>
        <w:t xml:space="preserve">a competencia en razón de la materia para declarar supuestas violaciones al artículo 26 de la Convención </w:t>
      </w:r>
      <w:r w:rsidR="00E46B0B" w:rsidRPr="00B6232C">
        <w:rPr>
          <w:rFonts w:ascii="Verdana" w:hAnsi="Verdana"/>
          <w:iCs/>
          <w:sz w:val="20"/>
          <w:szCs w:val="20"/>
          <w:lang w:val="es-CR" w:bidi="en-US"/>
        </w:rPr>
        <w:t xml:space="preserve">Americana; </w:t>
      </w:r>
      <w:r w:rsidR="00A32FF0" w:rsidRPr="00B6232C">
        <w:rPr>
          <w:rFonts w:ascii="Verdana" w:hAnsi="Verdana"/>
          <w:iCs/>
          <w:sz w:val="20"/>
          <w:szCs w:val="20"/>
          <w:lang w:val="es-CR" w:bidi="en-US"/>
        </w:rPr>
        <w:t>b</w:t>
      </w:r>
      <w:r w:rsidR="00E46B0B" w:rsidRPr="00B6232C">
        <w:rPr>
          <w:rFonts w:ascii="Verdana" w:hAnsi="Verdana"/>
          <w:iCs/>
          <w:sz w:val="20"/>
          <w:szCs w:val="20"/>
          <w:lang w:val="es-CR" w:bidi="en-US"/>
        </w:rPr>
        <w:t xml:space="preserve">) </w:t>
      </w:r>
      <w:r w:rsidR="00EF5654" w:rsidRPr="00B6232C">
        <w:rPr>
          <w:rFonts w:ascii="Verdana" w:hAnsi="Verdana" w:cs="Verdana"/>
          <w:sz w:val="20"/>
          <w:szCs w:val="20"/>
          <w:lang w:val="es-CR"/>
        </w:rPr>
        <w:t>e</w:t>
      </w:r>
      <w:r w:rsidR="00E46B0B" w:rsidRPr="00B6232C">
        <w:rPr>
          <w:rFonts w:ascii="Verdana" w:hAnsi="Verdana" w:cs="Verdana"/>
          <w:sz w:val="20"/>
          <w:szCs w:val="20"/>
          <w:lang w:val="es-CR"/>
        </w:rPr>
        <w:t>l pago de las indemnizaciones por daños materiales e inmateriales,</w:t>
      </w:r>
      <w:r w:rsidR="00A32FF0" w:rsidRPr="00B6232C">
        <w:rPr>
          <w:rFonts w:ascii="Verdana" w:hAnsi="Verdana"/>
          <w:iCs/>
          <w:sz w:val="20"/>
          <w:szCs w:val="20"/>
          <w:lang w:val="es-CR" w:bidi="en-US"/>
        </w:rPr>
        <w:t xml:space="preserve"> y c</w:t>
      </w:r>
      <w:r w:rsidRPr="00B6232C">
        <w:rPr>
          <w:rFonts w:ascii="Verdana" w:hAnsi="Verdana" w:cs="Verdana"/>
          <w:sz w:val="20"/>
          <w:szCs w:val="20"/>
          <w:lang w:val="es-CR"/>
        </w:rPr>
        <w:t xml:space="preserve">) </w:t>
      </w:r>
      <w:r w:rsidR="00EF5654" w:rsidRPr="00B6232C">
        <w:rPr>
          <w:rFonts w:ascii="Verdana" w:hAnsi="Verdana" w:cs="Verdana"/>
          <w:sz w:val="20"/>
          <w:szCs w:val="20"/>
          <w:lang w:val="es-CR"/>
        </w:rPr>
        <w:t>l</w:t>
      </w:r>
      <w:r w:rsidRPr="00B6232C">
        <w:rPr>
          <w:rFonts w:ascii="Verdana" w:hAnsi="Verdana" w:cs="Verdana"/>
          <w:sz w:val="20"/>
          <w:szCs w:val="20"/>
          <w:lang w:val="es-CR"/>
        </w:rPr>
        <w:t>a modalidad de cumplimiento de los pagos ordenados.</w:t>
      </w:r>
    </w:p>
    <w:p w:rsidR="007B680C" w:rsidRPr="00B6232C" w:rsidRDefault="007B680C" w:rsidP="00ED5000">
      <w:pPr>
        <w:pStyle w:val="Prrafodelista"/>
        <w:spacing w:after="0" w:line="240" w:lineRule="auto"/>
        <w:contextualSpacing w:val="0"/>
        <w:rPr>
          <w:rFonts w:ascii="Verdana" w:hAnsi="Verdana" w:cs="Verdana"/>
          <w:sz w:val="20"/>
          <w:szCs w:val="20"/>
          <w:lang w:val="es-CR"/>
        </w:rPr>
      </w:pPr>
    </w:p>
    <w:p w:rsidR="00FD6A38" w:rsidRPr="00B6232C" w:rsidRDefault="00FD6A38" w:rsidP="00ED5000">
      <w:pPr>
        <w:pStyle w:val="Ttulo2"/>
      </w:pPr>
      <w:r w:rsidRPr="00B6232C">
        <w:t>La competencia en razón de la materia para declarar supuestas violaciones al</w:t>
      </w:r>
      <w:r w:rsidR="00835834" w:rsidRPr="00B6232C">
        <w:t xml:space="preserve"> </w:t>
      </w:r>
      <w:r w:rsidRPr="00B6232C">
        <w:t>artículo 26 de la Convención Am</w:t>
      </w:r>
      <w:r w:rsidR="00D47268" w:rsidRPr="00B6232C">
        <w:t>ericana</w:t>
      </w:r>
    </w:p>
    <w:p w:rsidR="00FD6A38" w:rsidRPr="00B6232C" w:rsidRDefault="00FD6A38" w:rsidP="00ED5000">
      <w:pPr>
        <w:pStyle w:val="Sinespaciado"/>
        <w:rPr>
          <w:lang w:val="es-CR"/>
        </w:rPr>
      </w:pPr>
    </w:p>
    <w:p w:rsidR="007B680C" w:rsidRPr="00B6232C" w:rsidRDefault="0085606E" w:rsidP="00AE0DC6">
      <w:pPr>
        <w:pStyle w:val="Ttulo3"/>
        <w:rPr>
          <w:lang w:val="es-CR"/>
        </w:rPr>
      </w:pPr>
      <w:r w:rsidRPr="00B6232C">
        <w:rPr>
          <w:lang w:val="es-CR"/>
        </w:rPr>
        <w:t>A</w:t>
      </w:r>
      <w:r w:rsidR="007B680C" w:rsidRPr="00B6232C">
        <w:rPr>
          <w:lang w:val="es-CR"/>
        </w:rPr>
        <w:t xml:space="preserve">.1. Argumentos de las partes y de la Comisión </w:t>
      </w:r>
    </w:p>
    <w:p w:rsidR="007B680C" w:rsidRPr="00B6232C" w:rsidRDefault="007B680C" w:rsidP="00AE0DC6">
      <w:pPr>
        <w:spacing w:after="0" w:line="240" w:lineRule="auto"/>
        <w:jc w:val="both"/>
        <w:rPr>
          <w:rFonts w:ascii="Verdana" w:hAnsi="Verdana"/>
          <w:sz w:val="20"/>
          <w:szCs w:val="20"/>
          <w:lang w:val="es-CR"/>
        </w:rPr>
      </w:pPr>
    </w:p>
    <w:p w:rsidR="007B680C" w:rsidRPr="00B6232C" w:rsidRDefault="007B680C" w:rsidP="00655ED9">
      <w:pPr>
        <w:pStyle w:val="Prrafodelista"/>
        <w:numPr>
          <w:ilvl w:val="0"/>
          <w:numId w:val="2"/>
        </w:numPr>
        <w:tabs>
          <w:tab w:val="clear" w:pos="1247"/>
        </w:tabs>
        <w:spacing w:after="0" w:line="240" w:lineRule="auto"/>
        <w:contextualSpacing w:val="0"/>
        <w:jc w:val="both"/>
        <w:rPr>
          <w:rFonts w:ascii="Verdana" w:hAnsi="Verdana"/>
          <w:sz w:val="20"/>
          <w:szCs w:val="20"/>
          <w:lang w:val="es-CR"/>
        </w:rPr>
      </w:pPr>
      <w:r w:rsidRPr="00B6232C">
        <w:rPr>
          <w:rFonts w:ascii="Verdana" w:hAnsi="Verdana"/>
          <w:sz w:val="20"/>
          <w:szCs w:val="20"/>
          <w:lang w:val="es-CR"/>
        </w:rPr>
        <w:t xml:space="preserve">El </w:t>
      </w:r>
      <w:r w:rsidRPr="00B6232C">
        <w:rPr>
          <w:rFonts w:ascii="Verdana" w:hAnsi="Verdana"/>
          <w:b/>
          <w:i/>
          <w:sz w:val="20"/>
          <w:szCs w:val="20"/>
          <w:lang w:val="es-CR"/>
        </w:rPr>
        <w:t>Estado</w:t>
      </w:r>
      <w:r w:rsidRPr="00B6232C">
        <w:rPr>
          <w:rFonts w:ascii="Verdana" w:hAnsi="Verdana"/>
          <w:sz w:val="20"/>
          <w:szCs w:val="20"/>
          <w:lang w:val="es-CR"/>
        </w:rPr>
        <w:t xml:space="preserve"> afirmó que </w:t>
      </w:r>
      <w:r w:rsidR="00734EC8" w:rsidRPr="00B6232C">
        <w:rPr>
          <w:rFonts w:ascii="Verdana" w:hAnsi="Verdana"/>
          <w:sz w:val="20"/>
          <w:szCs w:val="20"/>
          <w:lang w:val="es-CR"/>
        </w:rPr>
        <w:t xml:space="preserve">la </w:t>
      </w:r>
      <w:r w:rsidR="00D9476B" w:rsidRPr="00B6232C">
        <w:rPr>
          <w:rFonts w:ascii="Verdana" w:hAnsi="Verdana"/>
          <w:sz w:val="20"/>
          <w:szCs w:val="20"/>
          <w:lang w:val="es-CR"/>
        </w:rPr>
        <w:t xml:space="preserve">normatividad </w:t>
      </w:r>
      <w:r w:rsidR="00734EC8" w:rsidRPr="00B6232C">
        <w:rPr>
          <w:rFonts w:ascii="Verdana" w:hAnsi="Verdana"/>
          <w:sz w:val="20"/>
          <w:szCs w:val="20"/>
          <w:lang w:val="es-CR"/>
        </w:rPr>
        <w:t xml:space="preserve">interamericana no permite la presentación de denuncias que versen sobre el derecho al trabajo </w:t>
      </w:r>
      <w:r w:rsidR="001365DF" w:rsidRPr="00B6232C">
        <w:rPr>
          <w:rFonts w:ascii="Verdana" w:hAnsi="Verdana"/>
          <w:sz w:val="20"/>
          <w:szCs w:val="20"/>
          <w:lang w:val="es-CR"/>
        </w:rPr>
        <w:t xml:space="preserve">ante el </w:t>
      </w:r>
      <w:r w:rsidR="00734EC8" w:rsidRPr="00B6232C">
        <w:rPr>
          <w:rFonts w:ascii="Verdana" w:hAnsi="Verdana"/>
          <w:sz w:val="20"/>
          <w:szCs w:val="20"/>
          <w:lang w:val="es-CR"/>
        </w:rPr>
        <w:t>sistema de peticiones individuales.</w:t>
      </w:r>
      <w:r w:rsidR="000C3C35" w:rsidRPr="00B6232C">
        <w:rPr>
          <w:rFonts w:ascii="Verdana" w:hAnsi="Verdana"/>
          <w:sz w:val="20"/>
          <w:szCs w:val="20"/>
          <w:lang w:val="es-CR"/>
        </w:rPr>
        <w:t xml:space="preserve"> Añadió</w:t>
      </w:r>
      <w:r w:rsidR="00B50D65" w:rsidRPr="00B6232C">
        <w:rPr>
          <w:rFonts w:ascii="Verdana" w:hAnsi="Verdana"/>
          <w:sz w:val="20"/>
          <w:szCs w:val="20"/>
          <w:lang w:val="es-CR"/>
        </w:rPr>
        <w:t xml:space="preserve"> que</w:t>
      </w:r>
      <w:r w:rsidR="000C3C35" w:rsidRPr="00B6232C">
        <w:rPr>
          <w:rFonts w:ascii="Verdana" w:hAnsi="Verdana"/>
          <w:sz w:val="20"/>
          <w:szCs w:val="20"/>
          <w:lang w:val="es-CR"/>
        </w:rPr>
        <w:t>, según el artículo 19.6 del</w:t>
      </w:r>
      <w:r w:rsidR="00655ED9" w:rsidRPr="00B6232C">
        <w:rPr>
          <w:rFonts w:ascii="Verdana" w:hAnsi="Verdana"/>
          <w:sz w:val="20"/>
          <w:szCs w:val="20"/>
          <w:lang w:val="es-CR"/>
        </w:rPr>
        <w:t xml:space="preserve"> Protocolo Adicional a la Convención Americana sobre Derechos Humanos en materia de Derechos Económicos, Sociales y Culturales</w:t>
      </w:r>
      <w:r w:rsidR="000C3C35" w:rsidRPr="00B6232C">
        <w:rPr>
          <w:rFonts w:ascii="Verdana" w:hAnsi="Verdana"/>
          <w:sz w:val="20"/>
          <w:szCs w:val="20"/>
          <w:lang w:val="es-CR"/>
        </w:rPr>
        <w:t xml:space="preserve"> </w:t>
      </w:r>
      <w:r w:rsidR="00655ED9" w:rsidRPr="00B6232C">
        <w:rPr>
          <w:rFonts w:ascii="Verdana" w:hAnsi="Verdana"/>
          <w:sz w:val="20"/>
          <w:szCs w:val="20"/>
          <w:lang w:val="es-CR"/>
        </w:rPr>
        <w:t>“</w:t>
      </w:r>
      <w:r w:rsidR="000C3C35" w:rsidRPr="00B6232C">
        <w:rPr>
          <w:rFonts w:ascii="Verdana" w:hAnsi="Verdana"/>
          <w:sz w:val="20"/>
          <w:szCs w:val="20"/>
          <w:lang w:val="es-CR"/>
        </w:rPr>
        <w:t>Protocolo de San Salvador</w:t>
      </w:r>
      <w:r w:rsidR="00655ED9" w:rsidRPr="00B6232C">
        <w:rPr>
          <w:rFonts w:ascii="Verdana" w:hAnsi="Verdana"/>
          <w:sz w:val="20"/>
          <w:szCs w:val="20"/>
          <w:lang w:val="es-CR"/>
        </w:rPr>
        <w:t>”</w:t>
      </w:r>
      <w:r w:rsidR="000C3C35" w:rsidRPr="00B6232C">
        <w:rPr>
          <w:rFonts w:ascii="Verdana" w:hAnsi="Verdana"/>
          <w:sz w:val="20"/>
          <w:szCs w:val="20"/>
          <w:lang w:val="es-CR"/>
        </w:rPr>
        <w:t xml:space="preserve">, solamente los derechos </w:t>
      </w:r>
      <w:r w:rsidR="00B50D65" w:rsidRPr="00B6232C">
        <w:rPr>
          <w:rFonts w:ascii="Verdana" w:hAnsi="Verdana"/>
          <w:sz w:val="20"/>
          <w:szCs w:val="20"/>
          <w:lang w:val="es-CR"/>
        </w:rPr>
        <w:t>de los trabajadores a organizar sindicatos y a afiliarse al de su elección</w:t>
      </w:r>
      <w:r w:rsidR="000C3C35" w:rsidRPr="00B6232C">
        <w:rPr>
          <w:rFonts w:ascii="Verdana" w:hAnsi="Verdana"/>
          <w:sz w:val="20"/>
          <w:szCs w:val="20"/>
          <w:lang w:val="es-CR"/>
        </w:rPr>
        <w:t xml:space="preserve"> y </w:t>
      </w:r>
      <w:r w:rsidR="002F0B5F" w:rsidRPr="00B6232C">
        <w:rPr>
          <w:rFonts w:ascii="Verdana" w:hAnsi="Verdana"/>
          <w:sz w:val="20"/>
          <w:szCs w:val="20"/>
          <w:lang w:val="es-CR"/>
        </w:rPr>
        <w:t xml:space="preserve">el derecho </w:t>
      </w:r>
      <w:r w:rsidR="000C3C35" w:rsidRPr="00B6232C">
        <w:rPr>
          <w:rFonts w:ascii="Verdana" w:hAnsi="Verdana"/>
          <w:sz w:val="20"/>
          <w:szCs w:val="20"/>
          <w:lang w:val="es-CR"/>
        </w:rPr>
        <w:t xml:space="preserve">a </w:t>
      </w:r>
      <w:r w:rsidR="00B50D65" w:rsidRPr="00B6232C">
        <w:rPr>
          <w:rFonts w:ascii="Verdana" w:hAnsi="Verdana"/>
          <w:sz w:val="20"/>
          <w:szCs w:val="20"/>
          <w:lang w:val="es-CR"/>
        </w:rPr>
        <w:t xml:space="preserve">la </w:t>
      </w:r>
      <w:r w:rsidR="000C3C35" w:rsidRPr="00B6232C">
        <w:rPr>
          <w:rFonts w:ascii="Verdana" w:hAnsi="Verdana"/>
          <w:sz w:val="20"/>
          <w:szCs w:val="20"/>
          <w:lang w:val="es-CR"/>
        </w:rPr>
        <w:t>educación pueden ser objeto de casos contenciosos ante la</w:t>
      </w:r>
      <w:r w:rsidR="00B50D65" w:rsidRPr="00B6232C">
        <w:rPr>
          <w:rFonts w:ascii="Verdana" w:hAnsi="Verdana"/>
          <w:sz w:val="20"/>
          <w:szCs w:val="20"/>
          <w:lang w:val="es-CR"/>
        </w:rPr>
        <w:t xml:space="preserve"> Comisión o la</w:t>
      </w:r>
      <w:r w:rsidR="000C3C35" w:rsidRPr="00B6232C">
        <w:rPr>
          <w:rFonts w:ascii="Verdana" w:hAnsi="Verdana"/>
          <w:sz w:val="20"/>
          <w:szCs w:val="20"/>
          <w:lang w:val="es-CR"/>
        </w:rPr>
        <w:t xml:space="preserve"> Corte Interamericana.</w:t>
      </w:r>
      <w:r w:rsidR="00B50D65" w:rsidRPr="00B6232C">
        <w:rPr>
          <w:rFonts w:ascii="Verdana" w:hAnsi="Verdana"/>
          <w:sz w:val="20"/>
          <w:szCs w:val="20"/>
          <w:lang w:val="es-CR"/>
        </w:rPr>
        <w:t xml:space="preserve"> Asimismo, indicó que la justiciabilidad de los derechos económicos, sociales y culturales por medio de la aplicación directa del artículo 26 de la Convención Americana presenta fallas que debieron haber llevado al Tribunal a concluir su incompetencia para analizar directamente posibles violaciones al derecho al trabajo, con la consecuente aceptación de la excepción preliminar opuesta por el Estado. </w:t>
      </w:r>
      <w:r w:rsidRPr="00B6232C">
        <w:rPr>
          <w:rFonts w:ascii="Verdana" w:hAnsi="Verdana"/>
          <w:iCs/>
          <w:sz w:val="20"/>
          <w:szCs w:val="20"/>
          <w:lang w:val="es-CR"/>
        </w:rPr>
        <w:t>Finalmente solicitó que se subsane</w:t>
      </w:r>
      <w:r w:rsidR="00D9476B" w:rsidRPr="00B6232C">
        <w:rPr>
          <w:rFonts w:ascii="Verdana" w:hAnsi="Verdana"/>
          <w:iCs/>
          <w:sz w:val="20"/>
          <w:szCs w:val="20"/>
          <w:lang w:val="es-CR"/>
        </w:rPr>
        <w:t>n</w:t>
      </w:r>
      <w:r w:rsidRPr="00B6232C">
        <w:rPr>
          <w:rFonts w:ascii="Verdana" w:hAnsi="Verdana"/>
          <w:iCs/>
          <w:sz w:val="20"/>
          <w:szCs w:val="20"/>
          <w:lang w:val="es-CR"/>
        </w:rPr>
        <w:t xml:space="preserve"> la</w:t>
      </w:r>
      <w:r w:rsidR="00F651F6" w:rsidRPr="00B6232C">
        <w:rPr>
          <w:rFonts w:ascii="Verdana" w:hAnsi="Verdana"/>
          <w:iCs/>
          <w:sz w:val="20"/>
          <w:szCs w:val="20"/>
          <w:lang w:val="es-CR"/>
        </w:rPr>
        <w:t>s</w:t>
      </w:r>
      <w:r w:rsidRPr="00B6232C">
        <w:rPr>
          <w:rFonts w:ascii="Verdana" w:hAnsi="Verdana"/>
          <w:iCs/>
          <w:sz w:val="20"/>
          <w:szCs w:val="20"/>
          <w:lang w:val="es-CR"/>
        </w:rPr>
        <w:t xml:space="preserve"> “oscuridad</w:t>
      </w:r>
      <w:r w:rsidR="00F651F6" w:rsidRPr="00B6232C">
        <w:rPr>
          <w:rFonts w:ascii="Verdana" w:hAnsi="Verdana"/>
          <w:iCs/>
          <w:sz w:val="20"/>
          <w:szCs w:val="20"/>
          <w:lang w:val="es-CR"/>
        </w:rPr>
        <w:t>es</w:t>
      </w:r>
      <w:r w:rsidRPr="00B6232C">
        <w:rPr>
          <w:rFonts w:ascii="Verdana" w:hAnsi="Verdana"/>
          <w:iCs/>
          <w:sz w:val="20"/>
          <w:szCs w:val="20"/>
          <w:lang w:val="es-CR"/>
        </w:rPr>
        <w:t xml:space="preserve">” </w:t>
      </w:r>
      <w:r w:rsidR="00F651F6" w:rsidRPr="00B6232C">
        <w:rPr>
          <w:rFonts w:ascii="Verdana" w:hAnsi="Verdana"/>
          <w:iCs/>
          <w:sz w:val="20"/>
          <w:szCs w:val="20"/>
          <w:lang w:val="es-CR"/>
        </w:rPr>
        <w:t xml:space="preserve">contenidas en la Sentencia relacionadas con el Punto Resolutivo </w:t>
      </w:r>
      <w:r w:rsidR="00B168DD" w:rsidRPr="00B6232C">
        <w:rPr>
          <w:rFonts w:ascii="Verdana" w:hAnsi="Verdana"/>
          <w:iCs/>
          <w:sz w:val="20"/>
          <w:szCs w:val="20"/>
          <w:lang w:val="es-CR"/>
        </w:rPr>
        <w:t>segundo</w:t>
      </w:r>
      <w:r w:rsidR="00F651F6" w:rsidRPr="00B6232C">
        <w:rPr>
          <w:rStyle w:val="Refdenotaalpie"/>
          <w:iCs/>
          <w:sz w:val="20"/>
          <w:szCs w:val="20"/>
          <w:lang w:val="es-CR"/>
        </w:rPr>
        <w:footnoteReference w:id="7"/>
      </w:r>
      <w:r w:rsidR="00F651F6" w:rsidRPr="00B6232C">
        <w:rPr>
          <w:rFonts w:ascii="Verdana" w:hAnsi="Verdana"/>
          <w:iCs/>
          <w:sz w:val="20"/>
          <w:szCs w:val="20"/>
          <w:lang w:val="es-CR"/>
        </w:rPr>
        <w:t xml:space="preserve">, </w:t>
      </w:r>
      <w:r w:rsidRPr="00B6232C">
        <w:rPr>
          <w:rFonts w:ascii="Verdana" w:hAnsi="Verdana"/>
          <w:iCs/>
          <w:sz w:val="20"/>
          <w:szCs w:val="20"/>
          <w:lang w:val="es-CR"/>
        </w:rPr>
        <w:t xml:space="preserve">fundamentando la competencia </w:t>
      </w:r>
      <w:r w:rsidRPr="00B6232C">
        <w:rPr>
          <w:rFonts w:ascii="Verdana" w:hAnsi="Verdana"/>
          <w:i/>
          <w:iCs/>
          <w:sz w:val="20"/>
          <w:szCs w:val="20"/>
          <w:lang w:val="es-CR"/>
        </w:rPr>
        <w:t>ratione materiae</w:t>
      </w:r>
      <w:r w:rsidRPr="00B6232C">
        <w:rPr>
          <w:rFonts w:ascii="Verdana" w:hAnsi="Verdana"/>
          <w:iCs/>
          <w:sz w:val="20"/>
          <w:szCs w:val="20"/>
          <w:lang w:val="es-CR"/>
        </w:rPr>
        <w:t xml:space="preserve"> para </w:t>
      </w:r>
      <w:r w:rsidR="00415F2D" w:rsidRPr="00B6232C">
        <w:rPr>
          <w:rFonts w:ascii="Verdana" w:hAnsi="Verdana"/>
          <w:iCs/>
          <w:sz w:val="20"/>
          <w:szCs w:val="20"/>
          <w:lang w:val="es-CR"/>
        </w:rPr>
        <w:t>declarar</w:t>
      </w:r>
      <w:r w:rsidRPr="00B6232C">
        <w:rPr>
          <w:rFonts w:ascii="Verdana" w:hAnsi="Verdana"/>
          <w:iCs/>
          <w:sz w:val="20"/>
          <w:szCs w:val="20"/>
          <w:lang w:val="es-CR"/>
        </w:rPr>
        <w:t xml:space="preserve"> posibles violaciones a</w:t>
      </w:r>
      <w:r w:rsidR="00415F2D" w:rsidRPr="00B6232C">
        <w:rPr>
          <w:rFonts w:ascii="Verdana" w:hAnsi="Verdana"/>
          <w:iCs/>
          <w:sz w:val="20"/>
          <w:szCs w:val="20"/>
          <w:lang w:val="es-CR"/>
        </w:rPr>
        <w:t>l artículo 26 de la Convención Americana</w:t>
      </w:r>
      <w:r w:rsidR="00FE4054" w:rsidRPr="00B6232C">
        <w:rPr>
          <w:rFonts w:ascii="Verdana" w:hAnsi="Verdana"/>
          <w:sz w:val="20"/>
          <w:szCs w:val="20"/>
          <w:lang w:val="es-CR"/>
        </w:rPr>
        <w:t>.</w:t>
      </w:r>
    </w:p>
    <w:p w:rsidR="007B680C" w:rsidRPr="00B6232C" w:rsidRDefault="007B680C" w:rsidP="00ED5000">
      <w:pPr>
        <w:pStyle w:val="Prrafodelista"/>
        <w:spacing w:after="0" w:line="240" w:lineRule="auto"/>
        <w:ind w:left="0"/>
        <w:contextualSpacing w:val="0"/>
        <w:jc w:val="both"/>
        <w:rPr>
          <w:rFonts w:ascii="Verdana" w:hAnsi="Verdana"/>
          <w:sz w:val="20"/>
          <w:szCs w:val="20"/>
          <w:lang w:val="es-CR"/>
        </w:rPr>
      </w:pPr>
    </w:p>
    <w:p w:rsidR="007B680C" w:rsidRPr="00B6232C" w:rsidRDefault="007B680C" w:rsidP="00ED5000">
      <w:pPr>
        <w:pStyle w:val="Prrafodelista"/>
        <w:numPr>
          <w:ilvl w:val="0"/>
          <w:numId w:val="2"/>
        </w:numPr>
        <w:tabs>
          <w:tab w:val="clear" w:pos="1247"/>
        </w:tabs>
        <w:spacing w:after="0" w:line="240" w:lineRule="auto"/>
        <w:contextualSpacing w:val="0"/>
        <w:jc w:val="both"/>
        <w:rPr>
          <w:rFonts w:ascii="Verdana" w:hAnsi="Verdana"/>
          <w:sz w:val="20"/>
          <w:szCs w:val="20"/>
          <w:lang w:val="es-CR"/>
        </w:rPr>
      </w:pPr>
      <w:r w:rsidRPr="00B6232C">
        <w:rPr>
          <w:rFonts w:ascii="Verdana" w:hAnsi="Verdana"/>
          <w:sz w:val="20"/>
          <w:szCs w:val="20"/>
          <w:lang w:val="es-CR"/>
        </w:rPr>
        <w:t xml:space="preserve">Los </w:t>
      </w:r>
      <w:r w:rsidRPr="00B6232C">
        <w:rPr>
          <w:rFonts w:ascii="Verdana" w:hAnsi="Verdana"/>
          <w:b/>
          <w:i/>
          <w:sz w:val="20"/>
          <w:szCs w:val="20"/>
          <w:lang w:val="es-CR"/>
        </w:rPr>
        <w:t xml:space="preserve">representantes </w:t>
      </w:r>
      <w:r w:rsidRPr="00B6232C">
        <w:rPr>
          <w:rFonts w:ascii="Verdana" w:hAnsi="Verdana"/>
          <w:sz w:val="20"/>
          <w:szCs w:val="20"/>
          <w:lang w:val="es-CR"/>
        </w:rPr>
        <w:t>afirmaron que</w:t>
      </w:r>
      <w:r w:rsidR="002C067C" w:rsidRPr="00B6232C">
        <w:rPr>
          <w:rFonts w:ascii="Verdana" w:hAnsi="Verdana"/>
          <w:sz w:val="20"/>
          <w:szCs w:val="20"/>
          <w:lang w:val="es-CR"/>
        </w:rPr>
        <w:t xml:space="preserve"> los puntos que han sido objeto de la solicitud de interpretación de la Sentencia por parte del Estado son en realidad objeciones a cuestiones de fondo del referido fallo, </w:t>
      </w:r>
      <w:r w:rsidR="00E1039F" w:rsidRPr="00B6232C">
        <w:rPr>
          <w:rFonts w:ascii="Verdana" w:hAnsi="Verdana"/>
          <w:sz w:val="20"/>
          <w:szCs w:val="20"/>
          <w:lang w:val="es-CR"/>
        </w:rPr>
        <w:t>por lo que no</w:t>
      </w:r>
      <w:r w:rsidR="002C067C" w:rsidRPr="00B6232C">
        <w:rPr>
          <w:rFonts w:ascii="Verdana" w:hAnsi="Verdana"/>
          <w:sz w:val="20"/>
          <w:szCs w:val="20"/>
          <w:lang w:val="es-CR"/>
        </w:rPr>
        <w:t xml:space="preserve"> debería</w:t>
      </w:r>
      <w:r w:rsidR="00E1039F" w:rsidRPr="00B6232C">
        <w:rPr>
          <w:rFonts w:ascii="Verdana" w:hAnsi="Verdana"/>
          <w:sz w:val="20"/>
          <w:szCs w:val="20"/>
          <w:lang w:val="es-CR"/>
        </w:rPr>
        <w:t>n</w:t>
      </w:r>
      <w:r w:rsidR="002C067C" w:rsidRPr="00B6232C">
        <w:rPr>
          <w:rFonts w:ascii="Verdana" w:hAnsi="Verdana"/>
          <w:sz w:val="20"/>
          <w:szCs w:val="20"/>
          <w:lang w:val="es-CR"/>
        </w:rPr>
        <w:t xml:space="preserve"> prosperar, </w:t>
      </w:r>
      <w:r w:rsidR="00E1039F" w:rsidRPr="00B6232C">
        <w:rPr>
          <w:rFonts w:ascii="Verdana" w:hAnsi="Verdana"/>
          <w:sz w:val="20"/>
          <w:szCs w:val="20"/>
          <w:lang w:val="es-CR"/>
        </w:rPr>
        <w:t xml:space="preserve">toda </w:t>
      </w:r>
      <w:r w:rsidR="002C067C" w:rsidRPr="00B6232C">
        <w:rPr>
          <w:rFonts w:ascii="Verdana" w:hAnsi="Verdana"/>
          <w:sz w:val="20"/>
          <w:szCs w:val="20"/>
          <w:lang w:val="es-CR"/>
        </w:rPr>
        <w:t>vez que las sentencia</w:t>
      </w:r>
      <w:r w:rsidR="00E1039F" w:rsidRPr="00B6232C">
        <w:rPr>
          <w:rFonts w:ascii="Verdana" w:hAnsi="Verdana"/>
          <w:sz w:val="20"/>
          <w:szCs w:val="20"/>
          <w:lang w:val="es-CR"/>
        </w:rPr>
        <w:t>s</w:t>
      </w:r>
      <w:r w:rsidR="002C067C" w:rsidRPr="00B6232C">
        <w:rPr>
          <w:rFonts w:ascii="Verdana" w:hAnsi="Verdana"/>
          <w:sz w:val="20"/>
          <w:szCs w:val="20"/>
          <w:lang w:val="es-CR"/>
        </w:rPr>
        <w:t xml:space="preserve"> de la Corte no pueden ser objeto de recurso.</w:t>
      </w:r>
      <w:r w:rsidRPr="00B6232C">
        <w:rPr>
          <w:rFonts w:ascii="Verdana" w:hAnsi="Verdana"/>
          <w:sz w:val="20"/>
          <w:szCs w:val="20"/>
          <w:lang w:val="es-CR"/>
        </w:rPr>
        <w:t xml:space="preserve"> </w:t>
      </w:r>
    </w:p>
    <w:p w:rsidR="007B680C" w:rsidRPr="00B6232C" w:rsidRDefault="007B680C" w:rsidP="00ED5000">
      <w:pPr>
        <w:pStyle w:val="Prrafodelista"/>
        <w:spacing w:after="0" w:line="240" w:lineRule="auto"/>
        <w:contextualSpacing w:val="0"/>
        <w:rPr>
          <w:rFonts w:ascii="Verdana" w:hAnsi="Verdana"/>
          <w:sz w:val="20"/>
          <w:szCs w:val="20"/>
          <w:lang w:val="es-CR"/>
        </w:rPr>
      </w:pPr>
    </w:p>
    <w:p w:rsidR="007B680C" w:rsidRPr="00B6232C" w:rsidRDefault="007B680C" w:rsidP="00ED5000">
      <w:pPr>
        <w:pStyle w:val="Prrafodelista"/>
        <w:numPr>
          <w:ilvl w:val="0"/>
          <w:numId w:val="2"/>
        </w:numPr>
        <w:tabs>
          <w:tab w:val="clear" w:pos="1247"/>
        </w:tabs>
        <w:spacing w:after="0" w:line="240" w:lineRule="auto"/>
        <w:contextualSpacing w:val="0"/>
        <w:jc w:val="both"/>
        <w:rPr>
          <w:rFonts w:ascii="Verdana" w:hAnsi="Verdana"/>
          <w:sz w:val="20"/>
          <w:szCs w:val="20"/>
          <w:lang w:val="es-CR"/>
        </w:rPr>
      </w:pPr>
      <w:r w:rsidRPr="00B6232C">
        <w:rPr>
          <w:rFonts w:ascii="Verdana" w:hAnsi="Verdana"/>
          <w:sz w:val="20"/>
          <w:szCs w:val="20"/>
          <w:lang w:val="es-CR"/>
        </w:rPr>
        <w:t xml:space="preserve">La </w:t>
      </w:r>
      <w:r w:rsidRPr="00B6232C">
        <w:rPr>
          <w:rFonts w:ascii="Verdana" w:hAnsi="Verdana"/>
          <w:b/>
          <w:i/>
          <w:sz w:val="20"/>
          <w:szCs w:val="20"/>
          <w:lang w:val="es-CR"/>
        </w:rPr>
        <w:t>Comisión</w:t>
      </w:r>
      <w:r w:rsidRPr="00B6232C">
        <w:rPr>
          <w:rFonts w:ascii="Verdana" w:hAnsi="Verdana"/>
          <w:sz w:val="20"/>
          <w:szCs w:val="20"/>
          <w:lang w:val="es-CR"/>
        </w:rPr>
        <w:t xml:space="preserve"> </w:t>
      </w:r>
      <w:r w:rsidR="001747ED" w:rsidRPr="00B6232C">
        <w:rPr>
          <w:rFonts w:ascii="Verdana" w:hAnsi="Verdana"/>
          <w:sz w:val="20"/>
          <w:szCs w:val="20"/>
          <w:lang w:val="es-CR"/>
        </w:rPr>
        <w:t>señaló</w:t>
      </w:r>
      <w:r w:rsidR="00874A9D" w:rsidRPr="00B6232C">
        <w:rPr>
          <w:rFonts w:ascii="Verdana" w:hAnsi="Verdana"/>
          <w:sz w:val="20"/>
          <w:szCs w:val="20"/>
          <w:lang w:val="es-CR"/>
        </w:rPr>
        <w:t xml:space="preserve"> que, según el párrafo 21 de la Sentencia, el Estado presentó cuestionamiento semejante en sus alegatos sobre el caso, de modo que el tema fue evaluado</w:t>
      </w:r>
      <w:r w:rsidR="00E1039F" w:rsidRPr="00B6232C">
        <w:rPr>
          <w:rFonts w:ascii="Verdana" w:hAnsi="Verdana"/>
          <w:sz w:val="20"/>
          <w:szCs w:val="20"/>
          <w:lang w:val="es-CR"/>
        </w:rPr>
        <w:t xml:space="preserve"> y</w:t>
      </w:r>
      <w:r w:rsidR="00874A9D" w:rsidRPr="00B6232C">
        <w:rPr>
          <w:rFonts w:ascii="Verdana" w:hAnsi="Verdana"/>
          <w:sz w:val="20"/>
          <w:szCs w:val="20"/>
          <w:lang w:val="es-CR"/>
        </w:rPr>
        <w:t xml:space="preserve"> resuelto de forma clara por la Corte en el párrafo 23 de la Sentencia.</w:t>
      </w:r>
    </w:p>
    <w:p w:rsidR="007B680C" w:rsidRPr="00B6232C" w:rsidRDefault="007B680C" w:rsidP="00ED5000">
      <w:pPr>
        <w:pStyle w:val="Prrafodelista"/>
        <w:spacing w:after="0" w:line="240" w:lineRule="auto"/>
        <w:ind w:left="0"/>
        <w:contextualSpacing w:val="0"/>
        <w:jc w:val="both"/>
        <w:rPr>
          <w:rFonts w:ascii="Verdana" w:hAnsi="Verdana"/>
          <w:sz w:val="20"/>
          <w:szCs w:val="20"/>
          <w:lang w:val="es-CR"/>
        </w:rPr>
      </w:pPr>
    </w:p>
    <w:p w:rsidR="007B680C" w:rsidRPr="00B6232C" w:rsidRDefault="0085606E" w:rsidP="00EA241D">
      <w:pPr>
        <w:pStyle w:val="Ttulo3"/>
        <w:rPr>
          <w:lang w:val="es-CR"/>
        </w:rPr>
      </w:pPr>
      <w:r w:rsidRPr="00B6232C">
        <w:rPr>
          <w:lang w:val="es-CR"/>
        </w:rPr>
        <w:t>A</w:t>
      </w:r>
      <w:r w:rsidR="007B680C" w:rsidRPr="00B6232C">
        <w:rPr>
          <w:lang w:val="es-CR"/>
        </w:rPr>
        <w:t>.2. Consideraciones de la Corte</w:t>
      </w:r>
    </w:p>
    <w:p w:rsidR="007B680C" w:rsidRPr="00B6232C" w:rsidRDefault="007B680C" w:rsidP="00AE0DC6">
      <w:pPr>
        <w:pStyle w:val="Prrafodelista"/>
        <w:spacing w:after="0" w:line="240" w:lineRule="auto"/>
        <w:ind w:left="0"/>
        <w:contextualSpacing w:val="0"/>
        <w:jc w:val="both"/>
        <w:rPr>
          <w:rFonts w:ascii="Verdana" w:hAnsi="Verdana"/>
          <w:sz w:val="20"/>
          <w:szCs w:val="20"/>
          <w:lang w:val="es-CR"/>
        </w:rPr>
      </w:pPr>
    </w:p>
    <w:p w:rsidR="00304354" w:rsidRPr="00B6232C" w:rsidRDefault="00304354" w:rsidP="00ED5000">
      <w:pPr>
        <w:pStyle w:val="Prrafodelista"/>
        <w:numPr>
          <w:ilvl w:val="0"/>
          <w:numId w:val="2"/>
        </w:numPr>
        <w:tabs>
          <w:tab w:val="clear" w:pos="1247"/>
        </w:tabs>
        <w:spacing w:after="0" w:line="240" w:lineRule="auto"/>
        <w:contextualSpacing w:val="0"/>
        <w:jc w:val="both"/>
        <w:rPr>
          <w:rFonts w:ascii="Verdana" w:hAnsi="Verdana"/>
          <w:sz w:val="20"/>
          <w:szCs w:val="20"/>
          <w:lang w:val="es-CR"/>
        </w:rPr>
      </w:pPr>
      <w:r w:rsidRPr="00B6232C">
        <w:rPr>
          <w:rFonts w:ascii="Verdana" w:hAnsi="Verdana"/>
          <w:sz w:val="20"/>
          <w:szCs w:val="20"/>
          <w:lang w:val="es-CR"/>
        </w:rPr>
        <w:t>La Corte reitera que considera</w:t>
      </w:r>
      <w:r w:rsidRPr="00B6232C">
        <w:rPr>
          <w:rFonts w:ascii="Verdana" w:hAnsi="Verdana" w:cs="Verdana"/>
          <w:sz w:val="20"/>
          <w:szCs w:val="20"/>
          <w:lang w:val="es-CR"/>
        </w:rPr>
        <w:t xml:space="preserve"> improcedente utilizar una solicitud de interpretación para someter cuestiones de hecho y de derecho que ya fueron planteadas en su oportunidad procesal y sobre las cuales la Corte ya adoptó una decisión.</w:t>
      </w:r>
    </w:p>
    <w:p w:rsidR="00304354" w:rsidRPr="00B6232C" w:rsidRDefault="00304354" w:rsidP="00EA241D">
      <w:pPr>
        <w:pStyle w:val="Prrafodelista"/>
        <w:spacing w:after="0" w:line="240" w:lineRule="auto"/>
        <w:ind w:left="0"/>
        <w:contextualSpacing w:val="0"/>
        <w:jc w:val="both"/>
        <w:rPr>
          <w:rFonts w:ascii="Verdana" w:hAnsi="Verdana"/>
          <w:sz w:val="20"/>
          <w:szCs w:val="20"/>
          <w:lang w:val="es-CR"/>
        </w:rPr>
      </w:pPr>
    </w:p>
    <w:p w:rsidR="00304354" w:rsidRPr="00B6232C" w:rsidRDefault="00304354" w:rsidP="00EA241D">
      <w:pPr>
        <w:pStyle w:val="Prrafodelista"/>
        <w:numPr>
          <w:ilvl w:val="0"/>
          <w:numId w:val="2"/>
        </w:numPr>
        <w:tabs>
          <w:tab w:val="clear" w:pos="1247"/>
          <w:tab w:val="num" w:pos="142"/>
        </w:tabs>
        <w:spacing w:after="0" w:line="240" w:lineRule="auto"/>
        <w:contextualSpacing w:val="0"/>
        <w:jc w:val="both"/>
        <w:rPr>
          <w:rFonts w:ascii="Verdana" w:hAnsi="Verdana"/>
          <w:sz w:val="20"/>
          <w:szCs w:val="20"/>
          <w:lang w:val="es-CR"/>
        </w:rPr>
      </w:pPr>
      <w:r w:rsidRPr="00B6232C">
        <w:rPr>
          <w:rFonts w:ascii="Verdana" w:hAnsi="Verdana"/>
          <w:sz w:val="20"/>
          <w:szCs w:val="20"/>
          <w:lang w:val="es-CR"/>
        </w:rPr>
        <w:t>Sobre la alegada incompetencia de la Corte para conocer sobre violaciones al derecho al trabajo y al artículo 26 de la Convención</w:t>
      </w:r>
      <w:r w:rsidR="002F0B5F" w:rsidRPr="00B6232C">
        <w:rPr>
          <w:rFonts w:ascii="Verdana" w:hAnsi="Verdana"/>
          <w:sz w:val="20"/>
          <w:szCs w:val="20"/>
          <w:lang w:val="es-CR"/>
        </w:rPr>
        <w:t>,</w:t>
      </w:r>
      <w:r w:rsidRPr="00B6232C">
        <w:rPr>
          <w:rFonts w:ascii="Verdana" w:hAnsi="Verdana"/>
          <w:sz w:val="20"/>
          <w:szCs w:val="20"/>
          <w:lang w:val="es-CR"/>
        </w:rPr>
        <w:t xml:space="preserve"> e</w:t>
      </w:r>
      <w:r w:rsidR="007B680C" w:rsidRPr="00B6232C">
        <w:rPr>
          <w:rFonts w:ascii="Verdana" w:hAnsi="Verdana"/>
          <w:sz w:val="20"/>
          <w:szCs w:val="20"/>
          <w:lang w:val="es-CR"/>
        </w:rPr>
        <w:t xml:space="preserve">l Estado interpuso una excepción </w:t>
      </w:r>
      <w:r w:rsidR="007B680C" w:rsidRPr="00B6232C">
        <w:rPr>
          <w:rFonts w:ascii="Verdana" w:hAnsi="Verdana"/>
          <w:i/>
          <w:sz w:val="20"/>
          <w:szCs w:val="20"/>
          <w:lang w:val="es-CR"/>
        </w:rPr>
        <w:t>ratione materiae</w:t>
      </w:r>
      <w:r w:rsidR="007B680C" w:rsidRPr="00B6232C">
        <w:rPr>
          <w:rFonts w:ascii="Verdana" w:hAnsi="Verdana"/>
          <w:sz w:val="20"/>
          <w:szCs w:val="20"/>
          <w:lang w:val="es-CR"/>
        </w:rPr>
        <w:t xml:space="preserve">, la cual fue </w:t>
      </w:r>
      <w:r w:rsidRPr="00B6232C">
        <w:rPr>
          <w:rFonts w:ascii="Verdana" w:hAnsi="Verdana"/>
          <w:sz w:val="20"/>
          <w:szCs w:val="20"/>
          <w:lang w:val="es-CR"/>
        </w:rPr>
        <w:t>desestimada</w:t>
      </w:r>
      <w:r w:rsidR="007B680C" w:rsidRPr="00B6232C">
        <w:rPr>
          <w:rFonts w:ascii="Verdana" w:hAnsi="Verdana"/>
          <w:sz w:val="20"/>
          <w:szCs w:val="20"/>
          <w:lang w:val="es-CR"/>
        </w:rPr>
        <w:t xml:space="preserve">. </w:t>
      </w:r>
      <w:r w:rsidR="009116EF" w:rsidRPr="00B6232C">
        <w:rPr>
          <w:rFonts w:ascii="Verdana" w:hAnsi="Verdana"/>
          <w:sz w:val="20"/>
          <w:szCs w:val="20"/>
          <w:lang w:val="es-CR"/>
        </w:rPr>
        <w:t xml:space="preserve">En </w:t>
      </w:r>
      <w:r w:rsidRPr="00B6232C">
        <w:rPr>
          <w:rFonts w:ascii="Verdana" w:hAnsi="Verdana"/>
          <w:sz w:val="20"/>
          <w:szCs w:val="20"/>
          <w:lang w:val="es-CR"/>
        </w:rPr>
        <w:t>el párrafo 23 de la Sentencia</w:t>
      </w:r>
      <w:r w:rsidR="00F34918" w:rsidRPr="00B6232C">
        <w:rPr>
          <w:rFonts w:ascii="Verdana" w:hAnsi="Verdana"/>
          <w:sz w:val="20"/>
          <w:szCs w:val="20"/>
          <w:lang w:val="es-CR"/>
        </w:rPr>
        <w:t>,</w:t>
      </w:r>
      <w:r w:rsidRPr="00B6232C">
        <w:rPr>
          <w:rFonts w:ascii="Verdana" w:hAnsi="Verdana"/>
          <w:sz w:val="20"/>
          <w:szCs w:val="20"/>
          <w:lang w:val="es-CR"/>
        </w:rPr>
        <w:t xml:space="preserve"> la Corte se declaró competente para conocer y resolver controversias relativas al artículo 26 de la Convención Americana como parte integrante de los derechos enumerados en su texto y para declarar la responsabilidad de un Estado que haya dado su consentimiento para obligarse por la Convención y haya aceptado, además, la competencia de la Corte Interamericana.</w:t>
      </w:r>
    </w:p>
    <w:p w:rsidR="00304354" w:rsidRPr="00B6232C" w:rsidRDefault="00304354" w:rsidP="00EA241D">
      <w:pPr>
        <w:pStyle w:val="Prrafodelista"/>
        <w:tabs>
          <w:tab w:val="num" w:pos="142"/>
        </w:tabs>
        <w:spacing w:after="0" w:line="240" w:lineRule="auto"/>
        <w:ind w:left="0"/>
        <w:contextualSpacing w:val="0"/>
        <w:jc w:val="both"/>
        <w:rPr>
          <w:rFonts w:ascii="Verdana" w:hAnsi="Verdana"/>
          <w:sz w:val="20"/>
          <w:szCs w:val="20"/>
          <w:lang w:val="es-CR"/>
        </w:rPr>
      </w:pPr>
    </w:p>
    <w:p w:rsidR="008B00D8" w:rsidRPr="00B6232C" w:rsidRDefault="0022281D" w:rsidP="00EA241D">
      <w:pPr>
        <w:pStyle w:val="Prrafodelista"/>
        <w:numPr>
          <w:ilvl w:val="0"/>
          <w:numId w:val="2"/>
        </w:numPr>
        <w:tabs>
          <w:tab w:val="clear" w:pos="1247"/>
          <w:tab w:val="num" w:pos="142"/>
        </w:tabs>
        <w:spacing w:after="0" w:line="240" w:lineRule="auto"/>
        <w:contextualSpacing w:val="0"/>
        <w:jc w:val="both"/>
        <w:rPr>
          <w:rFonts w:ascii="Verdana" w:hAnsi="Verdana"/>
          <w:sz w:val="20"/>
          <w:szCs w:val="20"/>
          <w:lang w:val="es-CR"/>
        </w:rPr>
      </w:pPr>
      <w:r w:rsidRPr="00B6232C">
        <w:rPr>
          <w:rFonts w:ascii="Verdana" w:hAnsi="Verdana" w:cs="Verdana"/>
          <w:sz w:val="20"/>
          <w:szCs w:val="20"/>
          <w:lang w:val="es-CR"/>
        </w:rPr>
        <w:t>L</w:t>
      </w:r>
      <w:r w:rsidR="007B680C" w:rsidRPr="00B6232C">
        <w:rPr>
          <w:rFonts w:ascii="Verdana" w:hAnsi="Verdana" w:cs="Verdana"/>
          <w:sz w:val="20"/>
          <w:szCs w:val="20"/>
          <w:lang w:val="es-CR"/>
        </w:rPr>
        <w:t xml:space="preserve">a Corte considera que </w:t>
      </w:r>
      <w:r w:rsidRPr="00B6232C">
        <w:rPr>
          <w:rFonts w:ascii="Verdana" w:hAnsi="Verdana" w:cs="Verdana"/>
          <w:sz w:val="20"/>
          <w:szCs w:val="20"/>
          <w:lang w:val="es-CR"/>
        </w:rPr>
        <w:t xml:space="preserve">la redacción del párrafo 23 </w:t>
      </w:r>
      <w:r w:rsidR="002434E8" w:rsidRPr="00B6232C">
        <w:rPr>
          <w:rFonts w:ascii="Verdana" w:hAnsi="Verdana" w:cs="Verdana"/>
          <w:sz w:val="20"/>
          <w:szCs w:val="20"/>
          <w:lang w:val="es-CR"/>
        </w:rPr>
        <w:t xml:space="preserve">y de las notas al pie de página 25 y 26 </w:t>
      </w:r>
      <w:r w:rsidRPr="00B6232C">
        <w:rPr>
          <w:rFonts w:ascii="Verdana" w:hAnsi="Verdana" w:cs="Verdana"/>
          <w:sz w:val="20"/>
          <w:szCs w:val="20"/>
          <w:lang w:val="es-CR"/>
        </w:rPr>
        <w:t xml:space="preserve">de la Sentencia es absolutamente clara al reiterar su constante jurisprudencia, de más de </w:t>
      </w:r>
      <w:r w:rsidR="0092145F" w:rsidRPr="00B6232C">
        <w:rPr>
          <w:rFonts w:ascii="Verdana" w:hAnsi="Verdana" w:cs="Verdana"/>
          <w:sz w:val="20"/>
          <w:szCs w:val="20"/>
          <w:lang w:val="es-CR"/>
        </w:rPr>
        <w:t>diez</w:t>
      </w:r>
      <w:r w:rsidRPr="00B6232C">
        <w:rPr>
          <w:rFonts w:ascii="Verdana" w:hAnsi="Verdana" w:cs="Verdana"/>
          <w:sz w:val="20"/>
          <w:szCs w:val="20"/>
          <w:lang w:val="es-CR"/>
        </w:rPr>
        <w:t xml:space="preserve"> casos, en los cuales el Tribunal </w:t>
      </w:r>
      <w:r w:rsidR="00E1039F" w:rsidRPr="00B6232C">
        <w:rPr>
          <w:rFonts w:ascii="Verdana" w:hAnsi="Verdana" w:cs="Verdana"/>
          <w:sz w:val="20"/>
          <w:szCs w:val="20"/>
          <w:lang w:val="es-CR"/>
        </w:rPr>
        <w:t xml:space="preserve">ha afirmado </w:t>
      </w:r>
      <w:r w:rsidRPr="00B6232C">
        <w:rPr>
          <w:rFonts w:ascii="Verdana" w:hAnsi="Verdana" w:cs="Verdana"/>
          <w:sz w:val="20"/>
          <w:szCs w:val="20"/>
          <w:lang w:val="es-CR"/>
        </w:rPr>
        <w:t>su competencia para conocer y resolver controversias relativas al artículo 26 de la Convención Americana</w:t>
      </w:r>
      <w:r w:rsidR="00E1039F" w:rsidRPr="00B6232C">
        <w:rPr>
          <w:rFonts w:ascii="Verdana" w:hAnsi="Verdana" w:cs="Verdana"/>
          <w:sz w:val="20"/>
          <w:szCs w:val="20"/>
          <w:lang w:val="es-CR"/>
        </w:rPr>
        <w:t>,</w:t>
      </w:r>
      <w:r w:rsidRPr="00B6232C">
        <w:rPr>
          <w:rFonts w:ascii="Verdana" w:hAnsi="Verdana" w:cs="Verdana"/>
          <w:sz w:val="20"/>
          <w:szCs w:val="20"/>
          <w:lang w:val="es-CR"/>
        </w:rPr>
        <w:t xml:space="preserve"> como parte integrante de los derechos enumerados en su text</w:t>
      </w:r>
      <w:r w:rsidR="00946469" w:rsidRPr="00B6232C">
        <w:rPr>
          <w:lang w:val="es-CR"/>
        </w:rPr>
        <w:t xml:space="preserve">o. </w:t>
      </w:r>
      <w:r w:rsidR="00946469" w:rsidRPr="00B6232C">
        <w:rPr>
          <w:rFonts w:ascii="Verdana" w:hAnsi="Verdana" w:cs="Verdana"/>
          <w:sz w:val="20"/>
          <w:szCs w:val="20"/>
          <w:lang w:val="es-CR"/>
        </w:rPr>
        <w:t xml:space="preserve">En este sentido, la Corte advierte que, bajo la apariencia de una solicitud de interpretación, la posición del Estado evidencia una discrepancia con lo considerado y resuelto por la Corte, ya que pretende que se revise la competencia de la Corte para declarar violaciones </w:t>
      </w:r>
      <w:r w:rsidR="00E75800" w:rsidRPr="00B6232C">
        <w:rPr>
          <w:rFonts w:ascii="Verdana" w:hAnsi="Verdana" w:cs="Verdana"/>
          <w:sz w:val="20"/>
          <w:szCs w:val="20"/>
          <w:lang w:val="es-CR"/>
        </w:rPr>
        <w:t>a</w:t>
      </w:r>
      <w:r w:rsidR="00946469" w:rsidRPr="00B6232C">
        <w:rPr>
          <w:rFonts w:ascii="Verdana" w:hAnsi="Verdana" w:cs="Verdana"/>
          <w:sz w:val="20"/>
          <w:szCs w:val="20"/>
          <w:lang w:val="es-CR"/>
        </w:rPr>
        <w:t xml:space="preserve">l derecho al trabajo, </w:t>
      </w:r>
      <w:r w:rsidR="00DE59B0" w:rsidRPr="00B6232C">
        <w:rPr>
          <w:rFonts w:ascii="Verdana" w:hAnsi="Verdana" w:cs="Verdana"/>
          <w:sz w:val="20"/>
          <w:szCs w:val="20"/>
          <w:lang w:val="es-CR"/>
        </w:rPr>
        <w:t>extremo sobre el</w:t>
      </w:r>
      <w:r w:rsidR="00946469" w:rsidRPr="00B6232C">
        <w:rPr>
          <w:rFonts w:ascii="Verdana" w:hAnsi="Verdana" w:cs="Verdana"/>
          <w:sz w:val="20"/>
          <w:szCs w:val="20"/>
          <w:lang w:val="es-CR"/>
        </w:rPr>
        <w:t xml:space="preserve"> cual este Tribunal ya adoptó una decisión, la cual está ampliamente expuesta no sólo al resolver la excepción preliminar planteada por el Estado sino también en el F</w:t>
      </w:r>
      <w:r w:rsidR="00DE59B0" w:rsidRPr="00B6232C">
        <w:rPr>
          <w:rFonts w:ascii="Verdana" w:hAnsi="Verdana" w:cs="Verdana"/>
          <w:sz w:val="20"/>
          <w:szCs w:val="20"/>
          <w:lang w:val="es-CR"/>
        </w:rPr>
        <w:t>ondo de la Sentencia</w:t>
      </w:r>
      <w:r w:rsidR="00946469" w:rsidRPr="00B6232C">
        <w:rPr>
          <w:rFonts w:ascii="Verdana" w:hAnsi="Verdana" w:cs="Verdana"/>
          <w:sz w:val="20"/>
          <w:szCs w:val="20"/>
          <w:lang w:val="es-CR"/>
        </w:rPr>
        <w:t xml:space="preserve">, </w:t>
      </w:r>
      <w:r w:rsidR="00E75800" w:rsidRPr="00B6232C">
        <w:rPr>
          <w:rFonts w:ascii="Verdana" w:hAnsi="Verdana" w:cs="Verdana"/>
          <w:sz w:val="20"/>
          <w:szCs w:val="20"/>
          <w:lang w:val="es-CR"/>
        </w:rPr>
        <w:t>en el</w:t>
      </w:r>
      <w:r w:rsidR="00DE59B0" w:rsidRPr="00B6232C">
        <w:rPr>
          <w:rFonts w:ascii="Verdana" w:hAnsi="Verdana" w:cs="Verdana"/>
          <w:sz w:val="20"/>
          <w:szCs w:val="20"/>
          <w:lang w:val="es-CR"/>
        </w:rPr>
        <w:t xml:space="preserve"> párrafo 155 y siguientes.</w:t>
      </w:r>
    </w:p>
    <w:p w:rsidR="008B00D8" w:rsidRPr="00B6232C" w:rsidRDefault="008B00D8" w:rsidP="00EA241D">
      <w:pPr>
        <w:pStyle w:val="Prrafodelista"/>
        <w:tabs>
          <w:tab w:val="num" w:pos="142"/>
        </w:tabs>
        <w:spacing w:after="0" w:line="240" w:lineRule="auto"/>
        <w:rPr>
          <w:rFonts w:ascii="Verdana" w:hAnsi="Verdana" w:cs="Verdana"/>
          <w:sz w:val="20"/>
          <w:szCs w:val="20"/>
          <w:lang w:val="es-CR"/>
        </w:rPr>
      </w:pPr>
    </w:p>
    <w:p w:rsidR="007B680C" w:rsidRPr="00B6232C" w:rsidRDefault="007B680C" w:rsidP="00AE0DC6">
      <w:pPr>
        <w:pStyle w:val="Prrafodelista"/>
        <w:numPr>
          <w:ilvl w:val="0"/>
          <w:numId w:val="2"/>
        </w:numPr>
        <w:tabs>
          <w:tab w:val="clear" w:pos="1247"/>
          <w:tab w:val="num" w:pos="142"/>
        </w:tabs>
        <w:spacing w:after="0" w:line="240" w:lineRule="auto"/>
        <w:contextualSpacing w:val="0"/>
        <w:jc w:val="both"/>
        <w:rPr>
          <w:rFonts w:ascii="Verdana" w:hAnsi="Verdana"/>
          <w:sz w:val="20"/>
          <w:szCs w:val="20"/>
          <w:lang w:val="es-CR"/>
        </w:rPr>
      </w:pPr>
      <w:r w:rsidRPr="00B6232C">
        <w:rPr>
          <w:rFonts w:ascii="Verdana" w:hAnsi="Verdana" w:cs="Verdana"/>
          <w:sz w:val="20"/>
          <w:szCs w:val="20"/>
          <w:lang w:val="es-CR"/>
        </w:rPr>
        <w:t>El propósito de la interpretación debe ser aclarar algún punto impreciso o ambiguo sobre el sentido o alcance de la Sentencia, y no plantear</w:t>
      </w:r>
      <w:r w:rsidR="00526B21" w:rsidRPr="00B6232C">
        <w:rPr>
          <w:rFonts w:ascii="Verdana" w:hAnsi="Verdana" w:cs="Verdana"/>
          <w:sz w:val="20"/>
          <w:szCs w:val="20"/>
          <w:lang w:val="es-CR"/>
        </w:rPr>
        <w:t xml:space="preserve"> nuevamente</w:t>
      </w:r>
      <w:r w:rsidRPr="00B6232C">
        <w:rPr>
          <w:rFonts w:ascii="Verdana" w:hAnsi="Verdana" w:cs="Verdana"/>
          <w:sz w:val="20"/>
          <w:szCs w:val="20"/>
          <w:lang w:val="es-CR"/>
        </w:rPr>
        <w:t xml:space="preserve"> cuestiones </w:t>
      </w:r>
      <w:r w:rsidR="00526B21" w:rsidRPr="00B6232C">
        <w:rPr>
          <w:rFonts w:ascii="Verdana" w:hAnsi="Verdana" w:cs="Verdana"/>
          <w:sz w:val="20"/>
          <w:szCs w:val="20"/>
          <w:lang w:val="es-CR"/>
        </w:rPr>
        <w:t xml:space="preserve">que </w:t>
      </w:r>
      <w:r w:rsidRPr="00B6232C">
        <w:rPr>
          <w:rFonts w:ascii="Verdana" w:hAnsi="Verdana" w:cs="Verdana"/>
          <w:sz w:val="20"/>
          <w:szCs w:val="20"/>
          <w:lang w:val="es-CR"/>
        </w:rPr>
        <w:t xml:space="preserve">ya </w:t>
      </w:r>
      <w:r w:rsidR="00526B21" w:rsidRPr="00B6232C">
        <w:rPr>
          <w:rFonts w:ascii="Verdana" w:hAnsi="Verdana" w:cs="Verdana"/>
          <w:sz w:val="20"/>
          <w:szCs w:val="20"/>
          <w:lang w:val="es-CR"/>
        </w:rPr>
        <w:t xml:space="preserve">fueron </w:t>
      </w:r>
      <w:r w:rsidRPr="00B6232C">
        <w:rPr>
          <w:rFonts w:ascii="Verdana" w:hAnsi="Verdana" w:cs="Verdana"/>
          <w:sz w:val="20"/>
          <w:szCs w:val="20"/>
          <w:lang w:val="es-CR"/>
        </w:rPr>
        <w:t xml:space="preserve">resueltas, razón por la cual </w:t>
      </w:r>
      <w:r w:rsidR="0047202F" w:rsidRPr="00B6232C">
        <w:rPr>
          <w:rFonts w:ascii="Verdana" w:hAnsi="Verdana" w:cs="Verdana"/>
          <w:sz w:val="20"/>
          <w:szCs w:val="20"/>
          <w:lang w:val="es-CR"/>
        </w:rPr>
        <w:t>l</w:t>
      </w:r>
      <w:r w:rsidRPr="00B6232C">
        <w:rPr>
          <w:rFonts w:ascii="Verdana" w:hAnsi="Verdana" w:cs="Verdana"/>
          <w:sz w:val="20"/>
          <w:szCs w:val="20"/>
          <w:lang w:val="es-CR"/>
        </w:rPr>
        <w:t>a Corte declara improcedente esta solicitud de interpretación.</w:t>
      </w:r>
    </w:p>
    <w:p w:rsidR="007B680C" w:rsidRPr="00B6232C" w:rsidRDefault="007B680C" w:rsidP="00ED5000">
      <w:pPr>
        <w:pStyle w:val="Prrafodelista"/>
        <w:spacing w:after="0" w:line="240" w:lineRule="auto"/>
        <w:ind w:left="0"/>
        <w:contextualSpacing w:val="0"/>
        <w:jc w:val="both"/>
        <w:rPr>
          <w:rFonts w:ascii="Verdana" w:hAnsi="Verdana"/>
          <w:sz w:val="20"/>
          <w:szCs w:val="20"/>
          <w:lang w:val="es-CR"/>
        </w:rPr>
      </w:pPr>
    </w:p>
    <w:p w:rsidR="00FD6A38" w:rsidRPr="00B6232C" w:rsidRDefault="00FD6A38" w:rsidP="00EA241D">
      <w:pPr>
        <w:pStyle w:val="Ttulo2"/>
        <w:rPr>
          <w:i/>
        </w:rPr>
      </w:pPr>
      <w:r w:rsidRPr="00B6232C">
        <w:t>El pago de las indemnizaciones por daños materiales e inmateriales</w:t>
      </w:r>
    </w:p>
    <w:p w:rsidR="00FD6A38" w:rsidRPr="00B6232C" w:rsidRDefault="00FD6A38" w:rsidP="00EA241D">
      <w:pPr>
        <w:pStyle w:val="Prrafodelista"/>
        <w:spacing w:after="0" w:line="240" w:lineRule="auto"/>
        <w:ind w:left="0"/>
        <w:contextualSpacing w:val="0"/>
        <w:jc w:val="both"/>
        <w:rPr>
          <w:rFonts w:ascii="Verdana" w:hAnsi="Verdana"/>
          <w:i/>
          <w:sz w:val="20"/>
          <w:szCs w:val="20"/>
          <w:lang w:val="es-CR"/>
        </w:rPr>
      </w:pPr>
    </w:p>
    <w:p w:rsidR="00E55C98" w:rsidRPr="00B6232C" w:rsidRDefault="0085606E" w:rsidP="00EA241D">
      <w:pPr>
        <w:pStyle w:val="Ttulo3"/>
        <w:rPr>
          <w:lang w:val="es-CR"/>
        </w:rPr>
      </w:pPr>
      <w:r w:rsidRPr="00B6232C">
        <w:rPr>
          <w:lang w:val="es-CR"/>
        </w:rPr>
        <w:t>B</w:t>
      </w:r>
      <w:r w:rsidR="00B12097" w:rsidRPr="00B6232C">
        <w:rPr>
          <w:lang w:val="es-CR"/>
        </w:rPr>
        <w:t>.1</w:t>
      </w:r>
      <w:r w:rsidR="007B680C" w:rsidRPr="00B6232C">
        <w:rPr>
          <w:lang w:val="es-CR"/>
        </w:rPr>
        <w:t>. Argumentos de las partes y de la Comisión</w:t>
      </w:r>
    </w:p>
    <w:p w:rsidR="00AA7692" w:rsidRPr="00B6232C" w:rsidRDefault="00AA7692" w:rsidP="00AE0DC6">
      <w:pPr>
        <w:autoSpaceDE w:val="0"/>
        <w:autoSpaceDN w:val="0"/>
        <w:adjustRightInd w:val="0"/>
        <w:spacing w:after="0" w:line="240" w:lineRule="auto"/>
        <w:jc w:val="both"/>
        <w:rPr>
          <w:rFonts w:ascii="Verdana" w:hAnsi="Verdana" w:cs="Verdana"/>
          <w:b/>
          <w:sz w:val="20"/>
          <w:szCs w:val="20"/>
          <w:lang w:val="es-CR"/>
        </w:rPr>
      </w:pPr>
    </w:p>
    <w:p w:rsidR="00AA7692" w:rsidRPr="00B6232C" w:rsidRDefault="00B12097" w:rsidP="00ED5000">
      <w:pPr>
        <w:numPr>
          <w:ilvl w:val="0"/>
          <w:numId w:val="2"/>
        </w:numPr>
        <w:tabs>
          <w:tab w:val="clear" w:pos="1247"/>
        </w:tabs>
        <w:autoSpaceDE w:val="0"/>
        <w:autoSpaceDN w:val="0"/>
        <w:adjustRightInd w:val="0"/>
        <w:spacing w:after="0" w:line="240" w:lineRule="auto"/>
        <w:jc w:val="both"/>
        <w:rPr>
          <w:rFonts w:ascii="Verdana" w:hAnsi="Verdana" w:cs="Verdana"/>
          <w:b/>
          <w:sz w:val="20"/>
          <w:szCs w:val="20"/>
          <w:lang w:val="es-CR"/>
        </w:rPr>
      </w:pPr>
      <w:r w:rsidRPr="00B6232C">
        <w:rPr>
          <w:rFonts w:ascii="Verdana" w:hAnsi="Verdana"/>
          <w:sz w:val="20"/>
          <w:szCs w:val="20"/>
          <w:lang w:val="es-CR"/>
        </w:rPr>
        <w:t xml:space="preserve">El </w:t>
      </w:r>
      <w:r w:rsidRPr="00B6232C">
        <w:rPr>
          <w:rFonts w:ascii="Verdana" w:hAnsi="Verdana"/>
          <w:b/>
          <w:i/>
          <w:sz w:val="20"/>
          <w:szCs w:val="20"/>
          <w:lang w:val="es-CR"/>
        </w:rPr>
        <w:t>Estado</w:t>
      </w:r>
      <w:r w:rsidR="00961255" w:rsidRPr="00B6232C">
        <w:rPr>
          <w:rFonts w:ascii="Verdana" w:hAnsi="Verdana"/>
          <w:sz w:val="20"/>
          <w:szCs w:val="20"/>
          <w:lang w:val="es-CR"/>
        </w:rPr>
        <w:t xml:space="preserve"> argumentó que, en virtud de que los hechos del caso </w:t>
      </w:r>
      <w:r w:rsidR="00AC2C4F" w:rsidRPr="00B6232C">
        <w:rPr>
          <w:rFonts w:ascii="Verdana" w:hAnsi="Verdana"/>
          <w:sz w:val="20"/>
          <w:szCs w:val="20"/>
          <w:lang w:val="es-CR"/>
        </w:rPr>
        <w:t>tramitado ante la Corte</w:t>
      </w:r>
      <w:r w:rsidR="00AC2C4F" w:rsidRPr="00B6232C" w:rsidDel="00AC2C4F">
        <w:rPr>
          <w:rFonts w:ascii="Verdana" w:hAnsi="Verdana"/>
          <w:sz w:val="20"/>
          <w:szCs w:val="20"/>
          <w:lang w:val="es-CR"/>
        </w:rPr>
        <w:t xml:space="preserve"> </w:t>
      </w:r>
      <w:r w:rsidR="00961255" w:rsidRPr="00B6232C">
        <w:rPr>
          <w:rFonts w:ascii="Verdana" w:hAnsi="Verdana"/>
          <w:sz w:val="20"/>
          <w:szCs w:val="20"/>
          <w:lang w:val="es-CR"/>
        </w:rPr>
        <w:t xml:space="preserve">y los hechos examinados en los procesos judiciales internos sobre responsabilidad civil del Estado </w:t>
      </w:r>
      <w:r w:rsidR="00E1039F" w:rsidRPr="00B6232C">
        <w:rPr>
          <w:rFonts w:ascii="Verdana" w:hAnsi="Verdana"/>
          <w:sz w:val="20"/>
          <w:szCs w:val="20"/>
          <w:lang w:val="es-CR"/>
        </w:rPr>
        <w:t xml:space="preserve">son </w:t>
      </w:r>
      <w:r w:rsidR="00961255" w:rsidRPr="00B6232C">
        <w:rPr>
          <w:rFonts w:ascii="Verdana" w:hAnsi="Verdana"/>
          <w:sz w:val="20"/>
          <w:szCs w:val="20"/>
          <w:lang w:val="es-CR"/>
        </w:rPr>
        <w:t xml:space="preserve">los mismos, la determinación </w:t>
      </w:r>
      <w:r w:rsidR="00E75800" w:rsidRPr="00B6232C">
        <w:rPr>
          <w:rFonts w:ascii="Verdana" w:hAnsi="Verdana"/>
          <w:sz w:val="20"/>
          <w:szCs w:val="20"/>
          <w:lang w:val="es-CR"/>
        </w:rPr>
        <w:t>hecha por la Corte en los párrafos 298 y 305 de la Sentencia</w:t>
      </w:r>
      <w:r w:rsidR="00961255" w:rsidRPr="00B6232C">
        <w:rPr>
          <w:rFonts w:ascii="Verdana" w:hAnsi="Verdana"/>
          <w:sz w:val="20"/>
          <w:szCs w:val="20"/>
          <w:lang w:val="es-CR"/>
        </w:rPr>
        <w:t xml:space="preserve"> implicaría</w:t>
      </w:r>
      <w:r w:rsidR="00D6427D" w:rsidRPr="00B6232C">
        <w:rPr>
          <w:rFonts w:ascii="Verdana" w:hAnsi="Verdana"/>
          <w:sz w:val="20"/>
          <w:szCs w:val="20"/>
          <w:lang w:val="es-CR"/>
        </w:rPr>
        <w:t xml:space="preserve"> “indebido</w:t>
      </w:r>
      <w:r w:rsidR="00961255" w:rsidRPr="00B6232C">
        <w:rPr>
          <w:rFonts w:ascii="Verdana" w:hAnsi="Verdana"/>
          <w:sz w:val="20"/>
          <w:szCs w:val="20"/>
          <w:lang w:val="es-CR"/>
        </w:rPr>
        <w:t xml:space="preserve"> </w:t>
      </w:r>
      <w:r w:rsidR="00D6427D" w:rsidRPr="00B6232C">
        <w:rPr>
          <w:rFonts w:ascii="Verdana" w:hAnsi="Verdana"/>
          <w:i/>
          <w:sz w:val="20"/>
          <w:szCs w:val="20"/>
          <w:lang w:val="es-CR"/>
        </w:rPr>
        <w:t>bis in idem</w:t>
      </w:r>
      <w:r w:rsidR="00D6427D" w:rsidRPr="00B6232C">
        <w:rPr>
          <w:rFonts w:ascii="Verdana" w:hAnsi="Verdana"/>
          <w:sz w:val="20"/>
          <w:szCs w:val="20"/>
          <w:lang w:val="es-CR"/>
        </w:rPr>
        <w:t xml:space="preserve"> </w:t>
      </w:r>
      <w:r w:rsidR="00961255" w:rsidRPr="00B6232C">
        <w:rPr>
          <w:rFonts w:ascii="Verdana" w:hAnsi="Verdana"/>
          <w:sz w:val="20"/>
          <w:szCs w:val="20"/>
          <w:lang w:val="es-CR"/>
        </w:rPr>
        <w:t>indemniza</w:t>
      </w:r>
      <w:r w:rsidR="00D6427D" w:rsidRPr="00B6232C">
        <w:rPr>
          <w:rFonts w:ascii="Verdana" w:hAnsi="Verdana"/>
          <w:sz w:val="20"/>
          <w:szCs w:val="20"/>
          <w:lang w:val="es-CR"/>
        </w:rPr>
        <w:t>torio”</w:t>
      </w:r>
      <w:r w:rsidR="00961255" w:rsidRPr="00B6232C">
        <w:rPr>
          <w:rFonts w:ascii="Verdana" w:hAnsi="Verdana"/>
          <w:sz w:val="20"/>
          <w:szCs w:val="20"/>
          <w:lang w:val="es-CR"/>
        </w:rPr>
        <w:t>.</w:t>
      </w:r>
      <w:r w:rsidR="009A7E92" w:rsidRPr="00B6232C">
        <w:rPr>
          <w:rFonts w:ascii="Verdana" w:hAnsi="Verdana"/>
          <w:sz w:val="20"/>
          <w:szCs w:val="20"/>
          <w:lang w:val="es-CR"/>
        </w:rPr>
        <w:t xml:space="preserve"> Con base </w:t>
      </w:r>
      <w:r w:rsidR="006630C1" w:rsidRPr="00B6232C">
        <w:rPr>
          <w:rFonts w:ascii="Verdana" w:hAnsi="Verdana"/>
          <w:sz w:val="20"/>
          <w:szCs w:val="20"/>
          <w:lang w:val="es-CR"/>
        </w:rPr>
        <w:t xml:space="preserve">en </w:t>
      </w:r>
      <w:r w:rsidR="009A7E92" w:rsidRPr="00B6232C">
        <w:rPr>
          <w:rFonts w:ascii="Verdana" w:hAnsi="Verdana"/>
          <w:sz w:val="20"/>
          <w:szCs w:val="20"/>
          <w:lang w:val="es-CR"/>
        </w:rPr>
        <w:t xml:space="preserve">ello, solicitó que se aclare lo establecido en </w:t>
      </w:r>
      <w:r w:rsidR="00E75800" w:rsidRPr="00B6232C">
        <w:rPr>
          <w:rFonts w:ascii="Verdana" w:hAnsi="Verdana"/>
          <w:sz w:val="20"/>
          <w:szCs w:val="20"/>
          <w:lang w:val="es-CR"/>
        </w:rPr>
        <w:t xml:space="preserve">dichos </w:t>
      </w:r>
      <w:r w:rsidR="009A7E92" w:rsidRPr="00B6232C">
        <w:rPr>
          <w:rFonts w:ascii="Verdana" w:hAnsi="Verdana"/>
          <w:sz w:val="20"/>
          <w:szCs w:val="20"/>
          <w:lang w:val="es-CR"/>
        </w:rPr>
        <w:t xml:space="preserve">párrafos, </w:t>
      </w:r>
      <w:r w:rsidR="006630C1" w:rsidRPr="00B6232C">
        <w:rPr>
          <w:rFonts w:ascii="Verdana" w:hAnsi="Verdana"/>
          <w:sz w:val="20"/>
          <w:szCs w:val="20"/>
          <w:lang w:val="es-CR"/>
        </w:rPr>
        <w:t>para</w:t>
      </w:r>
      <w:r w:rsidR="000B7102" w:rsidRPr="00B6232C">
        <w:rPr>
          <w:rFonts w:ascii="Verdana" w:hAnsi="Verdana"/>
          <w:sz w:val="20"/>
          <w:szCs w:val="20"/>
          <w:lang w:val="es-CR"/>
        </w:rPr>
        <w:t xml:space="preserve"> determinar </w:t>
      </w:r>
      <w:r w:rsidR="009A7E92" w:rsidRPr="00B6232C">
        <w:rPr>
          <w:rFonts w:ascii="Verdana" w:hAnsi="Verdana"/>
          <w:sz w:val="20"/>
          <w:szCs w:val="20"/>
          <w:lang w:val="es-CR"/>
        </w:rPr>
        <w:t>que su aplicación debe limitarse a procesos internos en los que no concurran las entidades</w:t>
      </w:r>
      <w:r w:rsidR="000B7102" w:rsidRPr="00B6232C">
        <w:rPr>
          <w:rFonts w:ascii="Verdana" w:hAnsi="Verdana"/>
          <w:sz w:val="20"/>
          <w:szCs w:val="20"/>
          <w:lang w:val="es-CR"/>
        </w:rPr>
        <w:t xml:space="preserve"> estatales.</w:t>
      </w:r>
    </w:p>
    <w:p w:rsidR="00AA7692" w:rsidRPr="00B6232C" w:rsidRDefault="00AA7692" w:rsidP="00EA241D">
      <w:pPr>
        <w:autoSpaceDE w:val="0"/>
        <w:autoSpaceDN w:val="0"/>
        <w:adjustRightInd w:val="0"/>
        <w:spacing w:after="0" w:line="240" w:lineRule="auto"/>
        <w:jc w:val="both"/>
        <w:rPr>
          <w:rFonts w:ascii="Verdana" w:hAnsi="Verdana" w:cs="Verdana"/>
          <w:b/>
          <w:sz w:val="20"/>
          <w:szCs w:val="20"/>
          <w:lang w:val="es-CR"/>
        </w:rPr>
      </w:pPr>
    </w:p>
    <w:p w:rsidR="00B12097" w:rsidRPr="00B6232C" w:rsidRDefault="00F67350" w:rsidP="00EA241D">
      <w:pPr>
        <w:numPr>
          <w:ilvl w:val="0"/>
          <w:numId w:val="2"/>
        </w:numPr>
        <w:tabs>
          <w:tab w:val="clear" w:pos="1247"/>
        </w:tabs>
        <w:autoSpaceDE w:val="0"/>
        <w:autoSpaceDN w:val="0"/>
        <w:adjustRightInd w:val="0"/>
        <w:spacing w:after="0" w:line="240" w:lineRule="auto"/>
        <w:jc w:val="both"/>
        <w:rPr>
          <w:rFonts w:ascii="Verdana" w:hAnsi="Verdana" w:cs="Verdana"/>
          <w:b/>
          <w:sz w:val="20"/>
          <w:szCs w:val="20"/>
          <w:lang w:val="es-CR"/>
        </w:rPr>
      </w:pPr>
      <w:r w:rsidRPr="00B6232C">
        <w:rPr>
          <w:rFonts w:ascii="Verdana" w:hAnsi="Verdana"/>
          <w:sz w:val="20"/>
          <w:szCs w:val="20"/>
          <w:lang w:val="es-CR"/>
        </w:rPr>
        <w:t xml:space="preserve">Los </w:t>
      </w:r>
      <w:r w:rsidRPr="00B6232C">
        <w:rPr>
          <w:rFonts w:ascii="Verdana" w:hAnsi="Verdana"/>
          <w:b/>
          <w:i/>
          <w:sz w:val="20"/>
          <w:szCs w:val="20"/>
          <w:lang w:val="es-CR"/>
        </w:rPr>
        <w:t xml:space="preserve">representantes </w:t>
      </w:r>
      <w:r w:rsidRPr="00B6232C">
        <w:rPr>
          <w:rFonts w:ascii="Verdana" w:hAnsi="Verdana"/>
          <w:sz w:val="20"/>
          <w:szCs w:val="20"/>
          <w:lang w:val="es-CR"/>
        </w:rPr>
        <w:t xml:space="preserve">afirmaron que los puntos que han sido objeto de la solicitud de interpretación de la Sentencia por parte del Estado son en realidad objeciones a cuestiones de fondo del referido fallo, </w:t>
      </w:r>
      <w:r w:rsidR="00E1039F" w:rsidRPr="00B6232C">
        <w:rPr>
          <w:rFonts w:ascii="Verdana" w:hAnsi="Verdana"/>
          <w:sz w:val="20"/>
          <w:szCs w:val="20"/>
          <w:lang w:val="es-CR"/>
        </w:rPr>
        <w:t>por lo que no deberían prosperar, toda vez que las sentencias de la Corte no pueden ser objeto de recurso.</w:t>
      </w:r>
    </w:p>
    <w:p w:rsidR="00AA7692" w:rsidRPr="00B6232C" w:rsidRDefault="00AA7692" w:rsidP="00EA241D">
      <w:pPr>
        <w:autoSpaceDE w:val="0"/>
        <w:autoSpaceDN w:val="0"/>
        <w:adjustRightInd w:val="0"/>
        <w:spacing w:after="0" w:line="240" w:lineRule="auto"/>
        <w:jc w:val="both"/>
        <w:rPr>
          <w:rFonts w:ascii="Verdana" w:hAnsi="Verdana" w:cs="Verdana"/>
          <w:b/>
          <w:sz w:val="20"/>
          <w:szCs w:val="20"/>
          <w:lang w:val="es-CR"/>
        </w:rPr>
      </w:pPr>
    </w:p>
    <w:p w:rsidR="00945E7B" w:rsidRPr="00B6232C" w:rsidRDefault="00B12097" w:rsidP="00EA241D">
      <w:pPr>
        <w:numPr>
          <w:ilvl w:val="0"/>
          <w:numId w:val="2"/>
        </w:numPr>
        <w:tabs>
          <w:tab w:val="clear" w:pos="1247"/>
        </w:tabs>
        <w:autoSpaceDE w:val="0"/>
        <w:autoSpaceDN w:val="0"/>
        <w:adjustRightInd w:val="0"/>
        <w:spacing w:after="0" w:line="240" w:lineRule="auto"/>
        <w:jc w:val="both"/>
        <w:rPr>
          <w:rFonts w:ascii="Verdana" w:hAnsi="Verdana"/>
          <w:sz w:val="20"/>
          <w:szCs w:val="20"/>
          <w:lang w:val="es-CR"/>
        </w:rPr>
      </w:pPr>
      <w:r w:rsidRPr="00B6232C">
        <w:rPr>
          <w:rFonts w:ascii="Verdana" w:hAnsi="Verdana"/>
          <w:sz w:val="20"/>
          <w:szCs w:val="20"/>
          <w:lang w:val="es-CR"/>
        </w:rPr>
        <w:t xml:space="preserve">La </w:t>
      </w:r>
      <w:r w:rsidRPr="00B6232C">
        <w:rPr>
          <w:rFonts w:ascii="Verdana" w:hAnsi="Verdana"/>
          <w:b/>
          <w:i/>
          <w:sz w:val="20"/>
          <w:szCs w:val="20"/>
          <w:lang w:val="es-CR"/>
        </w:rPr>
        <w:t>Comisión</w:t>
      </w:r>
      <w:r w:rsidRPr="00B6232C">
        <w:rPr>
          <w:rFonts w:ascii="Verdana" w:hAnsi="Verdana"/>
          <w:sz w:val="20"/>
          <w:szCs w:val="20"/>
          <w:lang w:val="es-CR"/>
        </w:rPr>
        <w:t xml:space="preserve"> afirmó</w:t>
      </w:r>
      <w:r w:rsidR="001149D8" w:rsidRPr="00B6232C">
        <w:rPr>
          <w:rFonts w:ascii="Verdana" w:hAnsi="Verdana"/>
          <w:sz w:val="20"/>
          <w:szCs w:val="20"/>
          <w:lang w:val="es-CR"/>
        </w:rPr>
        <w:t xml:space="preserve"> que el párrafo 298 es claro en señalar que las indemnizaciones ordenadas por la Corte tienen un carácter “independiente de los sueldos reconocidos o que puedan ser reconocidos en los procesos internos en favor de las víctimas” y que la alegación del Estado pretende controvertir dicha determinación.</w:t>
      </w:r>
      <w:r w:rsidR="0047202F" w:rsidRPr="00B6232C">
        <w:rPr>
          <w:rFonts w:ascii="Verdana" w:hAnsi="Verdana"/>
          <w:sz w:val="20"/>
          <w:szCs w:val="20"/>
          <w:lang w:val="es-CR"/>
        </w:rPr>
        <w:t xml:space="preserve"> </w:t>
      </w:r>
    </w:p>
    <w:p w:rsidR="00E55C98" w:rsidRPr="00B6232C" w:rsidRDefault="00E55C98" w:rsidP="00EA241D">
      <w:pPr>
        <w:pStyle w:val="Prrafodelista"/>
        <w:spacing w:after="0" w:line="240" w:lineRule="auto"/>
        <w:contextualSpacing w:val="0"/>
        <w:rPr>
          <w:rFonts w:ascii="Verdana" w:hAnsi="Verdana" w:cs="Verdana"/>
          <w:b/>
          <w:sz w:val="20"/>
          <w:szCs w:val="20"/>
          <w:lang w:val="es-CR"/>
        </w:rPr>
      </w:pPr>
    </w:p>
    <w:p w:rsidR="00E55C98" w:rsidRPr="00B6232C" w:rsidRDefault="0085606E" w:rsidP="00EA241D">
      <w:pPr>
        <w:pStyle w:val="Ttulo3"/>
        <w:rPr>
          <w:lang w:val="es-CR"/>
        </w:rPr>
      </w:pPr>
      <w:r w:rsidRPr="00B6232C">
        <w:rPr>
          <w:lang w:val="es-CR"/>
        </w:rPr>
        <w:lastRenderedPageBreak/>
        <w:t>B</w:t>
      </w:r>
      <w:r w:rsidR="00E55C98" w:rsidRPr="00B6232C">
        <w:rPr>
          <w:lang w:val="es-CR"/>
        </w:rPr>
        <w:t xml:space="preserve">.2. Consideraciones de la Corte </w:t>
      </w:r>
    </w:p>
    <w:p w:rsidR="00974A82" w:rsidRPr="00B6232C" w:rsidRDefault="00974A82" w:rsidP="00EA241D">
      <w:pPr>
        <w:autoSpaceDE w:val="0"/>
        <w:autoSpaceDN w:val="0"/>
        <w:adjustRightInd w:val="0"/>
        <w:spacing w:after="0" w:line="240" w:lineRule="auto"/>
        <w:jc w:val="both"/>
        <w:rPr>
          <w:rFonts w:ascii="Verdana" w:hAnsi="Verdana" w:cs="Verdana"/>
          <w:sz w:val="20"/>
          <w:szCs w:val="20"/>
          <w:lang w:val="es-CR"/>
        </w:rPr>
      </w:pPr>
    </w:p>
    <w:p w:rsidR="00CF5756" w:rsidRPr="00B6232C" w:rsidRDefault="00974A82" w:rsidP="00EA241D">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CR"/>
        </w:rPr>
      </w:pPr>
      <w:r w:rsidRPr="00B6232C">
        <w:rPr>
          <w:rFonts w:ascii="Verdana" w:hAnsi="Verdana" w:cs="Verdana"/>
          <w:sz w:val="20"/>
          <w:szCs w:val="20"/>
          <w:lang w:val="es-CR"/>
        </w:rPr>
        <w:t xml:space="preserve">El </w:t>
      </w:r>
      <w:r w:rsidR="008B575C" w:rsidRPr="00B6232C">
        <w:rPr>
          <w:rFonts w:ascii="Verdana" w:hAnsi="Verdana" w:cs="Verdana"/>
          <w:sz w:val="20"/>
          <w:szCs w:val="20"/>
          <w:lang w:val="es-CR"/>
        </w:rPr>
        <w:t xml:space="preserve">Tribunal </w:t>
      </w:r>
      <w:r w:rsidRPr="00B6232C">
        <w:rPr>
          <w:rFonts w:ascii="Verdana" w:hAnsi="Verdana" w:cs="Verdana"/>
          <w:sz w:val="20"/>
          <w:szCs w:val="20"/>
          <w:lang w:val="es-CR"/>
        </w:rPr>
        <w:t>reitera</w:t>
      </w:r>
      <w:r w:rsidR="008B575C" w:rsidRPr="00B6232C">
        <w:rPr>
          <w:rFonts w:ascii="Verdana" w:hAnsi="Verdana" w:cs="Verdana"/>
          <w:sz w:val="20"/>
          <w:szCs w:val="20"/>
          <w:lang w:val="es-CR"/>
        </w:rPr>
        <w:t xml:space="preserve"> que no se puede hacer uso de una solicitud de interpretación de sentencia para objetar cuestiones de hecho y de derecho que ya fueron resueltas por la Corte en su decisión.</w:t>
      </w:r>
      <w:r w:rsidRPr="00B6232C">
        <w:rPr>
          <w:rFonts w:ascii="Verdana" w:hAnsi="Verdana" w:cs="Verdana"/>
          <w:sz w:val="20"/>
          <w:szCs w:val="20"/>
          <w:lang w:val="es-CR"/>
        </w:rPr>
        <w:t xml:space="preserve"> </w:t>
      </w:r>
      <w:r w:rsidR="005A7313" w:rsidRPr="00B6232C">
        <w:rPr>
          <w:rFonts w:ascii="Verdana" w:hAnsi="Verdana" w:cs="Verdana"/>
          <w:sz w:val="20"/>
          <w:szCs w:val="20"/>
          <w:lang w:val="es-CR"/>
        </w:rPr>
        <w:t>En este sentido</w:t>
      </w:r>
      <w:r w:rsidR="000C7BCC" w:rsidRPr="00B6232C">
        <w:rPr>
          <w:rFonts w:ascii="Verdana" w:hAnsi="Verdana" w:cs="Verdana"/>
          <w:sz w:val="20"/>
          <w:szCs w:val="20"/>
          <w:lang w:val="es-CR"/>
        </w:rPr>
        <w:t>, al momento de la decisión,</w:t>
      </w:r>
      <w:r w:rsidR="00CF5756" w:rsidRPr="00B6232C">
        <w:rPr>
          <w:rFonts w:ascii="Verdana" w:hAnsi="Verdana" w:cs="Verdana"/>
          <w:sz w:val="20"/>
          <w:szCs w:val="20"/>
          <w:lang w:val="es-CR"/>
        </w:rPr>
        <w:t xml:space="preserve"> la Corte consideró la existencia de procesos </w:t>
      </w:r>
      <w:r w:rsidR="000C7BCC" w:rsidRPr="00B6232C">
        <w:rPr>
          <w:rFonts w:ascii="Verdana" w:hAnsi="Verdana" w:cs="Verdana"/>
          <w:sz w:val="20"/>
          <w:szCs w:val="20"/>
          <w:lang w:val="es-CR"/>
        </w:rPr>
        <w:t>civiles relacionados con eventuales indemnizaciones</w:t>
      </w:r>
      <w:r w:rsidR="00CF5756" w:rsidRPr="00B6232C">
        <w:rPr>
          <w:rFonts w:ascii="Verdana" w:hAnsi="Verdana" w:cs="Verdana"/>
          <w:sz w:val="20"/>
          <w:szCs w:val="20"/>
          <w:lang w:val="es-CR"/>
        </w:rPr>
        <w:t xml:space="preserve">. </w:t>
      </w:r>
      <w:r w:rsidR="000C7BCC" w:rsidRPr="00B6232C">
        <w:rPr>
          <w:rFonts w:ascii="Verdana" w:hAnsi="Verdana" w:cs="Verdana"/>
          <w:sz w:val="20"/>
          <w:szCs w:val="20"/>
          <w:lang w:val="es-CR"/>
        </w:rPr>
        <w:t>Sobre este asunto</w:t>
      </w:r>
      <w:r w:rsidR="00CF5756" w:rsidRPr="00B6232C">
        <w:rPr>
          <w:rFonts w:ascii="Verdana" w:hAnsi="Verdana" w:cs="Verdana"/>
          <w:sz w:val="20"/>
          <w:szCs w:val="20"/>
          <w:lang w:val="es-CR"/>
        </w:rPr>
        <w:t xml:space="preserve">, el párrafo 233 de la </w:t>
      </w:r>
      <w:r w:rsidR="00F34918" w:rsidRPr="00B6232C">
        <w:rPr>
          <w:rFonts w:ascii="Verdana" w:hAnsi="Verdana" w:cs="Verdana"/>
          <w:sz w:val="20"/>
          <w:szCs w:val="20"/>
          <w:lang w:val="es-CR"/>
        </w:rPr>
        <w:t>S</w:t>
      </w:r>
      <w:r w:rsidR="00CF5756" w:rsidRPr="00B6232C">
        <w:rPr>
          <w:rFonts w:ascii="Verdana" w:hAnsi="Verdana" w:cs="Verdana"/>
          <w:sz w:val="20"/>
          <w:szCs w:val="20"/>
          <w:lang w:val="es-CR"/>
        </w:rPr>
        <w:t xml:space="preserve">entencia señala:  </w:t>
      </w:r>
    </w:p>
    <w:p w:rsidR="00CF5756" w:rsidRPr="00B6232C" w:rsidRDefault="00CF5756" w:rsidP="00EA241D">
      <w:pPr>
        <w:pStyle w:val="Sinespaciado"/>
        <w:rPr>
          <w:lang w:val="es-CR"/>
        </w:rPr>
      </w:pPr>
    </w:p>
    <w:p w:rsidR="00CF5756" w:rsidRPr="00B6232C" w:rsidRDefault="00CF5756">
      <w:pPr>
        <w:spacing w:after="0" w:line="240" w:lineRule="auto"/>
        <w:ind w:left="708" w:right="713"/>
        <w:jc w:val="both"/>
        <w:rPr>
          <w:rFonts w:ascii="Verdana" w:hAnsi="Verdana"/>
          <w:sz w:val="16"/>
          <w:lang w:val="es-CR"/>
        </w:rPr>
      </w:pPr>
      <w:r w:rsidRPr="00B6232C">
        <w:rPr>
          <w:rFonts w:ascii="Verdana" w:hAnsi="Verdana"/>
          <w:sz w:val="16"/>
          <w:lang w:val="es-CR"/>
        </w:rPr>
        <w:t>La primera causa civil, iniciada el 4 de marzo de 2002 por las víctimas y sus familiares, 66 contenía una solicitud de anticipación de tutela en favor de las personas menores de 18 años cuyas madres habían fallecido en la explosión, la cual fue aceptada el día siguiente por el juez federal competente. De las 44 niñas y niños que perdieron a sus madres y demandaron al gobierno federal, 39 fueron beneficiadas por la decisión preliminar de tutela de una pensión mensual de un salario mínimo y, de estas, sólo 16 recibieron efectivamente dicho pago, pues, por el transcurso del tiempo, las demás ya tenían 18 años. Los demás familiares no habrían recibido reparación alguna del Estado. Tras las decisiones respecto a los recursos interpuestos contra la decisión de la tutela anticipada se realizó, en 2004, un desglose del proceso debido al alto número de litisconsortes (84), producto del cual se entablaron 14 procesos distintos. Las sentencias de primera instancia se dictaron entre julio de 2010 y agosto de 2011 y contra ellas se interpusieron recursos de apelación que fueron negados entre agosto de 2013 y marzo de 2017. Se presentaron recursos de aclaración contra las sentencias de apelación, los cuales fueron resueltos entre el 26 de octubre de 2015 y el 5 de mayo de 2018. Se interpusieron recursos especiales y extraordinarios en 12 de los 14 procesos, de modo que 10 permanecen pendientes y dos tuvieron decisiones que quedaron firmes en septiembre de 2017 y abril de 2018. De la prueba disponible se desprende que no hubo ningún pago a las presuntas víctimas a raíz de esos procesos.</w:t>
      </w:r>
    </w:p>
    <w:p w:rsidR="000C7BCC" w:rsidRPr="00B6232C" w:rsidRDefault="000C7BCC" w:rsidP="00EA241D">
      <w:pPr>
        <w:spacing w:after="0" w:line="240" w:lineRule="auto"/>
        <w:ind w:left="708" w:right="713"/>
        <w:jc w:val="both"/>
        <w:rPr>
          <w:sz w:val="20"/>
          <w:lang w:val="es-CR"/>
        </w:rPr>
      </w:pPr>
    </w:p>
    <w:p w:rsidR="00FD6A38" w:rsidRPr="00B6232C" w:rsidRDefault="000C7BCC" w:rsidP="00AE0DC6">
      <w:pPr>
        <w:numPr>
          <w:ilvl w:val="0"/>
          <w:numId w:val="2"/>
        </w:numPr>
        <w:tabs>
          <w:tab w:val="clear" w:pos="1247"/>
        </w:tabs>
        <w:autoSpaceDE w:val="0"/>
        <w:autoSpaceDN w:val="0"/>
        <w:adjustRightInd w:val="0"/>
        <w:spacing w:after="0" w:line="240" w:lineRule="auto"/>
        <w:jc w:val="both"/>
        <w:rPr>
          <w:rFonts w:ascii="Verdana" w:hAnsi="Verdana" w:cs="Verdana"/>
          <w:sz w:val="20"/>
          <w:szCs w:val="20"/>
          <w:lang w:val="es-CR"/>
        </w:rPr>
      </w:pPr>
      <w:r w:rsidRPr="00B6232C">
        <w:rPr>
          <w:rFonts w:ascii="Verdana" w:hAnsi="Verdana" w:cs="Verdana"/>
          <w:sz w:val="20"/>
          <w:szCs w:val="20"/>
          <w:lang w:val="es-CR"/>
        </w:rPr>
        <w:t>No obstante</w:t>
      </w:r>
      <w:r w:rsidR="00CF5756" w:rsidRPr="00B6232C">
        <w:rPr>
          <w:rFonts w:ascii="Verdana" w:hAnsi="Verdana" w:cs="Verdana"/>
          <w:sz w:val="20"/>
          <w:szCs w:val="20"/>
          <w:lang w:val="es-CR"/>
        </w:rPr>
        <w:t>,</w:t>
      </w:r>
      <w:r w:rsidR="005A7313" w:rsidRPr="00B6232C">
        <w:rPr>
          <w:rFonts w:ascii="Verdana" w:hAnsi="Verdana" w:cs="Verdana"/>
          <w:sz w:val="20"/>
          <w:szCs w:val="20"/>
          <w:lang w:val="es-CR"/>
        </w:rPr>
        <w:t xml:space="preserve"> los párrafos 298 y 305 de la Sentencia </w:t>
      </w:r>
      <w:r w:rsidR="00CF5756" w:rsidRPr="00B6232C">
        <w:rPr>
          <w:rFonts w:ascii="Verdana" w:hAnsi="Verdana" w:cs="Verdana"/>
          <w:sz w:val="20"/>
          <w:szCs w:val="20"/>
          <w:lang w:val="es-CR"/>
        </w:rPr>
        <w:t>establecieron que</w:t>
      </w:r>
      <w:r w:rsidR="005A7313" w:rsidRPr="00B6232C">
        <w:rPr>
          <w:rFonts w:ascii="Verdana" w:hAnsi="Verdana" w:cs="Verdana"/>
          <w:sz w:val="20"/>
          <w:szCs w:val="20"/>
          <w:lang w:val="es-CR"/>
        </w:rPr>
        <w:t xml:space="preserve"> </w:t>
      </w:r>
      <w:r w:rsidR="00CF5756" w:rsidRPr="00B6232C">
        <w:rPr>
          <w:rFonts w:ascii="Verdana" w:hAnsi="Verdana" w:cs="Verdana"/>
          <w:sz w:val="20"/>
          <w:szCs w:val="20"/>
          <w:lang w:val="es-CR"/>
        </w:rPr>
        <w:t xml:space="preserve">no </w:t>
      </w:r>
      <w:r w:rsidR="005A7313" w:rsidRPr="00B6232C">
        <w:rPr>
          <w:rFonts w:ascii="Verdana" w:hAnsi="Verdana" w:cs="Verdana"/>
          <w:sz w:val="20"/>
          <w:szCs w:val="20"/>
          <w:lang w:val="es-CR"/>
        </w:rPr>
        <w:t xml:space="preserve">habría que descontar de las indemnizaciones por daños materiales e inmateriales otorgadas, </w:t>
      </w:r>
      <w:r w:rsidR="00960E30" w:rsidRPr="00B6232C">
        <w:rPr>
          <w:rFonts w:ascii="Verdana" w:hAnsi="Verdana" w:cs="Verdana"/>
          <w:sz w:val="20"/>
          <w:szCs w:val="20"/>
          <w:lang w:val="es-CR"/>
        </w:rPr>
        <w:t>lo</w:t>
      </w:r>
      <w:r w:rsidR="00E1039F" w:rsidRPr="00B6232C">
        <w:rPr>
          <w:rFonts w:ascii="Verdana" w:hAnsi="Verdana" w:cs="Verdana"/>
          <w:sz w:val="20"/>
          <w:szCs w:val="20"/>
          <w:lang w:val="es-CR"/>
        </w:rPr>
        <w:t>s</w:t>
      </w:r>
      <w:r w:rsidR="00960E30" w:rsidRPr="00B6232C">
        <w:rPr>
          <w:rFonts w:ascii="Verdana" w:hAnsi="Verdana" w:cs="Verdana"/>
          <w:sz w:val="20"/>
          <w:szCs w:val="20"/>
          <w:lang w:val="es-CR"/>
        </w:rPr>
        <w:t xml:space="preserve"> </w:t>
      </w:r>
      <w:r w:rsidR="00E1039F" w:rsidRPr="00B6232C">
        <w:rPr>
          <w:rFonts w:ascii="Verdana" w:hAnsi="Verdana" w:cs="Verdana"/>
          <w:sz w:val="20"/>
          <w:szCs w:val="20"/>
          <w:lang w:val="es-CR"/>
        </w:rPr>
        <w:t>pagos hechos</w:t>
      </w:r>
      <w:r w:rsidR="00960E30" w:rsidRPr="00B6232C">
        <w:rPr>
          <w:rFonts w:ascii="Verdana" w:hAnsi="Verdana" w:cs="Verdana"/>
          <w:sz w:val="20"/>
          <w:szCs w:val="20"/>
          <w:lang w:val="es-CR"/>
        </w:rPr>
        <w:t xml:space="preserve"> por el Estado como resultado de procesos internos</w:t>
      </w:r>
      <w:r w:rsidR="00E1039F" w:rsidRPr="00B6232C">
        <w:rPr>
          <w:rFonts w:ascii="Verdana" w:hAnsi="Verdana" w:cs="Verdana"/>
          <w:sz w:val="20"/>
          <w:szCs w:val="20"/>
          <w:lang w:val="es-CR"/>
        </w:rPr>
        <w:t xml:space="preserve">. </w:t>
      </w:r>
      <w:r w:rsidR="00CF5756" w:rsidRPr="00B6232C">
        <w:rPr>
          <w:rFonts w:ascii="Verdana" w:hAnsi="Verdana" w:cs="Verdana"/>
          <w:sz w:val="20"/>
          <w:szCs w:val="20"/>
          <w:lang w:val="es-CR"/>
        </w:rPr>
        <w:t>En ese sentido,</w:t>
      </w:r>
      <w:r w:rsidR="00E1039F" w:rsidRPr="00B6232C">
        <w:rPr>
          <w:rFonts w:ascii="Verdana" w:hAnsi="Verdana" w:cs="Verdana"/>
          <w:sz w:val="20"/>
          <w:szCs w:val="20"/>
          <w:lang w:val="es-CR"/>
        </w:rPr>
        <w:t xml:space="preserve"> la Sentencia</w:t>
      </w:r>
      <w:r w:rsidR="005A7313" w:rsidRPr="00B6232C">
        <w:rPr>
          <w:rFonts w:ascii="Verdana" w:hAnsi="Verdana" w:cs="Verdana"/>
          <w:sz w:val="20"/>
          <w:szCs w:val="20"/>
          <w:lang w:val="es-CR"/>
        </w:rPr>
        <w:t xml:space="preserve"> </w:t>
      </w:r>
      <w:r w:rsidR="00CF5756" w:rsidRPr="00B6232C">
        <w:rPr>
          <w:rFonts w:ascii="Verdana" w:hAnsi="Verdana" w:cs="Verdana"/>
          <w:sz w:val="20"/>
          <w:szCs w:val="20"/>
          <w:lang w:val="es-CR"/>
        </w:rPr>
        <w:t xml:space="preserve">es clara al señalar </w:t>
      </w:r>
      <w:r w:rsidR="00974A82" w:rsidRPr="00B6232C">
        <w:rPr>
          <w:rFonts w:ascii="Verdana" w:hAnsi="Verdana" w:cs="Verdana"/>
          <w:sz w:val="20"/>
          <w:szCs w:val="20"/>
          <w:lang w:val="es-CR"/>
        </w:rPr>
        <w:t>que</w:t>
      </w:r>
      <w:r w:rsidR="005A7313" w:rsidRPr="00B6232C">
        <w:rPr>
          <w:rFonts w:ascii="Verdana" w:hAnsi="Verdana" w:cs="Verdana"/>
          <w:sz w:val="20"/>
          <w:szCs w:val="20"/>
          <w:lang w:val="es-CR"/>
        </w:rPr>
        <w:t xml:space="preserve"> el Estado debe pagar dichas indemnizaciones “</w:t>
      </w:r>
      <w:r w:rsidR="005A7313" w:rsidRPr="00B6232C">
        <w:rPr>
          <w:rFonts w:ascii="Verdana" w:hAnsi="Verdana" w:cs="Verdana"/>
          <w:sz w:val="20"/>
          <w:szCs w:val="20"/>
          <w:u w:val="single"/>
          <w:lang w:val="es-CR"/>
        </w:rPr>
        <w:t>con independencia</w:t>
      </w:r>
      <w:r w:rsidR="005A7313" w:rsidRPr="00B6232C">
        <w:rPr>
          <w:rFonts w:ascii="Verdana" w:hAnsi="Verdana" w:cs="Verdana"/>
          <w:sz w:val="20"/>
          <w:szCs w:val="20"/>
          <w:lang w:val="es-CR"/>
        </w:rPr>
        <w:t xml:space="preserve"> de las sumas</w:t>
      </w:r>
      <w:r w:rsidR="0047202F" w:rsidRPr="00B6232C">
        <w:rPr>
          <w:rFonts w:ascii="Verdana" w:hAnsi="Verdana" w:cs="Verdana"/>
          <w:sz w:val="20"/>
          <w:szCs w:val="20"/>
          <w:lang w:val="es-CR"/>
        </w:rPr>
        <w:t xml:space="preserve"> reconocidas […]</w:t>
      </w:r>
      <w:r w:rsidR="005A7313" w:rsidRPr="00B6232C">
        <w:rPr>
          <w:rFonts w:ascii="Verdana" w:hAnsi="Verdana" w:cs="Verdana"/>
          <w:sz w:val="20"/>
          <w:szCs w:val="20"/>
          <w:lang w:val="es-CR"/>
        </w:rPr>
        <w:t>”</w:t>
      </w:r>
      <w:r w:rsidR="00974A82" w:rsidRPr="00B6232C">
        <w:rPr>
          <w:rFonts w:ascii="Verdana" w:hAnsi="Verdana" w:cs="Verdana"/>
          <w:sz w:val="20"/>
          <w:szCs w:val="20"/>
          <w:lang w:val="es-CR"/>
        </w:rPr>
        <w:t xml:space="preserve"> </w:t>
      </w:r>
      <w:r w:rsidR="00AA7692" w:rsidRPr="00B6232C">
        <w:rPr>
          <w:rFonts w:ascii="Verdana" w:hAnsi="Verdana" w:cs="Verdana"/>
          <w:sz w:val="20"/>
          <w:szCs w:val="20"/>
          <w:lang w:val="es-CR"/>
        </w:rPr>
        <w:t>(</w:t>
      </w:r>
      <w:r w:rsidR="0097641F" w:rsidRPr="00B6232C">
        <w:rPr>
          <w:rFonts w:ascii="Verdana" w:hAnsi="Verdana" w:cs="Verdana"/>
          <w:sz w:val="20"/>
          <w:szCs w:val="20"/>
          <w:lang w:val="es-CR"/>
        </w:rPr>
        <w:t>subrayado agregado</w:t>
      </w:r>
      <w:r w:rsidR="00AA7692" w:rsidRPr="00B6232C">
        <w:rPr>
          <w:rFonts w:ascii="Verdana" w:hAnsi="Verdana" w:cs="Verdana"/>
          <w:sz w:val="20"/>
          <w:szCs w:val="20"/>
          <w:lang w:val="es-CR"/>
        </w:rPr>
        <w:t>)</w:t>
      </w:r>
      <w:r w:rsidR="00C55ECF" w:rsidRPr="00B6232C">
        <w:rPr>
          <w:rFonts w:ascii="Verdana" w:hAnsi="Verdana" w:cs="Verdana"/>
          <w:sz w:val="20"/>
          <w:szCs w:val="20"/>
          <w:lang w:val="es-CR"/>
        </w:rPr>
        <w:t>, es decir,</w:t>
      </w:r>
      <w:r w:rsidR="00E1039F" w:rsidRPr="00B6232C">
        <w:rPr>
          <w:rFonts w:ascii="Verdana" w:hAnsi="Verdana" w:cs="Verdana"/>
          <w:sz w:val="20"/>
          <w:szCs w:val="20"/>
          <w:lang w:val="es-CR"/>
        </w:rPr>
        <w:t xml:space="preserve"> </w:t>
      </w:r>
      <w:r w:rsidR="00AD0FD2" w:rsidRPr="00B6232C">
        <w:rPr>
          <w:rFonts w:ascii="Verdana" w:hAnsi="Verdana" w:cs="Verdana"/>
          <w:sz w:val="20"/>
          <w:szCs w:val="20"/>
          <w:lang w:val="es-CR"/>
        </w:rPr>
        <w:t xml:space="preserve">de </w:t>
      </w:r>
      <w:r w:rsidR="00C55ECF" w:rsidRPr="00B6232C">
        <w:rPr>
          <w:rFonts w:ascii="Verdana" w:hAnsi="Verdana" w:cs="Verdana"/>
          <w:sz w:val="20"/>
          <w:szCs w:val="20"/>
          <w:lang w:val="es-CR"/>
        </w:rPr>
        <w:t>cualquier suma que eventualmente pueda ser pagada a nivel interno</w:t>
      </w:r>
      <w:r w:rsidR="00AD0FD2" w:rsidRPr="00B6232C">
        <w:rPr>
          <w:rFonts w:ascii="Verdana" w:hAnsi="Verdana" w:cs="Verdana"/>
          <w:sz w:val="20"/>
          <w:szCs w:val="20"/>
          <w:lang w:val="es-CR"/>
        </w:rPr>
        <w:t xml:space="preserve"> </w:t>
      </w:r>
      <w:r w:rsidR="00C55ECF" w:rsidRPr="00B6232C">
        <w:rPr>
          <w:rFonts w:ascii="Verdana" w:hAnsi="Verdana" w:cs="Verdana"/>
          <w:sz w:val="20"/>
          <w:szCs w:val="20"/>
          <w:lang w:val="es-CR"/>
        </w:rPr>
        <w:t>por el Estado</w:t>
      </w:r>
      <w:r w:rsidR="00E75800" w:rsidRPr="00B6232C">
        <w:rPr>
          <w:rFonts w:ascii="Verdana" w:hAnsi="Verdana" w:cs="Verdana"/>
          <w:sz w:val="20"/>
          <w:szCs w:val="20"/>
          <w:lang w:val="es-CR"/>
        </w:rPr>
        <w:t xml:space="preserve"> o</w:t>
      </w:r>
      <w:r w:rsidR="00C55ECF" w:rsidRPr="00B6232C">
        <w:rPr>
          <w:rFonts w:ascii="Verdana" w:hAnsi="Verdana" w:cs="Verdana"/>
          <w:sz w:val="20"/>
          <w:szCs w:val="20"/>
          <w:lang w:val="es-CR"/>
        </w:rPr>
        <w:t xml:space="preserve"> por particulares</w:t>
      </w:r>
      <w:r w:rsidR="00800FF7" w:rsidRPr="00B6232C">
        <w:rPr>
          <w:rFonts w:ascii="Verdana" w:hAnsi="Verdana" w:cs="Verdana"/>
          <w:sz w:val="20"/>
          <w:szCs w:val="20"/>
          <w:lang w:val="es-CR"/>
        </w:rPr>
        <w:t>. En consecuencia,</w:t>
      </w:r>
      <w:r w:rsidR="00974A82" w:rsidRPr="00B6232C">
        <w:rPr>
          <w:rFonts w:ascii="Verdana" w:hAnsi="Verdana" w:cs="Verdana"/>
          <w:sz w:val="20"/>
          <w:szCs w:val="20"/>
          <w:lang w:val="es-CR"/>
        </w:rPr>
        <w:t xml:space="preserve"> </w:t>
      </w:r>
      <w:r w:rsidR="002D3D35" w:rsidRPr="00B6232C">
        <w:rPr>
          <w:rFonts w:ascii="Verdana" w:hAnsi="Verdana" w:cs="Verdana"/>
          <w:sz w:val="20"/>
          <w:szCs w:val="20"/>
          <w:lang w:val="es-CR"/>
        </w:rPr>
        <w:t xml:space="preserve">la Corte </w:t>
      </w:r>
      <w:r w:rsidR="00E1039F" w:rsidRPr="00B6232C">
        <w:rPr>
          <w:rFonts w:ascii="Verdana" w:hAnsi="Verdana" w:cs="Verdana"/>
          <w:sz w:val="20"/>
          <w:szCs w:val="20"/>
          <w:lang w:val="es-CR"/>
        </w:rPr>
        <w:t>encuentra que es</w:t>
      </w:r>
      <w:r w:rsidR="002D3D35" w:rsidRPr="00B6232C">
        <w:rPr>
          <w:rFonts w:ascii="Verdana" w:hAnsi="Verdana" w:cs="Verdana"/>
          <w:sz w:val="20"/>
          <w:szCs w:val="20"/>
          <w:lang w:val="es-CR"/>
        </w:rPr>
        <w:t xml:space="preserve"> improcedente esta solicitud de interpretación.</w:t>
      </w:r>
    </w:p>
    <w:p w:rsidR="00E1039F" w:rsidRPr="00B6232C" w:rsidRDefault="00E1039F" w:rsidP="00ED5000">
      <w:pPr>
        <w:autoSpaceDE w:val="0"/>
        <w:autoSpaceDN w:val="0"/>
        <w:adjustRightInd w:val="0"/>
        <w:spacing w:after="0" w:line="240" w:lineRule="auto"/>
        <w:jc w:val="both"/>
        <w:rPr>
          <w:rFonts w:ascii="Verdana" w:hAnsi="Verdana" w:cs="Verdana"/>
          <w:sz w:val="20"/>
          <w:szCs w:val="20"/>
          <w:lang w:val="es-CR"/>
        </w:rPr>
      </w:pPr>
    </w:p>
    <w:p w:rsidR="00FD6A38" w:rsidRPr="00B6232C" w:rsidRDefault="00FD6A38" w:rsidP="00EA241D">
      <w:pPr>
        <w:pStyle w:val="Ttulo2"/>
      </w:pPr>
      <w:r w:rsidRPr="00B6232C">
        <w:t>La modalidad de cumplimiento de los pagos ordenados</w:t>
      </w:r>
    </w:p>
    <w:p w:rsidR="00A325E9" w:rsidRPr="00B6232C" w:rsidRDefault="00A325E9" w:rsidP="00EA241D">
      <w:pPr>
        <w:autoSpaceDE w:val="0"/>
        <w:autoSpaceDN w:val="0"/>
        <w:adjustRightInd w:val="0"/>
        <w:spacing w:after="0" w:line="240" w:lineRule="auto"/>
        <w:jc w:val="both"/>
        <w:rPr>
          <w:rFonts w:ascii="Verdana" w:hAnsi="Verdana" w:cs="Verdana"/>
          <w:b/>
          <w:sz w:val="20"/>
          <w:szCs w:val="20"/>
          <w:lang w:val="es-CR"/>
        </w:rPr>
      </w:pPr>
    </w:p>
    <w:p w:rsidR="00B03713" w:rsidRPr="00B6232C" w:rsidRDefault="0085606E" w:rsidP="00EA241D">
      <w:pPr>
        <w:pStyle w:val="Ttulo3"/>
        <w:rPr>
          <w:lang w:val="es-CR"/>
        </w:rPr>
      </w:pPr>
      <w:r w:rsidRPr="00B6232C">
        <w:rPr>
          <w:lang w:val="es-CR"/>
        </w:rPr>
        <w:t>C</w:t>
      </w:r>
      <w:r w:rsidR="00B03713" w:rsidRPr="00B6232C">
        <w:rPr>
          <w:lang w:val="es-CR"/>
        </w:rPr>
        <w:t>.1. Cumplimiento del pago</w:t>
      </w:r>
    </w:p>
    <w:p w:rsidR="00B03713" w:rsidRPr="00B6232C" w:rsidRDefault="00B03713" w:rsidP="00AE0DC6">
      <w:pPr>
        <w:widowControl w:val="0"/>
        <w:spacing w:after="0" w:line="240" w:lineRule="auto"/>
        <w:jc w:val="both"/>
        <w:rPr>
          <w:rFonts w:ascii="Verdana" w:hAnsi="Verdana"/>
          <w:b/>
          <w:sz w:val="20"/>
          <w:szCs w:val="20"/>
          <w:lang w:val="es-CR"/>
        </w:rPr>
      </w:pPr>
    </w:p>
    <w:p w:rsidR="00B03713" w:rsidRPr="00B6232C" w:rsidRDefault="0085606E" w:rsidP="00EA241D">
      <w:pPr>
        <w:pStyle w:val="Ttulo4"/>
        <w:rPr>
          <w:lang w:val="es-CR"/>
        </w:rPr>
      </w:pPr>
      <w:r w:rsidRPr="00B6232C">
        <w:rPr>
          <w:lang w:val="es-CR"/>
        </w:rPr>
        <w:t>C</w:t>
      </w:r>
      <w:r w:rsidR="00B03713" w:rsidRPr="00B6232C">
        <w:rPr>
          <w:lang w:val="es-CR"/>
        </w:rPr>
        <w:t>.</w:t>
      </w:r>
      <w:r w:rsidR="00273E7C" w:rsidRPr="00B6232C">
        <w:rPr>
          <w:lang w:val="es-CR"/>
        </w:rPr>
        <w:t>1</w:t>
      </w:r>
      <w:r w:rsidR="00B03713" w:rsidRPr="00B6232C">
        <w:rPr>
          <w:lang w:val="es-CR"/>
        </w:rPr>
        <w:t xml:space="preserve">.1. Argumentos de las partes y de la Comisión </w:t>
      </w:r>
    </w:p>
    <w:p w:rsidR="00B03713" w:rsidRPr="00B6232C" w:rsidRDefault="00B03713" w:rsidP="00AE0DC6">
      <w:pPr>
        <w:pStyle w:val="Prrafodelista"/>
        <w:spacing w:after="0" w:line="240" w:lineRule="auto"/>
        <w:ind w:left="0"/>
        <w:contextualSpacing w:val="0"/>
        <w:jc w:val="both"/>
        <w:rPr>
          <w:rFonts w:ascii="Verdana" w:hAnsi="Verdana"/>
          <w:sz w:val="20"/>
          <w:szCs w:val="20"/>
          <w:lang w:val="es-CR"/>
        </w:rPr>
      </w:pPr>
    </w:p>
    <w:p w:rsidR="00B03713" w:rsidRPr="00B6232C" w:rsidRDefault="00B03713" w:rsidP="00ED5000">
      <w:pPr>
        <w:pStyle w:val="Prrafodelista"/>
        <w:numPr>
          <w:ilvl w:val="0"/>
          <w:numId w:val="2"/>
        </w:numPr>
        <w:tabs>
          <w:tab w:val="clear" w:pos="1247"/>
        </w:tabs>
        <w:spacing w:after="0" w:line="240" w:lineRule="auto"/>
        <w:contextualSpacing w:val="0"/>
        <w:jc w:val="both"/>
        <w:rPr>
          <w:rFonts w:ascii="Verdana" w:hAnsi="Verdana"/>
          <w:sz w:val="20"/>
          <w:szCs w:val="20"/>
          <w:lang w:val="es-CR"/>
        </w:rPr>
      </w:pPr>
      <w:r w:rsidRPr="00B6232C">
        <w:rPr>
          <w:rFonts w:ascii="Verdana" w:hAnsi="Verdana"/>
          <w:sz w:val="20"/>
          <w:szCs w:val="20"/>
          <w:lang w:val="es-CR"/>
        </w:rPr>
        <w:t xml:space="preserve">El </w:t>
      </w:r>
      <w:r w:rsidRPr="00B6232C">
        <w:rPr>
          <w:rFonts w:ascii="Verdana" w:hAnsi="Verdana"/>
          <w:b/>
          <w:i/>
          <w:sz w:val="20"/>
          <w:szCs w:val="20"/>
          <w:lang w:val="es-CR"/>
        </w:rPr>
        <w:t>Estado</w:t>
      </w:r>
      <w:r w:rsidRPr="00B6232C">
        <w:rPr>
          <w:rFonts w:ascii="Verdana" w:hAnsi="Verdana"/>
          <w:sz w:val="20"/>
          <w:szCs w:val="20"/>
          <w:lang w:val="es-CR"/>
        </w:rPr>
        <w:t xml:space="preserve"> </w:t>
      </w:r>
      <w:r w:rsidR="003A3659" w:rsidRPr="00B6232C">
        <w:rPr>
          <w:rFonts w:ascii="Verdana" w:hAnsi="Verdana"/>
          <w:sz w:val="20"/>
          <w:szCs w:val="20"/>
          <w:lang w:val="es-CR"/>
        </w:rPr>
        <w:t xml:space="preserve">solicitó la aclaración del párrafo 315 de la </w:t>
      </w:r>
      <w:r w:rsidR="00F63522" w:rsidRPr="00B6232C">
        <w:rPr>
          <w:rFonts w:ascii="Verdana" w:hAnsi="Verdana"/>
          <w:sz w:val="20"/>
          <w:szCs w:val="20"/>
          <w:lang w:val="es-CR"/>
        </w:rPr>
        <w:t>S</w:t>
      </w:r>
      <w:r w:rsidR="003A3659" w:rsidRPr="00B6232C">
        <w:rPr>
          <w:rFonts w:ascii="Verdana" w:hAnsi="Verdana"/>
          <w:sz w:val="20"/>
          <w:szCs w:val="20"/>
          <w:lang w:val="es-CR"/>
        </w:rPr>
        <w:t xml:space="preserve">entencia. En ese sentido </w:t>
      </w:r>
      <w:r w:rsidRPr="00B6232C">
        <w:rPr>
          <w:rFonts w:ascii="Verdana" w:hAnsi="Verdana"/>
          <w:sz w:val="20"/>
          <w:szCs w:val="20"/>
          <w:lang w:val="es-CR"/>
        </w:rPr>
        <w:t>argumentó que, en Brasil, la moneda nacional tiene curso forzoso y no existe li</w:t>
      </w:r>
      <w:r w:rsidR="00BC770C" w:rsidRPr="00B6232C">
        <w:rPr>
          <w:rFonts w:ascii="Verdana" w:hAnsi="Verdana"/>
          <w:sz w:val="20"/>
          <w:szCs w:val="20"/>
          <w:lang w:val="es-CR"/>
        </w:rPr>
        <w:t>bre convertibilidad. Por lo que</w:t>
      </w:r>
      <w:r w:rsidRPr="00B6232C">
        <w:rPr>
          <w:rFonts w:ascii="Verdana" w:hAnsi="Verdana"/>
          <w:sz w:val="20"/>
          <w:szCs w:val="20"/>
          <w:lang w:val="es-CR"/>
        </w:rPr>
        <w:t xml:space="preserve"> las operaciones con moneda extranjera están restringidas a casos específicos, por regla</w:t>
      </w:r>
      <w:r w:rsidR="006630C1" w:rsidRPr="00B6232C">
        <w:rPr>
          <w:rFonts w:ascii="Verdana" w:hAnsi="Verdana"/>
          <w:sz w:val="20"/>
          <w:szCs w:val="20"/>
          <w:lang w:val="es-CR"/>
        </w:rPr>
        <w:t xml:space="preserve"> general</w:t>
      </w:r>
      <w:r w:rsidR="00BC770C" w:rsidRPr="00B6232C">
        <w:rPr>
          <w:rFonts w:ascii="Verdana" w:hAnsi="Verdana"/>
          <w:sz w:val="20"/>
          <w:szCs w:val="20"/>
          <w:lang w:val="es-CR"/>
        </w:rPr>
        <w:t>,</w:t>
      </w:r>
      <w:r w:rsidRPr="00B6232C">
        <w:rPr>
          <w:rFonts w:ascii="Verdana" w:hAnsi="Verdana"/>
          <w:sz w:val="20"/>
          <w:szCs w:val="20"/>
          <w:lang w:val="es-CR"/>
        </w:rPr>
        <w:t xml:space="preserve"> relacionados a alguna operación con el exterior. El Estado solicitó </w:t>
      </w:r>
      <w:r w:rsidR="00BC770C" w:rsidRPr="00B6232C">
        <w:rPr>
          <w:rFonts w:ascii="Verdana" w:hAnsi="Verdana"/>
          <w:sz w:val="20"/>
          <w:szCs w:val="20"/>
          <w:lang w:val="es-CR"/>
        </w:rPr>
        <w:t xml:space="preserve">que </w:t>
      </w:r>
      <w:r w:rsidRPr="00B6232C">
        <w:rPr>
          <w:rFonts w:ascii="Verdana" w:hAnsi="Verdana"/>
          <w:sz w:val="20"/>
          <w:szCs w:val="20"/>
          <w:lang w:val="es-CR"/>
        </w:rPr>
        <w:t xml:space="preserve">la Corte </w:t>
      </w:r>
      <w:r w:rsidR="006630C1" w:rsidRPr="00B6232C">
        <w:rPr>
          <w:rFonts w:ascii="Verdana" w:hAnsi="Verdana"/>
          <w:sz w:val="20"/>
          <w:szCs w:val="20"/>
          <w:lang w:val="es-CR"/>
        </w:rPr>
        <w:t xml:space="preserve">aclare </w:t>
      </w:r>
      <w:r w:rsidRPr="00B6232C">
        <w:rPr>
          <w:rFonts w:ascii="Verdana" w:hAnsi="Verdana"/>
          <w:sz w:val="20"/>
          <w:szCs w:val="20"/>
          <w:lang w:val="es-CR"/>
        </w:rPr>
        <w:t>si el depósito en institución financiera brasileña solvente puede ser realizado en reales, utilizándose el tipo de cambio del día anterior al depósito.</w:t>
      </w:r>
    </w:p>
    <w:p w:rsidR="00B03713" w:rsidRPr="00B6232C" w:rsidRDefault="00B03713" w:rsidP="00ED5000">
      <w:pPr>
        <w:pStyle w:val="Prrafodelista"/>
        <w:spacing w:after="0" w:line="240" w:lineRule="auto"/>
        <w:ind w:left="0"/>
        <w:contextualSpacing w:val="0"/>
        <w:jc w:val="both"/>
        <w:rPr>
          <w:rFonts w:ascii="Verdana" w:hAnsi="Verdana"/>
          <w:sz w:val="20"/>
          <w:szCs w:val="20"/>
          <w:lang w:val="es-CR"/>
        </w:rPr>
      </w:pPr>
    </w:p>
    <w:p w:rsidR="00B03713" w:rsidRPr="00B6232C" w:rsidRDefault="00F67350" w:rsidP="00EA241D">
      <w:pPr>
        <w:pStyle w:val="Prrafodelista"/>
        <w:numPr>
          <w:ilvl w:val="0"/>
          <w:numId w:val="2"/>
        </w:numPr>
        <w:tabs>
          <w:tab w:val="clear" w:pos="1247"/>
        </w:tabs>
        <w:spacing w:after="0" w:line="240" w:lineRule="auto"/>
        <w:contextualSpacing w:val="0"/>
        <w:jc w:val="both"/>
        <w:rPr>
          <w:rFonts w:ascii="Verdana" w:hAnsi="Verdana"/>
          <w:sz w:val="20"/>
          <w:szCs w:val="20"/>
          <w:lang w:val="es-CR"/>
        </w:rPr>
      </w:pPr>
      <w:r w:rsidRPr="00B6232C">
        <w:rPr>
          <w:rFonts w:ascii="Verdana" w:hAnsi="Verdana"/>
          <w:sz w:val="20"/>
          <w:szCs w:val="20"/>
          <w:lang w:val="es-CR"/>
        </w:rPr>
        <w:t xml:space="preserve">Los </w:t>
      </w:r>
      <w:r w:rsidRPr="00B6232C">
        <w:rPr>
          <w:rFonts w:ascii="Verdana" w:hAnsi="Verdana"/>
          <w:b/>
          <w:i/>
          <w:sz w:val="20"/>
          <w:szCs w:val="20"/>
          <w:lang w:val="es-CR"/>
        </w:rPr>
        <w:t xml:space="preserve">representantes </w:t>
      </w:r>
      <w:r w:rsidRPr="00B6232C">
        <w:rPr>
          <w:rFonts w:ascii="Verdana" w:hAnsi="Verdana"/>
          <w:sz w:val="20"/>
          <w:szCs w:val="20"/>
          <w:lang w:val="es-CR"/>
        </w:rPr>
        <w:t xml:space="preserve">afirmaron que los puntos que han sido objeto de la solicitud de interpretación de la Sentencia por parte del Estado son en realidad objeciones a cuestiones de fondo del referido fallo, </w:t>
      </w:r>
      <w:r w:rsidR="00E1039F" w:rsidRPr="00B6232C">
        <w:rPr>
          <w:rFonts w:ascii="Verdana" w:hAnsi="Verdana"/>
          <w:sz w:val="20"/>
          <w:szCs w:val="20"/>
          <w:lang w:val="es-CR"/>
        </w:rPr>
        <w:t>por lo que no deberían prosperar, toda vez que las sentencias de la Corte no pueden ser objeto de recurso.</w:t>
      </w:r>
    </w:p>
    <w:p w:rsidR="00D974BB" w:rsidRPr="00B6232C" w:rsidRDefault="00D974BB" w:rsidP="00EA241D">
      <w:pPr>
        <w:pStyle w:val="Prrafodelista"/>
        <w:spacing w:after="0" w:line="240" w:lineRule="auto"/>
        <w:ind w:left="0"/>
        <w:contextualSpacing w:val="0"/>
        <w:jc w:val="both"/>
        <w:rPr>
          <w:rFonts w:ascii="Verdana" w:hAnsi="Verdana"/>
          <w:sz w:val="20"/>
          <w:szCs w:val="20"/>
          <w:lang w:val="es-CR"/>
        </w:rPr>
      </w:pPr>
    </w:p>
    <w:p w:rsidR="00B03713" w:rsidRPr="00B6232C" w:rsidRDefault="00B03713" w:rsidP="00EA241D">
      <w:pPr>
        <w:pStyle w:val="Prrafodelista"/>
        <w:numPr>
          <w:ilvl w:val="0"/>
          <w:numId w:val="2"/>
        </w:numPr>
        <w:tabs>
          <w:tab w:val="clear" w:pos="1247"/>
        </w:tabs>
        <w:spacing w:after="0" w:line="240" w:lineRule="auto"/>
        <w:contextualSpacing w:val="0"/>
        <w:jc w:val="both"/>
        <w:rPr>
          <w:rFonts w:ascii="Verdana" w:hAnsi="Verdana"/>
          <w:sz w:val="20"/>
          <w:szCs w:val="20"/>
          <w:lang w:val="es-CR"/>
        </w:rPr>
      </w:pPr>
      <w:r w:rsidRPr="00B6232C">
        <w:rPr>
          <w:rFonts w:ascii="Verdana" w:hAnsi="Verdana"/>
          <w:sz w:val="20"/>
          <w:szCs w:val="20"/>
          <w:lang w:val="es-CR"/>
        </w:rPr>
        <w:t xml:space="preserve">La </w:t>
      </w:r>
      <w:r w:rsidRPr="00B6232C">
        <w:rPr>
          <w:rFonts w:ascii="Verdana" w:hAnsi="Verdana"/>
          <w:b/>
          <w:i/>
          <w:sz w:val="20"/>
          <w:szCs w:val="20"/>
          <w:lang w:val="es-CR"/>
        </w:rPr>
        <w:t>Comisión</w:t>
      </w:r>
      <w:r w:rsidRPr="00B6232C">
        <w:rPr>
          <w:rFonts w:ascii="Verdana" w:hAnsi="Verdana"/>
          <w:sz w:val="20"/>
          <w:szCs w:val="20"/>
          <w:lang w:val="es-CR"/>
        </w:rPr>
        <w:t xml:space="preserve"> afirmó</w:t>
      </w:r>
      <w:r w:rsidR="00440937" w:rsidRPr="00B6232C">
        <w:rPr>
          <w:rFonts w:ascii="Verdana" w:hAnsi="Verdana"/>
          <w:sz w:val="20"/>
          <w:szCs w:val="20"/>
          <w:lang w:val="es-CR"/>
        </w:rPr>
        <w:t xml:space="preserve"> que este punto</w:t>
      </w:r>
      <w:r w:rsidR="00E75800" w:rsidRPr="00B6232C">
        <w:rPr>
          <w:rFonts w:ascii="Verdana" w:hAnsi="Verdana"/>
          <w:sz w:val="20"/>
          <w:szCs w:val="20"/>
          <w:lang w:val="es-CR"/>
        </w:rPr>
        <w:t>,</w:t>
      </w:r>
      <w:r w:rsidR="00440937" w:rsidRPr="00B6232C">
        <w:rPr>
          <w:rFonts w:ascii="Verdana" w:hAnsi="Verdana"/>
          <w:sz w:val="20"/>
          <w:szCs w:val="20"/>
          <w:lang w:val="es-CR"/>
        </w:rPr>
        <w:t xml:space="preserve"> sobre el cual pide aclaración el Estado</w:t>
      </w:r>
      <w:r w:rsidR="00E75800" w:rsidRPr="00B6232C">
        <w:rPr>
          <w:rFonts w:ascii="Verdana" w:hAnsi="Verdana"/>
          <w:sz w:val="20"/>
          <w:szCs w:val="20"/>
          <w:lang w:val="es-CR"/>
        </w:rPr>
        <w:t>,</w:t>
      </w:r>
      <w:r w:rsidR="00440937" w:rsidRPr="00B6232C">
        <w:rPr>
          <w:rFonts w:ascii="Verdana" w:hAnsi="Verdana"/>
          <w:sz w:val="20"/>
          <w:szCs w:val="20"/>
          <w:lang w:val="es-CR"/>
        </w:rPr>
        <w:t xml:space="preserve"> se encuentra esclarecido en el párrafo 314 de la Sentencia. </w:t>
      </w:r>
    </w:p>
    <w:p w:rsidR="00B03713" w:rsidRPr="00B6232C" w:rsidRDefault="00B03713" w:rsidP="00EA241D">
      <w:pPr>
        <w:pStyle w:val="Prrafodelista"/>
        <w:spacing w:after="0" w:line="240" w:lineRule="auto"/>
        <w:ind w:left="0"/>
        <w:contextualSpacing w:val="0"/>
        <w:jc w:val="both"/>
        <w:rPr>
          <w:rFonts w:ascii="Verdana" w:hAnsi="Verdana"/>
          <w:sz w:val="20"/>
          <w:szCs w:val="20"/>
          <w:lang w:val="es-CR"/>
        </w:rPr>
      </w:pPr>
    </w:p>
    <w:p w:rsidR="00B03713" w:rsidRPr="00B6232C" w:rsidRDefault="0085606E" w:rsidP="00EA241D">
      <w:pPr>
        <w:pStyle w:val="Ttulo4"/>
        <w:rPr>
          <w:lang w:val="es-CR"/>
        </w:rPr>
      </w:pPr>
      <w:r w:rsidRPr="00B6232C">
        <w:rPr>
          <w:lang w:val="es-CR"/>
        </w:rPr>
        <w:lastRenderedPageBreak/>
        <w:t>C</w:t>
      </w:r>
      <w:r w:rsidR="00B03713" w:rsidRPr="00B6232C">
        <w:rPr>
          <w:lang w:val="es-CR"/>
        </w:rPr>
        <w:t>.</w:t>
      </w:r>
      <w:r w:rsidR="00273E7C" w:rsidRPr="00B6232C">
        <w:rPr>
          <w:lang w:val="es-CR"/>
        </w:rPr>
        <w:t>1</w:t>
      </w:r>
      <w:r w:rsidR="00B03713" w:rsidRPr="00B6232C">
        <w:rPr>
          <w:lang w:val="es-CR"/>
        </w:rPr>
        <w:t>.2. Consideraciones de la Corte</w:t>
      </w:r>
    </w:p>
    <w:p w:rsidR="00B03713" w:rsidRPr="00B6232C" w:rsidRDefault="00B03713" w:rsidP="00AE0DC6">
      <w:pPr>
        <w:pStyle w:val="Prrafodelista"/>
        <w:spacing w:after="0" w:line="240" w:lineRule="auto"/>
        <w:ind w:left="0"/>
        <w:contextualSpacing w:val="0"/>
        <w:jc w:val="both"/>
        <w:rPr>
          <w:rFonts w:ascii="Verdana" w:hAnsi="Verdana"/>
          <w:i/>
          <w:sz w:val="20"/>
          <w:szCs w:val="20"/>
          <w:lang w:val="es-CR"/>
        </w:rPr>
      </w:pPr>
    </w:p>
    <w:p w:rsidR="00B03713" w:rsidRPr="00B6232C" w:rsidRDefault="00B03713" w:rsidP="00ED5000">
      <w:pPr>
        <w:pStyle w:val="Prrafodelista"/>
        <w:numPr>
          <w:ilvl w:val="0"/>
          <w:numId w:val="2"/>
        </w:numPr>
        <w:tabs>
          <w:tab w:val="clear" w:pos="1247"/>
        </w:tabs>
        <w:spacing w:after="0" w:line="240" w:lineRule="auto"/>
        <w:contextualSpacing w:val="0"/>
        <w:jc w:val="both"/>
        <w:rPr>
          <w:rFonts w:ascii="Verdana" w:hAnsi="Verdana"/>
          <w:sz w:val="20"/>
          <w:szCs w:val="20"/>
          <w:lang w:val="es-CR"/>
        </w:rPr>
      </w:pPr>
      <w:r w:rsidRPr="00B6232C">
        <w:rPr>
          <w:rFonts w:ascii="Verdana" w:hAnsi="Verdana"/>
          <w:sz w:val="20"/>
          <w:szCs w:val="20"/>
          <w:lang w:val="es-CR"/>
        </w:rPr>
        <w:t xml:space="preserve">La Sentencia de la Corte estableció </w:t>
      </w:r>
      <w:r w:rsidR="006630C1" w:rsidRPr="00B6232C">
        <w:rPr>
          <w:rFonts w:ascii="Verdana" w:hAnsi="Verdana"/>
          <w:sz w:val="20"/>
          <w:szCs w:val="20"/>
          <w:lang w:val="es-CR"/>
        </w:rPr>
        <w:t>en los párrafos 31</w:t>
      </w:r>
      <w:r w:rsidR="003A3659" w:rsidRPr="00B6232C">
        <w:rPr>
          <w:rFonts w:ascii="Verdana" w:hAnsi="Verdana"/>
          <w:sz w:val="20"/>
          <w:szCs w:val="20"/>
          <w:lang w:val="es-CR"/>
        </w:rPr>
        <w:t>4</w:t>
      </w:r>
      <w:r w:rsidR="006630C1" w:rsidRPr="00B6232C">
        <w:rPr>
          <w:rFonts w:ascii="Verdana" w:hAnsi="Verdana"/>
          <w:sz w:val="20"/>
          <w:szCs w:val="20"/>
          <w:lang w:val="es-CR"/>
        </w:rPr>
        <w:t xml:space="preserve"> a 315 </w:t>
      </w:r>
      <w:r w:rsidRPr="00B6232C">
        <w:rPr>
          <w:rFonts w:ascii="Verdana" w:hAnsi="Verdana"/>
          <w:sz w:val="20"/>
          <w:szCs w:val="20"/>
          <w:lang w:val="es-CR"/>
        </w:rPr>
        <w:t>las condiciones en que el pago de las indemnizaciones compensatorias debe ser</w:t>
      </w:r>
      <w:r w:rsidR="00BC770C" w:rsidRPr="00B6232C">
        <w:rPr>
          <w:rFonts w:ascii="Verdana" w:hAnsi="Verdana"/>
          <w:sz w:val="20"/>
          <w:szCs w:val="20"/>
          <w:lang w:val="es-CR"/>
        </w:rPr>
        <w:t xml:space="preserve"> realizado</w:t>
      </w:r>
      <w:r w:rsidR="003A3659" w:rsidRPr="00B6232C">
        <w:rPr>
          <w:rFonts w:ascii="Verdana" w:hAnsi="Verdana"/>
          <w:sz w:val="20"/>
          <w:szCs w:val="20"/>
          <w:lang w:val="es-CR"/>
        </w:rPr>
        <w:t>:</w:t>
      </w:r>
    </w:p>
    <w:p w:rsidR="003A3659" w:rsidRPr="00B6232C" w:rsidRDefault="003A3659" w:rsidP="00EA241D">
      <w:pPr>
        <w:pStyle w:val="Prrafodelista"/>
        <w:spacing w:after="0" w:line="240" w:lineRule="auto"/>
        <w:ind w:left="0"/>
        <w:contextualSpacing w:val="0"/>
        <w:jc w:val="both"/>
        <w:rPr>
          <w:rFonts w:ascii="Verdana" w:hAnsi="Verdana"/>
          <w:sz w:val="20"/>
          <w:szCs w:val="20"/>
          <w:lang w:val="es-CR"/>
        </w:rPr>
      </w:pPr>
    </w:p>
    <w:p w:rsidR="003A3659" w:rsidRPr="00B6232C" w:rsidRDefault="003A3659" w:rsidP="00EA241D">
      <w:pPr>
        <w:pStyle w:val="Prrafodelista"/>
        <w:spacing w:after="0" w:line="240" w:lineRule="auto"/>
        <w:ind w:left="567" w:right="713"/>
        <w:contextualSpacing w:val="0"/>
        <w:jc w:val="both"/>
        <w:rPr>
          <w:rFonts w:ascii="Verdana" w:hAnsi="Verdana"/>
          <w:sz w:val="16"/>
          <w:szCs w:val="20"/>
          <w:lang w:val="es-CR"/>
        </w:rPr>
      </w:pPr>
      <w:r w:rsidRPr="00B6232C">
        <w:rPr>
          <w:rFonts w:ascii="Verdana" w:hAnsi="Verdana"/>
          <w:sz w:val="16"/>
          <w:szCs w:val="20"/>
          <w:lang w:val="es-CR"/>
        </w:rPr>
        <w:t xml:space="preserve">314. El Estado debe cumplir sus obligaciones monetarias mediante el pago en dólares de los Estados Unidos de América, o su equivalente en moneda brasileña, utilizando para el cálculo respectivo el tipo de cambio que se encuentre vigente en la bolsa de Nueva York, Estados Unidos de América, el día anterior al pago. </w:t>
      </w:r>
    </w:p>
    <w:p w:rsidR="003A3659" w:rsidRPr="00B6232C" w:rsidRDefault="003A3659" w:rsidP="00EA241D">
      <w:pPr>
        <w:pStyle w:val="Prrafodelista"/>
        <w:spacing w:after="0" w:line="240" w:lineRule="auto"/>
        <w:ind w:left="567" w:right="713"/>
        <w:contextualSpacing w:val="0"/>
        <w:jc w:val="both"/>
        <w:rPr>
          <w:rFonts w:ascii="Verdana" w:hAnsi="Verdana"/>
          <w:sz w:val="16"/>
          <w:szCs w:val="20"/>
          <w:lang w:val="es-CR"/>
        </w:rPr>
      </w:pPr>
    </w:p>
    <w:p w:rsidR="003A3659" w:rsidRPr="00B6232C" w:rsidRDefault="003A3659" w:rsidP="00EA241D">
      <w:pPr>
        <w:pStyle w:val="Prrafodelista"/>
        <w:spacing w:after="0" w:line="240" w:lineRule="auto"/>
        <w:ind w:left="567" w:right="713"/>
        <w:contextualSpacing w:val="0"/>
        <w:jc w:val="both"/>
        <w:rPr>
          <w:rFonts w:ascii="Verdana" w:hAnsi="Verdana"/>
          <w:sz w:val="16"/>
          <w:szCs w:val="20"/>
          <w:lang w:val="es-CR"/>
        </w:rPr>
      </w:pPr>
      <w:r w:rsidRPr="00B6232C">
        <w:rPr>
          <w:rFonts w:ascii="Verdana" w:hAnsi="Verdana"/>
          <w:sz w:val="16"/>
          <w:szCs w:val="20"/>
          <w:lang w:val="es-CR"/>
        </w:rPr>
        <w:t>315. Si por causas atribuibles a alguno de los beneficiarios de las indemnizaciones o a sus derechohabientes no fuese posible el pago de todo o parte de las cantidades determinadas dentro del plazo indicado, el Estado consignará dichos montos a su favor en una cuenta o certificado de depósito en una institución financiera brasileña solvente, en dólares de los Estados Unidos de América, y en las condiciones financieras más favorables que permitan la legislación y la práctica bancaria del Estado. Si no se reclama la indemnización correspondiente luego de transcurridos diez años, las cantidades serán devueltas al Estado con los intereses devengados.</w:t>
      </w:r>
    </w:p>
    <w:p w:rsidR="00B03713" w:rsidRPr="00B6232C" w:rsidRDefault="00B03713" w:rsidP="00EA241D">
      <w:pPr>
        <w:pStyle w:val="Prrafodelista"/>
        <w:spacing w:after="0" w:line="240" w:lineRule="auto"/>
        <w:ind w:left="576"/>
        <w:contextualSpacing w:val="0"/>
        <w:jc w:val="both"/>
        <w:rPr>
          <w:rFonts w:ascii="Verdana" w:hAnsi="Verdana"/>
          <w:sz w:val="20"/>
          <w:szCs w:val="20"/>
          <w:lang w:val="es-CR"/>
        </w:rPr>
      </w:pPr>
    </w:p>
    <w:p w:rsidR="00B03713" w:rsidRPr="00B6232C" w:rsidRDefault="00B03713" w:rsidP="00EA241D">
      <w:pPr>
        <w:pStyle w:val="Prrafodelista"/>
        <w:numPr>
          <w:ilvl w:val="0"/>
          <w:numId w:val="2"/>
        </w:numPr>
        <w:tabs>
          <w:tab w:val="clear" w:pos="1247"/>
          <w:tab w:val="num" w:pos="284"/>
        </w:tabs>
        <w:spacing w:after="0" w:line="240" w:lineRule="auto"/>
        <w:contextualSpacing w:val="0"/>
        <w:jc w:val="both"/>
        <w:rPr>
          <w:rFonts w:ascii="Verdana" w:hAnsi="Verdana"/>
          <w:sz w:val="20"/>
          <w:szCs w:val="20"/>
          <w:lang w:val="es-CR"/>
        </w:rPr>
      </w:pPr>
      <w:r w:rsidRPr="00B6232C">
        <w:rPr>
          <w:rFonts w:ascii="Verdana" w:hAnsi="Verdana"/>
          <w:sz w:val="20"/>
          <w:szCs w:val="20"/>
          <w:lang w:val="es-CR"/>
        </w:rPr>
        <w:t>La Corte considera que</w:t>
      </w:r>
      <w:r w:rsidR="00016D0E" w:rsidRPr="00B6232C">
        <w:rPr>
          <w:rFonts w:ascii="Verdana" w:hAnsi="Verdana"/>
          <w:sz w:val="20"/>
          <w:szCs w:val="20"/>
          <w:lang w:val="es-CR"/>
        </w:rPr>
        <w:t>,</w:t>
      </w:r>
      <w:r w:rsidRPr="00B6232C">
        <w:rPr>
          <w:rFonts w:ascii="Verdana" w:hAnsi="Verdana"/>
          <w:sz w:val="20"/>
          <w:szCs w:val="20"/>
          <w:lang w:val="es-CR"/>
        </w:rPr>
        <w:t xml:space="preserve"> </w:t>
      </w:r>
      <w:r w:rsidR="00BC770C" w:rsidRPr="00B6232C">
        <w:rPr>
          <w:rFonts w:ascii="Verdana" w:hAnsi="Verdana"/>
          <w:sz w:val="20"/>
          <w:szCs w:val="20"/>
          <w:lang w:val="es-CR"/>
        </w:rPr>
        <w:t>de la lectura del párrafo 314</w:t>
      </w:r>
      <w:r w:rsidR="00016D0E" w:rsidRPr="00B6232C">
        <w:rPr>
          <w:rFonts w:ascii="Verdana" w:hAnsi="Verdana"/>
          <w:sz w:val="20"/>
          <w:szCs w:val="20"/>
          <w:lang w:val="es-CR"/>
        </w:rPr>
        <w:t>,</w:t>
      </w:r>
      <w:r w:rsidRPr="00B6232C">
        <w:rPr>
          <w:rFonts w:ascii="Verdana" w:hAnsi="Verdana"/>
          <w:sz w:val="20"/>
          <w:szCs w:val="20"/>
          <w:lang w:val="es-CR"/>
        </w:rPr>
        <w:t xml:space="preserve"> se desprende que los valores determinados en dólares estadunidenses pueden ser pagados en moneda brasileña. </w:t>
      </w:r>
      <w:r w:rsidR="00BC770C" w:rsidRPr="00B6232C">
        <w:rPr>
          <w:rFonts w:ascii="Verdana" w:hAnsi="Verdana"/>
          <w:sz w:val="20"/>
          <w:szCs w:val="20"/>
          <w:lang w:val="es-CR"/>
        </w:rPr>
        <w:t>De ese modo</w:t>
      </w:r>
      <w:r w:rsidRPr="00B6232C">
        <w:rPr>
          <w:rFonts w:ascii="Verdana" w:hAnsi="Verdana"/>
          <w:sz w:val="20"/>
          <w:szCs w:val="20"/>
          <w:lang w:val="es-CR"/>
        </w:rPr>
        <w:t>, la</w:t>
      </w:r>
      <w:r w:rsidR="00B73495" w:rsidRPr="00B6232C">
        <w:rPr>
          <w:rFonts w:ascii="Verdana" w:hAnsi="Verdana"/>
          <w:sz w:val="20"/>
          <w:szCs w:val="20"/>
          <w:lang w:val="es-CR"/>
        </w:rPr>
        <w:t xml:space="preserve"> Corte aclara que el párrafo 315</w:t>
      </w:r>
      <w:r w:rsidRPr="00B6232C">
        <w:rPr>
          <w:rFonts w:ascii="Verdana" w:hAnsi="Verdana"/>
          <w:sz w:val="20"/>
          <w:szCs w:val="20"/>
          <w:lang w:val="es-CR"/>
        </w:rPr>
        <w:t xml:space="preserve"> debe ser interpretado en consonan</w:t>
      </w:r>
      <w:r w:rsidR="00B73495" w:rsidRPr="00B6232C">
        <w:rPr>
          <w:rFonts w:ascii="Verdana" w:hAnsi="Verdana"/>
          <w:sz w:val="20"/>
          <w:szCs w:val="20"/>
          <w:lang w:val="es-CR"/>
        </w:rPr>
        <w:t>cia con el párrafo 314</w:t>
      </w:r>
      <w:r w:rsidRPr="00B6232C">
        <w:rPr>
          <w:rFonts w:ascii="Verdana" w:hAnsi="Verdana"/>
          <w:sz w:val="20"/>
          <w:szCs w:val="20"/>
          <w:lang w:val="es-CR"/>
        </w:rPr>
        <w:t>, en el sentido de que en caso de que el pago de los valores indicados en dólares de los Estados Unidos de América no pueda ser realizado en esa moneda, deberá ser realizado en moneda brasileña, utilizando para su conversión el tipo de cambio vigente en la bolsa de Nueva York, Estados Unidos de América, en el día anterior al pago</w:t>
      </w:r>
      <w:r w:rsidRPr="00B6232C">
        <w:rPr>
          <w:rStyle w:val="Refdenotaalpie"/>
          <w:sz w:val="20"/>
          <w:szCs w:val="20"/>
          <w:lang w:val="es-CR"/>
        </w:rPr>
        <w:footnoteReference w:id="8"/>
      </w:r>
      <w:r w:rsidRPr="00B6232C">
        <w:rPr>
          <w:rFonts w:ascii="Verdana" w:hAnsi="Verdana"/>
          <w:sz w:val="20"/>
          <w:szCs w:val="20"/>
          <w:lang w:val="es-CR"/>
        </w:rPr>
        <w:t xml:space="preserve">. </w:t>
      </w:r>
    </w:p>
    <w:p w:rsidR="00B03713" w:rsidRPr="00B6232C" w:rsidRDefault="00B03713" w:rsidP="00EA241D">
      <w:pPr>
        <w:pStyle w:val="Prrafodelista"/>
        <w:spacing w:after="0" w:line="240" w:lineRule="auto"/>
        <w:ind w:left="0"/>
        <w:contextualSpacing w:val="0"/>
        <w:jc w:val="both"/>
        <w:rPr>
          <w:rFonts w:ascii="Verdana" w:hAnsi="Verdana"/>
          <w:sz w:val="20"/>
          <w:szCs w:val="20"/>
          <w:lang w:val="es-CR"/>
        </w:rPr>
      </w:pPr>
    </w:p>
    <w:p w:rsidR="00B03713" w:rsidRPr="00B6232C" w:rsidRDefault="0085606E" w:rsidP="00EA241D">
      <w:pPr>
        <w:pStyle w:val="Ttulo3"/>
        <w:rPr>
          <w:lang w:val="es-CR"/>
        </w:rPr>
      </w:pPr>
      <w:r w:rsidRPr="00B6232C">
        <w:rPr>
          <w:lang w:val="es-CR"/>
        </w:rPr>
        <w:t>C</w:t>
      </w:r>
      <w:r w:rsidR="002A08F0" w:rsidRPr="00B6232C">
        <w:rPr>
          <w:lang w:val="es-CR"/>
        </w:rPr>
        <w:t>.2</w:t>
      </w:r>
      <w:r w:rsidR="00B03713" w:rsidRPr="00B6232C">
        <w:rPr>
          <w:lang w:val="es-CR"/>
        </w:rPr>
        <w:t>. Inter</w:t>
      </w:r>
      <w:r w:rsidR="00F35FA5" w:rsidRPr="00B6232C">
        <w:rPr>
          <w:lang w:val="es-CR"/>
        </w:rPr>
        <w:t>ese</w:t>
      </w:r>
      <w:r w:rsidR="00B03713" w:rsidRPr="00B6232C">
        <w:rPr>
          <w:lang w:val="es-CR"/>
        </w:rPr>
        <w:t>s</w:t>
      </w:r>
      <w:r w:rsidR="00F35FA5" w:rsidRPr="00B6232C">
        <w:rPr>
          <w:lang w:val="es-CR"/>
        </w:rPr>
        <w:t xml:space="preserve"> Moratorios</w:t>
      </w:r>
    </w:p>
    <w:p w:rsidR="00B03713" w:rsidRPr="00B6232C" w:rsidRDefault="00B03713" w:rsidP="00AE0DC6">
      <w:pPr>
        <w:pStyle w:val="Prrafodelista"/>
        <w:spacing w:after="0" w:line="240" w:lineRule="auto"/>
        <w:ind w:left="0"/>
        <w:contextualSpacing w:val="0"/>
        <w:jc w:val="both"/>
        <w:rPr>
          <w:rFonts w:ascii="Verdana" w:hAnsi="Verdana"/>
          <w:sz w:val="20"/>
          <w:szCs w:val="20"/>
          <w:lang w:val="es-CR"/>
        </w:rPr>
      </w:pPr>
      <w:r w:rsidRPr="00B6232C">
        <w:rPr>
          <w:rFonts w:ascii="Verdana" w:hAnsi="Verdana"/>
          <w:sz w:val="20"/>
          <w:szCs w:val="20"/>
          <w:lang w:val="es-CR"/>
        </w:rPr>
        <w:tab/>
      </w:r>
    </w:p>
    <w:p w:rsidR="00B03713" w:rsidRPr="00B6232C" w:rsidRDefault="0085606E" w:rsidP="00EA241D">
      <w:pPr>
        <w:pStyle w:val="Ttulo4"/>
        <w:rPr>
          <w:lang w:val="es-CR"/>
        </w:rPr>
      </w:pPr>
      <w:r w:rsidRPr="00B6232C">
        <w:rPr>
          <w:lang w:val="es-CR"/>
        </w:rPr>
        <w:t>C</w:t>
      </w:r>
      <w:r w:rsidR="002A08F0" w:rsidRPr="00B6232C">
        <w:rPr>
          <w:lang w:val="es-CR"/>
        </w:rPr>
        <w:t>.2</w:t>
      </w:r>
      <w:r w:rsidR="00B03713" w:rsidRPr="00B6232C">
        <w:rPr>
          <w:lang w:val="es-CR"/>
        </w:rPr>
        <w:t>.1. Argumentos de las partes y de la Comisión</w:t>
      </w:r>
    </w:p>
    <w:p w:rsidR="00B03713" w:rsidRPr="00B6232C" w:rsidRDefault="00B03713" w:rsidP="00AE0DC6">
      <w:pPr>
        <w:pStyle w:val="Prrafodelista"/>
        <w:spacing w:after="0" w:line="240" w:lineRule="auto"/>
        <w:ind w:left="0"/>
        <w:contextualSpacing w:val="0"/>
        <w:jc w:val="both"/>
        <w:rPr>
          <w:rFonts w:ascii="Verdana" w:hAnsi="Verdana"/>
          <w:sz w:val="20"/>
          <w:szCs w:val="20"/>
          <w:lang w:val="es-CR"/>
        </w:rPr>
      </w:pPr>
    </w:p>
    <w:p w:rsidR="00B03713" w:rsidRPr="00B6232C" w:rsidRDefault="00B03713" w:rsidP="00ED5000">
      <w:pPr>
        <w:pStyle w:val="Prrafodelista"/>
        <w:numPr>
          <w:ilvl w:val="0"/>
          <w:numId w:val="2"/>
        </w:numPr>
        <w:tabs>
          <w:tab w:val="clear" w:pos="1247"/>
        </w:tabs>
        <w:spacing w:after="0" w:line="240" w:lineRule="auto"/>
        <w:contextualSpacing w:val="0"/>
        <w:jc w:val="both"/>
        <w:rPr>
          <w:rFonts w:ascii="Verdana" w:hAnsi="Verdana"/>
          <w:sz w:val="20"/>
          <w:szCs w:val="20"/>
          <w:lang w:val="es-CR"/>
        </w:rPr>
      </w:pPr>
      <w:r w:rsidRPr="00B6232C">
        <w:rPr>
          <w:rFonts w:ascii="Verdana" w:hAnsi="Verdana"/>
          <w:sz w:val="20"/>
          <w:szCs w:val="20"/>
          <w:lang w:val="es-CR"/>
        </w:rPr>
        <w:t xml:space="preserve">El </w:t>
      </w:r>
      <w:r w:rsidRPr="00B6232C">
        <w:rPr>
          <w:rFonts w:ascii="Verdana" w:hAnsi="Verdana"/>
          <w:b/>
          <w:i/>
          <w:sz w:val="20"/>
          <w:szCs w:val="20"/>
          <w:lang w:val="es-CR"/>
        </w:rPr>
        <w:t>Estado</w:t>
      </w:r>
      <w:r w:rsidRPr="00B6232C">
        <w:rPr>
          <w:rFonts w:ascii="Verdana" w:hAnsi="Verdana"/>
          <w:sz w:val="20"/>
          <w:szCs w:val="20"/>
          <w:lang w:val="es-CR"/>
        </w:rPr>
        <w:t xml:space="preserve"> solicitó aclaración</w:t>
      </w:r>
      <w:r w:rsidR="003A3659" w:rsidRPr="00B6232C">
        <w:rPr>
          <w:rFonts w:ascii="Verdana" w:hAnsi="Verdana"/>
          <w:sz w:val="20"/>
          <w:szCs w:val="20"/>
          <w:lang w:val="es-CR"/>
        </w:rPr>
        <w:t xml:space="preserve"> del párrafo 317 de la Sentencia</w:t>
      </w:r>
      <w:r w:rsidRPr="00B6232C">
        <w:rPr>
          <w:rFonts w:ascii="Verdana" w:hAnsi="Verdana"/>
          <w:sz w:val="20"/>
          <w:szCs w:val="20"/>
          <w:lang w:val="es-CR"/>
        </w:rPr>
        <w:t xml:space="preserve"> sobre si el pago del interés moratorio debe incidir sobre el valor de la indemnización ya convertido a reales, en la fecha en que se inicie la eventual mora. Aclaró que se trata de una precaución</w:t>
      </w:r>
      <w:r w:rsidR="00AE0DC6" w:rsidRPr="00B6232C">
        <w:rPr>
          <w:rFonts w:ascii="Verdana" w:hAnsi="Verdana"/>
          <w:sz w:val="20"/>
          <w:szCs w:val="20"/>
          <w:lang w:val="es-CR"/>
        </w:rPr>
        <w:t>,</w:t>
      </w:r>
      <w:r w:rsidRPr="00B6232C">
        <w:rPr>
          <w:rFonts w:ascii="Verdana" w:hAnsi="Verdana"/>
          <w:sz w:val="20"/>
          <w:szCs w:val="20"/>
          <w:lang w:val="es-CR"/>
        </w:rPr>
        <w:t xml:space="preserve"> con el </w:t>
      </w:r>
      <w:r w:rsidR="004A5D34" w:rsidRPr="00B6232C">
        <w:rPr>
          <w:rFonts w:ascii="Verdana" w:hAnsi="Verdana"/>
          <w:sz w:val="20"/>
          <w:szCs w:val="20"/>
          <w:lang w:val="es-CR"/>
        </w:rPr>
        <w:t>propósito</w:t>
      </w:r>
      <w:r w:rsidRPr="00B6232C">
        <w:rPr>
          <w:rFonts w:ascii="Verdana" w:hAnsi="Verdana"/>
          <w:sz w:val="20"/>
          <w:szCs w:val="20"/>
          <w:lang w:val="es-CR"/>
        </w:rPr>
        <w:t xml:space="preserve"> de evitar una interpretación que resulte en la aplicación de intereses previstos para la moneda nacional</w:t>
      </w:r>
      <w:r w:rsidR="00074EAC" w:rsidRPr="00B6232C">
        <w:rPr>
          <w:rFonts w:ascii="Verdana" w:hAnsi="Verdana"/>
          <w:sz w:val="20"/>
          <w:szCs w:val="20"/>
          <w:lang w:val="es-CR"/>
        </w:rPr>
        <w:t>,</w:t>
      </w:r>
      <w:r w:rsidRPr="00B6232C">
        <w:rPr>
          <w:rFonts w:ascii="Verdana" w:hAnsi="Verdana"/>
          <w:sz w:val="20"/>
          <w:szCs w:val="20"/>
          <w:lang w:val="es-CR"/>
        </w:rPr>
        <w:t xml:space="preserve"> al </w:t>
      </w:r>
      <w:r w:rsidR="006F59BC" w:rsidRPr="00B6232C">
        <w:rPr>
          <w:rFonts w:ascii="Verdana" w:hAnsi="Verdana"/>
          <w:sz w:val="20"/>
          <w:szCs w:val="20"/>
          <w:lang w:val="es-CR"/>
        </w:rPr>
        <w:t xml:space="preserve">pago en </w:t>
      </w:r>
      <w:r w:rsidRPr="00B6232C">
        <w:rPr>
          <w:rFonts w:ascii="Verdana" w:hAnsi="Verdana"/>
          <w:sz w:val="20"/>
          <w:szCs w:val="20"/>
          <w:lang w:val="es-CR"/>
        </w:rPr>
        <w:t>dólar</w:t>
      </w:r>
      <w:r w:rsidR="006F59BC" w:rsidRPr="00B6232C">
        <w:rPr>
          <w:rFonts w:ascii="Verdana" w:hAnsi="Verdana"/>
          <w:sz w:val="20"/>
          <w:szCs w:val="20"/>
          <w:lang w:val="es-CR"/>
        </w:rPr>
        <w:t>es</w:t>
      </w:r>
      <w:r w:rsidRPr="00B6232C">
        <w:rPr>
          <w:rFonts w:ascii="Verdana" w:hAnsi="Verdana"/>
          <w:sz w:val="20"/>
          <w:szCs w:val="20"/>
          <w:lang w:val="es-CR"/>
        </w:rPr>
        <w:t xml:space="preserve"> de los Estados Unidos de América. </w:t>
      </w:r>
    </w:p>
    <w:p w:rsidR="00B03713" w:rsidRPr="00B6232C" w:rsidRDefault="00B03713" w:rsidP="00ED5000">
      <w:pPr>
        <w:pStyle w:val="Prrafodelista"/>
        <w:spacing w:after="0" w:line="240" w:lineRule="auto"/>
        <w:ind w:left="0"/>
        <w:contextualSpacing w:val="0"/>
        <w:jc w:val="both"/>
        <w:rPr>
          <w:rFonts w:ascii="Verdana" w:hAnsi="Verdana"/>
          <w:sz w:val="20"/>
          <w:szCs w:val="20"/>
          <w:lang w:val="es-CR"/>
        </w:rPr>
      </w:pPr>
    </w:p>
    <w:p w:rsidR="00B03713" w:rsidRPr="00B6232C" w:rsidRDefault="00B03713" w:rsidP="00EA241D">
      <w:pPr>
        <w:pStyle w:val="Prrafodelista"/>
        <w:numPr>
          <w:ilvl w:val="0"/>
          <w:numId w:val="2"/>
        </w:numPr>
        <w:tabs>
          <w:tab w:val="clear" w:pos="1247"/>
        </w:tabs>
        <w:spacing w:after="0" w:line="240" w:lineRule="auto"/>
        <w:contextualSpacing w:val="0"/>
        <w:jc w:val="both"/>
        <w:rPr>
          <w:rFonts w:ascii="Verdana" w:hAnsi="Verdana"/>
          <w:sz w:val="20"/>
          <w:szCs w:val="20"/>
          <w:lang w:val="es-CR"/>
        </w:rPr>
      </w:pPr>
      <w:r w:rsidRPr="00B6232C">
        <w:rPr>
          <w:rFonts w:ascii="Verdana" w:hAnsi="Verdana"/>
          <w:sz w:val="20"/>
          <w:szCs w:val="20"/>
          <w:lang w:val="es-CR"/>
        </w:rPr>
        <w:t>También sobre e</w:t>
      </w:r>
      <w:r w:rsidR="003A3659" w:rsidRPr="00B6232C">
        <w:rPr>
          <w:rFonts w:ascii="Verdana" w:hAnsi="Verdana"/>
          <w:sz w:val="20"/>
          <w:szCs w:val="20"/>
          <w:lang w:val="es-CR"/>
        </w:rPr>
        <w:t>ste punto</w:t>
      </w:r>
      <w:r w:rsidRPr="00B6232C">
        <w:rPr>
          <w:rFonts w:ascii="Verdana" w:hAnsi="Verdana"/>
          <w:sz w:val="20"/>
          <w:szCs w:val="20"/>
          <w:lang w:val="es-CR"/>
        </w:rPr>
        <w:t xml:space="preserve"> el Estado observó que el artículo 68.2 de la Convención Americana dispone que la parte del fallo que </w:t>
      </w:r>
      <w:r w:rsidR="00271DD7" w:rsidRPr="00B6232C">
        <w:rPr>
          <w:rFonts w:ascii="Verdana" w:hAnsi="Verdana"/>
          <w:sz w:val="20"/>
          <w:szCs w:val="20"/>
          <w:lang w:val="es-CR"/>
        </w:rPr>
        <w:t>establezca</w:t>
      </w:r>
      <w:r w:rsidRPr="00B6232C">
        <w:rPr>
          <w:rFonts w:ascii="Verdana" w:hAnsi="Verdana"/>
          <w:sz w:val="20"/>
          <w:szCs w:val="20"/>
          <w:lang w:val="es-CR"/>
        </w:rPr>
        <w:t xml:space="preserve"> indemnización compensatoria se podrá ejecutar en el respectivo país por el procedimiento interno vigente para la ejecución de sentencias contra el Estado y que, en ese proceso interno, el ente público (Hacienda Pública) fija el interés moratorio según la remuneración de la cuenta de ahorro, de conformidad con el artículo 1-F de la Ley 9.494/1997. En vista de lo anterior, el Estado también solicitó que se aclare que la expresión “</w:t>
      </w:r>
      <w:r w:rsidR="006630C1" w:rsidRPr="00B6232C">
        <w:rPr>
          <w:rFonts w:ascii="Verdana" w:hAnsi="Verdana"/>
          <w:sz w:val="20"/>
          <w:szCs w:val="20"/>
          <w:lang w:val="es-CR"/>
        </w:rPr>
        <w:t>interés bancario moratorio</w:t>
      </w:r>
      <w:r w:rsidRPr="00B6232C">
        <w:rPr>
          <w:rFonts w:ascii="Verdana" w:hAnsi="Verdana"/>
          <w:sz w:val="20"/>
          <w:szCs w:val="20"/>
          <w:lang w:val="es-CR"/>
        </w:rPr>
        <w:t>”</w:t>
      </w:r>
      <w:r w:rsidR="00271DD7" w:rsidRPr="00B6232C">
        <w:rPr>
          <w:rFonts w:ascii="Verdana" w:hAnsi="Verdana"/>
          <w:sz w:val="20"/>
          <w:szCs w:val="20"/>
          <w:lang w:val="es-CR"/>
        </w:rPr>
        <w:t>, citada en el mismo párrafo 317</w:t>
      </w:r>
      <w:r w:rsidRPr="00B6232C">
        <w:rPr>
          <w:rFonts w:ascii="Verdana" w:hAnsi="Verdana"/>
          <w:sz w:val="20"/>
          <w:szCs w:val="20"/>
          <w:lang w:val="es-CR"/>
        </w:rPr>
        <w:t xml:space="preserve"> de la Sentencia, deba ser interpretada en consonancia con la legislación interna aplicable a las entidades públicas.</w:t>
      </w:r>
    </w:p>
    <w:p w:rsidR="00B03713" w:rsidRPr="00B6232C" w:rsidRDefault="00B03713" w:rsidP="00EA241D">
      <w:pPr>
        <w:pStyle w:val="Prrafodelista"/>
        <w:spacing w:after="0" w:line="240" w:lineRule="auto"/>
        <w:contextualSpacing w:val="0"/>
        <w:rPr>
          <w:rFonts w:ascii="Verdana" w:hAnsi="Verdana"/>
          <w:sz w:val="20"/>
          <w:szCs w:val="20"/>
          <w:lang w:val="es-CR"/>
        </w:rPr>
      </w:pPr>
      <w:r w:rsidRPr="00B6232C">
        <w:rPr>
          <w:rFonts w:ascii="Verdana" w:hAnsi="Verdana"/>
          <w:sz w:val="20"/>
          <w:szCs w:val="20"/>
          <w:lang w:val="es-CR"/>
        </w:rPr>
        <w:tab/>
      </w:r>
    </w:p>
    <w:p w:rsidR="00F67350" w:rsidRPr="00B6232C" w:rsidRDefault="00F67350" w:rsidP="00EA241D">
      <w:pPr>
        <w:pStyle w:val="Prrafodelista"/>
        <w:numPr>
          <w:ilvl w:val="0"/>
          <w:numId w:val="2"/>
        </w:numPr>
        <w:tabs>
          <w:tab w:val="clear" w:pos="1247"/>
        </w:tabs>
        <w:spacing w:after="0" w:line="240" w:lineRule="auto"/>
        <w:contextualSpacing w:val="0"/>
        <w:jc w:val="both"/>
        <w:rPr>
          <w:rFonts w:ascii="Verdana" w:hAnsi="Verdana"/>
          <w:sz w:val="20"/>
          <w:szCs w:val="20"/>
          <w:lang w:val="es-CR"/>
        </w:rPr>
      </w:pPr>
      <w:r w:rsidRPr="00B6232C">
        <w:rPr>
          <w:rFonts w:ascii="Verdana" w:hAnsi="Verdana"/>
          <w:sz w:val="20"/>
          <w:szCs w:val="20"/>
          <w:lang w:val="es-CR"/>
        </w:rPr>
        <w:t xml:space="preserve">Los </w:t>
      </w:r>
      <w:r w:rsidRPr="00B6232C">
        <w:rPr>
          <w:rFonts w:ascii="Verdana" w:hAnsi="Verdana"/>
          <w:b/>
          <w:i/>
          <w:sz w:val="20"/>
          <w:szCs w:val="20"/>
          <w:lang w:val="es-CR"/>
        </w:rPr>
        <w:t xml:space="preserve">representantes </w:t>
      </w:r>
      <w:r w:rsidRPr="00B6232C">
        <w:rPr>
          <w:rFonts w:ascii="Verdana" w:hAnsi="Verdana"/>
          <w:sz w:val="20"/>
          <w:szCs w:val="20"/>
          <w:lang w:val="es-CR"/>
        </w:rPr>
        <w:t xml:space="preserve">afirmaron que los puntos que han sido objeto de la solicitud de interpretación de la Sentencia por parte del Estado son en realidad objeciones a cuestiones de fondo del referido fallo, </w:t>
      </w:r>
      <w:r w:rsidR="00074EAC" w:rsidRPr="00B6232C">
        <w:rPr>
          <w:rFonts w:ascii="Verdana" w:hAnsi="Verdana"/>
          <w:sz w:val="20"/>
          <w:szCs w:val="20"/>
          <w:lang w:val="es-CR"/>
        </w:rPr>
        <w:t>por lo que no deberían prosperar, toda vez que las sentencias de la Corte no pueden ser objeto de recurso.</w:t>
      </w:r>
      <w:r w:rsidR="00074EAC" w:rsidRPr="00B6232C" w:rsidDel="00074EAC">
        <w:rPr>
          <w:rFonts w:ascii="Verdana" w:hAnsi="Verdana"/>
          <w:sz w:val="20"/>
          <w:szCs w:val="20"/>
          <w:lang w:val="es-CR"/>
        </w:rPr>
        <w:t xml:space="preserve"> </w:t>
      </w:r>
      <w:r w:rsidR="00B03713" w:rsidRPr="00B6232C">
        <w:rPr>
          <w:rFonts w:ascii="Verdana" w:hAnsi="Verdana"/>
          <w:sz w:val="20"/>
          <w:szCs w:val="20"/>
          <w:lang w:val="es-CR"/>
        </w:rPr>
        <w:t xml:space="preserve"> </w:t>
      </w:r>
    </w:p>
    <w:p w:rsidR="00F67350" w:rsidRPr="00B6232C" w:rsidRDefault="00F67350" w:rsidP="00EA241D">
      <w:pPr>
        <w:pStyle w:val="Prrafodelista"/>
        <w:spacing w:after="0" w:line="240" w:lineRule="auto"/>
        <w:ind w:left="0"/>
        <w:contextualSpacing w:val="0"/>
        <w:jc w:val="both"/>
        <w:rPr>
          <w:rFonts w:ascii="Verdana" w:hAnsi="Verdana"/>
          <w:sz w:val="20"/>
          <w:szCs w:val="20"/>
          <w:lang w:val="es-CR"/>
        </w:rPr>
      </w:pPr>
    </w:p>
    <w:p w:rsidR="00B03713" w:rsidRPr="00B6232C" w:rsidRDefault="00F67350" w:rsidP="00EA241D">
      <w:pPr>
        <w:pStyle w:val="Prrafodelista"/>
        <w:numPr>
          <w:ilvl w:val="0"/>
          <w:numId w:val="2"/>
        </w:numPr>
        <w:tabs>
          <w:tab w:val="clear" w:pos="1247"/>
        </w:tabs>
        <w:spacing w:after="0" w:line="240" w:lineRule="auto"/>
        <w:contextualSpacing w:val="0"/>
        <w:jc w:val="both"/>
        <w:rPr>
          <w:rFonts w:ascii="Verdana" w:hAnsi="Verdana"/>
          <w:sz w:val="20"/>
          <w:szCs w:val="20"/>
          <w:lang w:val="es-CR"/>
        </w:rPr>
      </w:pPr>
      <w:r w:rsidRPr="00B6232C">
        <w:rPr>
          <w:rFonts w:ascii="Verdana" w:hAnsi="Verdana"/>
          <w:sz w:val="20"/>
          <w:szCs w:val="20"/>
          <w:lang w:val="es-CR"/>
        </w:rPr>
        <w:lastRenderedPageBreak/>
        <w:t>L</w:t>
      </w:r>
      <w:r w:rsidR="00B03713" w:rsidRPr="00B6232C">
        <w:rPr>
          <w:rFonts w:ascii="Verdana" w:hAnsi="Verdana"/>
          <w:sz w:val="20"/>
          <w:szCs w:val="20"/>
          <w:lang w:val="es-CR"/>
        </w:rPr>
        <w:t xml:space="preserve">a </w:t>
      </w:r>
      <w:r w:rsidR="00B03713" w:rsidRPr="00B6232C">
        <w:rPr>
          <w:rFonts w:ascii="Verdana" w:hAnsi="Verdana"/>
          <w:b/>
          <w:i/>
          <w:sz w:val="20"/>
          <w:szCs w:val="20"/>
          <w:lang w:val="es-CR"/>
        </w:rPr>
        <w:t>Comisión</w:t>
      </w:r>
      <w:r w:rsidR="00FA7EE8" w:rsidRPr="00B6232C">
        <w:rPr>
          <w:rFonts w:ascii="Verdana" w:hAnsi="Verdana"/>
          <w:sz w:val="20"/>
          <w:szCs w:val="20"/>
          <w:lang w:val="es-CR"/>
        </w:rPr>
        <w:t xml:space="preserve"> </w:t>
      </w:r>
      <w:r w:rsidR="00A53766" w:rsidRPr="00B6232C">
        <w:rPr>
          <w:rFonts w:ascii="Verdana" w:hAnsi="Verdana"/>
          <w:sz w:val="20"/>
          <w:szCs w:val="20"/>
          <w:lang w:val="es-CR"/>
        </w:rPr>
        <w:t>afirmó que este punto sobre el cual pide aclaración el Estado se encuentra esclarecido en el párrafo 314 de la Sentencia.</w:t>
      </w:r>
    </w:p>
    <w:p w:rsidR="00B03713" w:rsidRPr="00B6232C" w:rsidRDefault="00B03713" w:rsidP="00EA241D">
      <w:pPr>
        <w:pStyle w:val="Prrafodelista"/>
        <w:spacing w:after="0" w:line="240" w:lineRule="auto"/>
        <w:ind w:left="0"/>
        <w:contextualSpacing w:val="0"/>
        <w:jc w:val="both"/>
        <w:rPr>
          <w:rFonts w:ascii="Verdana" w:hAnsi="Verdana"/>
          <w:i/>
          <w:sz w:val="20"/>
          <w:szCs w:val="20"/>
          <w:lang w:val="es-CR"/>
        </w:rPr>
      </w:pPr>
    </w:p>
    <w:p w:rsidR="00B03713" w:rsidRPr="00B6232C" w:rsidRDefault="0085606E" w:rsidP="00EA241D">
      <w:pPr>
        <w:pStyle w:val="Ttulo4"/>
        <w:rPr>
          <w:lang w:val="es-CR"/>
        </w:rPr>
      </w:pPr>
      <w:r w:rsidRPr="00B6232C">
        <w:rPr>
          <w:lang w:val="es-CR"/>
        </w:rPr>
        <w:t>C</w:t>
      </w:r>
      <w:r w:rsidR="00B03713" w:rsidRPr="00B6232C">
        <w:rPr>
          <w:lang w:val="es-CR"/>
        </w:rPr>
        <w:t>.2.</w:t>
      </w:r>
      <w:r w:rsidR="002A08F0" w:rsidRPr="00B6232C">
        <w:rPr>
          <w:lang w:val="es-CR"/>
        </w:rPr>
        <w:t>2.</w:t>
      </w:r>
      <w:r w:rsidR="00B03713" w:rsidRPr="00B6232C">
        <w:rPr>
          <w:lang w:val="es-CR"/>
        </w:rPr>
        <w:t xml:space="preserve"> Consideraciones de la Corte</w:t>
      </w:r>
    </w:p>
    <w:p w:rsidR="00B03713" w:rsidRPr="00B6232C" w:rsidRDefault="00B03713" w:rsidP="00AE0DC6">
      <w:pPr>
        <w:pStyle w:val="Prrafodelista"/>
        <w:spacing w:after="0" w:line="240" w:lineRule="auto"/>
        <w:ind w:left="0"/>
        <w:contextualSpacing w:val="0"/>
        <w:jc w:val="both"/>
        <w:rPr>
          <w:rFonts w:ascii="Verdana" w:hAnsi="Verdana"/>
          <w:sz w:val="20"/>
          <w:szCs w:val="20"/>
          <w:lang w:val="es-CR"/>
        </w:rPr>
      </w:pPr>
    </w:p>
    <w:p w:rsidR="00B03713" w:rsidRPr="00B6232C" w:rsidRDefault="00AE0DC6" w:rsidP="00AE0DC6">
      <w:pPr>
        <w:pStyle w:val="Prrafodelista"/>
        <w:numPr>
          <w:ilvl w:val="0"/>
          <w:numId w:val="2"/>
        </w:numPr>
        <w:tabs>
          <w:tab w:val="clear" w:pos="1247"/>
        </w:tabs>
        <w:spacing w:after="0" w:line="240" w:lineRule="auto"/>
        <w:contextualSpacing w:val="0"/>
        <w:jc w:val="both"/>
        <w:rPr>
          <w:rFonts w:ascii="Verdana" w:hAnsi="Verdana"/>
          <w:sz w:val="20"/>
          <w:szCs w:val="20"/>
          <w:lang w:val="es-CR"/>
        </w:rPr>
      </w:pPr>
      <w:r w:rsidRPr="00B6232C">
        <w:rPr>
          <w:rFonts w:ascii="Verdana" w:hAnsi="Verdana"/>
          <w:sz w:val="20"/>
          <w:szCs w:val="20"/>
          <w:lang w:val="es-CR"/>
        </w:rPr>
        <w:t xml:space="preserve">La Corte </w:t>
      </w:r>
      <w:r w:rsidR="00982249" w:rsidRPr="00B6232C">
        <w:rPr>
          <w:rFonts w:ascii="Verdana" w:hAnsi="Verdana"/>
          <w:sz w:val="20"/>
          <w:szCs w:val="20"/>
          <w:lang w:val="es-CR"/>
        </w:rPr>
        <w:t xml:space="preserve">recuerda </w:t>
      </w:r>
      <w:r w:rsidRPr="00B6232C">
        <w:rPr>
          <w:rFonts w:ascii="Verdana" w:hAnsi="Verdana"/>
          <w:sz w:val="20"/>
          <w:szCs w:val="20"/>
          <w:lang w:val="es-CR"/>
        </w:rPr>
        <w:t>que, d</w:t>
      </w:r>
      <w:r w:rsidR="0045629B" w:rsidRPr="00B6232C">
        <w:rPr>
          <w:rFonts w:ascii="Verdana" w:hAnsi="Verdana"/>
          <w:sz w:val="20"/>
          <w:szCs w:val="20"/>
          <w:lang w:val="es-CR"/>
        </w:rPr>
        <w:t>e acuerdo con el párrafo 317</w:t>
      </w:r>
      <w:r w:rsidR="00B03713" w:rsidRPr="00B6232C">
        <w:rPr>
          <w:rFonts w:ascii="Verdana" w:hAnsi="Verdana"/>
          <w:sz w:val="20"/>
          <w:szCs w:val="20"/>
          <w:lang w:val="es-CR"/>
        </w:rPr>
        <w:t xml:space="preserve"> de la Sentencia:</w:t>
      </w:r>
    </w:p>
    <w:p w:rsidR="00B03713" w:rsidRPr="00B6232C" w:rsidRDefault="00B03713" w:rsidP="00ED5000">
      <w:pPr>
        <w:pStyle w:val="Prrafodelista"/>
        <w:autoSpaceDE w:val="0"/>
        <w:autoSpaceDN w:val="0"/>
        <w:adjustRightInd w:val="0"/>
        <w:spacing w:after="0" w:line="240" w:lineRule="auto"/>
        <w:ind w:left="0"/>
        <w:contextualSpacing w:val="0"/>
        <w:jc w:val="both"/>
        <w:rPr>
          <w:rFonts w:ascii="Verdana" w:eastAsiaTheme="minorHAnsi" w:hAnsi="Verdana" w:cs="Verdana"/>
          <w:sz w:val="18"/>
          <w:szCs w:val="20"/>
          <w:lang w:val="es-CR"/>
        </w:rPr>
      </w:pPr>
    </w:p>
    <w:p w:rsidR="00B03713" w:rsidRPr="00B6232C" w:rsidRDefault="0045629B" w:rsidP="00EA241D">
      <w:pPr>
        <w:pStyle w:val="Prrafodelista"/>
        <w:spacing w:after="0" w:line="240" w:lineRule="auto"/>
        <w:ind w:right="713"/>
        <w:contextualSpacing w:val="0"/>
        <w:jc w:val="both"/>
        <w:rPr>
          <w:rFonts w:ascii="Verdana" w:hAnsi="Verdana"/>
          <w:b/>
          <w:sz w:val="16"/>
          <w:szCs w:val="20"/>
          <w:lang w:val="es-CR"/>
        </w:rPr>
      </w:pPr>
      <w:r w:rsidRPr="00B6232C">
        <w:rPr>
          <w:rFonts w:ascii="Verdana" w:hAnsi="Verdana"/>
          <w:sz w:val="16"/>
          <w:szCs w:val="20"/>
          <w:lang w:val="es-CR"/>
        </w:rPr>
        <w:t>En caso de que el Estado incurriera en mora, deberá pagar un interés sobre la cantidad adeudada, correspondiente al interés bancario moratorio en la República Federativa de Brasil</w:t>
      </w:r>
      <w:r w:rsidR="00B03713" w:rsidRPr="00B6232C">
        <w:rPr>
          <w:rFonts w:ascii="Verdana" w:hAnsi="Verdana"/>
          <w:sz w:val="16"/>
          <w:szCs w:val="20"/>
          <w:lang w:val="es-CR"/>
        </w:rPr>
        <w:t xml:space="preserve">. </w:t>
      </w:r>
    </w:p>
    <w:p w:rsidR="00B03713" w:rsidRPr="00B6232C" w:rsidRDefault="00B03713" w:rsidP="00EA241D">
      <w:pPr>
        <w:pStyle w:val="Prrafodelista"/>
        <w:spacing w:after="0" w:line="240" w:lineRule="auto"/>
        <w:contextualSpacing w:val="0"/>
        <w:jc w:val="both"/>
        <w:rPr>
          <w:rFonts w:ascii="Verdana" w:hAnsi="Verdana"/>
          <w:b/>
          <w:sz w:val="20"/>
          <w:szCs w:val="20"/>
          <w:lang w:val="es-CR"/>
        </w:rPr>
      </w:pPr>
    </w:p>
    <w:p w:rsidR="0045629B" w:rsidRPr="00B6232C" w:rsidRDefault="00AE0DC6" w:rsidP="00EA241D">
      <w:pPr>
        <w:pStyle w:val="Prrafodelista"/>
        <w:numPr>
          <w:ilvl w:val="0"/>
          <w:numId w:val="2"/>
        </w:numPr>
        <w:tabs>
          <w:tab w:val="clear" w:pos="1247"/>
          <w:tab w:val="num" w:pos="284"/>
        </w:tabs>
        <w:spacing w:after="0" w:line="240" w:lineRule="auto"/>
        <w:contextualSpacing w:val="0"/>
        <w:jc w:val="both"/>
        <w:rPr>
          <w:rFonts w:ascii="Verdana" w:hAnsi="Verdana"/>
          <w:sz w:val="20"/>
          <w:szCs w:val="20"/>
          <w:lang w:val="es-CR"/>
        </w:rPr>
      </w:pPr>
      <w:r w:rsidRPr="00B6232C">
        <w:rPr>
          <w:rFonts w:ascii="Verdana" w:hAnsi="Verdana"/>
          <w:sz w:val="20"/>
          <w:szCs w:val="20"/>
          <w:lang w:val="es-CR"/>
        </w:rPr>
        <w:t xml:space="preserve">Conforme a lo anterior, en </w:t>
      </w:r>
      <w:r w:rsidR="00B03713" w:rsidRPr="00B6232C">
        <w:rPr>
          <w:rFonts w:ascii="Verdana" w:eastAsiaTheme="minorHAnsi" w:hAnsi="Verdana" w:cs="Verdana"/>
          <w:sz w:val="20"/>
          <w:szCs w:val="20"/>
          <w:lang w:val="es-CR"/>
        </w:rPr>
        <w:t xml:space="preserve">lo que se refiere a la primera parte de la </w:t>
      </w:r>
      <w:r w:rsidR="006630C1" w:rsidRPr="00B6232C">
        <w:rPr>
          <w:rFonts w:ascii="Verdana" w:eastAsiaTheme="minorHAnsi" w:hAnsi="Verdana" w:cs="Verdana"/>
          <w:sz w:val="20"/>
          <w:szCs w:val="20"/>
          <w:lang w:val="es-CR"/>
        </w:rPr>
        <w:t xml:space="preserve">solicitud </w:t>
      </w:r>
      <w:r w:rsidR="00B03713" w:rsidRPr="00B6232C">
        <w:rPr>
          <w:rFonts w:ascii="Verdana" w:eastAsiaTheme="minorHAnsi" w:hAnsi="Verdana" w:cs="Verdana"/>
          <w:sz w:val="20"/>
          <w:szCs w:val="20"/>
          <w:lang w:val="es-CR"/>
        </w:rPr>
        <w:t>del Estado, la</w:t>
      </w:r>
      <w:r w:rsidR="0045629B" w:rsidRPr="00B6232C">
        <w:rPr>
          <w:rFonts w:ascii="Verdana" w:eastAsiaTheme="minorHAnsi" w:hAnsi="Verdana" w:cs="Verdana"/>
          <w:sz w:val="20"/>
          <w:szCs w:val="20"/>
          <w:lang w:val="es-CR"/>
        </w:rPr>
        <w:t xml:space="preserve"> Corte aclara que el párrafo 317</w:t>
      </w:r>
      <w:r w:rsidR="00B03713" w:rsidRPr="00B6232C">
        <w:rPr>
          <w:rFonts w:ascii="Verdana" w:eastAsiaTheme="minorHAnsi" w:hAnsi="Verdana" w:cs="Verdana"/>
          <w:sz w:val="20"/>
          <w:szCs w:val="20"/>
          <w:lang w:val="es-CR"/>
        </w:rPr>
        <w:t xml:space="preserve"> </w:t>
      </w:r>
      <w:r w:rsidRPr="00B6232C">
        <w:rPr>
          <w:rFonts w:ascii="Verdana" w:eastAsiaTheme="minorHAnsi" w:hAnsi="Verdana" w:cs="Verdana"/>
          <w:sz w:val="20"/>
          <w:szCs w:val="20"/>
          <w:lang w:val="es-CR"/>
        </w:rPr>
        <w:t xml:space="preserve">de la </w:t>
      </w:r>
      <w:r w:rsidR="004B7795" w:rsidRPr="00B6232C">
        <w:rPr>
          <w:rFonts w:ascii="Verdana" w:eastAsiaTheme="minorHAnsi" w:hAnsi="Verdana" w:cs="Verdana"/>
          <w:sz w:val="20"/>
          <w:szCs w:val="20"/>
          <w:lang w:val="es-CR"/>
        </w:rPr>
        <w:t>S</w:t>
      </w:r>
      <w:r w:rsidRPr="00B6232C">
        <w:rPr>
          <w:rFonts w:ascii="Verdana" w:eastAsiaTheme="minorHAnsi" w:hAnsi="Verdana" w:cs="Verdana"/>
          <w:sz w:val="20"/>
          <w:szCs w:val="20"/>
          <w:lang w:val="es-CR"/>
        </w:rPr>
        <w:t xml:space="preserve">entencia, </w:t>
      </w:r>
      <w:r w:rsidR="00B03713" w:rsidRPr="00B6232C">
        <w:rPr>
          <w:rFonts w:ascii="Verdana" w:eastAsiaTheme="minorHAnsi" w:hAnsi="Verdana" w:cs="Verdana"/>
          <w:sz w:val="20"/>
          <w:szCs w:val="20"/>
          <w:lang w:val="es-CR"/>
        </w:rPr>
        <w:t>debe ser interpretado e</w:t>
      </w:r>
      <w:r w:rsidR="0045629B" w:rsidRPr="00B6232C">
        <w:rPr>
          <w:rFonts w:ascii="Verdana" w:eastAsiaTheme="minorHAnsi" w:hAnsi="Verdana" w:cs="Verdana"/>
          <w:sz w:val="20"/>
          <w:szCs w:val="20"/>
          <w:lang w:val="es-CR"/>
        </w:rPr>
        <w:t>n consonancia con el párrafo 314</w:t>
      </w:r>
      <w:r w:rsidR="004B7795" w:rsidRPr="00B6232C">
        <w:rPr>
          <w:rFonts w:ascii="Verdana" w:eastAsiaTheme="minorHAnsi" w:hAnsi="Verdana" w:cs="Verdana"/>
          <w:sz w:val="20"/>
          <w:szCs w:val="20"/>
          <w:lang w:val="es-CR"/>
        </w:rPr>
        <w:t xml:space="preserve"> de la misma</w:t>
      </w:r>
      <w:r w:rsidR="00B03713" w:rsidRPr="00B6232C">
        <w:rPr>
          <w:rFonts w:ascii="Verdana" w:eastAsiaTheme="minorHAnsi" w:hAnsi="Verdana" w:cs="Verdana"/>
          <w:sz w:val="20"/>
          <w:szCs w:val="20"/>
          <w:lang w:val="es-CR"/>
        </w:rPr>
        <w:t xml:space="preserve">, el cual determina </w:t>
      </w:r>
      <w:r w:rsidR="00705666" w:rsidRPr="00B6232C">
        <w:rPr>
          <w:rFonts w:ascii="Verdana" w:eastAsiaTheme="minorHAnsi" w:hAnsi="Verdana" w:cs="Verdana"/>
          <w:sz w:val="20"/>
          <w:szCs w:val="20"/>
          <w:lang w:val="es-CR"/>
        </w:rPr>
        <w:t>que el Estado “</w:t>
      </w:r>
      <w:r w:rsidR="00B934E2" w:rsidRPr="00B6232C">
        <w:rPr>
          <w:rFonts w:ascii="Verdana" w:eastAsiaTheme="minorHAnsi" w:hAnsi="Verdana" w:cs="Verdana"/>
          <w:sz w:val="20"/>
          <w:szCs w:val="20"/>
          <w:lang w:val="es-CR"/>
        </w:rPr>
        <w:t>debe cumplir sus obligaciones monetarias mediante el pago en dólares de los Estados Unidos de América, o su equivalente en moneda brasileña, utilizando para el cálculo respectivo el tipo de cambio que se encuentre vigente en la bolsa de Nueva York, Estados Unidos de América, el día anterior al pago</w:t>
      </w:r>
      <w:r w:rsidR="00705666" w:rsidRPr="00B6232C">
        <w:rPr>
          <w:rFonts w:ascii="Verdana" w:eastAsiaTheme="minorHAnsi" w:hAnsi="Verdana" w:cs="Verdana"/>
          <w:sz w:val="20"/>
          <w:szCs w:val="20"/>
          <w:lang w:val="es-CR"/>
        </w:rPr>
        <w:t>”</w:t>
      </w:r>
      <w:r w:rsidR="00491456" w:rsidRPr="00B6232C">
        <w:rPr>
          <w:rFonts w:ascii="Verdana" w:eastAsiaTheme="minorHAnsi" w:hAnsi="Verdana" w:cs="Verdana"/>
          <w:sz w:val="20"/>
          <w:szCs w:val="20"/>
          <w:lang w:val="es-CR"/>
        </w:rPr>
        <w:t xml:space="preserve">. </w:t>
      </w:r>
      <w:r w:rsidR="00B03713" w:rsidRPr="00B6232C">
        <w:rPr>
          <w:rFonts w:ascii="Verdana" w:eastAsiaTheme="minorHAnsi" w:hAnsi="Verdana" w:cs="Verdana"/>
          <w:sz w:val="20"/>
          <w:szCs w:val="20"/>
          <w:lang w:val="es-CR"/>
        </w:rPr>
        <w:t>De esta forma, el pago del interés moratorio debe ser calculado sobre el valor en reales, una vez que los valores determinados en la Sentencia hayan sido convertidos de dólar estad</w:t>
      </w:r>
      <w:r w:rsidR="00074EAC" w:rsidRPr="00B6232C">
        <w:rPr>
          <w:rFonts w:ascii="Verdana" w:eastAsiaTheme="minorHAnsi" w:hAnsi="Verdana" w:cs="Verdana"/>
          <w:sz w:val="20"/>
          <w:szCs w:val="20"/>
          <w:lang w:val="es-CR"/>
        </w:rPr>
        <w:t>o</w:t>
      </w:r>
      <w:r w:rsidR="00B03713" w:rsidRPr="00B6232C">
        <w:rPr>
          <w:rFonts w:ascii="Verdana" w:eastAsiaTheme="minorHAnsi" w:hAnsi="Verdana" w:cs="Verdana"/>
          <w:sz w:val="20"/>
          <w:szCs w:val="20"/>
          <w:lang w:val="es-CR"/>
        </w:rPr>
        <w:t>unidens</w:t>
      </w:r>
      <w:r w:rsidR="0045629B" w:rsidRPr="00B6232C">
        <w:rPr>
          <w:rFonts w:ascii="Verdana" w:eastAsiaTheme="minorHAnsi" w:hAnsi="Verdana" w:cs="Verdana"/>
          <w:sz w:val="20"/>
          <w:szCs w:val="20"/>
          <w:lang w:val="es-CR"/>
        </w:rPr>
        <w:t>e a real brasileño.</w:t>
      </w:r>
      <w:r w:rsidR="00B934E2" w:rsidRPr="00B6232C">
        <w:rPr>
          <w:rFonts w:ascii="Verdana" w:eastAsiaTheme="minorHAnsi" w:hAnsi="Verdana" w:cs="Verdana"/>
          <w:sz w:val="20"/>
          <w:szCs w:val="20"/>
          <w:lang w:val="es-CR"/>
        </w:rPr>
        <w:t xml:space="preserve"> </w:t>
      </w:r>
    </w:p>
    <w:p w:rsidR="00B934E2" w:rsidRPr="00B6232C" w:rsidRDefault="00B934E2" w:rsidP="00EA241D">
      <w:pPr>
        <w:pStyle w:val="Prrafodelista"/>
        <w:tabs>
          <w:tab w:val="num" w:pos="284"/>
        </w:tabs>
        <w:spacing w:after="0" w:line="240" w:lineRule="auto"/>
        <w:ind w:left="0"/>
        <w:contextualSpacing w:val="0"/>
        <w:jc w:val="both"/>
        <w:rPr>
          <w:rFonts w:ascii="Verdana" w:hAnsi="Verdana"/>
          <w:sz w:val="20"/>
          <w:szCs w:val="20"/>
          <w:lang w:val="es-CR"/>
        </w:rPr>
      </w:pPr>
    </w:p>
    <w:p w:rsidR="00FD6A38" w:rsidRPr="00B6232C" w:rsidRDefault="00B03713" w:rsidP="00EA241D">
      <w:pPr>
        <w:pStyle w:val="Prrafodelista"/>
        <w:numPr>
          <w:ilvl w:val="0"/>
          <w:numId w:val="2"/>
        </w:numPr>
        <w:tabs>
          <w:tab w:val="clear" w:pos="1247"/>
          <w:tab w:val="num" w:pos="284"/>
        </w:tabs>
        <w:spacing w:after="0" w:line="240" w:lineRule="auto"/>
        <w:contextualSpacing w:val="0"/>
        <w:jc w:val="both"/>
        <w:rPr>
          <w:rFonts w:ascii="Verdana" w:hAnsi="Verdana"/>
          <w:sz w:val="20"/>
          <w:szCs w:val="20"/>
          <w:lang w:val="es-CR"/>
        </w:rPr>
      </w:pPr>
      <w:r w:rsidRPr="00B6232C">
        <w:rPr>
          <w:rFonts w:ascii="Verdana" w:hAnsi="Verdana"/>
          <w:sz w:val="20"/>
          <w:szCs w:val="20"/>
          <w:lang w:val="es-CR"/>
        </w:rPr>
        <w:t xml:space="preserve">Sin perjuicio de lo anterior, la Corte considera que la segunda parte de la solicitud del Estado, </w:t>
      </w:r>
      <w:r w:rsidR="00CF1686" w:rsidRPr="00B6232C">
        <w:rPr>
          <w:rFonts w:ascii="Verdana" w:hAnsi="Verdana"/>
          <w:sz w:val="20"/>
          <w:szCs w:val="20"/>
          <w:lang w:val="es-CR"/>
        </w:rPr>
        <w:t>co</w:t>
      </w:r>
      <w:r w:rsidRPr="00B6232C">
        <w:rPr>
          <w:rFonts w:ascii="Verdana" w:hAnsi="Verdana"/>
          <w:sz w:val="20"/>
          <w:szCs w:val="20"/>
          <w:lang w:val="es-CR"/>
        </w:rPr>
        <w:t>n relación al tipo de interés bancario aplicable sobre el valor en mora</w:t>
      </w:r>
      <w:r w:rsidR="00AD0FD2" w:rsidRPr="00B6232C">
        <w:rPr>
          <w:rFonts w:ascii="Verdana" w:hAnsi="Verdana"/>
          <w:sz w:val="20"/>
          <w:szCs w:val="20"/>
          <w:lang w:val="es-CR"/>
        </w:rPr>
        <w:t>,</w:t>
      </w:r>
      <w:r w:rsidRPr="00B6232C">
        <w:rPr>
          <w:rFonts w:ascii="Verdana" w:hAnsi="Verdana"/>
          <w:sz w:val="20"/>
          <w:szCs w:val="20"/>
          <w:lang w:val="es-CR"/>
        </w:rPr>
        <w:t xml:space="preserve"> es un aspecto referente a la supervisión del cumplimiento de la Sentencia y no debe ser objeto de una interpretación en abstracto por parte de la Corte Interamericana en esta Sentencia</w:t>
      </w:r>
      <w:r w:rsidRPr="00B6232C">
        <w:rPr>
          <w:rStyle w:val="Refdenotaalpie"/>
          <w:sz w:val="20"/>
          <w:szCs w:val="20"/>
          <w:lang w:val="es-CR"/>
        </w:rPr>
        <w:footnoteReference w:id="9"/>
      </w:r>
      <w:r w:rsidRPr="00B6232C">
        <w:rPr>
          <w:rFonts w:ascii="Verdana" w:hAnsi="Verdana"/>
          <w:sz w:val="20"/>
          <w:szCs w:val="20"/>
          <w:lang w:val="es-CR"/>
        </w:rPr>
        <w:t>.</w:t>
      </w:r>
      <w:r w:rsidR="00B934E2" w:rsidRPr="00B6232C">
        <w:rPr>
          <w:rFonts w:ascii="Verdana" w:hAnsi="Verdana"/>
          <w:sz w:val="20"/>
          <w:szCs w:val="20"/>
          <w:lang w:val="es-CR"/>
        </w:rPr>
        <w:t xml:space="preserve"> </w:t>
      </w:r>
      <w:r w:rsidR="006F59BC" w:rsidRPr="00B6232C">
        <w:rPr>
          <w:rFonts w:ascii="Verdana" w:hAnsi="Verdana"/>
          <w:sz w:val="20"/>
          <w:szCs w:val="20"/>
          <w:lang w:val="es-CR"/>
        </w:rPr>
        <w:t>En consecuencia, declara improcedente la solicitud de interpretación sobre este extremo.</w:t>
      </w:r>
    </w:p>
    <w:p w:rsidR="007B680C" w:rsidRPr="00B6232C" w:rsidRDefault="007B680C" w:rsidP="00EA241D">
      <w:pPr>
        <w:autoSpaceDE w:val="0"/>
        <w:autoSpaceDN w:val="0"/>
        <w:adjustRightInd w:val="0"/>
        <w:spacing w:after="0" w:line="240" w:lineRule="auto"/>
        <w:jc w:val="both"/>
        <w:rPr>
          <w:rFonts w:ascii="Verdana" w:hAnsi="Verdana" w:cs="Verdana"/>
          <w:sz w:val="20"/>
          <w:szCs w:val="20"/>
          <w:lang w:val="es-CR"/>
        </w:rPr>
      </w:pPr>
    </w:p>
    <w:p w:rsidR="007B680C" w:rsidRPr="00B6232C" w:rsidRDefault="007B680C" w:rsidP="00EA241D">
      <w:pPr>
        <w:pStyle w:val="Ttulo1"/>
      </w:pPr>
      <w:r w:rsidRPr="00B6232C">
        <w:t>V</w:t>
      </w:r>
    </w:p>
    <w:p w:rsidR="007B680C" w:rsidRPr="00B6232C" w:rsidRDefault="007B680C" w:rsidP="00EA241D">
      <w:pPr>
        <w:pStyle w:val="Ttulo1"/>
      </w:pPr>
      <w:r w:rsidRPr="00B6232C">
        <w:t xml:space="preserve">PUNTOS RESOLUTIVOS </w:t>
      </w:r>
    </w:p>
    <w:p w:rsidR="007B680C" w:rsidRPr="00B6232C" w:rsidRDefault="007B680C" w:rsidP="00AE0DC6">
      <w:pPr>
        <w:spacing w:after="0" w:line="240" w:lineRule="auto"/>
        <w:rPr>
          <w:rFonts w:ascii="Verdana" w:hAnsi="Verdana"/>
          <w:sz w:val="20"/>
          <w:szCs w:val="20"/>
          <w:lang w:val="es-CR"/>
        </w:rPr>
      </w:pPr>
    </w:p>
    <w:p w:rsidR="007B680C" w:rsidRPr="00B6232C" w:rsidRDefault="007B680C" w:rsidP="00ED5000">
      <w:pPr>
        <w:pStyle w:val="Textocomentario"/>
        <w:numPr>
          <w:ilvl w:val="0"/>
          <w:numId w:val="2"/>
        </w:numPr>
        <w:tabs>
          <w:tab w:val="clear" w:pos="1247"/>
          <w:tab w:val="num" w:pos="0"/>
        </w:tabs>
        <w:spacing w:after="0"/>
        <w:rPr>
          <w:rFonts w:ascii="Verdana" w:hAnsi="Verdana"/>
          <w:lang w:val="es-CR"/>
        </w:rPr>
      </w:pPr>
      <w:r w:rsidRPr="00B6232C">
        <w:rPr>
          <w:rFonts w:ascii="Verdana" w:hAnsi="Verdana"/>
          <w:lang w:val="es-CR"/>
        </w:rPr>
        <w:t xml:space="preserve">Por tanto, </w:t>
      </w:r>
    </w:p>
    <w:p w:rsidR="007B680C" w:rsidRPr="00B6232C" w:rsidRDefault="007B680C" w:rsidP="00EA241D">
      <w:pPr>
        <w:spacing w:after="0" w:line="240" w:lineRule="auto"/>
        <w:rPr>
          <w:rFonts w:ascii="Verdana" w:hAnsi="Verdana"/>
          <w:sz w:val="20"/>
          <w:szCs w:val="20"/>
          <w:lang w:val="es-CR"/>
        </w:rPr>
      </w:pPr>
    </w:p>
    <w:p w:rsidR="007B680C" w:rsidRPr="00B6232C" w:rsidRDefault="007B680C" w:rsidP="00EA241D">
      <w:pPr>
        <w:spacing w:after="0" w:line="240" w:lineRule="auto"/>
        <w:jc w:val="both"/>
        <w:rPr>
          <w:rFonts w:ascii="Verdana" w:hAnsi="Verdana"/>
          <w:b/>
          <w:sz w:val="20"/>
          <w:szCs w:val="20"/>
          <w:lang w:val="es-CR"/>
        </w:rPr>
      </w:pPr>
      <w:r w:rsidRPr="00B6232C">
        <w:rPr>
          <w:rFonts w:ascii="Verdana" w:hAnsi="Verdana"/>
          <w:b/>
          <w:sz w:val="20"/>
          <w:szCs w:val="20"/>
          <w:lang w:val="es-CR"/>
        </w:rPr>
        <w:t>LA CORTE,</w:t>
      </w:r>
    </w:p>
    <w:p w:rsidR="007B680C" w:rsidRPr="00B6232C" w:rsidRDefault="007B680C" w:rsidP="00EA241D">
      <w:pPr>
        <w:spacing w:after="0" w:line="240" w:lineRule="auto"/>
        <w:jc w:val="both"/>
        <w:rPr>
          <w:rFonts w:ascii="Verdana" w:hAnsi="Verdana"/>
          <w:sz w:val="20"/>
          <w:szCs w:val="20"/>
          <w:lang w:val="es-CR"/>
        </w:rPr>
      </w:pPr>
    </w:p>
    <w:p w:rsidR="007B680C" w:rsidRPr="00B6232C" w:rsidRDefault="007B680C" w:rsidP="00EA241D">
      <w:pPr>
        <w:spacing w:after="0" w:line="240" w:lineRule="auto"/>
        <w:jc w:val="both"/>
        <w:rPr>
          <w:rFonts w:ascii="Verdana" w:hAnsi="Verdana"/>
          <w:sz w:val="20"/>
          <w:szCs w:val="20"/>
          <w:lang w:val="es-CR"/>
        </w:rPr>
      </w:pPr>
      <w:r w:rsidRPr="00B6232C">
        <w:rPr>
          <w:rFonts w:ascii="Verdana" w:hAnsi="Verdana"/>
          <w:sz w:val="20"/>
          <w:szCs w:val="20"/>
          <w:lang w:val="es-CR"/>
        </w:rPr>
        <w:t>de conformidad con el artículo 67 de la Convención Americana sobre Derechos Humanos y los artículos 31.3 y 68 del Reglamento,</w:t>
      </w:r>
    </w:p>
    <w:p w:rsidR="007B680C" w:rsidRPr="00B6232C" w:rsidRDefault="007B680C" w:rsidP="00EA241D">
      <w:pPr>
        <w:spacing w:after="0" w:line="240" w:lineRule="auto"/>
        <w:jc w:val="both"/>
        <w:rPr>
          <w:rFonts w:ascii="Verdana" w:hAnsi="Verdana"/>
          <w:sz w:val="20"/>
          <w:szCs w:val="20"/>
          <w:lang w:val="es-CR"/>
        </w:rPr>
      </w:pPr>
    </w:p>
    <w:p w:rsidR="007B680C" w:rsidRPr="00B6232C" w:rsidRDefault="007B680C" w:rsidP="00EA241D">
      <w:pPr>
        <w:spacing w:after="0" w:line="240" w:lineRule="auto"/>
        <w:jc w:val="both"/>
        <w:rPr>
          <w:rFonts w:ascii="Verdana" w:hAnsi="Verdana"/>
          <w:b/>
          <w:sz w:val="20"/>
          <w:szCs w:val="20"/>
          <w:lang w:val="es-CR"/>
        </w:rPr>
      </w:pPr>
      <w:r w:rsidRPr="00B6232C">
        <w:rPr>
          <w:rFonts w:ascii="Verdana" w:hAnsi="Verdana"/>
          <w:b/>
          <w:sz w:val="20"/>
          <w:szCs w:val="20"/>
          <w:lang w:val="es-CR"/>
        </w:rPr>
        <w:t>DECIDE:</w:t>
      </w:r>
    </w:p>
    <w:p w:rsidR="007B680C" w:rsidRPr="00B6232C" w:rsidRDefault="007B680C" w:rsidP="00EA241D">
      <w:pPr>
        <w:spacing w:after="0" w:line="240" w:lineRule="auto"/>
        <w:jc w:val="both"/>
        <w:rPr>
          <w:rFonts w:ascii="Verdana" w:hAnsi="Verdana"/>
          <w:sz w:val="20"/>
          <w:szCs w:val="20"/>
          <w:lang w:val="es-CR"/>
        </w:rPr>
      </w:pPr>
    </w:p>
    <w:p w:rsidR="007B680C" w:rsidRPr="00B6232C" w:rsidRDefault="007B680C" w:rsidP="00EA241D">
      <w:pPr>
        <w:spacing w:after="0" w:line="240" w:lineRule="auto"/>
        <w:jc w:val="both"/>
        <w:rPr>
          <w:rFonts w:ascii="Verdana" w:hAnsi="Verdana"/>
          <w:sz w:val="20"/>
          <w:szCs w:val="20"/>
          <w:lang w:val="es-CR"/>
        </w:rPr>
      </w:pPr>
      <w:r w:rsidRPr="00B6232C">
        <w:rPr>
          <w:rFonts w:ascii="Verdana" w:hAnsi="Verdana"/>
          <w:sz w:val="20"/>
          <w:szCs w:val="20"/>
          <w:lang w:val="es-CR"/>
        </w:rPr>
        <w:t>Por unanimidad,</w:t>
      </w:r>
    </w:p>
    <w:p w:rsidR="007B680C" w:rsidRPr="00B6232C" w:rsidRDefault="007B680C" w:rsidP="00EA241D">
      <w:pPr>
        <w:spacing w:after="0" w:line="240" w:lineRule="auto"/>
        <w:jc w:val="both"/>
        <w:rPr>
          <w:rFonts w:ascii="Verdana" w:hAnsi="Verdana"/>
          <w:sz w:val="20"/>
          <w:szCs w:val="20"/>
          <w:lang w:val="es-CR"/>
        </w:rPr>
      </w:pPr>
    </w:p>
    <w:p w:rsidR="007B680C" w:rsidRPr="00B6232C" w:rsidRDefault="007B680C" w:rsidP="00EA241D">
      <w:pPr>
        <w:pStyle w:val="Prrafodelista"/>
        <w:numPr>
          <w:ilvl w:val="0"/>
          <w:numId w:val="18"/>
        </w:numPr>
        <w:spacing w:after="0" w:line="240" w:lineRule="auto"/>
        <w:ind w:left="0" w:firstLine="0"/>
        <w:contextualSpacing w:val="0"/>
        <w:jc w:val="both"/>
        <w:rPr>
          <w:rFonts w:ascii="Verdana" w:hAnsi="Verdana"/>
          <w:sz w:val="20"/>
          <w:szCs w:val="20"/>
          <w:lang w:val="es-CR"/>
        </w:rPr>
      </w:pPr>
      <w:r w:rsidRPr="00B6232C">
        <w:rPr>
          <w:rFonts w:ascii="Verdana" w:hAnsi="Verdana"/>
          <w:sz w:val="20"/>
          <w:szCs w:val="20"/>
          <w:lang w:val="es-CR"/>
        </w:rPr>
        <w:t>Declarar admisible la solicitud de interpretación de la Sentencia de Excepciones Preliminares, Fondo, Reparaciones y Costas</w:t>
      </w:r>
      <w:r w:rsidR="00AE0DC6" w:rsidRPr="00B6232C">
        <w:rPr>
          <w:rFonts w:ascii="Verdana" w:hAnsi="Verdana"/>
          <w:sz w:val="20"/>
          <w:szCs w:val="20"/>
          <w:lang w:val="es-CR"/>
        </w:rPr>
        <w:t xml:space="preserve">, emitida en el </w:t>
      </w:r>
      <w:r w:rsidR="00AE0DC6" w:rsidRPr="00B6232C">
        <w:rPr>
          <w:rFonts w:ascii="Verdana" w:hAnsi="Verdana"/>
          <w:i/>
          <w:sz w:val="20"/>
          <w:szCs w:val="20"/>
          <w:lang w:val="es-CR"/>
        </w:rPr>
        <w:t>Caso Empleados de la Fábrica de Fuegos en Santo Antônio de Jesus y sus familiares Vs. Brasil</w:t>
      </w:r>
      <w:r w:rsidRPr="00B6232C">
        <w:rPr>
          <w:rFonts w:ascii="Verdana" w:hAnsi="Verdana"/>
          <w:sz w:val="20"/>
          <w:szCs w:val="20"/>
          <w:lang w:val="es-CR"/>
        </w:rPr>
        <w:t xml:space="preserve">, </w:t>
      </w:r>
      <w:r w:rsidR="00BC2968" w:rsidRPr="00B6232C">
        <w:rPr>
          <w:rFonts w:ascii="Verdana" w:hAnsi="Verdana"/>
          <w:sz w:val="20"/>
          <w:szCs w:val="20"/>
          <w:lang w:val="es-CR"/>
        </w:rPr>
        <w:t>presentada</w:t>
      </w:r>
      <w:r w:rsidRPr="00B6232C">
        <w:rPr>
          <w:rFonts w:ascii="Verdana" w:hAnsi="Verdana"/>
          <w:sz w:val="20"/>
          <w:szCs w:val="20"/>
          <w:lang w:val="es-CR"/>
        </w:rPr>
        <w:t xml:space="preserve"> por el Estado </w:t>
      </w:r>
      <w:r w:rsidR="00BC2968" w:rsidRPr="00B6232C">
        <w:rPr>
          <w:rFonts w:ascii="Verdana" w:hAnsi="Verdana"/>
          <w:sz w:val="20"/>
          <w:szCs w:val="20"/>
          <w:lang w:val="es-CR"/>
        </w:rPr>
        <w:t>de Brasil</w:t>
      </w:r>
      <w:r w:rsidRPr="00B6232C">
        <w:rPr>
          <w:rFonts w:ascii="Verdana" w:hAnsi="Verdana"/>
          <w:sz w:val="20"/>
          <w:szCs w:val="20"/>
          <w:lang w:val="es-CR"/>
        </w:rPr>
        <w:t xml:space="preserve">.  </w:t>
      </w:r>
    </w:p>
    <w:p w:rsidR="007B680C" w:rsidRPr="00B6232C" w:rsidRDefault="007B680C" w:rsidP="00EA241D">
      <w:pPr>
        <w:spacing w:after="0" w:line="240" w:lineRule="auto"/>
        <w:jc w:val="both"/>
        <w:rPr>
          <w:rFonts w:ascii="Verdana" w:hAnsi="Verdana"/>
          <w:sz w:val="20"/>
          <w:szCs w:val="20"/>
          <w:lang w:val="es-CR"/>
        </w:rPr>
      </w:pPr>
    </w:p>
    <w:p w:rsidR="007B680C" w:rsidRPr="00B6232C" w:rsidRDefault="00AE0DC6" w:rsidP="00EA241D">
      <w:pPr>
        <w:pStyle w:val="Prrafodelista"/>
        <w:numPr>
          <w:ilvl w:val="0"/>
          <w:numId w:val="18"/>
        </w:numPr>
        <w:spacing w:after="0" w:line="240" w:lineRule="auto"/>
        <w:ind w:left="0" w:firstLine="0"/>
        <w:contextualSpacing w:val="0"/>
        <w:jc w:val="both"/>
        <w:rPr>
          <w:rFonts w:ascii="Verdana" w:hAnsi="Verdana"/>
          <w:b/>
          <w:sz w:val="20"/>
          <w:szCs w:val="20"/>
          <w:lang w:val="es-CR"/>
        </w:rPr>
      </w:pPr>
      <w:r w:rsidRPr="00B6232C">
        <w:rPr>
          <w:rFonts w:ascii="Verdana" w:hAnsi="Verdana"/>
          <w:sz w:val="20"/>
          <w:szCs w:val="20"/>
          <w:lang w:val="es-CR"/>
        </w:rPr>
        <w:t xml:space="preserve">Desestimar por </w:t>
      </w:r>
      <w:r w:rsidR="007B680C" w:rsidRPr="00B6232C">
        <w:rPr>
          <w:rFonts w:ascii="Verdana" w:hAnsi="Verdana"/>
          <w:sz w:val="20"/>
          <w:szCs w:val="20"/>
          <w:lang w:val="es-CR"/>
        </w:rPr>
        <w:t xml:space="preserve">improcedente la solicitud de interpretación de la Sentencia de Excepciones Preliminares, Fondo, Reparaciones y Costas </w:t>
      </w:r>
      <w:r w:rsidRPr="00B6232C">
        <w:rPr>
          <w:rFonts w:ascii="Verdana" w:hAnsi="Verdana"/>
          <w:sz w:val="20"/>
          <w:szCs w:val="20"/>
          <w:lang w:val="es-CR"/>
        </w:rPr>
        <w:t xml:space="preserve">emitida en el </w:t>
      </w:r>
      <w:r w:rsidRPr="00B6232C">
        <w:rPr>
          <w:rFonts w:ascii="Verdana" w:hAnsi="Verdana"/>
          <w:i/>
          <w:sz w:val="20"/>
          <w:szCs w:val="20"/>
          <w:lang w:val="es-CR"/>
        </w:rPr>
        <w:t>Caso Empleados de la Fábrica de Fuegos en Santo Antônio de Jesus y sus familiares Vs. Brasil</w:t>
      </w:r>
      <w:r w:rsidRPr="00B6232C">
        <w:rPr>
          <w:rFonts w:ascii="Verdana" w:hAnsi="Verdana"/>
          <w:sz w:val="20"/>
          <w:szCs w:val="20"/>
          <w:lang w:val="es-CR"/>
        </w:rPr>
        <w:t xml:space="preserve">, presentada por el </w:t>
      </w:r>
      <w:r w:rsidR="007B680C" w:rsidRPr="00B6232C">
        <w:rPr>
          <w:rFonts w:ascii="Verdana" w:hAnsi="Verdana"/>
          <w:sz w:val="20"/>
          <w:szCs w:val="20"/>
          <w:lang w:val="es-CR"/>
        </w:rPr>
        <w:t xml:space="preserve">Estado brasileño en lo que se refiere i) a la competencia </w:t>
      </w:r>
      <w:r w:rsidR="007B680C" w:rsidRPr="00B6232C">
        <w:rPr>
          <w:rFonts w:ascii="Verdana" w:hAnsi="Verdana"/>
          <w:i/>
          <w:sz w:val="20"/>
          <w:szCs w:val="20"/>
          <w:lang w:val="es-CR"/>
        </w:rPr>
        <w:t>ratione materiae</w:t>
      </w:r>
      <w:r w:rsidR="00043198" w:rsidRPr="00B6232C">
        <w:rPr>
          <w:rFonts w:ascii="Verdana" w:hAnsi="Verdana"/>
          <w:i/>
          <w:sz w:val="20"/>
          <w:szCs w:val="20"/>
          <w:lang w:val="es-CR"/>
        </w:rPr>
        <w:t xml:space="preserve"> </w:t>
      </w:r>
      <w:r w:rsidR="00043198" w:rsidRPr="00B6232C">
        <w:rPr>
          <w:rFonts w:ascii="Verdana" w:hAnsi="Verdana"/>
          <w:sz w:val="20"/>
          <w:szCs w:val="20"/>
          <w:lang w:val="es-CR"/>
        </w:rPr>
        <w:t xml:space="preserve">para declarar </w:t>
      </w:r>
      <w:r w:rsidR="00043198" w:rsidRPr="00B6232C">
        <w:rPr>
          <w:rFonts w:ascii="Verdana" w:hAnsi="Verdana"/>
          <w:sz w:val="20"/>
          <w:szCs w:val="20"/>
          <w:lang w:val="es-CR"/>
        </w:rPr>
        <w:lastRenderedPageBreak/>
        <w:t>supuestas violaciones al artículo 26 de la Convención Americana</w:t>
      </w:r>
      <w:r w:rsidR="004B7795" w:rsidRPr="00B6232C">
        <w:rPr>
          <w:rFonts w:ascii="Verdana" w:hAnsi="Verdana"/>
          <w:sz w:val="20"/>
          <w:szCs w:val="20"/>
          <w:lang w:val="es-CR"/>
        </w:rPr>
        <w:t xml:space="preserve"> sobre Derechos Humanos</w:t>
      </w:r>
      <w:r w:rsidR="007B680C" w:rsidRPr="00B6232C">
        <w:rPr>
          <w:rFonts w:ascii="Verdana" w:hAnsi="Verdana"/>
          <w:i/>
          <w:sz w:val="20"/>
          <w:szCs w:val="20"/>
          <w:lang w:val="es-CR"/>
        </w:rPr>
        <w:t xml:space="preserve">, </w:t>
      </w:r>
      <w:r w:rsidR="007B680C" w:rsidRPr="00B6232C">
        <w:rPr>
          <w:rFonts w:ascii="Verdana" w:hAnsi="Verdana"/>
          <w:sz w:val="20"/>
          <w:szCs w:val="20"/>
          <w:lang w:val="es-CR"/>
        </w:rPr>
        <w:t xml:space="preserve">en los términos de los párrafos </w:t>
      </w:r>
      <w:r w:rsidR="00C240E3" w:rsidRPr="00B6232C">
        <w:rPr>
          <w:rFonts w:ascii="Verdana" w:hAnsi="Verdana"/>
          <w:sz w:val="20"/>
          <w:szCs w:val="20"/>
          <w:lang w:val="es-CR"/>
        </w:rPr>
        <w:t xml:space="preserve">17 </w:t>
      </w:r>
      <w:r w:rsidR="007B680C" w:rsidRPr="00B6232C">
        <w:rPr>
          <w:rFonts w:ascii="Verdana" w:hAnsi="Verdana"/>
          <w:sz w:val="20"/>
          <w:szCs w:val="20"/>
          <w:lang w:val="es-CR"/>
        </w:rPr>
        <w:t xml:space="preserve">a </w:t>
      </w:r>
      <w:r w:rsidR="00043198" w:rsidRPr="00B6232C">
        <w:rPr>
          <w:rFonts w:ascii="Verdana" w:hAnsi="Verdana"/>
          <w:sz w:val="20"/>
          <w:szCs w:val="20"/>
          <w:lang w:val="es-CR"/>
        </w:rPr>
        <w:t>2</w:t>
      </w:r>
      <w:r w:rsidR="00027A71" w:rsidRPr="00B6232C">
        <w:rPr>
          <w:rFonts w:ascii="Verdana" w:hAnsi="Verdana"/>
          <w:sz w:val="20"/>
          <w:szCs w:val="20"/>
          <w:lang w:val="es-CR"/>
        </w:rPr>
        <w:t>0</w:t>
      </w:r>
      <w:r w:rsidR="00043198" w:rsidRPr="00B6232C">
        <w:rPr>
          <w:rFonts w:ascii="Verdana" w:hAnsi="Verdana"/>
          <w:sz w:val="20"/>
          <w:szCs w:val="20"/>
          <w:lang w:val="es-CR"/>
        </w:rPr>
        <w:t xml:space="preserve"> de la presente Sentencia de Interpretación; </w:t>
      </w:r>
      <w:r w:rsidR="00A743C4" w:rsidRPr="00B6232C">
        <w:rPr>
          <w:rFonts w:ascii="Verdana" w:hAnsi="Verdana"/>
          <w:sz w:val="20"/>
          <w:szCs w:val="20"/>
          <w:lang w:val="es-CR"/>
        </w:rPr>
        <w:t xml:space="preserve">ii) </w:t>
      </w:r>
      <w:r w:rsidR="00CF0101" w:rsidRPr="00B6232C">
        <w:rPr>
          <w:rFonts w:ascii="Verdana" w:hAnsi="Verdana"/>
          <w:sz w:val="20"/>
          <w:szCs w:val="20"/>
          <w:lang w:val="es-CR"/>
        </w:rPr>
        <w:t>al pago de las indemnizaciones por daños materiales e inmateriales, en los términos de</w:t>
      </w:r>
      <w:r w:rsidR="0021139F" w:rsidRPr="00B6232C">
        <w:rPr>
          <w:rFonts w:ascii="Verdana" w:hAnsi="Verdana"/>
          <w:sz w:val="20"/>
          <w:szCs w:val="20"/>
          <w:lang w:val="es-CR"/>
        </w:rPr>
        <w:t xml:space="preserve"> </w:t>
      </w:r>
      <w:r w:rsidR="00CF0101" w:rsidRPr="00B6232C">
        <w:rPr>
          <w:rFonts w:ascii="Verdana" w:hAnsi="Verdana"/>
          <w:sz w:val="20"/>
          <w:szCs w:val="20"/>
          <w:lang w:val="es-CR"/>
        </w:rPr>
        <w:t>l</w:t>
      </w:r>
      <w:r w:rsidR="0021139F" w:rsidRPr="00B6232C">
        <w:rPr>
          <w:rFonts w:ascii="Verdana" w:hAnsi="Verdana"/>
          <w:sz w:val="20"/>
          <w:szCs w:val="20"/>
          <w:lang w:val="es-CR"/>
        </w:rPr>
        <w:t>os</w:t>
      </w:r>
      <w:r w:rsidR="00CF0101" w:rsidRPr="00B6232C">
        <w:rPr>
          <w:rFonts w:ascii="Verdana" w:hAnsi="Verdana"/>
          <w:sz w:val="20"/>
          <w:szCs w:val="20"/>
          <w:lang w:val="es-CR"/>
        </w:rPr>
        <w:t xml:space="preserve"> párrafo</w:t>
      </w:r>
      <w:r w:rsidR="0021139F" w:rsidRPr="00B6232C">
        <w:rPr>
          <w:rFonts w:ascii="Verdana" w:hAnsi="Verdana"/>
          <w:sz w:val="20"/>
          <w:szCs w:val="20"/>
          <w:lang w:val="es-CR"/>
        </w:rPr>
        <w:t>s 2</w:t>
      </w:r>
      <w:r w:rsidR="00027A71" w:rsidRPr="00B6232C">
        <w:rPr>
          <w:rFonts w:ascii="Verdana" w:hAnsi="Verdana"/>
          <w:sz w:val="20"/>
          <w:szCs w:val="20"/>
          <w:lang w:val="es-CR"/>
        </w:rPr>
        <w:t>4</w:t>
      </w:r>
      <w:r w:rsidR="0021139F" w:rsidRPr="00B6232C">
        <w:rPr>
          <w:rFonts w:ascii="Verdana" w:hAnsi="Verdana"/>
          <w:sz w:val="20"/>
          <w:szCs w:val="20"/>
          <w:lang w:val="es-CR"/>
        </w:rPr>
        <w:t xml:space="preserve"> </w:t>
      </w:r>
      <w:r w:rsidR="002C4F40">
        <w:rPr>
          <w:rFonts w:ascii="Verdana" w:hAnsi="Verdana"/>
          <w:sz w:val="20"/>
          <w:szCs w:val="20"/>
          <w:lang w:val="es-CR"/>
        </w:rPr>
        <w:t>y 25</w:t>
      </w:r>
      <w:r w:rsidR="00C240E3" w:rsidRPr="00B6232C">
        <w:rPr>
          <w:rFonts w:ascii="Verdana" w:hAnsi="Verdana"/>
          <w:sz w:val="20"/>
          <w:szCs w:val="20"/>
          <w:lang w:val="es-CR"/>
        </w:rPr>
        <w:t xml:space="preserve"> </w:t>
      </w:r>
      <w:r w:rsidR="00D20849" w:rsidRPr="00B6232C">
        <w:rPr>
          <w:rFonts w:ascii="Verdana" w:hAnsi="Verdana"/>
          <w:sz w:val="20"/>
          <w:szCs w:val="20"/>
          <w:lang w:val="es-CR"/>
        </w:rPr>
        <w:t>de la presente Sentencia de Interpretación</w:t>
      </w:r>
      <w:r w:rsidR="00CF0101" w:rsidRPr="00B6232C">
        <w:rPr>
          <w:rFonts w:ascii="Verdana" w:hAnsi="Verdana"/>
          <w:sz w:val="20"/>
          <w:szCs w:val="20"/>
          <w:lang w:val="es-CR"/>
        </w:rPr>
        <w:t xml:space="preserve">, </w:t>
      </w:r>
      <w:r w:rsidR="007B680C" w:rsidRPr="00B6232C">
        <w:rPr>
          <w:rFonts w:ascii="Verdana" w:hAnsi="Verdana"/>
          <w:sz w:val="20"/>
          <w:szCs w:val="20"/>
          <w:lang w:val="es-CR"/>
        </w:rPr>
        <w:t>y iii) al tipo de interés bancario aplicable sobre el valor en mora</w:t>
      </w:r>
      <w:r w:rsidR="00A743C4" w:rsidRPr="00B6232C">
        <w:rPr>
          <w:rFonts w:ascii="Verdana" w:hAnsi="Verdana"/>
          <w:sz w:val="20"/>
          <w:szCs w:val="20"/>
          <w:lang w:val="es-CR"/>
        </w:rPr>
        <w:t>, en los términos del párrafo</w:t>
      </w:r>
      <w:r w:rsidR="006A5741" w:rsidRPr="00B6232C">
        <w:rPr>
          <w:rFonts w:ascii="Verdana" w:hAnsi="Verdana"/>
          <w:sz w:val="20"/>
          <w:szCs w:val="20"/>
          <w:lang w:val="es-CR"/>
        </w:rPr>
        <w:t xml:space="preserve"> </w:t>
      </w:r>
      <w:r w:rsidR="00027A71" w:rsidRPr="00B6232C">
        <w:rPr>
          <w:rFonts w:ascii="Verdana" w:hAnsi="Verdana"/>
          <w:sz w:val="20"/>
          <w:szCs w:val="20"/>
          <w:lang w:val="es-CR"/>
        </w:rPr>
        <w:t>3</w:t>
      </w:r>
      <w:r w:rsidR="002C4F40">
        <w:rPr>
          <w:rFonts w:ascii="Verdana" w:hAnsi="Verdana"/>
          <w:sz w:val="20"/>
          <w:szCs w:val="20"/>
          <w:lang w:val="es-CR"/>
        </w:rPr>
        <w:t>7</w:t>
      </w:r>
      <w:r w:rsidR="000A53CA" w:rsidRPr="00B6232C">
        <w:rPr>
          <w:rFonts w:ascii="Verdana" w:hAnsi="Verdana"/>
          <w:sz w:val="20"/>
          <w:szCs w:val="20"/>
          <w:lang w:val="es-CR"/>
        </w:rPr>
        <w:t xml:space="preserve"> de la presente Sentencia de Interpretación</w:t>
      </w:r>
      <w:r w:rsidR="007B680C" w:rsidRPr="00B6232C">
        <w:rPr>
          <w:rFonts w:ascii="Verdana" w:hAnsi="Verdana"/>
          <w:sz w:val="20"/>
          <w:szCs w:val="20"/>
          <w:lang w:val="es-CR"/>
        </w:rPr>
        <w:t>.</w:t>
      </w:r>
    </w:p>
    <w:p w:rsidR="007B680C" w:rsidRPr="00B6232C" w:rsidRDefault="007B680C" w:rsidP="00EA241D">
      <w:pPr>
        <w:spacing w:after="0" w:line="240" w:lineRule="auto"/>
        <w:jc w:val="both"/>
        <w:rPr>
          <w:rFonts w:ascii="Verdana" w:hAnsi="Verdana"/>
          <w:sz w:val="20"/>
          <w:szCs w:val="20"/>
          <w:lang w:val="es-CR"/>
        </w:rPr>
      </w:pPr>
    </w:p>
    <w:p w:rsidR="007B680C" w:rsidRPr="00B6232C" w:rsidRDefault="00BC2968" w:rsidP="00EA241D">
      <w:pPr>
        <w:pStyle w:val="Prrafodelista"/>
        <w:numPr>
          <w:ilvl w:val="0"/>
          <w:numId w:val="18"/>
        </w:numPr>
        <w:spacing w:after="0" w:line="240" w:lineRule="auto"/>
        <w:ind w:left="0" w:firstLine="0"/>
        <w:contextualSpacing w:val="0"/>
        <w:jc w:val="both"/>
        <w:rPr>
          <w:rFonts w:ascii="Verdana" w:hAnsi="Verdana"/>
          <w:sz w:val="20"/>
          <w:szCs w:val="20"/>
          <w:lang w:val="es-CR"/>
        </w:rPr>
      </w:pPr>
      <w:r w:rsidRPr="00B6232C">
        <w:rPr>
          <w:rFonts w:ascii="Verdana" w:eastAsia="Times New Roman" w:hAnsi="Verdana"/>
          <w:sz w:val="20"/>
          <w:szCs w:val="20"/>
          <w:lang w:val="es-CR" w:eastAsia="es-ES"/>
        </w:rPr>
        <w:t>Determinar el sentido y el alcance de lo dispuesto en la Sentencia de Excepciones Preliminares, Fondo, Reparaciones y Costas</w:t>
      </w:r>
      <w:r w:rsidR="00AE0DC6" w:rsidRPr="00B6232C">
        <w:rPr>
          <w:rFonts w:ascii="Verdana" w:eastAsia="Times New Roman" w:hAnsi="Verdana"/>
          <w:sz w:val="20"/>
          <w:szCs w:val="20"/>
          <w:lang w:val="es-CR" w:eastAsia="es-ES"/>
        </w:rPr>
        <w:t xml:space="preserve"> </w:t>
      </w:r>
      <w:r w:rsidR="00AE0DC6" w:rsidRPr="00B6232C">
        <w:rPr>
          <w:rFonts w:ascii="Verdana" w:hAnsi="Verdana"/>
          <w:sz w:val="20"/>
          <w:szCs w:val="20"/>
          <w:lang w:val="es-CR"/>
        </w:rPr>
        <w:t xml:space="preserve">emitida en el </w:t>
      </w:r>
      <w:r w:rsidR="00AE0DC6" w:rsidRPr="00B6232C">
        <w:rPr>
          <w:rFonts w:ascii="Verdana" w:hAnsi="Verdana"/>
          <w:i/>
          <w:sz w:val="20"/>
          <w:szCs w:val="20"/>
          <w:lang w:val="es-CR"/>
        </w:rPr>
        <w:t>Caso Empleados de la Fábrica de Fuegos en Santo Antônio de Jesus y sus familiares Vs. Brasil</w:t>
      </w:r>
      <w:r w:rsidR="00AE0DC6" w:rsidRPr="00B6232C">
        <w:rPr>
          <w:rFonts w:ascii="Verdana" w:hAnsi="Verdana"/>
          <w:sz w:val="20"/>
          <w:szCs w:val="20"/>
          <w:lang w:val="es-CR"/>
        </w:rPr>
        <w:t xml:space="preserve">, </w:t>
      </w:r>
      <w:r w:rsidR="008B00D8" w:rsidRPr="00B6232C">
        <w:rPr>
          <w:rFonts w:ascii="Verdana" w:hAnsi="Verdana"/>
          <w:sz w:val="20"/>
          <w:szCs w:val="20"/>
          <w:lang w:val="es-CR"/>
        </w:rPr>
        <w:t>en los términos de los párrafos</w:t>
      </w:r>
      <w:r w:rsidR="00132327" w:rsidRPr="00B6232C">
        <w:rPr>
          <w:rFonts w:ascii="Verdana" w:hAnsi="Verdana"/>
          <w:sz w:val="20"/>
          <w:szCs w:val="20"/>
          <w:lang w:val="es-CR"/>
        </w:rPr>
        <w:t xml:space="preserve"> </w:t>
      </w:r>
      <w:r w:rsidR="004D0663">
        <w:rPr>
          <w:rFonts w:ascii="Verdana" w:hAnsi="Verdana"/>
          <w:sz w:val="20"/>
          <w:szCs w:val="20"/>
          <w:lang w:val="es-CR"/>
        </w:rPr>
        <w:t>29</w:t>
      </w:r>
      <w:r w:rsidR="00C240E3" w:rsidRPr="00B6232C">
        <w:rPr>
          <w:rFonts w:ascii="Verdana" w:hAnsi="Verdana"/>
          <w:sz w:val="20"/>
          <w:szCs w:val="20"/>
          <w:lang w:val="es-CR"/>
        </w:rPr>
        <w:t>,</w:t>
      </w:r>
      <w:r w:rsidR="00B33863" w:rsidRPr="00B6232C">
        <w:rPr>
          <w:rFonts w:ascii="Verdana" w:hAnsi="Verdana"/>
          <w:sz w:val="20"/>
          <w:szCs w:val="20"/>
          <w:lang w:val="es-CR"/>
        </w:rPr>
        <w:t xml:space="preserve"> </w:t>
      </w:r>
      <w:r w:rsidR="00257C26" w:rsidRPr="00B6232C">
        <w:rPr>
          <w:rFonts w:ascii="Verdana" w:hAnsi="Verdana"/>
          <w:sz w:val="20"/>
          <w:szCs w:val="20"/>
          <w:lang w:val="es-CR"/>
        </w:rPr>
        <w:t>3</w:t>
      </w:r>
      <w:r w:rsidR="004D0663">
        <w:rPr>
          <w:rFonts w:ascii="Verdana" w:hAnsi="Verdana"/>
          <w:sz w:val="20"/>
          <w:szCs w:val="20"/>
          <w:lang w:val="es-CR"/>
        </w:rPr>
        <w:t>0, 35 y 36</w:t>
      </w:r>
      <w:r w:rsidR="00DA50EB" w:rsidRPr="00B6232C">
        <w:rPr>
          <w:rFonts w:ascii="Verdana" w:hAnsi="Verdana"/>
          <w:sz w:val="20"/>
          <w:szCs w:val="20"/>
          <w:lang w:val="es-CR"/>
        </w:rPr>
        <w:t xml:space="preserve"> </w:t>
      </w:r>
      <w:r w:rsidR="007B680C" w:rsidRPr="00B6232C">
        <w:rPr>
          <w:rFonts w:ascii="Verdana" w:hAnsi="Verdana"/>
          <w:sz w:val="20"/>
          <w:szCs w:val="20"/>
          <w:lang w:val="es-CR"/>
        </w:rPr>
        <w:t xml:space="preserve">de la presente Sentencia de Interpretación. </w:t>
      </w:r>
    </w:p>
    <w:p w:rsidR="007B680C" w:rsidRPr="00B6232C" w:rsidRDefault="007B680C" w:rsidP="00EA241D">
      <w:pPr>
        <w:pStyle w:val="Prrafodelista"/>
        <w:spacing w:after="0" w:line="240" w:lineRule="auto"/>
        <w:ind w:left="0"/>
        <w:contextualSpacing w:val="0"/>
        <w:jc w:val="both"/>
        <w:rPr>
          <w:rFonts w:ascii="Verdana" w:hAnsi="Verdana"/>
          <w:sz w:val="20"/>
          <w:szCs w:val="20"/>
          <w:lang w:val="es-CR"/>
        </w:rPr>
      </w:pPr>
    </w:p>
    <w:p w:rsidR="007B680C" w:rsidRPr="00B6232C" w:rsidRDefault="00AE0DC6" w:rsidP="00EA241D">
      <w:pPr>
        <w:pStyle w:val="Prrafodelista"/>
        <w:numPr>
          <w:ilvl w:val="0"/>
          <w:numId w:val="18"/>
        </w:numPr>
        <w:spacing w:after="0" w:line="240" w:lineRule="auto"/>
        <w:ind w:left="0" w:firstLine="0"/>
        <w:contextualSpacing w:val="0"/>
        <w:jc w:val="both"/>
        <w:rPr>
          <w:rFonts w:ascii="Verdana" w:hAnsi="Verdana"/>
          <w:sz w:val="20"/>
          <w:szCs w:val="20"/>
          <w:lang w:val="es-CR"/>
        </w:rPr>
      </w:pPr>
      <w:r w:rsidRPr="00B6232C">
        <w:rPr>
          <w:rFonts w:ascii="Verdana" w:hAnsi="Verdana"/>
          <w:sz w:val="20"/>
          <w:szCs w:val="20"/>
          <w:lang w:val="es-CR"/>
        </w:rPr>
        <w:t>Disponer que</w:t>
      </w:r>
      <w:r w:rsidR="007B680C" w:rsidRPr="00B6232C">
        <w:rPr>
          <w:rFonts w:ascii="Verdana" w:hAnsi="Verdana"/>
          <w:sz w:val="20"/>
          <w:szCs w:val="20"/>
          <w:lang w:val="es-CR"/>
        </w:rPr>
        <w:t xml:space="preserve"> la Secretaría de la Corte Interamericana de Derechos Humanos que notifique la presente Sentencia de Interpretación al Estado, a los representantes de las víctimas y a la Comisión Interamericana. </w:t>
      </w:r>
    </w:p>
    <w:p w:rsidR="007B680C" w:rsidRPr="00B6232C" w:rsidRDefault="007B680C" w:rsidP="00EA241D">
      <w:pPr>
        <w:pStyle w:val="Prrafodelista"/>
        <w:spacing w:after="0" w:line="240" w:lineRule="auto"/>
        <w:ind w:left="0"/>
        <w:contextualSpacing w:val="0"/>
        <w:jc w:val="both"/>
        <w:rPr>
          <w:rFonts w:ascii="Verdana" w:hAnsi="Verdana"/>
          <w:sz w:val="20"/>
          <w:szCs w:val="20"/>
          <w:lang w:val="es-CR"/>
        </w:rPr>
      </w:pPr>
    </w:p>
    <w:p w:rsidR="007B680C" w:rsidRPr="00B6232C" w:rsidRDefault="007B680C" w:rsidP="00EA241D">
      <w:pPr>
        <w:pStyle w:val="Prrafodelista"/>
        <w:spacing w:after="0" w:line="240" w:lineRule="auto"/>
        <w:ind w:left="0"/>
        <w:contextualSpacing w:val="0"/>
        <w:jc w:val="both"/>
        <w:rPr>
          <w:rFonts w:ascii="Verdana" w:hAnsi="Verdana"/>
          <w:sz w:val="20"/>
          <w:szCs w:val="20"/>
          <w:lang w:val="es-CR"/>
        </w:rPr>
      </w:pPr>
    </w:p>
    <w:p w:rsidR="002925F1" w:rsidRPr="00B6232C" w:rsidRDefault="002925F1">
      <w:pPr>
        <w:spacing w:after="160" w:line="259" w:lineRule="auto"/>
        <w:rPr>
          <w:rFonts w:ascii="Verdana" w:hAnsi="Verdana"/>
          <w:sz w:val="20"/>
          <w:szCs w:val="20"/>
          <w:lang w:val="es-CR"/>
        </w:rPr>
      </w:pPr>
      <w:r w:rsidRPr="00B6232C">
        <w:rPr>
          <w:rFonts w:ascii="Verdana" w:hAnsi="Verdana"/>
          <w:sz w:val="20"/>
          <w:szCs w:val="20"/>
          <w:lang w:val="es-CR"/>
        </w:rPr>
        <w:br w:type="page"/>
      </w:r>
    </w:p>
    <w:p w:rsidR="007B680C" w:rsidRPr="00B6232C" w:rsidRDefault="007B680C" w:rsidP="00EA241D">
      <w:pPr>
        <w:pStyle w:val="Prrafodelista"/>
        <w:spacing w:after="0" w:line="240" w:lineRule="auto"/>
        <w:ind w:left="0"/>
        <w:contextualSpacing w:val="0"/>
        <w:jc w:val="both"/>
        <w:rPr>
          <w:rFonts w:ascii="Verdana" w:hAnsi="Verdana"/>
          <w:sz w:val="20"/>
          <w:szCs w:val="20"/>
          <w:lang w:val="es-CR"/>
        </w:rPr>
      </w:pPr>
      <w:r w:rsidRPr="00B6232C">
        <w:rPr>
          <w:rFonts w:ascii="Verdana" w:hAnsi="Verdana"/>
          <w:sz w:val="20"/>
          <w:szCs w:val="20"/>
          <w:lang w:val="es-CR"/>
        </w:rPr>
        <w:lastRenderedPageBreak/>
        <w:t xml:space="preserve">Corte IDH. </w:t>
      </w:r>
      <w:r w:rsidR="00EA241D" w:rsidRPr="00B6232C">
        <w:rPr>
          <w:rFonts w:ascii="Verdana" w:hAnsi="Verdana"/>
          <w:i/>
          <w:sz w:val="20"/>
          <w:szCs w:val="20"/>
          <w:lang w:val="es-CR"/>
        </w:rPr>
        <w:t>Caso Empleados de la Fábrica de Fuegos en Santo Antônio de Jesus y sus familiares Vs. Brasil</w:t>
      </w:r>
      <w:r w:rsidRPr="00B6232C">
        <w:rPr>
          <w:rFonts w:ascii="Verdana" w:hAnsi="Verdana"/>
          <w:sz w:val="20"/>
          <w:szCs w:val="20"/>
          <w:lang w:val="es-CR"/>
        </w:rPr>
        <w:t xml:space="preserve">. Interpretación de la Sentencia de Excepciones Preliminares, Fondo, Reparaciones y Costas. Sentencia de </w:t>
      </w:r>
      <w:r w:rsidR="00AE0DC6" w:rsidRPr="00B6232C">
        <w:rPr>
          <w:rFonts w:ascii="Verdana" w:hAnsi="Verdana"/>
          <w:sz w:val="20"/>
          <w:szCs w:val="20"/>
          <w:lang w:val="es-CR"/>
        </w:rPr>
        <w:t xml:space="preserve">21 </w:t>
      </w:r>
      <w:r w:rsidRPr="00B6232C">
        <w:rPr>
          <w:rFonts w:ascii="Verdana" w:hAnsi="Verdana"/>
          <w:sz w:val="20"/>
          <w:szCs w:val="20"/>
          <w:lang w:val="es-CR"/>
        </w:rPr>
        <w:t xml:space="preserve">de </w:t>
      </w:r>
      <w:r w:rsidR="00AE0DC6" w:rsidRPr="00B6232C">
        <w:rPr>
          <w:rFonts w:ascii="Verdana" w:hAnsi="Verdana"/>
          <w:sz w:val="20"/>
          <w:szCs w:val="20"/>
          <w:lang w:val="es-CR"/>
        </w:rPr>
        <w:t xml:space="preserve">junio </w:t>
      </w:r>
      <w:r w:rsidRPr="00B6232C">
        <w:rPr>
          <w:rFonts w:ascii="Verdana" w:hAnsi="Verdana"/>
          <w:sz w:val="20"/>
          <w:szCs w:val="20"/>
          <w:lang w:val="es-CR"/>
        </w:rPr>
        <w:t>de 20</w:t>
      </w:r>
      <w:r w:rsidR="00545A57" w:rsidRPr="00B6232C">
        <w:rPr>
          <w:rFonts w:ascii="Verdana" w:hAnsi="Verdana"/>
          <w:sz w:val="20"/>
          <w:szCs w:val="20"/>
          <w:lang w:val="es-CR"/>
        </w:rPr>
        <w:t>21</w:t>
      </w:r>
      <w:r w:rsidRPr="00B6232C">
        <w:rPr>
          <w:rFonts w:ascii="Verdana" w:hAnsi="Verdana"/>
          <w:sz w:val="20"/>
          <w:szCs w:val="20"/>
          <w:lang w:val="es-CR"/>
        </w:rPr>
        <w:t>.</w:t>
      </w:r>
    </w:p>
    <w:p w:rsidR="007B680C" w:rsidRPr="00B6232C" w:rsidRDefault="007B680C" w:rsidP="00EA241D">
      <w:pPr>
        <w:spacing w:after="0" w:line="240" w:lineRule="auto"/>
        <w:rPr>
          <w:rFonts w:ascii="Verdana" w:hAnsi="Verdana"/>
          <w:sz w:val="20"/>
          <w:szCs w:val="20"/>
          <w:lang w:val="es-CR"/>
        </w:rPr>
      </w:pPr>
    </w:p>
    <w:p w:rsidR="007B680C" w:rsidRPr="00B6232C" w:rsidRDefault="007B680C">
      <w:pPr>
        <w:spacing w:after="0" w:line="240" w:lineRule="auto"/>
        <w:rPr>
          <w:rFonts w:ascii="Verdana" w:hAnsi="Verdana"/>
          <w:sz w:val="20"/>
          <w:szCs w:val="20"/>
          <w:lang w:val="es-CR"/>
        </w:rPr>
      </w:pPr>
    </w:p>
    <w:p w:rsidR="001B2A7F" w:rsidRPr="00B6232C" w:rsidRDefault="001B2A7F">
      <w:pPr>
        <w:spacing w:after="0" w:line="240" w:lineRule="auto"/>
        <w:jc w:val="center"/>
        <w:rPr>
          <w:rFonts w:ascii="Verdana" w:hAnsi="Verdana"/>
          <w:sz w:val="20"/>
          <w:szCs w:val="20"/>
          <w:lang w:val="es-CR"/>
        </w:rPr>
      </w:pPr>
    </w:p>
    <w:p w:rsidR="00832B68" w:rsidRDefault="00832B68">
      <w:pPr>
        <w:spacing w:after="0" w:line="240" w:lineRule="auto"/>
        <w:jc w:val="center"/>
        <w:rPr>
          <w:rFonts w:ascii="Verdana" w:hAnsi="Verdana"/>
          <w:sz w:val="20"/>
          <w:szCs w:val="20"/>
          <w:lang w:val="es-CR"/>
        </w:rPr>
      </w:pPr>
    </w:p>
    <w:p w:rsidR="00BA6E52" w:rsidRDefault="00BA6E52">
      <w:pPr>
        <w:spacing w:after="0" w:line="240" w:lineRule="auto"/>
        <w:jc w:val="center"/>
        <w:rPr>
          <w:rFonts w:ascii="Verdana" w:hAnsi="Verdana"/>
          <w:sz w:val="20"/>
          <w:szCs w:val="20"/>
          <w:lang w:val="es-CR"/>
        </w:rPr>
      </w:pPr>
    </w:p>
    <w:p w:rsidR="00BA6E52" w:rsidRPr="00B6232C" w:rsidRDefault="00BA6E52">
      <w:pPr>
        <w:spacing w:after="0" w:line="240" w:lineRule="auto"/>
        <w:jc w:val="center"/>
        <w:rPr>
          <w:rFonts w:ascii="Verdana" w:hAnsi="Verdana"/>
          <w:sz w:val="20"/>
          <w:szCs w:val="20"/>
          <w:lang w:val="es-CR"/>
        </w:rPr>
      </w:pPr>
    </w:p>
    <w:p w:rsidR="00832B68" w:rsidRPr="00B6232C" w:rsidRDefault="00832B68">
      <w:pPr>
        <w:spacing w:after="0" w:line="240" w:lineRule="auto"/>
        <w:jc w:val="center"/>
        <w:rPr>
          <w:rFonts w:ascii="Verdana" w:hAnsi="Verdana"/>
          <w:sz w:val="20"/>
          <w:szCs w:val="20"/>
          <w:lang w:val="es-CR"/>
        </w:rPr>
      </w:pPr>
      <w:r w:rsidRPr="00B6232C">
        <w:rPr>
          <w:rFonts w:ascii="Verdana" w:hAnsi="Verdana"/>
          <w:sz w:val="20"/>
          <w:szCs w:val="20"/>
          <w:lang w:val="es-CR"/>
        </w:rPr>
        <w:t>Elizabeth Odio Benito</w:t>
      </w:r>
    </w:p>
    <w:p w:rsidR="00832B68" w:rsidRPr="00B6232C" w:rsidRDefault="00832B68">
      <w:pPr>
        <w:spacing w:after="0" w:line="240" w:lineRule="auto"/>
        <w:jc w:val="center"/>
        <w:rPr>
          <w:rFonts w:ascii="Verdana" w:hAnsi="Verdana"/>
          <w:sz w:val="20"/>
          <w:szCs w:val="20"/>
          <w:lang w:val="es-CR"/>
        </w:rPr>
      </w:pPr>
      <w:r w:rsidRPr="00B6232C">
        <w:rPr>
          <w:rFonts w:ascii="Verdana" w:hAnsi="Verdana"/>
          <w:sz w:val="20"/>
          <w:szCs w:val="20"/>
          <w:lang w:val="es-CR"/>
        </w:rPr>
        <w:t>Presidenta</w:t>
      </w:r>
    </w:p>
    <w:p w:rsidR="00832B68" w:rsidRPr="00B6232C" w:rsidRDefault="00832B68">
      <w:pPr>
        <w:spacing w:after="0" w:line="240" w:lineRule="auto"/>
        <w:jc w:val="center"/>
        <w:rPr>
          <w:rFonts w:ascii="Verdana" w:hAnsi="Verdana"/>
          <w:sz w:val="20"/>
          <w:szCs w:val="20"/>
          <w:lang w:val="es-CR"/>
        </w:rPr>
      </w:pPr>
    </w:p>
    <w:p w:rsidR="00832B68" w:rsidRPr="00B6232C" w:rsidRDefault="00832B68">
      <w:pPr>
        <w:spacing w:after="0" w:line="240" w:lineRule="auto"/>
        <w:rPr>
          <w:rFonts w:ascii="Verdana" w:hAnsi="Verdana"/>
          <w:sz w:val="20"/>
          <w:szCs w:val="20"/>
          <w:lang w:val="es-CR"/>
        </w:rPr>
      </w:pPr>
    </w:p>
    <w:p w:rsidR="00832B68" w:rsidRPr="00B6232C" w:rsidRDefault="00832B68">
      <w:pPr>
        <w:spacing w:after="0" w:line="240" w:lineRule="auto"/>
        <w:jc w:val="center"/>
        <w:rPr>
          <w:rFonts w:ascii="Verdana" w:hAnsi="Verdana"/>
          <w:sz w:val="20"/>
          <w:szCs w:val="20"/>
          <w:lang w:val="es-CR"/>
        </w:rPr>
      </w:pPr>
    </w:p>
    <w:p w:rsidR="00832B68" w:rsidRDefault="00832B68">
      <w:pPr>
        <w:spacing w:after="0" w:line="240" w:lineRule="auto"/>
        <w:jc w:val="center"/>
        <w:rPr>
          <w:rFonts w:ascii="Verdana" w:hAnsi="Verdana"/>
          <w:sz w:val="20"/>
          <w:szCs w:val="20"/>
          <w:lang w:val="es-CR"/>
        </w:rPr>
      </w:pPr>
    </w:p>
    <w:p w:rsidR="00BA6E52" w:rsidRPr="00B6232C" w:rsidRDefault="00BA6E52">
      <w:pPr>
        <w:spacing w:after="0" w:line="240" w:lineRule="auto"/>
        <w:jc w:val="center"/>
        <w:rPr>
          <w:rFonts w:ascii="Verdana" w:hAnsi="Verdana"/>
          <w:sz w:val="20"/>
          <w:szCs w:val="20"/>
          <w:lang w:val="es-CR"/>
        </w:rPr>
      </w:pPr>
    </w:p>
    <w:p w:rsidR="00832B68" w:rsidRPr="00B6232C" w:rsidRDefault="00832B68">
      <w:pPr>
        <w:spacing w:after="0" w:line="240" w:lineRule="auto"/>
        <w:jc w:val="center"/>
        <w:rPr>
          <w:rFonts w:ascii="Verdana" w:hAnsi="Verdana"/>
          <w:sz w:val="20"/>
          <w:szCs w:val="20"/>
          <w:lang w:val="es-CR"/>
        </w:rPr>
      </w:pPr>
      <w:r w:rsidRPr="00B6232C">
        <w:rPr>
          <w:rFonts w:ascii="Verdana" w:hAnsi="Verdana"/>
          <w:sz w:val="20"/>
          <w:szCs w:val="20"/>
          <w:lang w:val="es-CR"/>
        </w:rPr>
        <w:t>L. Patricio Pazmiño Freire</w:t>
      </w:r>
      <w:r w:rsidRPr="00B6232C">
        <w:rPr>
          <w:rFonts w:ascii="Verdana" w:hAnsi="Verdana"/>
          <w:sz w:val="20"/>
          <w:szCs w:val="20"/>
          <w:lang w:val="es-CR"/>
        </w:rPr>
        <w:tab/>
      </w:r>
      <w:r w:rsidRPr="00B6232C">
        <w:rPr>
          <w:rFonts w:ascii="Verdana" w:hAnsi="Verdana"/>
          <w:sz w:val="20"/>
          <w:szCs w:val="20"/>
          <w:lang w:val="es-CR"/>
        </w:rPr>
        <w:tab/>
      </w:r>
      <w:r w:rsidRPr="00B6232C">
        <w:rPr>
          <w:rFonts w:ascii="Verdana" w:hAnsi="Verdana"/>
          <w:sz w:val="20"/>
          <w:szCs w:val="20"/>
          <w:lang w:val="es-CR"/>
        </w:rPr>
        <w:tab/>
      </w:r>
      <w:r w:rsidRPr="00B6232C">
        <w:rPr>
          <w:rFonts w:ascii="Verdana" w:hAnsi="Verdana"/>
          <w:sz w:val="20"/>
          <w:szCs w:val="20"/>
          <w:lang w:val="es-CR"/>
        </w:rPr>
        <w:tab/>
      </w:r>
      <w:r w:rsidRPr="00B6232C">
        <w:rPr>
          <w:rFonts w:ascii="Verdana" w:hAnsi="Verdana"/>
          <w:sz w:val="20"/>
          <w:szCs w:val="20"/>
          <w:lang w:val="es-CR"/>
        </w:rPr>
        <w:tab/>
      </w:r>
      <w:r w:rsidRPr="00B6232C">
        <w:rPr>
          <w:rFonts w:ascii="Verdana" w:hAnsi="Verdana"/>
          <w:sz w:val="20"/>
          <w:szCs w:val="20"/>
          <w:lang w:val="es-CR"/>
        </w:rPr>
        <w:tab/>
        <w:t xml:space="preserve">   Eduardo Vio Grossi</w:t>
      </w:r>
    </w:p>
    <w:p w:rsidR="00832B68" w:rsidRDefault="00832B68">
      <w:pPr>
        <w:spacing w:after="0" w:line="240" w:lineRule="auto"/>
        <w:jc w:val="center"/>
        <w:rPr>
          <w:rFonts w:ascii="Verdana" w:hAnsi="Verdana"/>
          <w:sz w:val="20"/>
          <w:szCs w:val="20"/>
          <w:lang w:val="es-CR"/>
        </w:rPr>
      </w:pPr>
    </w:p>
    <w:p w:rsidR="00BA6E52" w:rsidRPr="00B6232C" w:rsidRDefault="00BA6E52">
      <w:pPr>
        <w:spacing w:after="0" w:line="240" w:lineRule="auto"/>
        <w:jc w:val="center"/>
        <w:rPr>
          <w:rFonts w:ascii="Verdana" w:hAnsi="Verdana"/>
          <w:sz w:val="20"/>
          <w:szCs w:val="20"/>
          <w:lang w:val="es-CR"/>
        </w:rPr>
      </w:pPr>
    </w:p>
    <w:p w:rsidR="00832B68" w:rsidRPr="00B6232C" w:rsidRDefault="00832B68">
      <w:pPr>
        <w:spacing w:after="0" w:line="240" w:lineRule="auto"/>
        <w:jc w:val="center"/>
        <w:rPr>
          <w:rFonts w:ascii="Verdana" w:hAnsi="Verdana"/>
          <w:sz w:val="20"/>
          <w:szCs w:val="20"/>
          <w:lang w:val="es-CR"/>
        </w:rPr>
      </w:pPr>
    </w:p>
    <w:p w:rsidR="00832B68" w:rsidRPr="00B6232C" w:rsidRDefault="00832B68">
      <w:pPr>
        <w:spacing w:after="0" w:line="240" w:lineRule="auto"/>
        <w:jc w:val="center"/>
        <w:rPr>
          <w:rFonts w:ascii="Verdana" w:hAnsi="Verdana"/>
          <w:sz w:val="20"/>
          <w:szCs w:val="20"/>
          <w:lang w:val="es-CR"/>
        </w:rPr>
      </w:pPr>
    </w:p>
    <w:p w:rsidR="00832B68" w:rsidRPr="00B6232C" w:rsidRDefault="00832B68">
      <w:pPr>
        <w:spacing w:after="0" w:line="240" w:lineRule="auto"/>
        <w:jc w:val="center"/>
        <w:rPr>
          <w:rFonts w:ascii="Verdana" w:hAnsi="Verdana"/>
          <w:sz w:val="20"/>
          <w:szCs w:val="20"/>
          <w:lang w:val="es-CR"/>
        </w:rPr>
      </w:pPr>
    </w:p>
    <w:p w:rsidR="00832B68" w:rsidRPr="00B6232C" w:rsidRDefault="00832B68">
      <w:pPr>
        <w:spacing w:after="0" w:line="240" w:lineRule="auto"/>
        <w:jc w:val="center"/>
        <w:rPr>
          <w:rFonts w:ascii="Verdana" w:hAnsi="Verdana"/>
          <w:sz w:val="20"/>
          <w:szCs w:val="20"/>
          <w:lang w:val="es-CR"/>
        </w:rPr>
      </w:pPr>
      <w:r w:rsidRPr="00B6232C">
        <w:rPr>
          <w:rFonts w:ascii="Verdana" w:hAnsi="Verdana"/>
          <w:sz w:val="20"/>
          <w:szCs w:val="20"/>
          <w:lang w:val="es-CR"/>
        </w:rPr>
        <w:t>Humberto Antonio Sierra Porto</w:t>
      </w:r>
      <w:r w:rsidRPr="00B6232C">
        <w:rPr>
          <w:rFonts w:ascii="Verdana" w:hAnsi="Verdana"/>
          <w:sz w:val="20"/>
          <w:szCs w:val="20"/>
          <w:lang w:val="es-CR"/>
        </w:rPr>
        <w:tab/>
      </w:r>
      <w:r w:rsidRPr="00B6232C">
        <w:rPr>
          <w:rFonts w:ascii="Verdana" w:hAnsi="Verdana"/>
          <w:sz w:val="20"/>
          <w:szCs w:val="20"/>
          <w:lang w:val="es-CR"/>
        </w:rPr>
        <w:tab/>
      </w:r>
      <w:r w:rsidRPr="00B6232C">
        <w:rPr>
          <w:rFonts w:ascii="Verdana" w:hAnsi="Verdana"/>
          <w:sz w:val="20"/>
          <w:szCs w:val="20"/>
          <w:lang w:val="es-CR"/>
        </w:rPr>
        <w:tab/>
        <w:t xml:space="preserve">Eduardo Ferrer Mac-Gregor Poisot </w:t>
      </w:r>
    </w:p>
    <w:p w:rsidR="00832B68" w:rsidRPr="00B6232C" w:rsidRDefault="00832B68">
      <w:pPr>
        <w:spacing w:after="0" w:line="240" w:lineRule="auto"/>
        <w:jc w:val="center"/>
        <w:rPr>
          <w:rFonts w:ascii="Verdana" w:hAnsi="Verdana"/>
          <w:sz w:val="20"/>
          <w:szCs w:val="20"/>
          <w:lang w:val="es-CR"/>
        </w:rPr>
      </w:pPr>
    </w:p>
    <w:p w:rsidR="00832B68" w:rsidRDefault="00832B68">
      <w:pPr>
        <w:spacing w:after="0" w:line="240" w:lineRule="auto"/>
        <w:jc w:val="center"/>
        <w:rPr>
          <w:rFonts w:ascii="Verdana" w:hAnsi="Verdana"/>
          <w:sz w:val="20"/>
          <w:szCs w:val="20"/>
          <w:lang w:val="es-CR"/>
        </w:rPr>
      </w:pPr>
    </w:p>
    <w:p w:rsidR="00BA6E52" w:rsidRPr="00B6232C" w:rsidRDefault="00BA6E52">
      <w:pPr>
        <w:spacing w:after="0" w:line="240" w:lineRule="auto"/>
        <w:jc w:val="center"/>
        <w:rPr>
          <w:rFonts w:ascii="Verdana" w:hAnsi="Verdana"/>
          <w:sz w:val="20"/>
          <w:szCs w:val="20"/>
          <w:lang w:val="es-CR"/>
        </w:rPr>
      </w:pPr>
    </w:p>
    <w:p w:rsidR="00832B68" w:rsidRPr="00B6232C" w:rsidRDefault="00832B68">
      <w:pPr>
        <w:spacing w:after="0" w:line="240" w:lineRule="auto"/>
        <w:jc w:val="center"/>
        <w:rPr>
          <w:rFonts w:ascii="Verdana" w:hAnsi="Verdana"/>
          <w:sz w:val="20"/>
          <w:szCs w:val="20"/>
          <w:lang w:val="es-CR"/>
        </w:rPr>
      </w:pPr>
    </w:p>
    <w:p w:rsidR="00832B68" w:rsidRPr="00B6232C" w:rsidRDefault="00832B68">
      <w:pPr>
        <w:spacing w:after="0" w:line="240" w:lineRule="auto"/>
        <w:jc w:val="center"/>
        <w:rPr>
          <w:rFonts w:ascii="Verdana" w:hAnsi="Verdana"/>
          <w:sz w:val="20"/>
          <w:szCs w:val="20"/>
          <w:lang w:val="es-CR"/>
        </w:rPr>
      </w:pPr>
    </w:p>
    <w:p w:rsidR="00832B68" w:rsidRPr="00B6232C" w:rsidRDefault="00971EBD">
      <w:pPr>
        <w:spacing w:after="0" w:line="240" w:lineRule="auto"/>
        <w:jc w:val="center"/>
        <w:rPr>
          <w:rFonts w:ascii="Verdana" w:hAnsi="Verdana"/>
          <w:sz w:val="20"/>
          <w:szCs w:val="20"/>
          <w:lang w:val="es-CR"/>
        </w:rPr>
      </w:pPr>
      <w:r w:rsidRPr="00B6232C">
        <w:rPr>
          <w:rFonts w:ascii="Verdana" w:hAnsi="Verdana"/>
          <w:sz w:val="20"/>
          <w:szCs w:val="20"/>
          <w:lang w:val="es-CR"/>
        </w:rPr>
        <w:t>Eugenio Raúl Zaffaroni</w:t>
      </w:r>
      <w:r w:rsidRPr="00B6232C">
        <w:rPr>
          <w:rFonts w:ascii="Verdana" w:hAnsi="Verdana"/>
          <w:sz w:val="20"/>
          <w:szCs w:val="20"/>
          <w:lang w:val="es-CR"/>
        </w:rPr>
        <w:tab/>
      </w:r>
      <w:r w:rsidRPr="00B6232C">
        <w:rPr>
          <w:rFonts w:ascii="Verdana" w:hAnsi="Verdana"/>
          <w:sz w:val="20"/>
          <w:szCs w:val="20"/>
          <w:lang w:val="es-CR"/>
        </w:rPr>
        <w:tab/>
      </w:r>
      <w:r w:rsidRPr="00B6232C">
        <w:rPr>
          <w:rFonts w:ascii="Verdana" w:hAnsi="Verdana"/>
          <w:sz w:val="20"/>
          <w:szCs w:val="20"/>
          <w:lang w:val="es-CR"/>
        </w:rPr>
        <w:tab/>
      </w:r>
      <w:r w:rsidRPr="00B6232C">
        <w:rPr>
          <w:rFonts w:ascii="Verdana" w:hAnsi="Verdana"/>
          <w:sz w:val="20"/>
          <w:szCs w:val="20"/>
          <w:lang w:val="es-CR"/>
        </w:rPr>
        <w:tab/>
      </w:r>
      <w:r w:rsidRPr="00B6232C">
        <w:rPr>
          <w:rFonts w:ascii="Verdana" w:hAnsi="Verdana"/>
          <w:sz w:val="20"/>
          <w:szCs w:val="20"/>
          <w:lang w:val="es-CR"/>
        </w:rPr>
        <w:tab/>
      </w:r>
      <w:r w:rsidR="00832B68" w:rsidRPr="00B6232C">
        <w:rPr>
          <w:rFonts w:ascii="Verdana" w:hAnsi="Verdana"/>
          <w:sz w:val="20"/>
          <w:szCs w:val="20"/>
          <w:lang w:val="es-CR"/>
        </w:rPr>
        <w:t xml:space="preserve"> Ricardo C. Pérez Manrique</w:t>
      </w:r>
    </w:p>
    <w:p w:rsidR="00832B68" w:rsidRPr="00B6232C" w:rsidRDefault="00832B68">
      <w:pPr>
        <w:spacing w:after="0" w:line="240" w:lineRule="auto"/>
        <w:jc w:val="center"/>
        <w:rPr>
          <w:rFonts w:ascii="Verdana" w:hAnsi="Verdana"/>
          <w:sz w:val="20"/>
          <w:szCs w:val="20"/>
          <w:lang w:val="es-CR"/>
        </w:rPr>
      </w:pPr>
    </w:p>
    <w:p w:rsidR="00832B68" w:rsidRPr="00B6232C" w:rsidRDefault="00832B68">
      <w:pPr>
        <w:spacing w:after="0" w:line="240" w:lineRule="auto"/>
        <w:jc w:val="center"/>
        <w:rPr>
          <w:rFonts w:ascii="Verdana" w:hAnsi="Verdana"/>
          <w:sz w:val="20"/>
          <w:szCs w:val="20"/>
          <w:lang w:val="es-CR"/>
        </w:rPr>
      </w:pPr>
    </w:p>
    <w:p w:rsidR="00832B68" w:rsidRPr="00B6232C" w:rsidRDefault="00832B68">
      <w:pPr>
        <w:spacing w:after="0" w:line="240" w:lineRule="auto"/>
        <w:jc w:val="center"/>
        <w:rPr>
          <w:rFonts w:ascii="Verdana" w:hAnsi="Verdana"/>
          <w:sz w:val="20"/>
          <w:szCs w:val="20"/>
          <w:lang w:val="es-CR"/>
        </w:rPr>
      </w:pPr>
    </w:p>
    <w:p w:rsidR="00832B68" w:rsidRPr="00B6232C" w:rsidRDefault="00832B68">
      <w:pPr>
        <w:spacing w:after="0" w:line="240" w:lineRule="auto"/>
        <w:jc w:val="center"/>
        <w:rPr>
          <w:rFonts w:ascii="Verdana" w:hAnsi="Verdana"/>
          <w:sz w:val="20"/>
          <w:szCs w:val="20"/>
          <w:lang w:val="es-CR"/>
        </w:rPr>
      </w:pPr>
    </w:p>
    <w:p w:rsidR="00832B68" w:rsidRPr="00B6232C" w:rsidRDefault="00832B68">
      <w:pPr>
        <w:spacing w:after="0" w:line="240" w:lineRule="auto"/>
        <w:jc w:val="center"/>
        <w:rPr>
          <w:rFonts w:ascii="Verdana" w:hAnsi="Verdana"/>
          <w:sz w:val="20"/>
          <w:szCs w:val="20"/>
          <w:lang w:val="es-CR"/>
        </w:rPr>
      </w:pPr>
      <w:r w:rsidRPr="00B6232C">
        <w:rPr>
          <w:rFonts w:ascii="Verdana" w:hAnsi="Verdana"/>
          <w:sz w:val="20"/>
          <w:szCs w:val="20"/>
          <w:lang w:val="es-CR"/>
        </w:rPr>
        <w:t>Pablo Saavedra Alessandri</w:t>
      </w:r>
    </w:p>
    <w:p w:rsidR="00832B68" w:rsidRPr="00B6232C" w:rsidRDefault="00832B68">
      <w:pPr>
        <w:spacing w:after="0" w:line="240" w:lineRule="auto"/>
        <w:jc w:val="center"/>
        <w:rPr>
          <w:rFonts w:ascii="Verdana" w:hAnsi="Verdana"/>
          <w:sz w:val="20"/>
          <w:szCs w:val="20"/>
          <w:lang w:val="es-CR"/>
        </w:rPr>
      </w:pPr>
      <w:r w:rsidRPr="00B6232C">
        <w:rPr>
          <w:rFonts w:ascii="Verdana" w:hAnsi="Verdana"/>
          <w:sz w:val="20"/>
          <w:szCs w:val="20"/>
          <w:lang w:val="es-CR"/>
        </w:rPr>
        <w:t>Secretario</w:t>
      </w:r>
    </w:p>
    <w:p w:rsidR="00832B68" w:rsidRPr="00B6232C" w:rsidRDefault="00832B68">
      <w:pPr>
        <w:spacing w:after="0" w:line="240" w:lineRule="auto"/>
        <w:rPr>
          <w:rFonts w:ascii="Verdana" w:hAnsi="Verdana"/>
          <w:sz w:val="20"/>
          <w:szCs w:val="20"/>
          <w:lang w:val="es-CR"/>
        </w:rPr>
      </w:pPr>
    </w:p>
    <w:p w:rsidR="00832B68" w:rsidRPr="00B6232C" w:rsidRDefault="00832B68">
      <w:pPr>
        <w:spacing w:after="0" w:line="240" w:lineRule="auto"/>
        <w:jc w:val="center"/>
        <w:rPr>
          <w:rFonts w:ascii="Verdana" w:hAnsi="Verdana"/>
          <w:sz w:val="20"/>
          <w:szCs w:val="20"/>
          <w:lang w:val="es-CR"/>
        </w:rPr>
      </w:pPr>
    </w:p>
    <w:p w:rsidR="00832B68" w:rsidRPr="00B6232C" w:rsidRDefault="00832B68">
      <w:pPr>
        <w:spacing w:after="0" w:line="240" w:lineRule="auto"/>
        <w:jc w:val="center"/>
        <w:rPr>
          <w:rFonts w:ascii="Verdana" w:hAnsi="Verdana"/>
          <w:sz w:val="20"/>
          <w:szCs w:val="20"/>
          <w:lang w:val="es-CR"/>
        </w:rPr>
      </w:pPr>
    </w:p>
    <w:p w:rsidR="00832B68" w:rsidRPr="00B6232C" w:rsidRDefault="00832B68">
      <w:pPr>
        <w:spacing w:after="0" w:line="240" w:lineRule="auto"/>
        <w:jc w:val="center"/>
        <w:rPr>
          <w:rFonts w:ascii="Verdana" w:hAnsi="Verdana"/>
          <w:sz w:val="20"/>
          <w:szCs w:val="20"/>
          <w:lang w:val="es-CR"/>
        </w:rPr>
      </w:pPr>
    </w:p>
    <w:p w:rsidR="00832B68" w:rsidRPr="00B6232C" w:rsidRDefault="00832B68">
      <w:pPr>
        <w:spacing w:after="0" w:line="240" w:lineRule="auto"/>
        <w:rPr>
          <w:rFonts w:ascii="Verdana" w:hAnsi="Verdana"/>
          <w:sz w:val="20"/>
          <w:szCs w:val="20"/>
          <w:lang w:val="es-CR"/>
        </w:rPr>
      </w:pPr>
      <w:r w:rsidRPr="00B6232C">
        <w:rPr>
          <w:rFonts w:ascii="Verdana" w:hAnsi="Verdana"/>
          <w:sz w:val="20"/>
          <w:szCs w:val="20"/>
          <w:lang w:val="es-CR"/>
        </w:rPr>
        <w:t>Comuníquese y ejecútese,</w:t>
      </w:r>
    </w:p>
    <w:p w:rsidR="00832B68" w:rsidRPr="00B6232C" w:rsidRDefault="00832B68">
      <w:pPr>
        <w:spacing w:after="0" w:line="240" w:lineRule="auto"/>
        <w:jc w:val="center"/>
        <w:rPr>
          <w:rFonts w:ascii="Verdana" w:hAnsi="Verdana"/>
          <w:sz w:val="20"/>
          <w:szCs w:val="20"/>
          <w:lang w:val="es-CR"/>
        </w:rPr>
      </w:pPr>
    </w:p>
    <w:p w:rsidR="00832B68" w:rsidRPr="00B6232C" w:rsidRDefault="00832B68">
      <w:pPr>
        <w:spacing w:after="0" w:line="240" w:lineRule="auto"/>
        <w:rPr>
          <w:rFonts w:ascii="Verdana" w:hAnsi="Verdana"/>
          <w:sz w:val="20"/>
          <w:szCs w:val="20"/>
          <w:lang w:val="es-CR"/>
        </w:rPr>
      </w:pPr>
    </w:p>
    <w:p w:rsidR="00832B68" w:rsidRPr="00B6232C" w:rsidRDefault="00832B68">
      <w:pPr>
        <w:spacing w:after="0" w:line="240" w:lineRule="auto"/>
        <w:jc w:val="center"/>
        <w:rPr>
          <w:rFonts w:ascii="Verdana" w:hAnsi="Verdana"/>
          <w:sz w:val="20"/>
          <w:szCs w:val="20"/>
          <w:lang w:val="es-CR"/>
        </w:rPr>
      </w:pPr>
    </w:p>
    <w:p w:rsidR="00832B68" w:rsidRPr="00B6232C" w:rsidRDefault="00832B68">
      <w:pPr>
        <w:spacing w:after="0" w:line="240" w:lineRule="auto"/>
        <w:jc w:val="right"/>
        <w:rPr>
          <w:rFonts w:ascii="Verdana" w:hAnsi="Verdana"/>
          <w:sz w:val="20"/>
          <w:szCs w:val="20"/>
          <w:lang w:val="es-CR"/>
        </w:rPr>
      </w:pPr>
      <w:r w:rsidRPr="00B6232C">
        <w:rPr>
          <w:rFonts w:ascii="Verdana" w:hAnsi="Verdana"/>
          <w:sz w:val="20"/>
          <w:szCs w:val="20"/>
          <w:lang w:val="es-CR"/>
        </w:rPr>
        <w:t>Elizabeth Odio Benito</w:t>
      </w:r>
    </w:p>
    <w:p w:rsidR="00832B68" w:rsidRPr="00B6232C" w:rsidRDefault="00832B68">
      <w:pPr>
        <w:spacing w:after="0" w:line="240" w:lineRule="auto"/>
        <w:ind w:left="6372" w:firstLine="708"/>
        <w:rPr>
          <w:rFonts w:ascii="Verdana" w:hAnsi="Verdana"/>
          <w:sz w:val="20"/>
          <w:szCs w:val="20"/>
          <w:lang w:val="es-CR"/>
        </w:rPr>
      </w:pPr>
      <w:r w:rsidRPr="00B6232C">
        <w:rPr>
          <w:rFonts w:ascii="Verdana" w:hAnsi="Verdana"/>
          <w:sz w:val="20"/>
          <w:szCs w:val="20"/>
          <w:lang w:val="es-CR"/>
        </w:rPr>
        <w:t xml:space="preserve">         Presidenta</w:t>
      </w:r>
    </w:p>
    <w:p w:rsidR="00832B68" w:rsidRPr="00B6232C" w:rsidRDefault="00832B68">
      <w:pPr>
        <w:spacing w:after="0" w:line="240" w:lineRule="auto"/>
        <w:jc w:val="center"/>
        <w:rPr>
          <w:rFonts w:ascii="Verdana" w:hAnsi="Verdana"/>
          <w:sz w:val="20"/>
          <w:szCs w:val="20"/>
          <w:lang w:val="es-CR"/>
        </w:rPr>
      </w:pPr>
    </w:p>
    <w:p w:rsidR="00832B68" w:rsidRPr="00B6232C" w:rsidRDefault="00832B68">
      <w:pPr>
        <w:spacing w:after="0" w:line="240" w:lineRule="auto"/>
        <w:jc w:val="center"/>
        <w:rPr>
          <w:rFonts w:ascii="Verdana" w:hAnsi="Verdana"/>
          <w:sz w:val="20"/>
          <w:szCs w:val="20"/>
          <w:lang w:val="es-CR"/>
        </w:rPr>
      </w:pPr>
    </w:p>
    <w:p w:rsidR="00832B68" w:rsidRPr="00B6232C" w:rsidRDefault="00832B68">
      <w:pPr>
        <w:spacing w:after="0" w:line="240" w:lineRule="auto"/>
        <w:rPr>
          <w:rFonts w:ascii="Verdana" w:hAnsi="Verdana"/>
          <w:sz w:val="20"/>
          <w:szCs w:val="20"/>
          <w:lang w:val="es-CR"/>
        </w:rPr>
      </w:pPr>
      <w:r w:rsidRPr="00B6232C">
        <w:rPr>
          <w:rFonts w:ascii="Verdana" w:hAnsi="Verdana"/>
          <w:sz w:val="20"/>
          <w:szCs w:val="20"/>
          <w:lang w:val="es-CR"/>
        </w:rPr>
        <w:t>Pablo Saavedra Alessandri</w:t>
      </w:r>
    </w:p>
    <w:p w:rsidR="0065370A" w:rsidRPr="00B6232C" w:rsidRDefault="00832B68">
      <w:pPr>
        <w:spacing w:after="0" w:line="240" w:lineRule="auto"/>
        <w:rPr>
          <w:rFonts w:ascii="Verdana" w:hAnsi="Verdana"/>
          <w:sz w:val="20"/>
          <w:szCs w:val="20"/>
          <w:lang w:val="es-CR"/>
        </w:rPr>
      </w:pPr>
      <w:r w:rsidRPr="00B6232C">
        <w:rPr>
          <w:rFonts w:ascii="Verdana" w:hAnsi="Verdana"/>
          <w:sz w:val="20"/>
          <w:szCs w:val="20"/>
          <w:lang w:val="es-CR"/>
        </w:rPr>
        <w:t xml:space="preserve">          Secretario</w:t>
      </w:r>
    </w:p>
    <w:sectPr w:rsidR="0065370A" w:rsidRPr="00B6232C" w:rsidSect="00961255">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4426" w:rsidRDefault="00344426" w:rsidP="007B680C">
      <w:pPr>
        <w:spacing w:after="0" w:line="240" w:lineRule="auto"/>
      </w:pPr>
      <w:r>
        <w:separator/>
      </w:r>
    </w:p>
  </w:endnote>
  <w:endnote w:type="continuationSeparator" w:id="0">
    <w:p w:rsidR="00344426" w:rsidRDefault="00344426" w:rsidP="007B6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8589355"/>
      <w:docPartObj>
        <w:docPartGallery w:val="Page Numbers (Bottom of Page)"/>
        <w:docPartUnique/>
      </w:docPartObj>
    </w:sdtPr>
    <w:sdtEndPr>
      <w:rPr>
        <w:rFonts w:ascii="Verdana" w:hAnsi="Verdana"/>
        <w:noProof/>
        <w:sz w:val="20"/>
        <w:szCs w:val="20"/>
      </w:rPr>
    </w:sdtEndPr>
    <w:sdtContent>
      <w:p w:rsidR="005A7313" w:rsidRPr="008A2A90" w:rsidRDefault="005A7313">
        <w:pPr>
          <w:pStyle w:val="Piedepgina"/>
          <w:jc w:val="center"/>
          <w:rPr>
            <w:rFonts w:ascii="Verdana" w:hAnsi="Verdana"/>
            <w:sz w:val="20"/>
            <w:szCs w:val="20"/>
          </w:rPr>
        </w:pPr>
        <w:r w:rsidRPr="008A2A90">
          <w:rPr>
            <w:rFonts w:ascii="Verdana" w:hAnsi="Verdana"/>
            <w:sz w:val="20"/>
            <w:szCs w:val="20"/>
          </w:rPr>
          <w:fldChar w:fldCharType="begin"/>
        </w:r>
        <w:r w:rsidRPr="008A2A90">
          <w:rPr>
            <w:rFonts w:ascii="Verdana" w:hAnsi="Verdana"/>
            <w:sz w:val="20"/>
            <w:szCs w:val="20"/>
          </w:rPr>
          <w:instrText xml:space="preserve"> PAGE   \* MERGEFORMAT </w:instrText>
        </w:r>
        <w:r w:rsidRPr="008A2A90">
          <w:rPr>
            <w:rFonts w:ascii="Verdana" w:hAnsi="Verdana"/>
            <w:sz w:val="20"/>
            <w:szCs w:val="20"/>
          </w:rPr>
          <w:fldChar w:fldCharType="separate"/>
        </w:r>
        <w:r w:rsidR="00473F87">
          <w:rPr>
            <w:rFonts w:ascii="Verdana" w:hAnsi="Verdana"/>
            <w:noProof/>
            <w:sz w:val="20"/>
            <w:szCs w:val="20"/>
          </w:rPr>
          <w:t>10</w:t>
        </w:r>
        <w:r w:rsidRPr="008A2A90">
          <w:rPr>
            <w:rFonts w:ascii="Verdana" w:hAnsi="Verdana"/>
            <w:noProof/>
            <w:sz w:val="20"/>
            <w:szCs w:val="20"/>
          </w:rPr>
          <w:fldChar w:fldCharType="end"/>
        </w:r>
      </w:p>
    </w:sdtContent>
  </w:sdt>
  <w:p w:rsidR="005A7313" w:rsidRDefault="005A731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4426" w:rsidRDefault="00344426" w:rsidP="007B680C">
      <w:pPr>
        <w:spacing w:after="0" w:line="240" w:lineRule="auto"/>
      </w:pPr>
      <w:r>
        <w:separator/>
      </w:r>
    </w:p>
  </w:footnote>
  <w:footnote w:type="continuationSeparator" w:id="0">
    <w:p w:rsidR="00344426" w:rsidRDefault="00344426" w:rsidP="007B680C">
      <w:pPr>
        <w:spacing w:after="0" w:line="240" w:lineRule="auto"/>
      </w:pPr>
      <w:r>
        <w:continuationSeparator/>
      </w:r>
    </w:p>
  </w:footnote>
  <w:footnote w:id="1">
    <w:p w:rsidR="00067454" w:rsidRPr="00F54F1F" w:rsidRDefault="00067454" w:rsidP="00EA241D">
      <w:pPr>
        <w:pStyle w:val="Textonotapie"/>
        <w:spacing w:before="100"/>
        <w:rPr>
          <w:szCs w:val="16"/>
        </w:rPr>
      </w:pPr>
      <w:r w:rsidRPr="00F54F1F">
        <w:rPr>
          <w:rStyle w:val="Refdenotaalpie"/>
          <w:szCs w:val="16"/>
        </w:rPr>
        <w:footnoteRef/>
      </w:r>
      <w:r w:rsidRPr="00F54F1F">
        <w:rPr>
          <w:szCs w:val="16"/>
        </w:rPr>
        <w:t xml:space="preserve"> </w:t>
      </w:r>
      <w:r w:rsidR="00AE0DC6" w:rsidRPr="00F54F1F">
        <w:rPr>
          <w:szCs w:val="16"/>
        </w:rPr>
        <w:tab/>
      </w:r>
      <w:r w:rsidRPr="00F54F1F">
        <w:rPr>
          <w:szCs w:val="16"/>
        </w:rPr>
        <w:t>Debido a las circunstancias excepcionales ocasionadas por la pandemia COVID-19, esta Sentencia fue deliberada y</w:t>
      </w:r>
      <w:r w:rsidR="00A12E33" w:rsidRPr="00F54F1F">
        <w:rPr>
          <w:szCs w:val="16"/>
        </w:rPr>
        <w:t xml:space="preserve"> </w:t>
      </w:r>
      <w:r w:rsidRPr="00F54F1F">
        <w:rPr>
          <w:szCs w:val="16"/>
        </w:rPr>
        <w:t>aprobada durante el 1</w:t>
      </w:r>
      <w:r w:rsidR="00655ED9">
        <w:rPr>
          <w:szCs w:val="16"/>
        </w:rPr>
        <w:t>42</w:t>
      </w:r>
      <w:r w:rsidRPr="00F54F1F">
        <w:rPr>
          <w:szCs w:val="16"/>
        </w:rPr>
        <w:t xml:space="preserve"> Período Ordinario de Sesiones, el cual se llevó a cabo de forma no presencial utilizando medios tecnológicos, de conformidad con lo establecido en el Reglamento de la Corte.</w:t>
      </w:r>
    </w:p>
  </w:footnote>
  <w:footnote w:id="2">
    <w:p w:rsidR="005A7313" w:rsidRPr="00F54F1F" w:rsidRDefault="005A7313" w:rsidP="00EA241D">
      <w:pPr>
        <w:spacing w:before="100" w:after="0" w:line="240" w:lineRule="auto"/>
        <w:jc w:val="both"/>
        <w:rPr>
          <w:rFonts w:ascii="Verdana" w:hAnsi="Verdana"/>
          <w:sz w:val="16"/>
          <w:szCs w:val="16"/>
          <w:lang w:val="es-CR"/>
        </w:rPr>
      </w:pPr>
      <w:r w:rsidRPr="00F54F1F">
        <w:rPr>
          <w:rStyle w:val="Refdenotaalpie"/>
          <w:szCs w:val="16"/>
          <w:lang w:val="es-CR"/>
        </w:rPr>
        <w:footnoteRef/>
      </w:r>
      <w:r w:rsidRPr="00F54F1F">
        <w:rPr>
          <w:rFonts w:ascii="Verdana" w:hAnsi="Verdana"/>
          <w:sz w:val="16"/>
          <w:szCs w:val="16"/>
          <w:lang w:val="es-CR"/>
        </w:rPr>
        <w:t xml:space="preserve"> </w:t>
      </w:r>
      <w:r w:rsidR="00A12E33" w:rsidRPr="00F54F1F">
        <w:rPr>
          <w:rFonts w:ascii="Verdana" w:hAnsi="Verdana"/>
          <w:sz w:val="16"/>
          <w:szCs w:val="16"/>
          <w:lang w:val="es-CR"/>
        </w:rPr>
        <w:tab/>
      </w:r>
      <w:r w:rsidRPr="00F54F1F">
        <w:rPr>
          <w:rFonts w:ascii="Verdana" w:hAnsi="Verdana"/>
          <w:sz w:val="16"/>
          <w:szCs w:val="16"/>
          <w:lang w:val="es-CR"/>
        </w:rPr>
        <w:t>Dicho artículo dispone, en lo pertinente: “1. 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 […] 4. La solicitud de interpretación no suspenderá la ejecución de la sentencia. 5. La Corte determinará el procedimiento que se seguirá y resolverá mediante una sentencia”.</w:t>
      </w:r>
    </w:p>
  </w:footnote>
  <w:footnote w:id="3">
    <w:p w:rsidR="00ED5000" w:rsidRPr="00F54F1F" w:rsidRDefault="00ED5000" w:rsidP="00EA241D">
      <w:pPr>
        <w:pStyle w:val="Textonotapie"/>
        <w:spacing w:before="100"/>
        <w:rPr>
          <w:rStyle w:val="Refdenotaalpie"/>
          <w:szCs w:val="16"/>
          <w:lang w:val="es-CR"/>
        </w:rPr>
      </w:pPr>
      <w:r w:rsidRPr="00F54F1F">
        <w:rPr>
          <w:rStyle w:val="Refdenotaalpie"/>
          <w:szCs w:val="16"/>
          <w:lang w:val="es-CR"/>
        </w:rPr>
        <w:footnoteRef/>
      </w:r>
      <w:r w:rsidRPr="00F54F1F">
        <w:rPr>
          <w:rStyle w:val="Refdenotaalpie"/>
          <w:szCs w:val="16"/>
          <w:lang w:val="es-CR"/>
        </w:rPr>
        <w:t xml:space="preserve"> </w:t>
      </w:r>
      <w:r w:rsidRPr="00F54F1F">
        <w:rPr>
          <w:szCs w:val="16"/>
          <w:lang w:val="es-CR"/>
        </w:rPr>
        <w:tab/>
      </w:r>
      <w:r w:rsidRPr="00F54F1F">
        <w:rPr>
          <w:i/>
          <w:szCs w:val="16"/>
          <w:lang w:val="es-CR"/>
        </w:rPr>
        <w:t>Cfr. Caso Loayza Tamayo Vs. Perú</w:t>
      </w:r>
      <w:r w:rsidRPr="00F54F1F">
        <w:rPr>
          <w:szCs w:val="16"/>
          <w:lang w:val="es-CR"/>
        </w:rPr>
        <w:t xml:space="preserve">. </w:t>
      </w:r>
      <w:r w:rsidRPr="00F54F1F">
        <w:rPr>
          <w:i/>
          <w:szCs w:val="16"/>
          <w:lang w:val="es-CR"/>
        </w:rPr>
        <w:t>Interpretación de la Sentencia de Fondo</w:t>
      </w:r>
      <w:r w:rsidRPr="00F54F1F">
        <w:rPr>
          <w:szCs w:val="16"/>
          <w:lang w:val="es-CR"/>
        </w:rPr>
        <w:t xml:space="preserve">. Sentencia de 8 de marzo de 1998. Serie C No. 47, párrs. 15 a 16, y </w:t>
      </w:r>
      <w:r w:rsidRPr="00F54F1F">
        <w:rPr>
          <w:i/>
          <w:szCs w:val="16"/>
          <w:lang w:val="es-CR"/>
        </w:rPr>
        <w:t xml:space="preserve">Caso Comunidades Indígenas Miembros de la Asociación Lhaka Honhat (Nuestra Tierra) Vs. Argentina. Interpretación de la Sentencia de Fondo, Reparaciones y Costas. </w:t>
      </w:r>
      <w:r w:rsidRPr="00F54F1F">
        <w:rPr>
          <w:szCs w:val="16"/>
          <w:lang w:val="es-CR"/>
        </w:rPr>
        <w:t>Sentencia de 24 de noviembre de 2020. Serie C No. 420, párr. 9.</w:t>
      </w:r>
    </w:p>
  </w:footnote>
  <w:footnote w:id="4">
    <w:p w:rsidR="005A7313" w:rsidRPr="00F54F1F" w:rsidRDefault="005A7313" w:rsidP="00EA241D">
      <w:pPr>
        <w:pStyle w:val="Textonotapie"/>
        <w:spacing w:before="100"/>
        <w:rPr>
          <w:szCs w:val="16"/>
          <w:lang w:val="es-CR"/>
        </w:rPr>
      </w:pPr>
      <w:r w:rsidRPr="00F54F1F">
        <w:rPr>
          <w:rStyle w:val="Refdenotaalpie"/>
          <w:szCs w:val="16"/>
          <w:lang w:val="es-CR"/>
        </w:rPr>
        <w:footnoteRef/>
      </w:r>
      <w:r w:rsidRPr="00F54F1F">
        <w:rPr>
          <w:szCs w:val="16"/>
          <w:lang w:val="es-CR"/>
        </w:rPr>
        <w:t xml:space="preserve"> </w:t>
      </w:r>
      <w:r w:rsidR="00ED5000" w:rsidRPr="00F54F1F">
        <w:rPr>
          <w:szCs w:val="16"/>
          <w:lang w:val="es-CR"/>
        </w:rPr>
        <w:tab/>
      </w:r>
      <w:r w:rsidRPr="00F54F1F">
        <w:rPr>
          <w:i/>
          <w:szCs w:val="16"/>
          <w:lang w:val="es-CR"/>
        </w:rPr>
        <w:t>Cfr. Caso Loayza Tamayo Vs. Perú. Interpretación de la Sentencia de Reparaciones y Costas</w:t>
      </w:r>
      <w:r w:rsidR="00ED5000" w:rsidRPr="00F54F1F">
        <w:rPr>
          <w:i/>
          <w:szCs w:val="16"/>
          <w:lang w:val="es-CR"/>
        </w:rPr>
        <w:t>, supra</w:t>
      </w:r>
      <w:r w:rsidRPr="00F54F1F">
        <w:rPr>
          <w:szCs w:val="16"/>
          <w:lang w:val="es-CR"/>
        </w:rPr>
        <w:t xml:space="preserve">, párr. 15, y </w:t>
      </w:r>
      <w:r w:rsidRPr="00F54F1F">
        <w:rPr>
          <w:i/>
          <w:szCs w:val="16"/>
          <w:lang w:val="es-CR"/>
        </w:rPr>
        <w:t>Caso Comunidades Indígenas Miembros de la Asociación Lhaka Honhat (Nuestra Tierra) Vs. Argentina. Interpretación de la Sentencia de Fondo, Reparaciones y Costas</w:t>
      </w:r>
      <w:r w:rsidR="00ED5000" w:rsidRPr="00F54F1F">
        <w:rPr>
          <w:i/>
          <w:szCs w:val="16"/>
          <w:lang w:val="es-CR"/>
        </w:rPr>
        <w:t>, supra</w:t>
      </w:r>
      <w:r w:rsidRPr="00F54F1F">
        <w:rPr>
          <w:i/>
          <w:szCs w:val="16"/>
          <w:lang w:val="es-CR"/>
        </w:rPr>
        <w:t xml:space="preserve">, </w:t>
      </w:r>
      <w:r w:rsidRPr="00F54F1F">
        <w:rPr>
          <w:szCs w:val="16"/>
          <w:lang w:val="es-CR"/>
        </w:rPr>
        <w:t>párr. 10.</w:t>
      </w:r>
    </w:p>
  </w:footnote>
  <w:footnote w:id="5">
    <w:p w:rsidR="005A7313" w:rsidRPr="00F54F1F" w:rsidRDefault="005A7313" w:rsidP="00EA241D">
      <w:pPr>
        <w:pStyle w:val="Textonotapie"/>
        <w:spacing w:before="100"/>
        <w:rPr>
          <w:szCs w:val="16"/>
          <w:lang w:val="es-CR"/>
        </w:rPr>
      </w:pPr>
      <w:r w:rsidRPr="00F54F1F">
        <w:rPr>
          <w:rStyle w:val="Refdenotaalpie"/>
          <w:szCs w:val="16"/>
          <w:lang w:val="es-CR"/>
        </w:rPr>
        <w:footnoteRef/>
      </w:r>
      <w:r w:rsidRPr="00F54F1F">
        <w:rPr>
          <w:szCs w:val="16"/>
          <w:lang w:val="es-CR"/>
        </w:rPr>
        <w:t xml:space="preserve"> </w:t>
      </w:r>
      <w:r w:rsidR="00ED5000" w:rsidRPr="00F54F1F">
        <w:rPr>
          <w:szCs w:val="16"/>
          <w:lang w:val="es-CR"/>
        </w:rPr>
        <w:tab/>
      </w:r>
      <w:r w:rsidRPr="00F54F1F">
        <w:rPr>
          <w:i/>
          <w:szCs w:val="16"/>
          <w:lang w:val="es-CR"/>
        </w:rPr>
        <w:t>Cfr. Caso Salvador Chiriboga Vs. Ecuador</w:t>
      </w:r>
      <w:r w:rsidRPr="00F54F1F">
        <w:rPr>
          <w:szCs w:val="16"/>
          <w:lang w:val="es-CR"/>
        </w:rPr>
        <w:t xml:space="preserve">. </w:t>
      </w:r>
      <w:r w:rsidRPr="00F54F1F">
        <w:rPr>
          <w:i/>
          <w:szCs w:val="16"/>
          <w:lang w:val="es-CR"/>
        </w:rPr>
        <w:t>Interpretación de la Sentencia de Reparaciones y Costas</w:t>
      </w:r>
      <w:r w:rsidRPr="00F54F1F">
        <w:rPr>
          <w:szCs w:val="16"/>
          <w:lang w:val="es-CR"/>
        </w:rPr>
        <w:t xml:space="preserve">. Sentencia de 29 de agosto de 2011. Serie C No. 230, párr. 30, y </w:t>
      </w:r>
      <w:r w:rsidRPr="00F54F1F">
        <w:rPr>
          <w:i/>
          <w:szCs w:val="16"/>
          <w:lang w:val="es-CR"/>
        </w:rPr>
        <w:t>Caso Comunidades Indígenas Miembros de la Asociación Lhaka Honhat (Nuestra Tierra) Vs. Argentina. Interpretación de la Sentencia de Fondo, Reparaciones y Costas</w:t>
      </w:r>
      <w:r w:rsidR="00ED5000" w:rsidRPr="00F54F1F">
        <w:rPr>
          <w:i/>
          <w:szCs w:val="16"/>
          <w:lang w:val="es-CR"/>
        </w:rPr>
        <w:t>, supra</w:t>
      </w:r>
      <w:r w:rsidRPr="00F54F1F">
        <w:rPr>
          <w:szCs w:val="16"/>
          <w:lang w:val="es-CR"/>
        </w:rPr>
        <w:t>, párr. 10.</w:t>
      </w:r>
    </w:p>
  </w:footnote>
  <w:footnote w:id="6">
    <w:p w:rsidR="005A7313" w:rsidRPr="00F54F1F" w:rsidRDefault="005A7313" w:rsidP="00EA241D">
      <w:pPr>
        <w:pStyle w:val="Textonotapie"/>
        <w:spacing w:before="100"/>
        <w:rPr>
          <w:szCs w:val="16"/>
          <w:lang w:val="es-CR"/>
        </w:rPr>
      </w:pPr>
      <w:r w:rsidRPr="00F54F1F">
        <w:rPr>
          <w:rStyle w:val="Refdenotaalpie"/>
          <w:szCs w:val="16"/>
          <w:lang w:val="es-CR"/>
        </w:rPr>
        <w:footnoteRef/>
      </w:r>
      <w:r w:rsidRPr="00F54F1F">
        <w:rPr>
          <w:szCs w:val="16"/>
          <w:lang w:val="es-CR"/>
        </w:rPr>
        <w:t xml:space="preserve"> </w:t>
      </w:r>
      <w:r w:rsidR="00ED5000" w:rsidRPr="00F54F1F">
        <w:rPr>
          <w:szCs w:val="16"/>
          <w:lang w:val="es-CR"/>
        </w:rPr>
        <w:tab/>
      </w:r>
      <w:r w:rsidRPr="00F54F1F">
        <w:rPr>
          <w:i/>
          <w:szCs w:val="16"/>
          <w:lang w:val="es-CR"/>
        </w:rPr>
        <w:t>Cfr. Caso Escher y otros Vs. Brasil</w:t>
      </w:r>
      <w:r w:rsidRPr="00F54F1F">
        <w:rPr>
          <w:szCs w:val="16"/>
          <w:lang w:val="es-CR"/>
        </w:rPr>
        <w:t xml:space="preserve">. </w:t>
      </w:r>
      <w:r w:rsidRPr="00F54F1F">
        <w:rPr>
          <w:i/>
          <w:szCs w:val="16"/>
          <w:lang w:val="es-CR"/>
        </w:rPr>
        <w:t>Interpretación de la Sentencia de Excepciones Preliminares, Fondo, Reparaciones y Costas</w:t>
      </w:r>
      <w:r w:rsidRPr="00F54F1F">
        <w:rPr>
          <w:szCs w:val="16"/>
          <w:lang w:val="es-CR"/>
        </w:rPr>
        <w:t xml:space="preserve">. Sentencia de 20 de noviembre de 2009. Serie C No. 208, párr. 11, y </w:t>
      </w:r>
      <w:r w:rsidRPr="00F54F1F">
        <w:rPr>
          <w:i/>
          <w:szCs w:val="16"/>
          <w:lang w:val="es-CR"/>
        </w:rPr>
        <w:t>Caso Comunidades Indígenas Miembros de la Asociación Lhaka Honhat (Nuestra Tierra) Vs. Argentina. Interpretación de la Sentencia de Fondo, Reparaciones y Costas</w:t>
      </w:r>
      <w:r w:rsidR="00ED5000" w:rsidRPr="00F54F1F">
        <w:rPr>
          <w:i/>
          <w:szCs w:val="16"/>
          <w:lang w:val="es-CR"/>
        </w:rPr>
        <w:t>, supra</w:t>
      </w:r>
      <w:r w:rsidRPr="00F54F1F">
        <w:rPr>
          <w:i/>
          <w:szCs w:val="16"/>
          <w:lang w:val="es-CR"/>
        </w:rPr>
        <w:t>,</w:t>
      </w:r>
      <w:r w:rsidRPr="00F54F1F">
        <w:rPr>
          <w:szCs w:val="16"/>
          <w:lang w:val="es-CR"/>
        </w:rPr>
        <w:t xml:space="preserve"> párr. 10.</w:t>
      </w:r>
    </w:p>
  </w:footnote>
  <w:footnote w:id="7">
    <w:p w:rsidR="005A7313" w:rsidRPr="00F54F1F" w:rsidRDefault="005A7313" w:rsidP="00EA241D">
      <w:pPr>
        <w:pStyle w:val="Textonotapie"/>
        <w:spacing w:before="100"/>
        <w:rPr>
          <w:szCs w:val="16"/>
          <w:lang w:val="es-CR"/>
        </w:rPr>
      </w:pPr>
      <w:r w:rsidRPr="00F54F1F">
        <w:rPr>
          <w:rStyle w:val="Refdenotaalpie"/>
          <w:szCs w:val="16"/>
          <w:lang w:val="es-CR"/>
        </w:rPr>
        <w:footnoteRef/>
      </w:r>
      <w:r w:rsidRPr="00F54F1F">
        <w:rPr>
          <w:szCs w:val="16"/>
          <w:lang w:val="es-CR"/>
        </w:rPr>
        <w:t xml:space="preserve"> </w:t>
      </w:r>
      <w:r w:rsidR="00ED5000" w:rsidRPr="00F54F1F">
        <w:rPr>
          <w:szCs w:val="16"/>
          <w:lang w:val="es-CR"/>
        </w:rPr>
        <w:tab/>
      </w:r>
      <w:r w:rsidRPr="00F54F1F">
        <w:rPr>
          <w:szCs w:val="16"/>
          <w:lang w:val="es-CR"/>
        </w:rPr>
        <w:t xml:space="preserve">El Punto Resolutivo </w:t>
      </w:r>
      <w:r w:rsidR="00AA4FF9">
        <w:rPr>
          <w:szCs w:val="16"/>
          <w:lang w:val="es-CR"/>
        </w:rPr>
        <w:t>segundo</w:t>
      </w:r>
      <w:r w:rsidRPr="00F54F1F">
        <w:rPr>
          <w:szCs w:val="16"/>
          <w:lang w:val="es-CR"/>
        </w:rPr>
        <w:t xml:space="preserve"> de la Sentencia de Excepciones Preliminares, Fondo, Reparaciones y Costas</w:t>
      </w:r>
      <w:r w:rsidR="00EA241D" w:rsidRPr="00F54F1F">
        <w:rPr>
          <w:szCs w:val="16"/>
          <w:lang w:val="es-CR"/>
        </w:rPr>
        <w:t>,</w:t>
      </w:r>
      <w:r w:rsidR="00ED5000" w:rsidRPr="00F54F1F">
        <w:rPr>
          <w:szCs w:val="16"/>
          <w:lang w:val="es-CR"/>
        </w:rPr>
        <w:t xml:space="preserve"> emitida en el </w:t>
      </w:r>
      <w:r w:rsidR="00ED5000" w:rsidRPr="00F54F1F">
        <w:rPr>
          <w:i/>
          <w:szCs w:val="16"/>
          <w:lang w:val="es-CR"/>
        </w:rPr>
        <w:t>caso Empleados de la Fábrica de Fuegos en Santo Antônio de Jesus y sus familiares Vs. Brasil,</w:t>
      </w:r>
      <w:r w:rsidRPr="00F54F1F">
        <w:rPr>
          <w:szCs w:val="16"/>
          <w:lang w:val="es-CR"/>
        </w:rPr>
        <w:t xml:space="preserve"> dispone lo siguiente: “2. Desestimar la excepción preliminar relativa a la alegada incompetencia </w:t>
      </w:r>
      <w:r w:rsidRPr="00F54F1F">
        <w:rPr>
          <w:i/>
          <w:szCs w:val="16"/>
          <w:lang w:val="es-CR"/>
        </w:rPr>
        <w:t>ratione materiae</w:t>
      </w:r>
      <w:r w:rsidRPr="00F54F1F">
        <w:rPr>
          <w:szCs w:val="16"/>
          <w:lang w:val="es-CR"/>
        </w:rPr>
        <w:t xml:space="preserve"> respecto de las supuestas violaciones al derecho al trabajo, de conformidad con el párrafo 23 de esta Sentencia”</w:t>
      </w:r>
      <w:r w:rsidR="00ED5000" w:rsidRPr="00F54F1F">
        <w:rPr>
          <w:szCs w:val="16"/>
          <w:lang w:val="es-CR"/>
        </w:rPr>
        <w:t>.</w:t>
      </w:r>
      <w:r w:rsidRPr="00F54F1F">
        <w:rPr>
          <w:szCs w:val="16"/>
          <w:lang w:val="es-CR"/>
        </w:rPr>
        <w:t xml:space="preserve"> El párrafo 23 de la misma Sentencia prevé: “23.</w:t>
      </w:r>
      <w:r w:rsidR="00AA4FF9">
        <w:rPr>
          <w:szCs w:val="16"/>
          <w:lang w:val="es-CR"/>
        </w:rPr>
        <w:t xml:space="preserve"> </w:t>
      </w:r>
      <w:r w:rsidRPr="00F54F1F">
        <w:rPr>
          <w:szCs w:val="16"/>
          <w:lang w:val="es-CR"/>
        </w:rPr>
        <w:t>Este Tribunal reafirma su competencia para conocer y resolver controversias relativas al artículo 26 de la Convención Americana como parte integrante de los derechos enumerados en su texto, respecto de los cuales el artículo 1.1 confiere obligaciones de respeto y garantía. Tal como lo ha indicado en decisiones previas, las consideraciones relacionadas con la posible ocurrencia de dichas violaciones deben ser estudiadas en el fondo de este asunto. Por esa razón, la Corte desestima esta excepción preliminar”</w:t>
      </w:r>
      <w:r w:rsidR="00BC60D6" w:rsidRPr="00F54F1F">
        <w:rPr>
          <w:szCs w:val="16"/>
          <w:lang w:val="es-CR"/>
        </w:rPr>
        <w:t>.</w:t>
      </w:r>
    </w:p>
  </w:footnote>
  <w:footnote w:id="8">
    <w:p w:rsidR="005A7313" w:rsidRPr="00F54F1F" w:rsidRDefault="005A7313" w:rsidP="00EA241D">
      <w:pPr>
        <w:pStyle w:val="Textonotapie"/>
        <w:spacing w:before="100"/>
        <w:rPr>
          <w:szCs w:val="16"/>
          <w:lang w:val="es-CR"/>
        </w:rPr>
      </w:pPr>
      <w:r w:rsidRPr="00F54F1F">
        <w:rPr>
          <w:rStyle w:val="Refdenotaalpie"/>
          <w:szCs w:val="16"/>
          <w:lang w:val="es-CR"/>
        </w:rPr>
        <w:footnoteRef/>
      </w:r>
      <w:r w:rsidRPr="00F54F1F">
        <w:rPr>
          <w:szCs w:val="16"/>
          <w:lang w:val="es-CR"/>
        </w:rPr>
        <w:t xml:space="preserve"> </w:t>
      </w:r>
      <w:r w:rsidR="00BC60D6" w:rsidRPr="00F54F1F">
        <w:rPr>
          <w:szCs w:val="16"/>
          <w:lang w:val="es-CR"/>
        </w:rPr>
        <w:tab/>
      </w:r>
      <w:r w:rsidRPr="00F54F1F">
        <w:rPr>
          <w:i/>
          <w:szCs w:val="16"/>
          <w:lang w:val="es-CR"/>
        </w:rPr>
        <w:t>Cfr. Caso Trabajadores de la Hacienda Brasil Verde Vs. Brasil</w:t>
      </w:r>
      <w:r w:rsidRPr="00F54F1F">
        <w:rPr>
          <w:szCs w:val="16"/>
          <w:lang w:val="es-CR"/>
        </w:rPr>
        <w:t>.</w:t>
      </w:r>
      <w:r w:rsidRPr="00F54F1F">
        <w:rPr>
          <w:i/>
          <w:szCs w:val="16"/>
          <w:lang w:val="es-CR"/>
        </w:rPr>
        <w:t xml:space="preserve"> Interpretación de la Sentencia de Excepciones Preliminares, Fondo, Reparaciones y Costas. </w:t>
      </w:r>
      <w:r w:rsidRPr="00F54F1F">
        <w:rPr>
          <w:szCs w:val="16"/>
          <w:lang w:val="pt-BR"/>
        </w:rPr>
        <w:t>Sentencia de 22 de agosto de 2017</w:t>
      </w:r>
      <w:r w:rsidRPr="00F54F1F">
        <w:rPr>
          <w:i/>
          <w:szCs w:val="16"/>
          <w:lang w:val="pt-BR"/>
        </w:rPr>
        <w:t xml:space="preserve">. </w:t>
      </w:r>
      <w:r w:rsidRPr="00F54F1F">
        <w:rPr>
          <w:szCs w:val="16"/>
          <w:lang w:val="pt-BR"/>
        </w:rPr>
        <w:t>Serie C No. 337</w:t>
      </w:r>
      <w:r w:rsidRPr="00F54F1F">
        <w:rPr>
          <w:i/>
          <w:szCs w:val="16"/>
          <w:lang w:val="pt-BR"/>
        </w:rPr>
        <w:t xml:space="preserve">, </w:t>
      </w:r>
      <w:r w:rsidRPr="00F54F1F">
        <w:rPr>
          <w:szCs w:val="16"/>
          <w:lang w:val="pt-BR"/>
        </w:rPr>
        <w:t xml:space="preserve">párrs. 37 a 39, y </w:t>
      </w:r>
      <w:r w:rsidRPr="00F54F1F">
        <w:rPr>
          <w:i/>
          <w:szCs w:val="16"/>
          <w:lang w:val="pt-BR"/>
        </w:rPr>
        <w:t xml:space="preserve">Caso Favela Nova Brasília Vs. </w:t>
      </w:r>
      <w:r w:rsidRPr="00F54F1F">
        <w:rPr>
          <w:i/>
          <w:szCs w:val="16"/>
          <w:lang w:val="es-CR"/>
        </w:rPr>
        <w:t>Brasil</w:t>
      </w:r>
      <w:r w:rsidRPr="00F54F1F">
        <w:rPr>
          <w:szCs w:val="16"/>
          <w:lang w:val="es-CR"/>
        </w:rPr>
        <w:t xml:space="preserve">. </w:t>
      </w:r>
      <w:r w:rsidRPr="00F54F1F">
        <w:rPr>
          <w:i/>
          <w:szCs w:val="16"/>
          <w:lang w:val="es-CR"/>
        </w:rPr>
        <w:t xml:space="preserve">Interpretación de la Sentencia de Excepciones Preliminares, Fondo, Reparaciones y Costas. </w:t>
      </w:r>
      <w:r w:rsidRPr="00F54F1F">
        <w:rPr>
          <w:szCs w:val="16"/>
          <w:lang w:val="es-CR"/>
        </w:rPr>
        <w:t>Sentencia de 5 de febrero de 2018. Serie C No. 345, párrs. 57 a 59.</w:t>
      </w:r>
    </w:p>
  </w:footnote>
  <w:footnote w:id="9">
    <w:p w:rsidR="005A7313" w:rsidRPr="00F54F1F" w:rsidRDefault="005A7313" w:rsidP="00EA241D">
      <w:pPr>
        <w:pStyle w:val="Textonotapie"/>
        <w:spacing w:before="100"/>
        <w:rPr>
          <w:szCs w:val="16"/>
          <w:lang w:val="es-CR"/>
        </w:rPr>
      </w:pPr>
      <w:r w:rsidRPr="00F54F1F">
        <w:rPr>
          <w:rStyle w:val="Refdenotaalpie"/>
          <w:szCs w:val="16"/>
          <w:lang w:val="es-CR"/>
        </w:rPr>
        <w:footnoteRef/>
      </w:r>
      <w:r w:rsidRPr="00F54F1F">
        <w:rPr>
          <w:szCs w:val="16"/>
          <w:lang w:val="es-CR"/>
        </w:rPr>
        <w:t xml:space="preserve"> </w:t>
      </w:r>
      <w:r w:rsidR="00BC60D6" w:rsidRPr="00F54F1F">
        <w:rPr>
          <w:szCs w:val="16"/>
          <w:lang w:val="es-CR"/>
        </w:rPr>
        <w:tab/>
      </w:r>
      <w:r w:rsidR="00BC60D6" w:rsidRPr="00F54F1F">
        <w:rPr>
          <w:i/>
          <w:szCs w:val="16"/>
          <w:lang w:val="es-CR"/>
        </w:rPr>
        <w:t>Cfr. Caso Trabajadores de la Hacienda Brasil Verde Vs. Brasil</w:t>
      </w:r>
      <w:r w:rsidR="00BC60D6" w:rsidRPr="00F54F1F">
        <w:rPr>
          <w:szCs w:val="16"/>
          <w:lang w:val="es-CR"/>
        </w:rPr>
        <w:t>.</w:t>
      </w:r>
      <w:r w:rsidR="00BC60D6" w:rsidRPr="00F54F1F">
        <w:rPr>
          <w:i/>
          <w:szCs w:val="16"/>
          <w:lang w:val="es-CR"/>
        </w:rPr>
        <w:t xml:space="preserve"> Interpretación de la Sentencia de Excepciones Preliminares, Fondo, Reparaciones y Costas, supra, </w:t>
      </w:r>
      <w:r w:rsidR="00BC60D6" w:rsidRPr="00F54F1F">
        <w:rPr>
          <w:szCs w:val="16"/>
          <w:lang w:val="es-CR"/>
        </w:rPr>
        <w:t xml:space="preserve">párrs. 44 a 45, y </w:t>
      </w:r>
      <w:r w:rsidR="00BC60D6" w:rsidRPr="00F54F1F">
        <w:rPr>
          <w:i/>
          <w:szCs w:val="16"/>
          <w:lang w:val="es-CR"/>
        </w:rPr>
        <w:t>Caso Favela Nova Brasília Vs. Brasil</w:t>
      </w:r>
      <w:r w:rsidR="00BC60D6" w:rsidRPr="00F54F1F">
        <w:rPr>
          <w:szCs w:val="16"/>
          <w:lang w:val="es-CR"/>
        </w:rPr>
        <w:t xml:space="preserve">. </w:t>
      </w:r>
      <w:r w:rsidR="00BC60D6" w:rsidRPr="00F54F1F">
        <w:rPr>
          <w:i/>
          <w:szCs w:val="16"/>
          <w:lang w:val="es-CR"/>
        </w:rPr>
        <w:t>Interpretación de la Sentencia de Excepciones Preliminares, Fondo, Reparaciones y Costas, supra</w:t>
      </w:r>
      <w:r w:rsidR="00BC60D6" w:rsidRPr="00F54F1F">
        <w:rPr>
          <w:szCs w:val="16"/>
          <w:lang w:val="es-CR"/>
        </w:rPr>
        <w:t xml:space="preserve">, párr. 66.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65BB4"/>
    <w:multiLevelType w:val="hybridMultilevel"/>
    <w:tmpl w:val="370ACD1C"/>
    <w:lvl w:ilvl="0" w:tplc="24BC9F12">
      <w:start w:val="1"/>
      <w:numFmt w:val="upperLetter"/>
      <w:lvlText w:val="%1."/>
      <w:lvlJc w:val="left"/>
      <w:pPr>
        <w:ind w:left="360" w:hanging="360"/>
      </w:pPr>
      <w:rPr>
        <w:b/>
      </w:rPr>
    </w:lvl>
    <w:lvl w:ilvl="1" w:tplc="140A0019">
      <w:start w:val="1"/>
      <w:numFmt w:val="lowerLetter"/>
      <w:lvlText w:val="%2."/>
      <w:lvlJc w:val="left"/>
      <w:pPr>
        <w:ind w:left="1080" w:hanging="360"/>
      </w:pPr>
    </w:lvl>
    <w:lvl w:ilvl="2" w:tplc="140A001B">
      <w:start w:val="1"/>
      <w:numFmt w:val="lowerRoman"/>
      <w:lvlText w:val="%3."/>
      <w:lvlJc w:val="right"/>
      <w:pPr>
        <w:ind w:left="1800" w:hanging="180"/>
      </w:pPr>
    </w:lvl>
    <w:lvl w:ilvl="3" w:tplc="140A000F">
      <w:start w:val="1"/>
      <w:numFmt w:val="decimal"/>
      <w:lvlText w:val="%4."/>
      <w:lvlJc w:val="left"/>
      <w:pPr>
        <w:ind w:left="2520" w:hanging="360"/>
      </w:pPr>
    </w:lvl>
    <w:lvl w:ilvl="4" w:tplc="140A0019">
      <w:start w:val="1"/>
      <w:numFmt w:val="lowerLetter"/>
      <w:lvlText w:val="%5."/>
      <w:lvlJc w:val="left"/>
      <w:pPr>
        <w:ind w:left="3240" w:hanging="360"/>
      </w:pPr>
    </w:lvl>
    <w:lvl w:ilvl="5" w:tplc="140A001B">
      <w:start w:val="1"/>
      <w:numFmt w:val="lowerRoman"/>
      <w:lvlText w:val="%6."/>
      <w:lvlJc w:val="right"/>
      <w:pPr>
        <w:ind w:left="3960" w:hanging="180"/>
      </w:pPr>
    </w:lvl>
    <w:lvl w:ilvl="6" w:tplc="140A000F">
      <w:start w:val="1"/>
      <w:numFmt w:val="decimal"/>
      <w:lvlText w:val="%7."/>
      <w:lvlJc w:val="left"/>
      <w:pPr>
        <w:ind w:left="4680" w:hanging="360"/>
      </w:pPr>
    </w:lvl>
    <w:lvl w:ilvl="7" w:tplc="140A0019">
      <w:start w:val="1"/>
      <w:numFmt w:val="lowerLetter"/>
      <w:lvlText w:val="%8."/>
      <w:lvlJc w:val="left"/>
      <w:pPr>
        <w:ind w:left="5400" w:hanging="360"/>
      </w:pPr>
    </w:lvl>
    <w:lvl w:ilvl="8" w:tplc="140A001B">
      <w:start w:val="1"/>
      <w:numFmt w:val="lowerRoman"/>
      <w:lvlText w:val="%9."/>
      <w:lvlJc w:val="right"/>
      <w:pPr>
        <w:ind w:left="6120" w:hanging="180"/>
      </w:pPr>
    </w:lvl>
  </w:abstractNum>
  <w:abstractNum w:abstractNumId="1" w15:restartNumberingAfterBreak="0">
    <w:nsid w:val="0C4D0F26"/>
    <w:multiLevelType w:val="hybridMultilevel"/>
    <w:tmpl w:val="92729212"/>
    <w:lvl w:ilvl="0" w:tplc="B6E64A74">
      <w:start w:val="291"/>
      <w:numFmt w:val="decimal"/>
      <w:lvlText w:val="%1."/>
      <w:lvlJc w:val="left"/>
      <w:pPr>
        <w:ind w:left="1128" w:hanging="42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 w15:restartNumberingAfterBreak="0">
    <w:nsid w:val="0F090BC3"/>
    <w:multiLevelType w:val="hybridMultilevel"/>
    <w:tmpl w:val="25242C40"/>
    <w:lvl w:ilvl="0" w:tplc="941A3D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C96018"/>
    <w:multiLevelType w:val="hybridMultilevel"/>
    <w:tmpl w:val="CECE448A"/>
    <w:lvl w:ilvl="0" w:tplc="8A6CB106">
      <w:start w:val="1"/>
      <w:numFmt w:val="upp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1F360E70"/>
    <w:multiLevelType w:val="hybridMultilevel"/>
    <w:tmpl w:val="05F49FEE"/>
    <w:lvl w:ilvl="0" w:tplc="56DCAC92">
      <w:start w:val="1"/>
      <w:numFmt w:val="lowerLetter"/>
      <w:lvlText w:val="%1)"/>
      <w:lvlJc w:val="left"/>
      <w:pPr>
        <w:ind w:left="1560" w:hanging="8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412252"/>
    <w:multiLevelType w:val="hybridMultilevel"/>
    <w:tmpl w:val="B1CEA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B07E57"/>
    <w:multiLevelType w:val="hybridMultilevel"/>
    <w:tmpl w:val="462210C0"/>
    <w:lvl w:ilvl="0" w:tplc="EDBCDD16">
      <w:start w:val="1"/>
      <w:numFmt w:val="decimal"/>
      <w:lvlText w:val="%1."/>
      <w:lvlJc w:val="left"/>
      <w:pPr>
        <w:ind w:left="720" w:hanging="360"/>
      </w:pPr>
      <w:rPr>
        <w:rFonts w:ascii="Verdana" w:eastAsia="Times" w:hAnsi="Verdana" w:cs="Times New Roman"/>
        <w:b w:val="0"/>
        <w:i w:val="0"/>
        <w:strike w:val="0"/>
        <w:color w:val="auto"/>
        <w:sz w:val="20"/>
        <w:lang w:val="es-P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D40BC0"/>
    <w:multiLevelType w:val="hybridMultilevel"/>
    <w:tmpl w:val="4B9AB2D6"/>
    <w:lvl w:ilvl="0" w:tplc="55C49332">
      <w:start w:val="1"/>
      <w:numFmt w:val="decimal"/>
      <w:lvlText w:val="%1."/>
      <w:lvlJc w:val="left"/>
      <w:pPr>
        <w:ind w:left="720" w:hanging="360"/>
      </w:pPr>
      <w:rPr>
        <w:rFonts w:cs="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C303C3"/>
    <w:multiLevelType w:val="hybridMultilevel"/>
    <w:tmpl w:val="8FD20DA8"/>
    <w:lvl w:ilvl="0" w:tplc="42484030">
      <w:start w:val="1"/>
      <w:numFmt w:val="upperLetter"/>
      <w:pStyle w:val="Ttulo2"/>
      <w:lvlText w:val="%1."/>
      <w:lvlJc w:val="left"/>
      <w:pPr>
        <w:ind w:left="720" w:hanging="360"/>
      </w:pPr>
      <w:rPr>
        <w:rFonts w:hint="default"/>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3FB37225"/>
    <w:multiLevelType w:val="hybridMultilevel"/>
    <w:tmpl w:val="0A189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536E73"/>
    <w:multiLevelType w:val="hybridMultilevel"/>
    <w:tmpl w:val="3AC4C382"/>
    <w:lvl w:ilvl="0" w:tplc="21FE6BE2">
      <w:start w:val="1"/>
      <w:numFmt w:val="decimal"/>
      <w:lvlText w:val="%1."/>
      <w:lvlJc w:val="left"/>
      <w:pPr>
        <w:ind w:left="720" w:hanging="360"/>
      </w:pPr>
      <w:rPr>
        <w:rFonts w:cs="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78382D"/>
    <w:multiLevelType w:val="hybridMultilevel"/>
    <w:tmpl w:val="3DF68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814278"/>
    <w:multiLevelType w:val="hybridMultilevel"/>
    <w:tmpl w:val="6256FB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2ED5F89"/>
    <w:multiLevelType w:val="hybridMultilevel"/>
    <w:tmpl w:val="527A9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753A80"/>
    <w:multiLevelType w:val="hybridMultilevel"/>
    <w:tmpl w:val="BC78FF58"/>
    <w:lvl w:ilvl="0" w:tplc="726880C0">
      <w:start w:val="1"/>
      <w:numFmt w:val="decimal"/>
      <w:lvlText w:val="%1."/>
      <w:lvlJc w:val="left"/>
      <w:pPr>
        <w:ind w:left="0" w:firstLine="0"/>
      </w:pPr>
      <w:rPr>
        <w:rFonts w:ascii="Verdana" w:hAnsi="Verdana" w:hint="default"/>
        <w:b w:val="0"/>
        <w:i w:val="0"/>
        <w:strike w:val="0"/>
        <w:dstrike w:val="0"/>
        <w:color w:val="auto"/>
        <w:sz w:val="20"/>
        <w:szCs w:val="20"/>
        <w:u w:val="none"/>
        <w:effect w:val="none"/>
        <w:lang w:val="es-ES"/>
      </w:rPr>
    </w:lvl>
    <w:lvl w:ilvl="1" w:tplc="2C0A0019">
      <w:start w:val="1"/>
      <w:numFmt w:val="lowerLetter"/>
      <w:lvlText w:val="%2."/>
      <w:lvlJc w:val="left"/>
      <w:pPr>
        <w:ind w:left="1353" w:hanging="360"/>
      </w:pPr>
      <w:rPr>
        <w:lang w:val="es-CR"/>
      </w:rPr>
    </w:lvl>
    <w:lvl w:ilvl="2" w:tplc="40823306">
      <w:start w:val="1"/>
      <w:numFmt w:val="lowerRoman"/>
      <w:lvlText w:val="%3."/>
      <w:lvlJc w:val="right"/>
      <w:pPr>
        <w:ind w:left="2018" w:hanging="180"/>
      </w:pPr>
      <w:rPr>
        <w:b w:val="0"/>
        <w:i w:val="0"/>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2C0A001B">
      <w:start w:val="1"/>
      <w:numFmt w:val="lowerRoman"/>
      <w:lvlText w:val="%6."/>
      <w:lvlJc w:val="right"/>
      <w:pPr>
        <w:ind w:left="4178" w:hanging="180"/>
      </w:pPr>
    </w:lvl>
    <w:lvl w:ilvl="6" w:tplc="2C0A000F">
      <w:start w:val="1"/>
      <w:numFmt w:val="decimal"/>
      <w:lvlText w:val="%7."/>
      <w:lvlJc w:val="left"/>
      <w:pPr>
        <w:ind w:left="4898" w:hanging="360"/>
      </w:pPr>
    </w:lvl>
    <w:lvl w:ilvl="7" w:tplc="2C0A0019">
      <w:start w:val="1"/>
      <w:numFmt w:val="lowerLetter"/>
      <w:lvlText w:val="%8."/>
      <w:lvlJc w:val="left"/>
      <w:pPr>
        <w:ind w:left="5618" w:hanging="360"/>
      </w:pPr>
    </w:lvl>
    <w:lvl w:ilvl="8" w:tplc="2C0A001B">
      <w:start w:val="1"/>
      <w:numFmt w:val="lowerRoman"/>
      <w:lvlText w:val="%9."/>
      <w:lvlJc w:val="right"/>
      <w:pPr>
        <w:ind w:left="6338" w:hanging="180"/>
      </w:pPr>
    </w:lvl>
  </w:abstractNum>
  <w:abstractNum w:abstractNumId="15" w15:restartNumberingAfterBreak="0">
    <w:nsid w:val="7CE64D32"/>
    <w:multiLevelType w:val="hybridMultilevel"/>
    <w:tmpl w:val="DC427244"/>
    <w:lvl w:ilvl="0" w:tplc="140A000F">
      <w:start w:val="1"/>
      <w:numFmt w:val="decimal"/>
      <w:lvlText w:val="%1."/>
      <w:lvlJc w:val="left"/>
      <w:pPr>
        <w:tabs>
          <w:tab w:val="num" w:pos="1247"/>
        </w:tabs>
        <w:ind w:left="0" w:firstLine="0"/>
      </w:pPr>
      <w:rPr>
        <w:b w:val="0"/>
        <w:i w:val="0"/>
        <w:strike w:val="0"/>
        <w:color w:val="auto"/>
        <w:sz w:val="20"/>
        <w:lang w:val="es-PA"/>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15:restartNumberingAfterBreak="0">
    <w:nsid w:val="7D1F6286"/>
    <w:multiLevelType w:val="hybridMultilevel"/>
    <w:tmpl w:val="39AE2516"/>
    <w:lvl w:ilvl="0" w:tplc="A468D294">
      <w:start w:val="1"/>
      <w:numFmt w:val="upperLetter"/>
      <w:pStyle w:val="Ttulo5"/>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EA5974"/>
    <w:multiLevelType w:val="hybridMultilevel"/>
    <w:tmpl w:val="3830DC68"/>
    <w:lvl w:ilvl="0" w:tplc="2D347A48">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7E607722"/>
    <w:multiLevelType w:val="hybridMultilevel"/>
    <w:tmpl w:val="52DAC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5"/>
  </w:num>
  <w:num w:numId="3">
    <w:abstractNumId w:val="16"/>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11"/>
  </w:num>
  <w:num w:numId="7">
    <w:abstractNumId w:val="9"/>
  </w:num>
  <w:num w:numId="8">
    <w:abstractNumId w:val="13"/>
  </w:num>
  <w:num w:numId="9">
    <w:abstractNumId w:val="10"/>
  </w:num>
  <w:num w:numId="10">
    <w:abstractNumId w:val="3"/>
  </w:num>
  <w:num w:numId="11">
    <w:abstractNumId w:val="5"/>
  </w:num>
  <w:num w:numId="12">
    <w:abstractNumId w:val="18"/>
  </w:num>
  <w:num w:numId="13">
    <w:abstractNumId w:val="12"/>
  </w:num>
  <w:num w:numId="14">
    <w:abstractNumId w:val="6"/>
  </w:num>
  <w:num w:numId="15">
    <w:abstractNumId w:val="14"/>
  </w:num>
  <w:num w:numId="16">
    <w:abstractNumId w:val="4"/>
  </w:num>
  <w:num w:numId="17">
    <w:abstractNumId w:val="1"/>
  </w:num>
  <w:num w:numId="18">
    <w:abstractNumId w:val="17"/>
  </w:num>
  <w:num w:numId="19">
    <w:abstractNumId w:val="0"/>
  </w:num>
  <w:num w:numId="20">
    <w:abstractNumId w:val="16"/>
    <w:lvlOverride w:ilvl="0">
      <w:startOverride w:val="1"/>
    </w:lvlOverride>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activeWritingStyle w:appName="MSWord" w:lang="es-CR" w:vendorID="64" w:dllVersion="131078" w:nlCheck="1" w:checkStyle="0"/>
  <w:activeWritingStyle w:appName="MSWord" w:lang="es-PA" w:vendorID="64" w:dllVersion="131078" w:nlCheck="1" w:checkStyle="0"/>
  <w:activeWritingStyle w:appName="MSWord" w:lang="es-ES" w:vendorID="64" w:dllVersion="131078" w:nlCheck="1" w:checkStyle="0"/>
  <w:activeWritingStyle w:appName="MSWord" w:lang="pt-BR" w:vendorID="64" w:dllVersion="131078" w:nlCheck="1" w:checkStyle="0"/>
  <w:activeWritingStyle w:appName="MSWord" w:lang="es-CO"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80C"/>
    <w:rsid w:val="000079C5"/>
    <w:rsid w:val="00016D0E"/>
    <w:rsid w:val="00027A71"/>
    <w:rsid w:val="00043198"/>
    <w:rsid w:val="00047915"/>
    <w:rsid w:val="00067454"/>
    <w:rsid w:val="00074EAC"/>
    <w:rsid w:val="00084298"/>
    <w:rsid w:val="0008538C"/>
    <w:rsid w:val="000879E7"/>
    <w:rsid w:val="000957C6"/>
    <w:rsid w:val="000A53CA"/>
    <w:rsid w:val="000A739E"/>
    <w:rsid w:val="000B1DF5"/>
    <w:rsid w:val="000B2AD0"/>
    <w:rsid w:val="000B7102"/>
    <w:rsid w:val="000C3C35"/>
    <w:rsid w:val="000C7BCC"/>
    <w:rsid w:val="000D1995"/>
    <w:rsid w:val="000D532A"/>
    <w:rsid w:val="000E4C6E"/>
    <w:rsid w:val="000F253D"/>
    <w:rsid w:val="00103066"/>
    <w:rsid w:val="00113583"/>
    <w:rsid w:val="001149D8"/>
    <w:rsid w:val="001151EE"/>
    <w:rsid w:val="001159E0"/>
    <w:rsid w:val="00122FF2"/>
    <w:rsid w:val="00132327"/>
    <w:rsid w:val="001365DF"/>
    <w:rsid w:val="00137C79"/>
    <w:rsid w:val="00141585"/>
    <w:rsid w:val="0014446A"/>
    <w:rsid w:val="00145E85"/>
    <w:rsid w:val="00155DD4"/>
    <w:rsid w:val="00164995"/>
    <w:rsid w:val="001667C5"/>
    <w:rsid w:val="001747ED"/>
    <w:rsid w:val="0019657E"/>
    <w:rsid w:val="001A6ACD"/>
    <w:rsid w:val="001A726C"/>
    <w:rsid w:val="001B2A7F"/>
    <w:rsid w:val="001B388E"/>
    <w:rsid w:val="001D20E9"/>
    <w:rsid w:val="001F3329"/>
    <w:rsid w:val="00205D8D"/>
    <w:rsid w:val="002074BB"/>
    <w:rsid w:val="0021139F"/>
    <w:rsid w:val="00221276"/>
    <w:rsid w:val="0022281D"/>
    <w:rsid w:val="00227ABC"/>
    <w:rsid w:val="002425DE"/>
    <w:rsid w:val="00242978"/>
    <w:rsid w:val="002434E8"/>
    <w:rsid w:val="00255DCF"/>
    <w:rsid w:val="00256F6B"/>
    <w:rsid w:val="00257C26"/>
    <w:rsid w:val="00271DD7"/>
    <w:rsid w:val="00273E7C"/>
    <w:rsid w:val="00285223"/>
    <w:rsid w:val="002925F1"/>
    <w:rsid w:val="00296C7E"/>
    <w:rsid w:val="002A08F0"/>
    <w:rsid w:val="002A4B73"/>
    <w:rsid w:val="002B7B9F"/>
    <w:rsid w:val="002C067C"/>
    <w:rsid w:val="002C44EE"/>
    <w:rsid w:val="002C4F40"/>
    <w:rsid w:val="002D3AF3"/>
    <w:rsid w:val="002D3D35"/>
    <w:rsid w:val="002D5B7A"/>
    <w:rsid w:val="002E43D8"/>
    <w:rsid w:val="002E4415"/>
    <w:rsid w:val="002E5984"/>
    <w:rsid w:val="002F0B5F"/>
    <w:rsid w:val="002F2CA1"/>
    <w:rsid w:val="002F3F97"/>
    <w:rsid w:val="002F58E6"/>
    <w:rsid w:val="003006AA"/>
    <w:rsid w:val="00304354"/>
    <w:rsid w:val="003043AC"/>
    <w:rsid w:val="0030573C"/>
    <w:rsid w:val="00315C44"/>
    <w:rsid w:val="00323F43"/>
    <w:rsid w:val="00331906"/>
    <w:rsid w:val="00342800"/>
    <w:rsid w:val="00344426"/>
    <w:rsid w:val="00344748"/>
    <w:rsid w:val="00346459"/>
    <w:rsid w:val="003478A5"/>
    <w:rsid w:val="0035223D"/>
    <w:rsid w:val="00354143"/>
    <w:rsid w:val="00374963"/>
    <w:rsid w:val="003826FA"/>
    <w:rsid w:val="00390FA7"/>
    <w:rsid w:val="003953BE"/>
    <w:rsid w:val="003A1354"/>
    <w:rsid w:val="003A3659"/>
    <w:rsid w:val="003C55FA"/>
    <w:rsid w:val="003D5102"/>
    <w:rsid w:val="003D549D"/>
    <w:rsid w:val="003E7AE9"/>
    <w:rsid w:val="003F54C6"/>
    <w:rsid w:val="00400C9F"/>
    <w:rsid w:val="00415F2D"/>
    <w:rsid w:val="00415F44"/>
    <w:rsid w:val="0041694E"/>
    <w:rsid w:val="00433093"/>
    <w:rsid w:val="00440937"/>
    <w:rsid w:val="00447233"/>
    <w:rsid w:val="004477E6"/>
    <w:rsid w:val="0045629B"/>
    <w:rsid w:val="00465F7A"/>
    <w:rsid w:val="0047202F"/>
    <w:rsid w:val="00473F87"/>
    <w:rsid w:val="00474992"/>
    <w:rsid w:val="00476B40"/>
    <w:rsid w:val="00491456"/>
    <w:rsid w:val="004A440D"/>
    <w:rsid w:val="004A5D34"/>
    <w:rsid w:val="004B186C"/>
    <w:rsid w:val="004B72EE"/>
    <w:rsid w:val="004B75E2"/>
    <w:rsid w:val="004B7795"/>
    <w:rsid w:val="004C020C"/>
    <w:rsid w:val="004D0663"/>
    <w:rsid w:val="004D2D9B"/>
    <w:rsid w:val="004D601E"/>
    <w:rsid w:val="004E3B7C"/>
    <w:rsid w:val="004E7E72"/>
    <w:rsid w:val="005027ED"/>
    <w:rsid w:val="00505710"/>
    <w:rsid w:val="00512737"/>
    <w:rsid w:val="005212AA"/>
    <w:rsid w:val="00526B21"/>
    <w:rsid w:val="00527A39"/>
    <w:rsid w:val="0053418F"/>
    <w:rsid w:val="00545A57"/>
    <w:rsid w:val="005570D3"/>
    <w:rsid w:val="0056289D"/>
    <w:rsid w:val="005678A7"/>
    <w:rsid w:val="00573B05"/>
    <w:rsid w:val="00577778"/>
    <w:rsid w:val="00580710"/>
    <w:rsid w:val="00584C6E"/>
    <w:rsid w:val="00585E4E"/>
    <w:rsid w:val="005918D2"/>
    <w:rsid w:val="005A7313"/>
    <w:rsid w:val="005B425C"/>
    <w:rsid w:val="005D351D"/>
    <w:rsid w:val="005E1A6F"/>
    <w:rsid w:val="005F14DC"/>
    <w:rsid w:val="005F7DF3"/>
    <w:rsid w:val="00644070"/>
    <w:rsid w:val="00647330"/>
    <w:rsid w:val="00650BF5"/>
    <w:rsid w:val="00651B49"/>
    <w:rsid w:val="0065370A"/>
    <w:rsid w:val="00655ED9"/>
    <w:rsid w:val="006630C1"/>
    <w:rsid w:val="00672A3A"/>
    <w:rsid w:val="00680673"/>
    <w:rsid w:val="00690C34"/>
    <w:rsid w:val="006A5741"/>
    <w:rsid w:val="006A5C52"/>
    <w:rsid w:val="006B3C25"/>
    <w:rsid w:val="006B684C"/>
    <w:rsid w:val="006B69CB"/>
    <w:rsid w:val="006B702C"/>
    <w:rsid w:val="006C07E2"/>
    <w:rsid w:val="006D384B"/>
    <w:rsid w:val="006D7100"/>
    <w:rsid w:val="006D7C86"/>
    <w:rsid w:val="006E54FD"/>
    <w:rsid w:val="006E63F4"/>
    <w:rsid w:val="006F0D24"/>
    <w:rsid w:val="006F59BC"/>
    <w:rsid w:val="006F6BC7"/>
    <w:rsid w:val="00701A8B"/>
    <w:rsid w:val="00705666"/>
    <w:rsid w:val="007112F7"/>
    <w:rsid w:val="00714BB5"/>
    <w:rsid w:val="007317C7"/>
    <w:rsid w:val="00734EC8"/>
    <w:rsid w:val="007415B3"/>
    <w:rsid w:val="00765BE8"/>
    <w:rsid w:val="0078699B"/>
    <w:rsid w:val="007A1505"/>
    <w:rsid w:val="007B09D3"/>
    <w:rsid w:val="007B57C6"/>
    <w:rsid w:val="007B680C"/>
    <w:rsid w:val="007D0F58"/>
    <w:rsid w:val="007F4E4C"/>
    <w:rsid w:val="00800A8B"/>
    <w:rsid w:val="00800FF7"/>
    <w:rsid w:val="00802DA5"/>
    <w:rsid w:val="00820705"/>
    <w:rsid w:val="00831712"/>
    <w:rsid w:val="00832B68"/>
    <w:rsid w:val="00835834"/>
    <w:rsid w:val="00843A50"/>
    <w:rsid w:val="008462FC"/>
    <w:rsid w:val="008476B9"/>
    <w:rsid w:val="00850585"/>
    <w:rsid w:val="00854287"/>
    <w:rsid w:val="00854A0B"/>
    <w:rsid w:val="0085606E"/>
    <w:rsid w:val="00864969"/>
    <w:rsid w:val="00874A9D"/>
    <w:rsid w:val="0088422B"/>
    <w:rsid w:val="00891341"/>
    <w:rsid w:val="008A5492"/>
    <w:rsid w:val="008B00D8"/>
    <w:rsid w:val="008B52E3"/>
    <w:rsid w:val="008B575C"/>
    <w:rsid w:val="008C1A30"/>
    <w:rsid w:val="008D6837"/>
    <w:rsid w:val="008E4CF2"/>
    <w:rsid w:val="008E60DB"/>
    <w:rsid w:val="009107ED"/>
    <w:rsid w:val="009116EF"/>
    <w:rsid w:val="00917583"/>
    <w:rsid w:val="0092145F"/>
    <w:rsid w:val="00925880"/>
    <w:rsid w:val="00945E7B"/>
    <w:rsid w:val="00946469"/>
    <w:rsid w:val="00954FDD"/>
    <w:rsid w:val="0095654D"/>
    <w:rsid w:val="00956A94"/>
    <w:rsid w:val="00960E30"/>
    <w:rsid w:val="00961255"/>
    <w:rsid w:val="00963614"/>
    <w:rsid w:val="00966D9B"/>
    <w:rsid w:val="00971EBD"/>
    <w:rsid w:val="00974A82"/>
    <w:rsid w:val="0097641F"/>
    <w:rsid w:val="00982249"/>
    <w:rsid w:val="009936C7"/>
    <w:rsid w:val="009A393E"/>
    <w:rsid w:val="009A7E92"/>
    <w:rsid w:val="009B0176"/>
    <w:rsid w:val="009C6E64"/>
    <w:rsid w:val="009E544A"/>
    <w:rsid w:val="009F5F23"/>
    <w:rsid w:val="009F6B87"/>
    <w:rsid w:val="00A03AFD"/>
    <w:rsid w:val="00A12E33"/>
    <w:rsid w:val="00A31FCF"/>
    <w:rsid w:val="00A325E9"/>
    <w:rsid w:val="00A32FF0"/>
    <w:rsid w:val="00A53766"/>
    <w:rsid w:val="00A600C8"/>
    <w:rsid w:val="00A66CC7"/>
    <w:rsid w:val="00A743C4"/>
    <w:rsid w:val="00A77E32"/>
    <w:rsid w:val="00A811C9"/>
    <w:rsid w:val="00A837E1"/>
    <w:rsid w:val="00A846A2"/>
    <w:rsid w:val="00A87213"/>
    <w:rsid w:val="00A96627"/>
    <w:rsid w:val="00AA3372"/>
    <w:rsid w:val="00AA4FF9"/>
    <w:rsid w:val="00AA7692"/>
    <w:rsid w:val="00AC2907"/>
    <w:rsid w:val="00AC2C4F"/>
    <w:rsid w:val="00AC707F"/>
    <w:rsid w:val="00AD0FD2"/>
    <w:rsid w:val="00AD1442"/>
    <w:rsid w:val="00AD2636"/>
    <w:rsid w:val="00AE030F"/>
    <w:rsid w:val="00AE0DC6"/>
    <w:rsid w:val="00AE0FDD"/>
    <w:rsid w:val="00AF21B6"/>
    <w:rsid w:val="00AF3968"/>
    <w:rsid w:val="00AF41E3"/>
    <w:rsid w:val="00B03713"/>
    <w:rsid w:val="00B12097"/>
    <w:rsid w:val="00B12C3C"/>
    <w:rsid w:val="00B13231"/>
    <w:rsid w:val="00B168DD"/>
    <w:rsid w:val="00B204BD"/>
    <w:rsid w:val="00B24DE1"/>
    <w:rsid w:val="00B27B67"/>
    <w:rsid w:val="00B33863"/>
    <w:rsid w:val="00B50D65"/>
    <w:rsid w:val="00B542BA"/>
    <w:rsid w:val="00B6232C"/>
    <w:rsid w:val="00B6338D"/>
    <w:rsid w:val="00B71308"/>
    <w:rsid w:val="00B71811"/>
    <w:rsid w:val="00B73495"/>
    <w:rsid w:val="00B75BC3"/>
    <w:rsid w:val="00B7792A"/>
    <w:rsid w:val="00B867BE"/>
    <w:rsid w:val="00B934E2"/>
    <w:rsid w:val="00B95527"/>
    <w:rsid w:val="00BA6E52"/>
    <w:rsid w:val="00BC2968"/>
    <w:rsid w:val="00BC60D6"/>
    <w:rsid w:val="00BC770C"/>
    <w:rsid w:val="00BD0616"/>
    <w:rsid w:val="00BD5873"/>
    <w:rsid w:val="00BE0404"/>
    <w:rsid w:val="00BE581A"/>
    <w:rsid w:val="00BF7877"/>
    <w:rsid w:val="00C00640"/>
    <w:rsid w:val="00C10DBA"/>
    <w:rsid w:val="00C116AF"/>
    <w:rsid w:val="00C20D4E"/>
    <w:rsid w:val="00C240E3"/>
    <w:rsid w:val="00C371E9"/>
    <w:rsid w:val="00C45B9B"/>
    <w:rsid w:val="00C55ECF"/>
    <w:rsid w:val="00C63F03"/>
    <w:rsid w:val="00C95A1C"/>
    <w:rsid w:val="00CB3289"/>
    <w:rsid w:val="00CC61C0"/>
    <w:rsid w:val="00CC7678"/>
    <w:rsid w:val="00CE63BE"/>
    <w:rsid w:val="00CE7D8B"/>
    <w:rsid w:val="00CF0101"/>
    <w:rsid w:val="00CF108E"/>
    <w:rsid w:val="00CF1686"/>
    <w:rsid w:val="00CF5756"/>
    <w:rsid w:val="00CF64C0"/>
    <w:rsid w:val="00D1077F"/>
    <w:rsid w:val="00D20849"/>
    <w:rsid w:val="00D47268"/>
    <w:rsid w:val="00D511A1"/>
    <w:rsid w:val="00D620C8"/>
    <w:rsid w:val="00D62D26"/>
    <w:rsid w:val="00D63A8E"/>
    <w:rsid w:val="00D6427D"/>
    <w:rsid w:val="00D75185"/>
    <w:rsid w:val="00D76CE2"/>
    <w:rsid w:val="00D82B28"/>
    <w:rsid w:val="00D83829"/>
    <w:rsid w:val="00D8757B"/>
    <w:rsid w:val="00D9052B"/>
    <w:rsid w:val="00D9476B"/>
    <w:rsid w:val="00D974BB"/>
    <w:rsid w:val="00DA24B3"/>
    <w:rsid w:val="00DA50EB"/>
    <w:rsid w:val="00DB05FC"/>
    <w:rsid w:val="00DE2BB0"/>
    <w:rsid w:val="00DE59B0"/>
    <w:rsid w:val="00DE66A5"/>
    <w:rsid w:val="00E00392"/>
    <w:rsid w:val="00E003A5"/>
    <w:rsid w:val="00E010F6"/>
    <w:rsid w:val="00E02A4C"/>
    <w:rsid w:val="00E1039F"/>
    <w:rsid w:val="00E16CA5"/>
    <w:rsid w:val="00E2703A"/>
    <w:rsid w:val="00E31A2F"/>
    <w:rsid w:val="00E46B0B"/>
    <w:rsid w:val="00E55C98"/>
    <w:rsid w:val="00E617D7"/>
    <w:rsid w:val="00E62285"/>
    <w:rsid w:val="00E63274"/>
    <w:rsid w:val="00E75800"/>
    <w:rsid w:val="00E770B6"/>
    <w:rsid w:val="00E81906"/>
    <w:rsid w:val="00E9090D"/>
    <w:rsid w:val="00E97353"/>
    <w:rsid w:val="00EA11B0"/>
    <w:rsid w:val="00EA241D"/>
    <w:rsid w:val="00EA5CED"/>
    <w:rsid w:val="00EA6B11"/>
    <w:rsid w:val="00EA7A25"/>
    <w:rsid w:val="00EC06AF"/>
    <w:rsid w:val="00EC1319"/>
    <w:rsid w:val="00EC58DD"/>
    <w:rsid w:val="00ED4FBD"/>
    <w:rsid w:val="00ED5000"/>
    <w:rsid w:val="00EE30D8"/>
    <w:rsid w:val="00EF01D5"/>
    <w:rsid w:val="00EF5654"/>
    <w:rsid w:val="00F00C24"/>
    <w:rsid w:val="00F1383C"/>
    <w:rsid w:val="00F246C2"/>
    <w:rsid w:val="00F3398A"/>
    <w:rsid w:val="00F34918"/>
    <w:rsid w:val="00F35FA5"/>
    <w:rsid w:val="00F4165C"/>
    <w:rsid w:val="00F47183"/>
    <w:rsid w:val="00F51512"/>
    <w:rsid w:val="00F54F1F"/>
    <w:rsid w:val="00F57D52"/>
    <w:rsid w:val="00F63522"/>
    <w:rsid w:val="00F651F6"/>
    <w:rsid w:val="00F67350"/>
    <w:rsid w:val="00F70BC9"/>
    <w:rsid w:val="00F8346C"/>
    <w:rsid w:val="00F8588A"/>
    <w:rsid w:val="00F9176F"/>
    <w:rsid w:val="00F91B36"/>
    <w:rsid w:val="00F9517A"/>
    <w:rsid w:val="00F97940"/>
    <w:rsid w:val="00FA5A7A"/>
    <w:rsid w:val="00FA7EE8"/>
    <w:rsid w:val="00FB52FA"/>
    <w:rsid w:val="00FC4DB9"/>
    <w:rsid w:val="00FC5196"/>
    <w:rsid w:val="00FD4EFD"/>
    <w:rsid w:val="00FD6A38"/>
    <w:rsid w:val="00FE4054"/>
    <w:rsid w:val="00FE6AB0"/>
    <w:rsid w:val="00FF106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E2E529-B76F-4861-9F29-C2BF60EE4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680C"/>
    <w:pPr>
      <w:spacing w:after="200" w:line="276" w:lineRule="auto"/>
    </w:pPr>
    <w:rPr>
      <w:rFonts w:ascii="Calibri" w:eastAsia="Calibri" w:hAnsi="Calibri" w:cs="Times New Roman"/>
      <w:lang w:val="es-ES"/>
    </w:rPr>
  </w:style>
  <w:style w:type="paragraph" w:styleId="Ttulo1">
    <w:name w:val="heading 1"/>
    <w:basedOn w:val="Normal"/>
    <w:next w:val="Normal"/>
    <w:link w:val="Ttulo1Car"/>
    <w:uiPriority w:val="9"/>
    <w:qFormat/>
    <w:rsid w:val="00D63A8E"/>
    <w:pPr>
      <w:keepNext/>
      <w:autoSpaceDE w:val="0"/>
      <w:autoSpaceDN w:val="0"/>
      <w:adjustRightInd w:val="0"/>
      <w:spacing w:after="0" w:line="240" w:lineRule="auto"/>
      <w:jc w:val="center"/>
      <w:outlineLvl w:val="0"/>
    </w:pPr>
    <w:rPr>
      <w:rFonts w:ascii="Verdana" w:eastAsia="Times New Roman" w:hAnsi="Verdana" w:cs="Verdana"/>
      <w:b/>
      <w:bCs/>
      <w:iCs/>
      <w:caps/>
      <w:snapToGrid w:val="0"/>
      <w:sz w:val="20"/>
      <w:szCs w:val="20"/>
      <w:lang w:val="es-CR" w:eastAsia="es-ES"/>
    </w:rPr>
  </w:style>
  <w:style w:type="paragraph" w:styleId="Ttulo2">
    <w:name w:val="heading 2"/>
    <w:basedOn w:val="Normal"/>
    <w:next w:val="Normal"/>
    <w:link w:val="Ttulo2Car"/>
    <w:uiPriority w:val="9"/>
    <w:unhideWhenUsed/>
    <w:qFormat/>
    <w:rsid w:val="00D63A8E"/>
    <w:pPr>
      <w:keepNext/>
      <w:numPr>
        <w:numId w:val="21"/>
      </w:numPr>
      <w:spacing w:after="0" w:line="240" w:lineRule="auto"/>
      <w:jc w:val="both"/>
      <w:outlineLvl w:val="1"/>
    </w:pPr>
    <w:rPr>
      <w:rFonts w:ascii="Verdana" w:hAnsi="Verdana"/>
      <w:b/>
      <w:sz w:val="20"/>
      <w:szCs w:val="20"/>
      <w:lang w:val="es-CR"/>
    </w:rPr>
  </w:style>
  <w:style w:type="paragraph" w:styleId="Ttulo3">
    <w:name w:val="heading 3"/>
    <w:basedOn w:val="Normal"/>
    <w:next w:val="Normal"/>
    <w:link w:val="Ttulo3Car"/>
    <w:uiPriority w:val="9"/>
    <w:unhideWhenUsed/>
    <w:qFormat/>
    <w:rsid w:val="002F0B5F"/>
    <w:pPr>
      <w:keepNext/>
      <w:spacing w:after="0" w:line="240" w:lineRule="auto"/>
      <w:ind w:firstLine="708"/>
      <w:jc w:val="both"/>
      <w:outlineLvl w:val="2"/>
    </w:pPr>
    <w:rPr>
      <w:rFonts w:ascii="Verdana" w:hAnsi="Verdana"/>
      <w:i/>
      <w:sz w:val="20"/>
      <w:szCs w:val="20"/>
      <w:lang w:val="es-CO"/>
    </w:rPr>
  </w:style>
  <w:style w:type="paragraph" w:styleId="Ttulo4">
    <w:name w:val="heading 4"/>
    <w:basedOn w:val="Normal"/>
    <w:next w:val="Normal"/>
    <w:link w:val="Ttulo4Car"/>
    <w:uiPriority w:val="9"/>
    <w:unhideWhenUsed/>
    <w:qFormat/>
    <w:rsid w:val="00E75800"/>
    <w:pPr>
      <w:keepNext/>
      <w:tabs>
        <w:tab w:val="num" w:pos="0"/>
      </w:tabs>
      <w:autoSpaceDE w:val="0"/>
      <w:autoSpaceDN w:val="0"/>
      <w:adjustRightInd w:val="0"/>
      <w:spacing w:after="0" w:line="240" w:lineRule="auto"/>
      <w:ind w:left="708" w:firstLine="708"/>
      <w:jc w:val="both"/>
      <w:outlineLvl w:val="3"/>
    </w:pPr>
    <w:rPr>
      <w:rFonts w:ascii="Verdana" w:hAnsi="Verdana" w:cs="Verdana"/>
      <w:i/>
      <w:sz w:val="20"/>
      <w:szCs w:val="20"/>
      <w:lang w:val="es-PA"/>
    </w:rPr>
  </w:style>
  <w:style w:type="paragraph" w:styleId="Ttulo5">
    <w:name w:val="heading 5"/>
    <w:basedOn w:val="Normal"/>
    <w:next w:val="Normal"/>
    <w:link w:val="Ttulo5Car"/>
    <w:uiPriority w:val="9"/>
    <w:unhideWhenUsed/>
    <w:qFormat/>
    <w:rsid w:val="007B680C"/>
    <w:pPr>
      <w:keepNext/>
      <w:widowControl w:val="0"/>
      <w:numPr>
        <w:numId w:val="3"/>
      </w:numPr>
      <w:spacing w:after="0" w:line="240" w:lineRule="auto"/>
      <w:jc w:val="both"/>
      <w:outlineLvl w:val="4"/>
    </w:pPr>
    <w:rPr>
      <w:rFonts w:ascii="Verdana" w:hAnsi="Verdana"/>
      <w:i/>
      <w:sz w:val="20"/>
      <w:szCs w:val="20"/>
      <w:lang w:val="es-P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3A8E"/>
    <w:rPr>
      <w:rFonts w:ascii="Verdana" w:eastAsia="Times New Roman" w:hAnsi="Verdana" w:cs="Verdana"/>
      <w:b/>
      <w:bCs/>
      <w:iCs/>
      <w:caps/>
      <w:snapToGrid w:val="0"/>
      <w:sz w:val="20"/>
      <w:szCs w:val="20"/>
      <w:lang w:eastAsia="es-ES"/>
    </w:rPr>
  </w:style>
  <w:style w:type="character" w:customStyle="1" w:styleId="Ttulo2Car">
    <w:name w:val="Título 2 Car"/>
    <w:basedOn w:val="Fuentedeprrafopredeter"/>
    <w:link w:val="Ttulo2"/>
    <w:uiPriority w:val="9"/>
    <w:rsid w:val="00D63A8E"/>
    <w:rPr>
      <w:rFonts w:ascii="Verdana" w:eastAsia="Calibri" w:hAnsi="Verdana" w:cs="Times New Roman"/>
      <w:b/>
      <w:sz w:val="20"/>
      <w:szCs w:val="20"/>
    </w:rPr>
  </w:style>
  <w:style w:type="character" w:customStyle="1" w:styleId="Ttulo3Car">
    <w:name w:val="Título 3 Car"/>
    <w:basedOn w:val="Fuentedeprrafopredeter"/>
    <w:link w:val="Ttulo3"/>
    <w:uiPriority w:val="9"/>
    <w:rsid w:val="002F0B5F"/>
    <w:rPr>
      <w:rFonts w:ascii="Verdana" w:eastAsia="Calibri" w:hAnsi="Verdana" w:cs="Times New Roman"/>
      <w:i/>
      <w:sz w:val="20"/>
      <w:szCs w:val="20"/>
      <w:lang w:val="es-CO"/>
    </w:rPr>
  </w:style>
  <w:style w:type="character" w:customStyle="1" w:styleId="Ttulo4Car">
    <w:name w:val="Título 4 Car"/>
    <w:basedOn w:val="Fuentedeprrafopredeter"/>
    <w:link w:val="Ttulo4"/>
    <w:uiPriority w:val="9"/>
    <w:rsid w:val="00E75800"/>
    <w:rPr>
      <w:rFonts w:ascii="Verdana" w:eastAsia="Calibri" w:hAnsi="Verdana" w:cs="Verdana"/>
      <w:i/>
      <w:sz w:val="20"/>
      <w:szCs w:val="20"/>
      <w:lang w:val="es-PA"/>
    </w:rPr>
  </w:style>
  <w:style w:type="character" w:customStyle="1" w:styleId="Ttulo5Car">
    <w:name w:val="Título 5 Car"/>
    <w:basedOn w:val="Fuentedeprrafopredeter"/>
    <w:link w:val="Ttulo5"/>
    <w:uiPriority w:val="9"/>
    <w:rsid w:val="007B680C"/>
    <w:rPr>
      <w:rFonts w:ascii="Verdana" w:eastAsia="Calibri" w:hAnsi="Verdana" w:cs="Times New Roman"/>
      <w:i/>
      <w:sz w:val="20"/>
      <w:szCs w:val="20"/>
      <w:lang w:val="es-PA"/>
    </w:rPr>
  </w:style>
  <w:style w:type="paragraph" w:styleId="Textonotapie">
    <w:name w:val="footnote text"/>
    <w:aliases w:val="2. Footnote Text,Footnote Tesina,Footnote Text Char Char Char Char Char,Footnote Text Char Char Char Char,Footnote reference,FA Fu,Footnote Text Char Char Char,Footnote Text Cha,FA Fußnotentext,FA Fuﬂnotentext,Footnote Text Char Char,Ca,C"/>
    <w:basedOn w:val="Normal"/>
    <w:link w:val="TextonotapieCar"/>
    <w:unhideWhenUsed/>
    <w:qFormat/>
    <w:rsid w:val="007B680C"/>
    <w:pPr>
      <w:spacing w:after="0" w:line="240" w:lineRule="auto"/>
      <w:jc w:val="both"/>
    </w:pPr>
    <w:rPr>
      <w:rFonts w:ascii="Verdana" w:hAnsi="Verdana"/>
      <w:sz w:val="16"/>
      <w:szCs w:val="20"/>
    </w:rPr>
  </w:style>
  <w:style w:type="character" w:customStyle="1" w:styleId="TextonotapieCar">
    <w:name w:val="Texto nota pie Car"/>
    <w:aliases w:val="2. Footnote Text Car,Footnote Tesina Car,Footnote Text Char Char Char Char Char Car,Footnote Text Char Char Char Char Car,Footnote reference Car,FA Fu Car,Footnote Text Char Char Char Car,Footnote Text Cha Car,FA Fußnotentext Car"/>
    <w:basedOn w:val="Fuentedeprrafopredeter"/>
    <w:link w:val="Textonotapie"/>
    <w:rsid w:val="007B680C"/>
    <w:rPr>
      <w:rFonts w:ascii="Verdana" w:eastAsia="Calibri" w:hAnsi="Verdana" w:cs="Times New Roman"/>
      <w:sz w:val="16"/>
      <w:szCs w:val="20"/>
      <w:lang w:val="es-ES"/>
    </w:rPr>
  </w:style>
  <w:style w:type="character" w:styleId="Refdenotaalpie">
    <w:name w:val="footnote reference"/>
    <w:aliases w:val="Texto de nota al pie,Footnotes refss,Appel note de bas de page,Footnote number,referencia nota al pie,BVI fnr,f,4_G,16 Point,Superscript 6 Point,Texto nota al pie,Footnote Reference Char3,Footnote Reference Char1 Char,Ref. de nota al"/>
    <w:basedOn w:val="Fuentedeprrafopredeter"/>
    <w:link w:val="4GChar"/>
    <w:uiPriority w:val="99"/>
    <w:unhideWhenUsed/>
    <w:qFormat/>
    <w:rsid w:val="007B680C"/>
    <w:rPr>
      <w:rFonts w:ascii="Verdana" w:hAnsi="Verdana"/>
      <w:sz w:val="16"/>
      <w:vertAlign w:val="superscript"/>
    </w:rPr>
  </w:style>
  <w:style w:type="paragraph" w:styleId="Prrafodelista">
    <w:name w:val="List Paragraph"/>
    <w:basedOn w:val="Normal"/>
    <w:uiPriority w:val="34"/>
    <w:qFormat/>
    <w:rsid w:val="007B680C"/>
    <w:pPr>
      <w:ind w:left="720"/>
      <w:contextualSpacing/>
    </w:pPr>
  </w:style>
  <w:style w:type="character" w:styleId="Refdecomentario">
    <w:name w:val="annotation reference"/>
    <w:basedOn w:val="Fuentedeprrafopredeter"/>
    <w:uiPriority w:val="99"/>
    <w:semiHidden/>
    <w:unhideWhenUsed/>
    <w:rsid w:val="007B680C"/>
    <w:rPr>
      <w:sz w:val="16"/>
      <w:szCs w:val="16"/>
    </w:rPr>
  </w:style>
  <w:style w:type="paragraph" w:styleId="Textocomentario">
    <w:name w:val="annotation text"/>
    <w:basedOn w:val="Normal"/>
    <w:link w:val="TextocomentarioCar"/>
    <w:uiPriority w:val="99"/>
    <w:unhideWhenUsed/>
    <w:rsid w:val="007B680C"/>
    <w:pPr>
      <w:spacing w:line="240" w:lineRule="auto"/>
    </w:pPr>
    <w:rPr>
      <w:sz w:val="20"/>
      <w:szCs w:val="20"/>
    </w:rPr>
  </w:style>
  <w:style w:type="character" w:customStyle="1" w:styleId="TextocomentarioCar">
    <w:name w:val="Texto comentario Car"/>
    <w:basedOn w:val="Fuentedeprrafopredeter"/>
    <w:link w:val="Textocomentario"/>
    <w:uiPriority w:val="99"/>
    <w:rsid w:val="007B680C"/>
    <w:rPr>
      <w:rFonts w:ascii="Calibri" w:eastAsia="Calibri" w:hAnsi="Calibri"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7B680C"/>
    <w:rPr>
      <w:b/>
      <w:bCs/>
    </w:rPr>
  </w:style>
  <w:style w:type="character" w:customStyle="1" w:styleId="AsuntodelcomentarioCar">
    <w:name w:val="Asunto del comentario Car"/>
    <w:basedOn w:val="TextocomentarioCar"/>
    <w:link w:val="Asuntodelcomentario"/>
    <w:uiPriority w:val="99"/>
    <w:semiHidden/>
    <w:rsid w:val="007B680C"/>
    <w:rPr>
      <w:rFonts w:ascii="Calibri" w:eastAsia="Calibri" w:hAnsi="Calibri" w:cs="Times New Roman"/>
      <w:b/>
      <w:bCs/>
      <w:sz w:val="20"/>
      <w:szCs w:val="20"/>
      <w:lang w:val="es-ES"/>
    </w:rPr>
  </w:style>
  <w:style w:type="paragraph" w:styleId="Textodeglobo">
    <w:name w:val="Balloon Text"/>
    <w:basedOn w:val="Normal"/>
    <w:link w:val="TextodegloboCar"/>
    <w:uiPriority w:val="99"/>
    <w:semiHidden/>
    <w:unhideWhenUsed/>
    <w:rsid w:val="007B680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B680C"/>
    <w:rPr>
      <w:rFonts w:ascii="Tahoma" w:eastAsia="Calibri" w:hAnsi="Tahoma" w:cs="Tahoma"/>
      <w:sz w:val="16"/>
      <w:szCs w:val="16"/>
      <w:lang w:val="es-ES"/>
    </w:rPr>
  </w:style>
  <w:style w:type="paragraph" w:styleId="Encabezado">
    <w:name w:val="header"/>
    <w:basedOn w:val="Normal"/>
    <w:link w:val="EncabezadoCar"/>
    <w:uiPriority w:val="99"/>
    <w:unhideWhenUsed/>
    <w:rsid w:val="007B680C"/>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7B680C"/>
    <w:rPr>
      <w:rFonts w:ascii="Calibri" w:eastAsia="Calibri" w:hAnsi="Calibri" w:cs="Times New Roman"/>
      <w:lang w:val="es-ES"/>
    </w:rPr>
  </w:style>
  <w:style w:type="paragraph" w:styleId="Piedepgina">
    <w:name w:val="footer"/>
    <w:basedOn w:val="Normal"/>
    <w:link w:val="PiedepginaCar"/>
    <w:uiPriority w:val="99"/>
    <w:unhideWhenUsed/>
    <w:rsid w:val="007B680C"/>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7B680C"/>
    <w:rPr>
      <w:rFonts w:ascii="Calibri" w:eastAsia="Calibri" w:hAnsi="Calibri" w:cs="Times New Roman"/>
      <w:lang w:val="es-ES"/>
    </w:rPr>
  </w:style>
  <w:style w:type="paragraph" w:styleId="Textodebloque">
    <w:name w:val="Block Text"/>
    <w:basedOn w:val="Normal"/>
    <w:uiPriority w:val="99"/>
    <w:unhideWhenUsed/>
    <w:rsid w:val="007B680C"/>
    <w:pPr>
      <w:autoSpaceDE w:val="0"/>
      <w:autoSpaceDN w:val="0"/>
      <w:adjustRightInd w:val="0"/>
      <w:spacing w:after="0" w:line="240" w:lineRule="auto"/>
      <w:ind w:left="720" w:right="576"/>
      <w:jc w:val="both"/>
    </w:pPr>
    <w:rPr>
      <w:rFonts w:ascii="Verdana" w:hAnsi="Verdana" w:cs="Verdana"/>
      <w:sz w:val="18"/>
      <w:szCs w:val="18"/>
      <w:lang w:val="pt-BR"/>
    </w:rPr>
  </w:style>
  <w:style w:type="paragraph" w:customStyle="1" w:styleId="Default">
    <w:name w:val="Default"/>
    <w:rsid w:val="007B680C"/>
    <w:pPr>
      <w:autoSpaceDE w:val="0"/>
      <w:autoSpaceDN w:val="0"/>
      <w:adjustRightInd w:val="0"/>
      <w:spacing w:after="0" w:line="240" w:lineRule="auto"/>
    </w:pPr>
    <w:rPr>
      <w:rFonts w:ascii="Verdana" w:hAnsi="Verdana" w:cs="Verdana"/>
      <w:color w:val="000000"/>
      <w:sz w:val="24"/>
      <w:szCs w:val="24"/>
      <w:lang w:val="pt-BR"/>
    </w:rPr>
  </w:style>
  <w:style w:type="paragraph" w:styleId="Revisin">
    <w:name w:val="Revision"/>
    <w:hidden/>
    <w:uiPriority w:val="99"/>
    <w:semiHidden/>
    <w:rsid w:val="007B680C"/>
    <w:pPr>
      <w:spacing w:after="0" w:line="240" w:lineRule="auto"/>
    </w:pPr>
    <w:rPr>
      <w:rFonts w:ascii="Calibri" w:eastAsia="Calibri" w:hAnsi="Calibri" w:cs="Times New Roman"/>
      <w:lang w:val="es-ES"/>
    </w:rPr>
  </w:style>
  <w:style w:type="character" w:styleId="Textoennegrita">
    <w:name w:val="Strong"/>
    <w:basedOn w:val="Fuentedeprrafopredeter"/>
    <w:uiPriority w:val="22"/>
    <w:qFormat/>
    <w:rsid w:val="007B680C"/>
    <w:rPr>
      <w:b/>
      <w:bC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rsid w:val="007B680C"/>
    <w:pPr>
      <w:spacing w:after="0" w:line="240" w:lineRule="auto"/>
      <w:jc w:val="both"/>
    </w:pPr>
    <w:rPr>
      <w:rFonts w:ascii="Verdana" w:eastAsiaTheme="minorHAnsi" w:hAnsi="Verdana" w:cstheme="minorBidi"/>
      <w:sz w:val="16"/>
      <w:vertAlign w:val="superscript"/>
      <w:lang w:val="es-CR"/>
    </w:rPr>
  </w:style>
  <w:style w:type="paragraph" w:styleId="Sinespaciado">
    <w:name w:val="No Spacing"/>
    <w:uiPriority w:val="1"/>
    <w:qFormat/>
    <w:rsid w:val="00DB05FC"/>
    <w:pPr>
      <w:spacing w:after="0" w:line="240" w:lineRule="auto"/>
    </w:pPr>
    <w:rPr>
      <w:rFonts w:ascii="Calibri" w:eastAsia="Calibri" w:hAnsi="Calibri"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3291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BFBB7-C950-4664-A9DC-04153B90B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3648</Words>
  <Characters>20068</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2</cp:revision>
  <dcterms:created xsi:type="dcterms:W3CDTF">2021-09-01T21:42:00Z</dcterms:created>
  <dcterms:modified xsi:type="dcterms:W3CDTF">2021-09-01T21:42:00Z</dcterms:modified>
</cp:coreProperties>
</file>